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CFC02B"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r w:rsidRPr="00FA4841">
        <w:rPr>
          <w:rFonts w:ascii="Times New Roman" w:hAnsi="Times New Roman"/>
          <w:b/>
          <w:szCs w:val="24"/>
        </w:rPr>
        <w:t>ANGLIA RUSKIN UNIVERSITY</w:t>
      </w:r>
    </w:p>
    <w:p w14:paraId="6B0BDFA0"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418EEB32"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22E1B090" w14:textId="77777777" w:rsidR="00FA4841" w:rsidRPr="00FA4841" w:rsidRDefault="00FA4841" w:rsidP="006869A3">
      <w:pPr>
        <w:spacing w:after="200" w:line="240" w:lineRule="auto"/>
        <w:jc w:val="center"/>
        <w:rPr>
          <w:rFonts w:ascii="Times New Roman" w:hAnsi="Times New Roman"/>
          <w:b/>
          <w:szCs w:val="24"/>
        </w:rPr>
      </w:pPr>
      <w:r w:rsidRPr="00FA4841">
        <w:rPr>
          <w:rFonts w:ascii="Times New Roman" w:eastAsia="MS Mincho" w:hAnsi="Times New Roman"/>
          <w:b/>
          <w:szCs w:val="24"/>
        </w:rPr>
        <w:t>FACULTY OF HEALTH, EDUCATION, MEDICINE AND SOCIAL CARE</w:t>
      </w:r>
    </w:p>
    <w:p w14:paraId="473F3E28"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6040670F"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21BEA52F"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29D3C3C8" w14:textId="77777777" w:rsidR="00FA4841" w:rsidRPr="00FA4841" w:rsidRDefault="00FA4841" w:rsidP="006869A3">
      <w:pPr>
        <w:autoSpaceDE w:val="0"/>
        <w:autoSpaceDN w:val="0"/>
        <w:adjustRightInd w:val="0"/>
        <w:spacing w:after="0" w:line="240" w:lineRule="auto"/>
        <w:jc w:val="center"/>
        <w:rPr>
          <w:rFonts w:ascii="Times New Roman" w:hAnsi="Times New Roman"/>
          <w:b/>
          <w:szCs w:val="24"/>
        </w:rPr>
      </w:pPr>
    </w:p>
    <w:p w14:paraId="27DC35B5" w14:textId="77777777" w:rsidR="006541EE" w:rsidRPr="006541EE" w:rsidRDefault="006541EE" w:rsidP="006869A3">
      <w:pPr>
        <w:autoSpaceDE w:val="0"/>
        <w:autoSpaceDN w:val="0"/>
        <w:adjustRightInd w:val="0"/>
        <w:spacing w:after="0" w:line="240" w:lineRule="auto"/>
        <w:jc w:val="center"/>
        <w:rPr>
          <w:rFonts w:ascii="Times New Roman" w:hAnsi="Times New Roman"/>
          <w:b/>
          <w:bCs/>
          <w:szCs w:val="24"/>
        </w:rPr>
      </w:pPr>
    </w:p>
    <w:p w14:paraId="46052337" w14:textId="03D6CC99" w:rsidR="006541EE" w:rsidRPr="006541EE" w:rsidRDefault="006541EE" w:rsidP="006869A3">
      <w:pPr>
        <w:autoSpaceDE w:val="0"/>
        <w:autoSpaceDN w:val="0"/>
        <w:adjustRightInd w:val="0"/>
        <w:spacing w:after="0" w:line="240" w:lineRule="auto"/>
        <w:jc w:val="center"/>
        <w:rPr>
          <w:rFonts w:ascii="Times New Roman" w:hAnsi="Times New Roman"/>
          <w:b/>
          <w:bCs/>
          <w:szCs w:val="24"/>
        </w:rPr>
      </w:pPr>
      <w:r w:rsidRPr="006541EE">
        <w:rPr>
          <w:rFonts w:ascii="Times New Roman" w:hAnsi="Times New Roman"/>
          <w:b/>
          <w:bCs/>
          <w:szCs w:val="24"/>
        </w:rPr>
        <w:t>EXPERIENCES OF NIGERIAN MIGRANT NURSES AND HEALTH CARE ASSISTANTS OF PEOPLE WITH DEMENTIA IN THE NATIONAL HEALTH SERVICE</w:t>
      </w:r>
    </w:p>
    <w:p w14:paraId="3C0AA2FA" w14:textId="1A9D83F6"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7F1B2A0E" w14:textId="77777777"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5029681A" w14:textId="77777777"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5F8B8197" w14:textId="77777777"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05F75706" w14:textId="77777777"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7CD23A7F" w14:textId="77777777" w:rsidR="00FA4841" w:rsidRPr="00FA4841" w:rsidRDefault="00FA4841" w:rsidP="006869A3">
      <w:pPr>
        <w:autoSpaceDE w:val="0"/>
        <w:autoSpaceDN w:val="0"/>
        <w:adjustRightInd w:val="0"/>
        <w:spacing w:after="0" w:line="240" w:lineRule="auto"/>
        <w:jc w:val="center"/>
        <w:rPr>
          <w:rFonts w:ascii="Times New Roman" w:eastAsia="MS Mincho" w:hAnsi="Times New Roman"/>
          <w:b/>
          <w:bCs/>
          <w:szCs w:val="24"/>
        </w:rPr>
      </w:pPr>
    </w:p>
    <w:p w14:paraId="281B189E"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r w:rsidRPr="00FA4841">
        <w:rPr>
          <w:rFonts w:ascii="Times New Roman" w:eastAsia="MS Mincho" w:hAnsi="Times New Roman"/>
          <w:b/>
          <w:bCs/>
          <w:szCs w:val="24"/>
        </w:rPr>
        <w:t>OJEIU JUDE EJERE</w:t>
      </w:r>
    </w:p>
    <w:p w14:paraId="328C3041"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4723F2B2" w14:textId="6296D526" w:rsidR="00FA4841" w:rsidRPr="00FA4841" w:rsidRDefault="00FA4841" w:rsidP="006869A3">
      <w:pPr>
        <w:tabs>
          <w:tab w:val="left" w:pos="4635"/>
        </w:tabs>
        <w:autoSpaceDE w:val="0"/>
        <w:autoSpaceDN w:val="0"/>
        <w:adjustRightInd w:val="0"/>
        <w:spacing w:after="0" w:line="240" w:lineRule="auto"/>
        <w:jc w:val="center"/>
        <w:rPr>
          <w:rFonts w:ascii="Times New Roman" w:hAnsi="Times New Roman"/>
          <w:szCs w:val="24"/>
        </w:rPr>
      </w:pPr>
    </w:p>
    <w:p w14:paraId="492282A3"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4BFA773D"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62BD38B3"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437EEA9A" w14:textId="4F7BEBF8" w:rsidR="006869A3" w:rsidRDefault="00FA4841" w:rsidP="006869A3">
      <w:pPr>
        <w:autoSpaceDE w:val="0"/>
        <w:autoSpaceDN w:val="0"/>
        <w:adjustRightInd w:val="0"/>
        <w:spacing w:after="0" w:line="240" w:lineRule="auto"/>
        <w:jc w:val="center"/>
        <w:rPr>
          <w:rFonts w:ascii="Times New Roman" w:eastAsia="Calibri" w:hAnsi="Times New Roman"/>
          <w:b/>
          <w:color w:val="000000"/>
          <w:szCs w:val="24"/>
          <w:lang w:eastAsia="en-US"/>
        </w:rPr>
      </w:pPr>
      <w:r w:rsidRPr="00FA4841">
        <w:rPr>
          <w:rFonts w:ascii="Times New Roman" w:eastAsia="Calibri" w:hAnsi="Times New Roman"/>
          <w:b/>
          <w:color w:val="000000"/>
          <w:szCs w:val="24"/>
          <w:lang w:eastAsia="en-US"/>
        </w:rPr>
        <w:t>A thesis submitted in partial fulfilment of the requirements for the degree</w:t>
      </w:r>
    </w:p>
    <w:p w14:paraId="10350731" w14:textId="5D23DA6A" w:rsidR="00FA4841" w:rsidRPr="00FA4841" w:rsidRDefault="00FA4841" w:rsidP="006869A3">
      <w:pPr>
        <w:autoSpaceDE w:val="0"/>
        <w:autoSpaceDN w:val="0"/>
        <w:adjustRightInd w:val="0"/>
        <w:spacing w:after="0" w:line="240" w:lineRule="auto"/>
        <w:jc w:val="center"/>
        <w:rPr>
          <w:rFonts w:ascii="Times New Roman" w:eastAsia="Calibri" w:hAnsi="Times New Roman"/>
          <w:b/>
          <w:color w:val="000000"/>
          <w:szCs w:val="24"/>
          <w:lang w:eastAsia="en-US"/>
        </w:rPr>
      </w:pPr>
      <w:r w:rsidRPr="00FA4841">
        <w:rPr>
          <w:rFonts w:ascii="Times New Roman" w:eastAsia="Calibri" w:hAnsi="Times New Roman"/>
          <w:b/>
          <w:color w:val="000000"/>
          <w:szCs w:val="24"/>
          <w:lang w:eastAsia="en-US"/>
        </w:rPr>
        <w:t>of</w:t>
      </w:r>
    </w:p>
    <w:p w14:paraId="5D61A64F" w14:textId="601868C7" w:rsidR="00FA4841" w:rsidRPr="00FA4841" w:rsidRDefault="00FA4841" w:rsidP="006869A3">
      <w:pPr>
        <w:autoSpaceDE w:val="0"/>
        <w:autoSpaceDN w:val="0"/>
        <w:adjustRightInd w:val="0"/>
        <w:spacing w:after="0" w:line="240" w:lineRule="auto"/>
        <w:jc w:val="center"/>
        <w:rPr>
          <w:rFonts w:ascii="Times New Roman" w:eastAsia="Calibri" w:hAnsi="Times New Roman"/>
          <w:b/>
          <w:szCs w:val="24"/>
          <w:lang w:eastAsia="en-US"/>
        </w:rPr>
      </w:pPr>
      <w:r w:rsidRPr="00FA4841">
        <w:rPr>
          <w:rFonts w:ascii="Times New Roman" w:eastAsia="Calibri" w:hAnsi="Times New Roman"/>
          <w:b/>
          <w:szCs w:val="24"/>
          <w:lang w:eastAsia="en-US"/>
        </w:rPr>
        <w:t>Doctor of Philosophy (PhD)</w:t>
      </w:r>
    </w:p>
    <w:p w14:paraId="063617CB"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b/>
          <w:szCs w:val="24"/>
          <w:lang w:eastAsia="en-US"/>
        </w:rPr>
      </w:pPr>
    </w:p>
    <w:p w14:paraId="643B7A38"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58CCAE61"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3F4A98A1"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2BCE26B7"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1EB0063C"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61EBF7C6"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348D47D0"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2B08CB15" w14:textId="77777777" w:rsidR="00FA4841" w:rsidRPr="00FA4841" w:rsidRDefault="00FA4841" w:rsidP="006869A3">
      <w:pPr>
        <w:autoSpaceDE w:val="0"/>
        <w:autoSpaceDN w:val="0"/>
        <w:adjustRightInd w:val="0"/>
        <w:spacing w:after="0" w:line="240" w:lineRule="auto"/>
        <w:jc w:val="center"/>
        <w:rPr>
          <w:rFonts w:ascii="Times New Roman" w:hAnsi="Times New Roman"/>
          <w:szCs w:val="24"/>
        </w:rPr>
      </w:pPr>
    </w:p>
    <w:p w14:paraId="0B63BA47"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b/>
          <w:szCs w:val="24"/>
          <w:lang w:eastAsia="en-US"/>
        </w:rPr>
      </w:pPr>
      <w:r w:rsidRPr="00FA4841">
        <w:rPr>
          <w:rFonts w:ascii="Times New Roman" w:eastAsia="Calibri" w:hAnsi="Times New Roman"/>
          <w:b/>
          <w:szCs w:val="24"/>
          <w:lang w:eastAsia="en-US"/>
        </w:rPr>
        <w:t>Department of Allied and Public Health</w:t>
      </w:r>
    </w:p>
    <w:p w14:paraId="0BEDDA83"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b/>
          <w:szCs w:val="24"/>
          <w:lang w:eastAsia="en-US"/>
        </w:rPr>
      </w:pPr>
      <w:r w:rsidRPr="00FA4841">
        <w:rPr>
          <w:rFonts w:ascii="Times New Roman" w:eastAsia="Calibri" w:hAnsi="Times New Roman"/>
          <w:b/>
          <w:szCs w:val="24"/>
          <w:lang w:eastAsia="en-US"/>
        </w:rPr>
        <w:t>Faculty of Health Social Care and Medicine</w:t>
      </w:r>
    </w:p>
    <w:p w14:paraId="3EE48737"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b/>
          <w:szCs w:val="24"/>
          <w:lang w:eastAsia="en-US"/>
        </w:rPr>
      </w:pPr>
      <w:r w:rsidRPr="00FA4841">
        <w:rPr>
          <w:rFonts w:ascii="Times New Roman" w:eastAsia="Calibri" w:hAnsi="Times New Roman"/>
          <w:b/>
          <w:szCs w:val="24"/>
          <w:lang w:eastAsia="en-US"/>
        </w:rPr>
        <w:t>Anglia Ruskin University</w:t>
      </w:r>
    </w:p>
    <w:p w14:paraId="60242896"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b/>
          <w:szCs w:val="24"/>
          <w:lang w:eastAsia="en-US"/>
        </w:rPr>
      </w:pPr>
      <w:r w:rsidRPr="00FA4841">
        <w:rPr>
          <w:rFonts w:ascii="Times New Roman" w:eastAsia="Calibri" w:hAnsi="Times New Roman"/>
          <w:b/>
          <w:szCs w:val="24"/>
          <w:lang w:eastAsia="en-US"/>
        </w:rPr>
        <w:t>United Kingdom</w:t>
      </w:r>
    </w:p>
    <w:p w14:paraId="6635FA00"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szCs w:val="24"/>
          <w:lang w:eastAsia="en-US"/>
        </w:rPr>
      </w:pPr>
    </w:p>
    <w:p w14:paraId="3FC4C757"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szCs w:val="24"/>
          <w:lang w:eastAsia="en-US"/>
        </w:rPr>
      </w:pPr>
    </w:p>
    <w:p w14:paraId="7B201950"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szCs w:val="24"/>
          <w:lang w:eastAsia="en-US"/>
        </w:rPr>
      </w:pPr>
    </w:p>
    <w:p w14:paraId="1978018F"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szCs w:val="24"/>
          <w:lang w:eastAsia="en-US"/>
        </w:rPr>
      </w:pPr>
    </w:p>
    <w:p w14:paraId="2BE08937" w14:textId="77777777" w:rsidR="00FA4841" w:rsidRPr="00FA4841" w:rsidRDefault="00FA4841" w:rsidP="006869A3">
      <w:pPr>
        <w:autoSpaceDE w:val="0"/>
        <w:autoSpaceDN w:val="0"/>
        <w:adjustRightInd w:val="0"/>
        <w:spacing w:after="0" w:line="240" w:lineRule="auto"/>
        <w:ind w:left="720"/>
        <w:jc w:val="center"/>
        <w:rPr>
          <w:rFonts w:ascii="Times New Roman" w:eastAsia="Calibri" w:hAnsi="Times New Roman"/>
          <w:szCs w:val="24"/>
          <w:lang w:eastAsia="en-US"/>
        </w:rPr>
      </w:pPr>
    </w:p>
    <w:p w14:paraId="5FFCDAA5"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szCs w:val="24"/>
          <w:lang w:eastAsia="en-US"/>
        </w:rPr>
      </w:pPr>
    </w:p>
    <w:p w14:paraId="025CD9B7" w14:textId="77777777" w:rsidR="00FA4841" w:rsidRPr="00FA4841" w:rsidRDefault="00FA4841" w:rsidP="006869A3">
      <w:pPr>
        <w:autoSpaceDE w:val="0"/>
        <w:autoSpaceDN w:val="0"/>
        <w:adjustRightInd w:val="0"/>
        <w:spacing w:after="0" w:line="240" w:lineRule="auto"/>
        <w:jc w:val="center"/>
        <w:rPr>
          <w:rFonts w:ascii="Times New Roman" w:eastAsia="Calibri" w:hAnsi="Times New Roman"/>
          <w:szCs w:val="24"/>
          <w:lang w:eastAsia="en-US"/>
        </w:rPr>
      </w:pPr>
    </w:p>
    <w:p w14:paraId="3F18F8EE" w14:textId="67F2B0C9" w:rsidR="00FA4841" w:rsidRPr="00FA4841" w:rsidRDefault="00A37B94" w:rsidP="006869A3">
      <w:pPr>
        <w:spacing w:after="200" w:line="276" w:lineRule="auto"/>
        <w:jc w:val="center"/>
        <w:rPr>
          <w:rFonts w:ascii="Times New Roman" w:eastAsia="MS Mincho" w:hAnsi="Times New Roman"/>
          <w:b/>
          <w:szCs w:val="24"/>
        </w:rPr>
        <w:sectPr w:rsidR="00FA4841" w:rsidRPr="00FA4841" w:rsidSect="009E33DB">
          <w:pgSz w:w="11906" w:h="16838"/>
          <w:pgMar w:top="1440" w:right="1797" w:bottom="1440" w:left="1797" w:header="709" w:footer="709" w:gutter="0"/>
          <w:pgNumType w:fmt="lowerRoman"/>
          <w:cols w:space="708"/>
          <w:docGrid w:linePitch="360"/>
        </w:sectPr>
      </w:pPr>
      <w:r>
        <w:rPr>
          <w:rFonts w:ascii="Times New Roman" w:eastAsia="MS Mincho" w:hAnsi="Times New Roman"/>
          <w:b/>
          <w:szCs w:val="24"/>
        </w:rPr>
        <w:t>Decem</w:t>
      </w:r>
      <w:r w:rsidR="00FA4841" w:rsidRPr="00FA4841">
        <w:rPr>
          <w:rFonts w:ascii="Times New Roman" w:eastAsia="MS Mincho" w:hAnsi="Times New Roman"/>
          <w:b/>
          <w:szCs w:val="24"/>
        </w:rPr>
        <w:t>ber 2020</w:t>
      </w:r>
    </w:p>
    <w:p w14:paraId="7F6362B1" w14:textId="77777777" w:rsidR="009D7726" w:rsidRPr="006869A3" w:rsidRDefault="009D7726" w:rsidP="006869A3">
      <w:pPr>
        <w:pStyle w:val="Heading1"/>
      </w:pPr>
      <w:bookmarkStart w:id="0" w:name="_Toc86417204"/>
      <w:r w:rsidRPr="006869A3">
        <w:lastRenderedPageBreak/>
        <w:t>ACKNOWLEDGEMENT</w:t>
      </w:r>
      <w:bookmarkEnd w:id="0"/>
    </w:p>
    <w:p w14:paraId="22CE11F8" w14:textId="77777777" w:rsidR="009D7726" w:rsidRPr="006007E9" w:rsidRDefault="009D7726" w:rsidP="009D7726">
      <w:pPr>
        <w:shd w:val="clear" w:color="auto" w:fill="FFFFFF"/>
        <w:spacing w:line="253" w:lineRule="atLeast"/>
        <w:jc w:val="center"/>
        <w:rPr>
          <w:rFonts w:ascii="Calibri" w:hAnsi="Calibri" w:cs="Calibri"/>
        </w:rPr>
      </w:pPr>
      <w:r w:rsidRPr="006007E9">
        <w:rPr>
          <w:rFonts w:ascii="Times New Roman" w:hAnsi="Times New Roman"/>
          <w:szCs w:val="24"/>
        </w:rPr>
        <w:t>“</w:t>
      </w:r>
      <w:r w:rsidRPr="006007E9">
        <w:rPr>
          <w:rFonts w:ascii="Times New Roman" w:hAnsi="Times New Roman"/>
          <w:i/>
          <w:iCs/>
          <w:szCs w:val="24"/>
        </w:rPr>
        <w:t>No duty is more urgent than giving thanks.</w:t>
      </w:r>
      <w:r w:rsidRPr="006007E9">
        <w:rPr>
          <w:rFonts w:ascii="Times New Roman" w:hAnsi="Times New Roman"/>
          <w:szCs w:val="24"/>
        </w:rPr>
        <w:t>” - James Allen</w:t>
      </w:r>
    </w:p>
    <w:p w14:paraId="56941FB3"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t>A Vietnamese proverb says that “</w:t>
      </w:r>
      <w:r w:rsidRPr="006007E9">
        <w:rPr>
          <w:rFonts w:ascii="Times New Roman" w:hAnsi="Times New Roman"/>
          <w:i/>
          <w:iCs/>
          <w:szCs w:val="24"/>
        </w:rPr>
        <w:t>When eating fruit, remember the one who planted the tree.</w:t>
      </w:r>
      <w:r w:rsidRPr="006007E9">
        <w:rPr>
          <w:rFonts w:ascii="Times New Roman" w:hAnsi="Times New Roman"/>
          <w:szCs w:val="24"/>
        </w:rPr>
        <w:t>” During my PhD research, I received so much support from start to finish, and although it is difficult to mention everyone who has been of immense help to me, I shall mention a few and hope that those not mentioned will take no offence.</w:t>
      </w:r>
    </w:p>
    <w:p w14:paraId="0B90F03F"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t>I thank my heavenly father, the LORD God, Almighty, JEHOVAH, the father of mercy and grace, for His loving kindness and His out-stretched arms of love. Father, your right hand of power held me up always and you never ceased to help me, even in my unbelief and unfaithfulness.</w:t>
      </w:r>
    </w:p>
    <w:p w14:paraId="525D48AC"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t>Special thanks to my supervisors, Dr Hilary Bungay (Associate Professor) and Dr Pauline Lane (Associate Professor) for their expertise, excellent guidance, encouragement, motivation, consistent and constant support throughout the PhD programme. It was their assistance, contributions and relentless guidance in the several supervisory meetings, feedbacks, constructive criticisms and candid advice that made it possible for me to conduct the research and to produce this thesis. </w:t>
      </w:r>
    </w:p>
    <w:p w14:paraId="5FB9D9A1" w14:textId="77777777" w:rsidR="009D7726" w:rsidRPr="006007E9" w:rsidRDefault="009D7726" w:rsidP="009D7726">
      <w:pPr>
        <w:shd w:val="clear" w:color="auto" w:fill="FFFFFF"/>
        <w:spacing w:line="253" w:lineRule="atLeast"/>
        <w:jc w:val="both"/>
        <w:rPr>
          <w:rFonts w:ascii="Times New Roman" w:hAnsi="Times New Roman"/>
          <w:szCs w:val="24"/>
        </w:rPr>
      </w:pPr>
      <w:r w:rsidRPr="006007E9">
        <w:rPr>
          <w:rFonts w:ascii="Times New Roman" w:hAnsi="Times New Roman"/>
          <w:szCs w:val="24"/>
        </w:rPr>
        <w:t>I am especially grateful to the viva voce examiners, Professor Shereen Hussein and Professor Jeffrey Grierson for their role and for providing valuable feedback. I would like to thank Dr David Smith for taking out time to read the thesis, conducting the mock viva voce and for the very important feedback he gave to further enrich my thesis. I would also like to thank my former supervisor, Professor Stephen Moore for his support, expertise and inspiration during the early period of the PhD programme. I am also grateful to Professor David Humber whose advice and encouragements spurred me to pursue the PhD and whose support was instrumental to securing the PhD admission.</w:t>
      </w:r>
    </w:p>
    <w:p w14:paraId="77DEEBF2"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t>I would like to acknowledge my parents, Dr (Barr.) Ohijeagbon Dennis and Mrs Ehemeiri Bright Ejere, for their timeless contributions to my life. Their moral, financial and spiritual support saw me through many tough times.</w:t>
      </w:r>
      <w:r w:rsidRPr="006007E9">
        <w:rPr>
          <w:rFonts w:ascii="Calibri" w:hAnsi="Calibri" w:cs="Calibri"/>
        </w:rPr>
        <w:t xml:space="preserve"> </w:t>
      </w:r>
      <w:r w:rsidRPr="006007E9">
        <w:rPr>
          <w:rFonts w:ascii="Times New Roman" w:hAnsi="Times New Roman"/>
          <w:szCs w:val="24"/>
        </w:rPr>
        <w:t>I am most grateful to my beloved and beautiful wife, Ehinome Ejere, my lovely daughter, Miss Ohonmoimen Adirah Ejere and my beloved son, Okeizuandue Ohiozemeoje Ejere, for their love, support, perseverance and understanding throughout the PhD programme. I would also like to thank all my lovely siblings, Ijemen, Izegbeoya, Aimalohi, Ernest, Olohije (Victory), Omua, Ohiozokhai (Benedict), Ienre (Amanda) and Anita, for their moral support and encouragements.</w:t>
      </w:r>
    </w:p>
    <w:p w14:paraId="3E0EA9C9"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t>Thanks to Pastor Samuel and Pastor (Mrs) Joan Awodipe and the members of my local church, Redeemed Christian Church of God (RCCG) Hope Hall Parish, Chelmsford, for their encouragement. Thanks to Dr Blessing Mafimisebi, Dr Festus Oluwasomi Meshe, Olatunde Olaleye and Christopher Udushirinwa for the intellectual discussions. I am grateful to Dr Nigel Sansom, Dr Geoffrey Amoateng, Dr Kemoh Rogers, Joanna Corney, Laura Wakefield, Emma Smith and many helpful others for their assistance.</w:t>
      </w:r>
    </w:p>
    <w:p w14:paraId="53945C0F" w14:textId="77777777" w:rsidR="009D7726" w:rsidRPr="006007E9" w:rsidRDefault="009D7726" w:rsidP="009D7726">
      <w:pPr>
        <w:shd w:val="clear" w:color="auto" w:fill="FFFFFF"/>
        <w:spacing w:line="253" w:lineRule="atLeast"/>
        <w:jc w:val="both"/>
        <w:rPr>
          <w:rFonts w:ascii="Calibri" w:hAnsi="Calibri" w:cs="Calibri"/>
        </w:rPr>
      </w:pPr>
      <w:r w:rsidRPr="006007E9">
        <w:rPr>
          <w:rFonts w:ascii="Times New Roman" w:hAnsi="Times New Roman"/>
          <w:szCs w:val="24"/>
        </w:rPr>
        <w:lastRenderedPageBreak/>
        <w:t>Lastly, special thanks to all my study participants, whose lived experiences was the focus of my research and without whom this thesis would make no meaning. I am also grateful to the two NHS wards in Essex, the RCCG’s Hope Hall and Power of Jehovah Parishes (both in Chelmsford), for their involvement.</w:t>
      </w:r>
    </w:p>
    <w:p w14:paraId="4A1A089C" w14:textId="5784093E" w:rsidR="00FA4841" w:rsidRPr="006007E9" w:rsidRDefault="00FA4841" w:rsidP="006541EE">
      <w:pPr>
        <w:spacing w:after="200" w:line="276" w:lineRule="auto"/>
        <w:jc w:val="both"/>
        <w:rPr>
          <w:rFonts w:ascii="Times New Roman" w:eastAsia="MS Mincho" w:hAnsi="Times New Roman"/>
          <w:szCs w:val="24"/>
        </w:rPr>
      </w:pPr>
    </w:p>
    <w:p w14:paraId="57806989" w14:textId="77777777" w:rsidR="006869A3" w:rsidRDefault="006869A3">
      <w:pPr>
        <w:spacing w:after="0" w:line="240" w:lineRule="auto"/>
        <w:rPr>
          <w:rFonts w:ascii="Times New Roman" w:eastAsia="MS Mincho" w:hAnsi="Times New Roman"/>
          <w:szCs w:val="24"/>
        </w:rPr>
      </w:pPr>
      <w:r>
        <w:rPr>
          <w:rFonts w:ascii="Times New Roman" w:eastAsia="MS Mincho" w:hAnsi="Times New Roman"/>
          <w:szCs w:val="24"/>
        </w:rPr>
        <w:br w:type="page"/>
      </w:r>
    </w:p>
    <w:p w14:paraId="5BC0477B" w14:textId="63F8B68F" w:rsidR="00403B56" w:rsidRPr="00FA4841" w:rsidRDefault="00403B56" w:rsidP="006869A3">
      <w:pPr>
        <w:pStyle w:val="Heading1"/>
        <w:rPr>
          <w:rFonts w:eastAsia="MS Mincho"/>
        </w:rPr>
      </w:pPr>
      <w:bookmarkStart w:id="1" w:name="_Toc86417205"/>
      <w:r w:rsidRPr="00FA4841">
        <w:rPr>
          <w:rFonts w:eastAsia="MS Mincho"/>
        </w:rPr>
        <w:lastRenderedPageBreak/>
        <w:t>DEDICATION</w:t>
      </w:r>
      <w:bookmarkEnd w:id="1"/>
    </w:p>
    <w:p w14:paraId="7A831D69" w14:textId="77777777" w:rsidR="00403B56" w:rsidRPr="00FA4841" w:rsidRDefault="00403B56" w:rsidP="00403B56">
      <w:pPr>
        <w:spacing w:after="200" w:line="276" w:lineRule="auto"/>
        <w:jc w:val="center"/>
        <w:rPr>
          <w:rFonts w:ascii="Times New Roman" w:eastAsia="MS Mincho" w:hAnsi="Times New Roman"/>
          <w:szCs w:val="24"/>
        </w:rPr>
      </w:pPr>
    </w:p>
    <w:p w14:paraId="130C3C49" w14:textId="37BC268A" w:rsidR="00403B56" w:rsidRPr="00FA4841" w:rsidRDefault="00403B56" w:rsidP="00403B56">
      <w:pPr>
        <w:spacing w:after="200" w:line="276" w:lineRule="auto"/>
        <w:jc w:val="center"/>
        <w:rPr>
          <w:rFonts w:ascii="Times New Roman" w:eastAsia="MS Mincho" w:hAnsi="Times New Roman"/>
          <w:szCs w:val="24"/>
        </w:rPr>
      </w:pPr>
      <w:r w:rsidRPr="00FA4841">
        <w:rPr>
          <w:rFonts w:ascii="Times New Roman" w:eastAsia="MS Mincho" w:hAnsi="Times New Roman"/>
          <w:szCs w:val="24"/>
        </w:rPr>
        <w:t>To my mom</w:t>
      </w:r>
      <w:r w:rsidR="00A76AC1">
        <w:rPr>
          <w:rFonts w:ascii="Times New Roman" w:eastAsia="MS Mincho" w:hAnsi="Times New Roman"/>
          <w:szCs w:val="24"/>
        </w:rPr>
        <w:t xml:space="preserve"> and dad</w:t>
      </w:r>
    </w:p>
    <w:p w14:paraId="577168CD" w14:textId="77777777" w:rsidR="00403B56" w:rsidRPr="00FA4841" w:rsidRDefault="00403B56" w:rsidP="00403B56">
      <w:pPr>
        <w:spacing w:after="200" w:line="276" w:lineRule="auto"/>
        <w:jc w:val="center"/>
        <w:rPr>
          <w:rFonts w:ascii="Times New Roman" w:eastAsia="MS Mincho" w:hAnsi="Times New Roman"/>
          <w:szCs w:val="24"/>
        </w:rPr>
      </w:pPr>
    </w:p>
    <w:p w14:paraId="28DA3B0D" w14:textId="77777777" w:rsidR="006869A3" w:rsidRDefault="006869A3">
      <w:pPr>
        <w:spacing w:after="0" w:line="240" w:lineRule="auto"/>
        <w:rPr>
          <w:rFonts w:ascii="Times New Roman" w:eastAsia="MS Mincho" w:hAnsi="Times New Roman"/>
          <w:szCs w:val="24"/>
        </w:rPr>
      </w:pPr>
      <w:r>
        <w:rPr>
          <w:rFonts w:ascii="Times New Roman" w:eastAsia="MS Mincho" w:hAnsi="Times New Roman"/>
          <w:szCs w:val="24"/>
        </w:rPr>
        <w:br w:type="page"/>
      </w:r>
    </w:p>
    <w:p w14:paraId="751116AC" w14:textId="300E1F79" w:rsidR="00403B56" w:rsidRPr="009E33DB" w:rsidRDefault="00403B56" w:rsidP="00403B56">
      <w:pPr>
        <w:autoSpaceDE w:val="0"/>
        <w:autoSpaceDN w:val="0"/>
        <w:adjustRightInd w:val="0"/>
        <w:spacing w:after="0" w:line="240" w:lineRule="auto"/>
        <w:jc w:val="center"/>
        <w:rPr>
          <w:rFonts w:ascii="Times New Roman" w:hAnsi="Times New Roman"/>
          <w:b/>
          <w:szCs w:val="24"/>
        </w:rPr>
      </w:pPr>
      <w:r w:rsidRPr="009E33DB">
        <w:rPr>
          <w:rFonts w:ascii="Times New Roman" w:hAnsi="Times New Roman"/>
          <w:b/>
          <w:szCs w:val="24"/>
        </w:rPr>
        <w:lastRenderedPageBreak/>
        <w:t>ANGLIA RUSKIN UNIVERSITY</w:t>
      </w:r>
    </w:p>
    <w:p w14:paraId="2B9FB88D" w14:textId="77777777" w:rsidR="00403B56" w:rsidRPr="009E33DB" w:rsidRDefault="00403B56" w:rsidP="00403B56">
      <w:pPr>
        <w:autoSpaceDE w:val="0"/>
        <w:autoSpaceDN w:val="0"/>
        <w:adjustRightInd w:val="0"/>
        <w:spacing w:after="0" w:line="240" w:lineRule="auto"/>
        <w:rPr>
          <w:rFonts w:ascii="Times New Roman" w:hAnsi="Times New Roman"/>
          <w:b/>
          <w:szCs w:val="24"/>
        </w:rPr>
      </w:pPr>
    </w:p>
    <w:p w14:paraId="2977BAA3" w14:textId="77777777" w:rsidR="00403B56" w:rsidRPr="00714DCA" w:rsidRDefault="00403B56" w:rsidP="006869A3">
      <w:pPr>
        <w:pStyle w:val="Heading1"/>
      </w:pPr>
      <w:bookmarkStart w:id="2" w:name="_Toc86417206"/>
      <w:r w:rsidRPr="004F3EFD">
        <w:t>ABSTRACT</w:t>
      </w:r>
      <w:bookmarkEnd w:id="2"/>
    </w:p>
    <w:p w14:paraId="713FC8A4"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37013C15"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456AB8E3" w14:textId="77777777" w:rsidR="00403B56" w:rsidRPr="00714DCA" w:rsidRDefault="00403B56" w:rsidP="00403B56">
      <w:pPr>
        <w:spacing w:line="240" w:lineRule="auto"/>
        <w:jc w:val="center"/>
        <w:rPr>
          <w:rFonts w:ascii="Times New Roman" w:hAnsi="Times New Roman"/>
          <w:bCs/>
          <w:szCs w:val="24"/>
        </w:rPr>
      </w:pPr>
      <w:r w:rsidRPr="00714DCA">
        <w:rPr>
          <w:rFonts w:ascii="Times New Roman" w:hAnsi="Times New Roman"/>
          <w:bCs/>
          <w:szCs w:val="24"/>
        </w:rPr>
        <w:t>FACULTY OF HEALTH, EDUCATION, MEDICINE AND SOCIAL CARE</w:t>
      </w:r>
    </w:p>
    <w:p w14:paraId="2A43AC57"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01375136" w14:textId="77777777" w:rsidR="00403B56" w:rsidRPr="00714DCA" w:rsidRDefault="00403B56" w:rsidP="00403B56">
      <w:pPr>
        <w:autoSpaceDE w:val="0"/>
        <w:autoSpaceDN w:val="0"/>
        <w:adjustRightInd w:val="0"/>
        <w:spacing w:after="0" w:line="240" w:lineRule="auto"/>
        <w:jc w:val="center"/>
        <w:rPr>
          <w:rFonts w:ascii="Times New Roman" w:hAnsi="Times New Roman"/>
          <w:bCs/>
          <w:szCs w:val="24"/>
        </w:rPr>
      </w:pPr>
      <w:r w:rsidRPr="00714DCA">
        <w:rPr>
          <w:rFonts w:ascii="Times New Roman" w:hAnsi="Times New Roman"/>
          <w:bCs/>
          <w:szCs w:val="24"/>
        </w:rPr>
        <w:t>DOCTOR OF PHILOSOPHY</w:t>
      </w:r>
    </w:p>
    <w:p w14:paraId="423342A8" w14:textId="77777777" w:rsidR="00403B56" w:rsidRPr="00714DCA" w:rsidRDefault="00403B56" w:rsidP="00403B56">
      <w:pPr>
        <w:autoSpaceDE w:val="0"/>
        <w:autoSpaceDN w:val="0"/>
        <w:adjustRightInd w:val="0"/>
        <w:spacing w:after="0" w:line="240" w:lineRule="auto"/>
        <w:jc w:val="center"/>
        <w:rPr>
          <w:rFonts w:ascii="Times New Roman" w:hAnsi="Times New Roman"/>
          <w:bCs/>
          <w:szCs w:val="24"/>
        </w:rPr>
      </w:pPr>
    </w:p>
    <w:p w14:paraId="43911028"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2F25ADC4" w14:textId="445F69DF" w:rsidR="00403B56" w:rsidRPr="002C5F29" w:rsidRDefault="00403B56" w:rsidP="00403B56">
      <w:pPr>
        <w:autoSpaceDE w:val="0"/>
        <w:autoSpaceDN w:val="0"/>
        <w:adjustRightInd w:val="0"/>
        <w:spacing w:after="0" w:line="240" w:lineRule="auto"/>
        <w:jc w:val="center"/>
        <w:rPr>
          <w:rFonts w:ascii="Times New Roman" w:hAnsi="Times New Roman"/>
          <w:bCs/>
          <w:szCs w:val="24"/>
        </w:rPr>
      </w:pPr>
      <w:r w:rsidRPr="002C5F29">
        <w:rPr>
          <w:rFonts w:ascii="Times New Roman" w:hAnsi="Times New Roman"/>
          <w:bCs/>
          <w:szCs w:val="24"/>
        </w:rPr>
        <w:t>EXPERIENCES OF NIGERIAN MIGRANT NURSES AND HEALTH CARE ASSISTANTS OF PEOPLE WITH DEMENTIA IN THE NATIONAL HEALTH SERVICE</w:t>
      </w:r>
    </w:p>
    <w:p w14:paraId="53880CDF"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2562AA98" w14:textId="77777777" w:rsidR="00403B56" w:rsidRPr="00714DCA" w:rsidRDefault="00403B56" w:rsidP="00403B56">
      <w:pPr>
        <w:autoSpaceDE w:val="0"/>
        <w:autoSpaceDN w:val="0"/>
        <w:adjustRightInd w:val="0"/>
        <w:spacing w:after="0" w:line="240" w:lineRule="auto"/>
        <w:jc w:val="center"/>
        <w:rPr>
          <w:rFonts w:ascii="Times New Roman" w:hAnsi="Times New Roman"/>
          <w:bCs/>
          <w:szCs w:val="24"/>
        </w:rPr>
      </w:pPr>
      <w:r w:rsidRPr="00714DCA">
        <w:rPr>
          <w:rFonts w:ascii="Times New Roman" w:hAnsi="Times New Roman"/>
          <w:bCs/>
          <w:szCs w:val="24"/>
        </w:rPr>
        <w:t>OJEIU JUDE EJERE</w:t>
      </w:r>
    </w:p>
    <w:p w14:paraId="55374C0E" w14:textId="77777777" w:rsidR="00403B56" w:rsidRPr="00714DCA" w:rsidRDefault="00403B56" w:rsidP="00403B56">
      <w:pPr>
        <w:autoSpaceDE w:val="0"/>
        <w:autoSpaceDN w:val="0"/>
        <w:adjustRightInd w:val="0"/>
        <w:spacing w:after="0" w:line="240" w:lineRule="auto"/>
        <w:rPr>
          <w:rFonts w:ascii="Times New Roman" w:hAnsi="Times New Roman"/>
          <w:bCs/>
          <w:szCs w:val="24"/>
        </w:rPr>
      </w:pPr>
    </w:p>
    <w:p w14:paraId="17336A38" w14:textId="7E2BB62C" w:rsidR="00403B56" w:rsidRPr="00714DCA" w:rsidRDefault="00403B56" w:rsidP="004F3EFD">
      <w:pPr>
        <w:autoSpaceDE w:val="0"/>
        <w:autoSpaceDN w:val="0"/>
        <w:adjustRightInd w:val="0"/>
        <w:spacing w:line="240" w:lineRule="auto"/>
        <w:jc w:val="center"/>
        <w:rPr>
          <w:rFonts w:ascii="Times New Roman" w:hAnsi="Times New Roman"/>
          <w:bCs/>
          <w:szCs w:val="24"/>
        </w:rPr>
      </w:pPr>
      <w:r w:rsidRPr="00714DCA">
        <w:rPr>
          <w:rFonts w:ascii="Times New Roman" w:hAnsi="Times New Roman"/>
          <w:bCs/>
          <w:szCs w:val="24"/>
        </w:rPr>
        <w:t>December 2020</w:t>
      </w:r>
    </w:p>
    <w:p w14:paraId="44C4E0AA" w14:textId="27A40903" w:rsidR="00BC17FD" w:rsidRPr="00BC17FD" w:rsidRDefault="00BC17FD" w:rsidP="00533493">
      <w:pPr>
        <w:spacing w:line="240" w:lineRule="auto"/>
        <w:jc w:val="both"/>
        <w:rPr>
          <w:rFonts w:ascii="Times New Roman" w:hAnsi="Times New Roman"/>
          <w:szCs w:val="24"/>
          <w:bdr w:val="none" w:sz="0" w:space="0" w:color="auto" w:frame="1"/>
          <w:lang w:eastAsia="en-US"/>
        </w:rPr>
      </w:pPr>
      <w:r w:rsidRPr="00714DCA">
        <w:rPr>
          <w:rFonts w:ascii="Times New Roman" w:hAnsi="Times New Roman"/>
          <w:bCs/>
          <w:szCs w:val="24"/>
          <w:bdr w:val="none" w:sz="0" w:space="0" w:color="auto" w:frame="1"/>
          <w:lang w:eastAsia="en-US"/>
        </w:rPr>
        <w:t>This study explores the experiences</w:t>
      </w:r>
      <w:r w:rsidRPr="00BC17FD">
        <w:rPr>
          <w:rFonts w:ascii="Times New Roman" w:hAnsi="Times New Roman"/>
          <w:szCs w:val="24"/>
          <w:bdr w:val="none" w:sz="0" w:space="0" w:color="auto" w:frame="1"/>
          <w:lang w:eastAsia="en-US"/>
        </w:rPr>
        <w:t xml:space="preserve"> of paid Nigerian migrant health care assistants (HCA) and nurses for people living with dementia (PLWD) in the United Kingdom (UK).</w:t>
      </w:r>
    </w:p>
    <w:p w14:paraId="4FEBB911" w14:textId="2CA6840A" w:rsidR="00BC17FD" w:rsidRPr="00BC17FD" w:rsidRDefault="00BC17FD" w:rsidP="00533493">
      <w:pPr>
        <w:spacing w:line="240" w:lineRule="auto"/>
        <w:jc w:val="both"/>
        <w:rPr>
          <w:rFonts w:ascii="Times New Roman" w:hAnsi="Times New Roman"/>
          <w:szCs w:val="24"/>
          <w:bdr w:val="none" w:sz="0" w:space="0" w:color="auto" w:frame="1"/>
          <w:lang w:eastAsia="en-US"/>
        </w:rPr>
      </w:pPr>
      <w:r w:rsidRPr="00BC17FD">
        <w:rPr>
          <w:rFonts w:ascii="Times New Roman" w:hAnsi="Times New Roman"/>
          <w:szCs w:val="24"/>
          <w:bdr w:val="none" w:sz="0" w:space="0" w:color="auto" w:frame="1"/>
          <w:lang w:eastAsia="en-US"/>
        </w:rPr>
        <w:t xml:space="preserve">Demographic changes across the UK have resulted in an increasingly ageing population and a significant number of these older people are living with dementia. With changing family and work patterns, many PLWD are now residing in care homes and </w:t>
      </w:r>
      <w:r w:rsidR="00EC2DCF" w:rsidRPr="00BC17FD">
        <w:rPr>
          <w:rFonts w:ascii="Times New Roman" w:hAnsi="Times New Roman"/>
          <w:szCs w:val="24"/>
          <w:bdr w:val="none" w:sz="0" w:space="0" w:color="auto" w:frame="1"/>
          <w:lang w:eastAsia="en-US"/>
        </w:rPr>
        <w:t>hospitals,</w:t>
      </w:r>
      <w:r w:rsidRPr="00BC17FD">
        <w:rPr>
          <w:rFonts w:ascii="Times New Roman" w:hAnsi="Times New Roman"/>
          <w:szCs w:val="24"/>
          <w:bdr w:val="none" w:sz="0" w:space="0" w:color="auto" w:frame="1"/>
          <w:lang w:eastAsia="en-US"/>
        </w:rPr>
        <w:t xml:space="preserve"> and this has increased the demand for care workers, including migrant care workers.</w:t>
      </w:r>
    </w:p>
    <w:p w14:paraId="21279CD1" w14:textId="0772B286" w:rsidR="00BC17FD" w:rsidRPr="00BC17FD" w:rsidRDefault="00BC17FD" w:rsidP="00BC17FD">
      <w:pPr>
        <w:spacing w:after="0" w:line="240" w:lineRule="auto"/>
        <w:jc w:val="both"/>
        <w:rPr>
          <w:rFonts w:ascii="Times New Roman" w:hAnsi="Times New Roman"/>
          <w:szCs w:val="24"/>
          <w:bdr w:val="none" w:sz="0" w:space="0" w:color="auto" w:frame="1"/>
          <w:lang w:eastAsia="en-US"/>
        </w:rPr>
      </w:pPr>
      <w:r w:rsidRPr="00BC17FD">
        <w:rPr>
          <w:rFonts w:ascii="Times New Roman" w:hAnsi="Times New Roman"/>
          <w:szCs w:val="24"/>
          <w:bdr w:val="none" w:sz="0" w:space="0" w:color="auto" w:frame="1"/>
          <w:lang w:eastAsia="en-US"/>
        </w:rPr>
        <w:t xml:space="preserve">This qualitative study analysed the experiences of twenty-one Nigerian migrant care workers (HCAs and nurses) working on two different NHS wards caring for PLWD. Informed by hermeneutic interpretive phenomenology (and drawing on the work of Gadamer and van Manen), the researcher utilised in-depth interviews </w:t>
      </w:r>
      <w:r w:rsidR="00EC2DCF" w:rsidRPr="00BC17FD">
        <w:rPr>
          <w:rFonts w:ascii="Times New Roman" w:hAnsi="Times New Roman"/>
          <w:szCs w:val="24"/>
          <w:bdr w:val="none" w:sz="0" w:space="0" w:color="auto" w:frame="1"/>
          <w:lang w:eastAsia="en-US"/>
        </w:rPr>
        <w:t>to</w:t>
      </w:r>
      <w:r w:rsidRPr="00BC17FD">
        <w:rPr>
          <w:rFonts w:ascii="Times New Roman" w:hAnsi="Times New Roman"/>
          <w:szCs w:val="24"/>
          <w:bdr w:val="none" w:sz="0" w:space="0" w:color="auto" w:frame="1"/>
          <w:lang w:eastAsia="en-US"/>
        </w:rPr>
        <w:t xml:space="preserve"> gain an understanding of the care workers beliefs about dementia, the significance of training and the role of culture in everyday care work for PLWD.</w:t>
      </w:r>
    </w:p>
    <w:p w14:paraId="07B7B706" w14:textId="77777777" w:rsidR="00BC17FD" w:rsidRPr="00BC17FD" w:rsidRDefault="00BC17FD" w:rsidP="00BC17FD">
      <w:pPr>
        <w:spacing w:after="0" w:line="240" w:lineRule="auto"/>
        <w:jc w:val="both"/>
        <w:rPr>
          <w:rFonts w:ascii="Times New Roman" w:hAnsi="Times New Roman"/>
          <w:szCs w:val="24"/>
          <w:bdr w:val="none" w:sz="0" w:space="0" w:color="auto" w:frame="1"/>
          <w:lang w:eastAsia="en-US"/>
        </w:rPr>
      </w:pPr>
      <w:r w:rsidRPr="00BC17FD">
        <w:rPr>
          <w:rFonts w:ascii="Times New Roman" w:hAnsi="Times New Roman"/>
          <w:szCs w:val="24"/>
          <w:bdr w:val="none" w:sz="0" w:space="0" w:color="auto" w:frame="1"/>
          <w:lang w:eastAsia="en-US"/>
        </w:rPr>
        <w:t> </w:t>
      </w:r>
    </w:p>
    <w:p w14:paraId="2DF52464" w14:textId="28FA2090" w:rsidR="00BC17FD" w:rsidRPr="00BC17FD" w:rsidRDefault="00BC17FD" w:rsidP="004F3EFD">
      <w:pPr>
        <w:spacing w:after="0" w:line="240" w:lineRule="auto"/>
        <w:jc w:val="both"/>
        <w:rPr>
          <w:rFonts w:ascii="Times New Roman" w:hAnsi="Times New Roman"/>
          <w:szCs w:val="24"/>
          <w:bdr w:val="none" w:sz="0" w:space="0" w:color="auto" w:frame="1"/>
          <w:lang w:eastAsia="en-US"/>
        </w:rPr>
      </w:pPr>
      <w:r w:rsidRPr="00BC17FD">
        <w:rPr>
          <w:rFonts w:ascii="Times New Roman" w:hAnsi="Times New Roman"/>
          <w:szCs w:val="24"/>
          <w:bdr w:val="none" w:sz="0" w:space="0" w:color="auto" w:frame="1"/>
          <w:lang w:eastAsia="en-US"/>
        </w:rPr>
        <w:t xml:space="preserve">Migrants working in the care sector are often assumed to be poorly educated, however, this study found that </w:t>
      </w:r>
      <w:r w:rsidR="00EC2DCF" w:rsidRPr="00BC17FD">
        <w:rPr>
          <w:rFonts w:ascii="Times New Roman" w:hAnsi="Times New Roman"/>
          <w:szCs w:val="24"/>
          <w:bdr w:val="none" w:sz="0" w:space="0" w:color="auto" w:frame="1"/>
          <w:lang w:eastAsia="en-US"/>
        </w:rPr>
        <w:t>my</w:t>
      </w:r>
      <w:r w:rsidRPr="00BC17FD">
        <w:rPr>
          <w:rFonts w:ascii="Times New Roman" w:hAnsi="Times New Roman"/>
          <w:szCs w:val="24"/>
          <w:bdr w:val="none" w:sz="0" w:space="0" w:color="auto" w:frame="1"/>
          <w:lang w:eastAsia="en-US"/>
        </w:rPr>
        <w:t xml:space="preserve"> participants were highly </w:t>
      </w:r>
      <w:r w:rsidR="00533493" w:rsidRPr="00BC17FD">
        <w:rPr>
          <w:rFonts w:ascii="Times New Roman" w:hAnsi="Times New Roman"/>
          <w:szCs w:val="24"/>
          <w:bdr w:val="none" w:sz="0" w:space="0" w:color="auto" w:frame="1"/>
          <w:lang w:eastAsia="en-US"/>
        </w:rPr>
        <w:t>educated</w:t>
      </w:r>
      <w:r w:rsidR="00533493">
        <w:rPr>
          <w:rFonts w:ascii="Times New Roman" w:hAnsi="Times New Roman"/>
          <w:szCs w:val="24"/>
          <w:bdr w:val="none" w:sz="0" w:space="0" w:color="auto" w:frame="1"/>
          <w:lang w:eastAsia="en-US"/>
        </w:rPr>
        <w:t xml:space="preserve"> and</w:t>
      </w:r>
      <w:r w:rsidRPr="00BC17FD">
        <w:rPr>
          <w:rFonts w:ascii="Times New Roman" w:hAnsi="Times New Roman"/>
          <w:szCs w:val="24"/>
          <w:bdr w:val="none" w:sz="0" w:space="0" w:color="auto" w:frame="1"/>
          <w:lang w:eastAsia="en-US"/>
        </w:rPr>
        <w:t xml:space="preserve"> majority of </w:t>
      </w:r>
      <w:r w:rsidR="00533493">
        <w:rPr>
          <w:rFonts w:ascii="Times New Roman" w:hAnsi="Times New Roman"/>
          <w:szCs w:val="24"/>
          <w:bdr w:val="none" w:sz="0" w:space="0" w:color="auto" w:frame="1"/>
          <w:lang w:eastAsia="en-US"/>
        </w:rPr>
        <w:t>them</w:t>
      </w:r>
      <w:r w:rsidRPr="00BC17FD">
        <w:rPr>
          <w:rFonts w:ascii="Times New Roman" w:hAnsi="Times New Roman"/>
          <w:szCs w:val="24"/>
          <w:bdr w:val="none" w:sz="0" w:space="0" w:color="auto" w:frame="1"/>
          <w:lang w:eastAsia="en-US"/>
        </w:rPr>
        <w:t xml:space="preserve"> did not migrate to the UK to undertake car</w:t>
      </w:r>
      <w:r w:rsidR="00533493">
        <w:rPr>
          <w:rFonts w:ascii="Times New Roman" w:hAnsi="Times New Roman"/>
          <w:szCs w:val="24"/>
          <w:bdr w:val="none" w:sz="0" w:space="0" w:color="auto" w:frame="1"/>
          <w:lang w:eastAsia="en-US"/>
        </w:rPr>
        <w:t>e</w:t>
      </w:r>
      <w:r w:rsidRPr="00BC17FD">
        <w:rPr>
          <w:rFonts w:ascii="Times New Roman" w:hAnsi="Times New Roman"/>
          <w:szCs w:val="24"/>
          <w:bdr w:val="none" w:sz="0" w:space="0" w:color="auto" w:frame="1"/>
          <w:lang w:eastAsia="en-US"/>
        </w:rPr>
        <w:t xml:space="preserve"> work</w:t>
      </w:r>
      <w:r w:rsidR="00B9137A">
        <w:rPr>
          <w:rFonts w:ascii="Times New Roman" w:hAnsi="Times New Roman"/>
          <w:szCs w:val="24"/>
          <w:bdr w:val="none" w:sz="0" w:space="0" w:color="auto" w:frame="1"/>
          <w:lang w:eastAsia="en-US"/>
        </w:rPr>
        <w:t>.</w:t>
      </w:r>
      <w:r w:rsidRPr="00BC17FD">
        <w:rPr>
          <w:rFonts w:ascii="Times New Roman" w:hAnsi="Times New Roman"/>
          <w:szCs w:val="24"/>
          <w:bdr w:val="none" w:sz="0" w:space="0" w:color="auto" w:frame="1"/>
          <w:lang w:eastAsia="en-US"/>
        </w:rPr>
        <w:t xml:space="preserve"> </w:t>
      </w:r>
      <w:r w:rsidR="00B9137A">
        <w:rPr>
          <w:rFonts w:ascii="Times New Roman" w:hAnsi="Times New Roman"/>
          <w:szCs w:val="24"/>
          <w:bdr w:val="none" w:sz="0" w:space="0" w:color="auto" w:frame="1"/>
          <w:lang w:eastAsia="en-US"/>
        </w:rPr>
        <w:t xml:space="preserve">Also, </w:t>
      </w:r>
      <w:r w:rsidR="00B9137A" w:rsidRPr="00BC17FD">
        <w:rPr>
          <w:rFonts w:ascii="Times New Roman" w:hAnsi="Times New Roman"/>
          <w:szCs w:val="24"/>
          <w:bdr w:val="none" w:sz="0" w:space="0" w:color="auto" w:frame="1"/>
          <w:lang w:eastAsia="en-US"/>
        </w:rPr>
        <w:t>all</w:t>
      </w:r>
      <w:r w:rsidRPr="00BC17FD">
        <w:rPr>
          <w:rFonts w:ascii="Times New Roman" w:hAnsi="Times New Roman"/>
          <w:szCs w:val="24"/>
          <w:bdr w:val="none" w:sz="0" w:space="0" w:color="auto" w:frame="1"/>
          <w:lang w:eastAsia="en-US"/>
        </w:rPr>
        <w:t xml:space="preserve"> the participants found caring for PLWD rewarding </w:t>
      </w:r>
      <w:r w:rsidR="00B9137A">
        <w:rPr>
          <w:rFonts w:ascii="Times New Roman" w:hAnsi="Times New Roman"/>
          <w:szCs w:val="24"/>
          <w:bdr w:val="none" w:sz="0" w:space="0" w:color="auto" w:frame="1"/>
          <w:lang w:eastAsia="en-US"/>
        </w:rPr>
        <w:t>as well as</w:t>
      </w:r>
      <w:r w:rsidRPr="00BC17FD">
        <w:rPr>
          <w:rFonts w:ascii="Times New Roman" w:hAnsi="Times New Roman"/>
          <w:szCs w:val="24"/>
          <w:bdr w:val="none" w:sz="0" w:space="0" w:color="auto" w:frame="1"/>
          <w:lang w:eastAsia="en-US"/>
        </w:rPr>
        <w:t xml:space="preserve"> challenging. Although the study did not originally aim to examine racial discrimination in the workplace, most of the participants identified racism as one of the more significant challenge in care work. The study highlight</w:t>
      </w:r>
      <w:r w:rsidR="00B9137A">
        <w:rPr>
          <w:rFonts w:ascii="Times New Roman" w:hAnsi="Times New Roman"/>
          <w:szCs w:val="24"/>
          <w:bdr w:val="none" w:sz="0" w:space="0" w:color="auto" w:frame="1"/>
          <w:lang w:eastAsia="en-US"/>
        </w:rPr>
        <w:t>s</w:t>
      </w:r>
      <w:r w:rsidRPr="00BC17FD">
        <w:rPr>
          <w:rFonts w:ascii="Times New Roman" w:hAnsi="Times New Roman"/>
          <w:szCs w:val="24"/>
          <w:bdr w:val="none" w:sz="0" w:space="0" w:color="auto" w:frame="1"/>
          <w:lang w:eastAsia="en-US"/>
        </w:rPr>
        <w:t xml:space="preserve"> the value of training in changing paid Nigerian </w:t>
      </w:r>
      <w:r w:rsidR="00B9137A">
        <w:rPr>
          <w:rFonts w:ascii="Times New Roman" w:hAnsi="Times New Roman"/>
          <w:szCs w:val="24"/>
          <w:bdr w:val="none" w:sz="0" w:space="0" w:color="auto" w:frame="1"/>
          <w:lang w:eastAsia="en-US"/>
        </w:rPr>
        <w:t xml:space="preserve">migrant </w:t>
      </w:r>
      <w:r w:rsidR="00B9137A" w:rsidRPr="00BC17FD">
        <w:rPr>
          <w:rFonts w:ascii="Times New Roman" w:hAnsi="Times New Roman"/>
          <w:szCs w:val="24"/>
          <w:bdr w:val="none" w:sz="0" w:space="0" w:color="auto" w:frame="1"/>
          <w:lang w:eastAsia="en-US"/>
        </w:rPr>
        <w:t>care</w:t>
      </w:r>
      <w:r w:rsidR="00B9137A">
        <w:rPr>
          <w:rFonts w:ascii="Times New Roman" w:hAnsi="Times New Roman"/>
          <w:szCs w:val="24"/>
          <w:bdr w:val="none" w:sz="0" w:space="0" w:color="auto" w:frame="1"/>
          <w:lang w:eastAsia="en-US"/>
        </w:rPr>
        <w:t xml:space="preserve"> wor</w:t>
      </w:r>
      <w:r w:rsidR="00B9137A" w:rsidRPr="00BC17FD">
        <w:rPr>
          <w:rFonts w:ascii="Times New Roman" w:hAnsi="Times New Roman"/>
          <w:szCs w:val="24"/>
          <w:bdr w:val="none" w:sz="0" w:space="0" w:color="auto" w:frame="1"/>
          <w:lang w:eastAsia="en-US"/>
        </w:rPr>
        <w:t>ke</w:t>
      </w:r>
      <w:r w:rsidR="00B9137A">
        <w:rPr>
          <w:rFonts w:ascii="Times New Roman" w:hAnsi="Times New Roman"/>
          <w:szCs w:val="24"/>
          <w:bdr w:val="none" w:sz="0" w:space="0" w:color="auto" w:frame="1"/>
          <w:lang w:eastAsia="en-US"/>
        </w:rPr>
        <w:t>rs</w:t>
      </w:r>
      <w:r w:rsidRPr="00BC17FD">
        <w:rPr>
          <w:rFonts w:ascii="Times New Roman" w:hAnsi="Times New Roman"/>
          <w:szCs w:val="24"/>
          <w:bdr w:val="none" w:sz="0" w:space="0" w:color="auto" w:frame="1"/>
          <w:lang w:eastAsia="en-US"/>
        </w:rPr>
        <w:t>’ traditional</w:t>
      </w:r>
      <w:r w:rsidR="00B9137A">
        <w:rPr>
          <w:rFonts w:ascii="Times New Roman" w:hAnsi="Times New Roman"/>
          <w:szCs w:val="24"/>
          <w:bdr w:val="none" w:sz="0" w:space="0" w:color="auto" w:frame="1"/>
          <w:lang w:eastAsia="en-US"/>
        </w:rPr>
        <w:t>/</w:t>
      </w:r>
      <w:r w:rsidRPr="00BC17FD">
        <w:rPr>
          <w:rFonts w:ascii="Times New Roman" w:hAnsi="Times New Roman"/>
          <w:szCs w:val="24"/>
          <w:bdr w:val="none" w:sz="0" w:space="0" w:color="auto" w:frame="1"/>
          <w:lang w:eastAsia="en-US"/>
        </w:rPr>
        <w:t xml:space="preserve">cultural beliefs about dementia </w:t>
      </w:r>
      <w:r w:rsidR="002C5F29">
        <w:rPr>
          <w:rFonts w:ascii="Times New Roman" w:hAnsi="Times New Roman"/>
          <w:szCs w:val="24"/>
          <w:bdr w:val="none" w:sz="0" w:space="0" w:color="auto" w:frame="1"/>
          <w:lang w:eastAsia="en-US"/>
        </w:rPr>
        <w:t>and</w:t>
      </w:r>
      <w:r w:rsidRPr="00BC17FD">
        <w:rPr>
          <w:rFonts w:ascii="Times New Roman" w:hAnsi="Times New Roman"/>
          <w:szCs w:val="24"/>
          <w:bdr w:val="none" w:sz="0" w:space="0" w:color="auto" w:frame="1"/>
          <w:lang w:eastAsia="en-US"/>
        </w:rPr>
        <w:t xml:space="preserve"> suggest</w:t>
      </w:r>
      <w:r w:rsidR="00B9137A">
        <w:rPr>
          <w:rFonts w:ascii="Times New Roman" w:hAnsi="Times New Roman"/>
          <w:szCs w:val="24"/>
          <w:bdr w:val="none" w:sz="0" w:space="0" w:color="auto" w:frame="1"/>
          <w:lang w:eastAsia="en-US"/>
        </w:rPr>
        <w:t>s</w:t>
      </w:r>
      <w:r w:rsidRPr="00BC17FD">
        <w:rPr>
          <w:rFonts w:ascii="Times New Roman" w:hAnsi="Times New Roman"/>
          <w:szCs w:val="24"/>
          <w:bdr w:val="none" w:sz="0" w:space="0" w:color="auto" w:frame="1"/>
          <w:lang w:eastAsia="en-US"/>
        </w:rPr>
        <w:t xml:space="preserve"> some </w:t>
      </w:r>
      <w:r w:rsidR="00B9137A">
        <w:rPr>
          <w:rFonts w:ascii="Times New Roman" w:hAnsi="Times New Roman"/>
          <w:szCs w:val="24"/>
          <w:bdr w:val="none" w:sz="0" w:space="0" w:color="auto" w:frame="1"/>
          <w:lang w:eastAsia="en-US"/>
        </w:rPr>
        <w:t>cultural</w:t>
      </w:r>
      <w:r w:rsidRPr="00BC17FD">
        <w:rPr>
          <w:rFonts w:ascii="Times New Roman" w:hAnsi="Times New Roman"/>
          <w:szCs w:val="24"/>
          <w:bdr w:val="none" w:sz="0" w:space="0" w:color="auto" w:frame="1"/>
          <w:lang w:eastAsia="en-US"/>
        </w:rPr>
        <w:t xml:space="preserve"> </w:t>
      </w:r>
      <w:r w:rsidR="00B9137A">
        <w:rPr>
          <w:rFonts w:ascii="Times New Roman" w:hAnsi="Times New Roman"/>
          <w:szCs w:val="24"/>
          <w:bdr w:val="none" w:sz="0" w:space="0" w:color="auto" w:frame="1"/>
          <w:lang w:eastAsia="en-US"/>
        </w:rPr>
        <w:t>value</w:t>
      </w:r>
      <w:r w:rsidRPr="00BC17FD">
        <w:rPr>
          <w:rFonts w:ascii="Times New Roman" w:hAnsi="Times New Roman"/>
          <w:szCs w:val="24"/>
          <w:bdr w:val="none" w:sz="0" w:space="0" w:color="auto" w:frame="1"/>
          <w:lang w:eastAsia="en-US"/>
        </w:rPr>
        <w:t>s </w:t>
      </w:r>
      <w:r w:rsidR="002C5F29">
        <w:rPr>
          <w:rFonts w:ascii="Times New Roman" w:hAnsi="Times New Roman"/>
          <w:szCs w:val="24"/>
          <w:bdr w:val="none" w:sz="0" w:space="0" w:color="auto" w:frame="1"/>
          <w:lang w:eastAsia="en-US"/>
        </w:rPr>
        <w:t xml:space="preserve">that </w:t>
      </w:r>
      <w:r w:rsidR="00B9137A">
        <w:rPr>
          <w:rFonts w:ascii="Times New Roman" w:hAnsi="Times New Roman"/>
          <w:szCs w:val="24"/>
          <w:bdr w:val="none" w:sz="0" w:space="0" w:color="auto" w:frame="1"/>
          <w:lang w:eastAsia="en-US"/>
        </w:rPr>
        <w:t xml:space="preserve">in fact </w:t>
      </w:r>
      <w:r w:rsidRPr="00BC17FD">
        <w:rPr>
          <w:rFonts w:ascii="Times New Roman" w:hAnsi="Times New Roman"/>
          <w:szCs w:val="24"/>
          <w:bdr w:val="none" w:sz="0" w:space="0" w:color="auto" w:frame="1"/>
          <w:lang w:eastAsia="en-US"/>
        </w:rPr>
        <w:t xml:space="preserve">promoted respect </w:t>
      </w:r>
      <w:r w:rsidR="00B9137A">
        <w:rPr>
          <w:rFonts w:ascii="Times New Roman" w:hAnsi="Times New Roman"/>
          <w:szCs w:val="24"/>
          <w:bdr w:val="none" w:sz="0" w:space="0" w:color="auto" w:frame="1"/>
          <w:lang w:eastAsia="en-US"/>
        </w:rPr>
        <w:t xml:space="preserve">for older adults </w:t>
      </w:r>
      <w:r w:rsidRPr="00BC17FD">
        <w:rPr>
          <w:rFonts w:ascii="Times New Roman" w:hAnsi="Times New Roman"/>
          <w:szCs w:val="24"/>
          <w:bdr w:val="none" w:sz="0" w:space="0" w:color="auto" w:frame="1"/>
          <w:lang w:eastAsia="en-US"/>
        </w:rPr>
        <w:t xml:space="preserve">in care </w:t>
      </w:r>
      <w:r w:rsidR="00B9137A">
        <w:rPr>
          <w:rFonts w:ascii="Times New Roman" w:hAnsi="Times New Roman"/>
          <w:szCs w:val="24"/>
          <w:bdr w:val="none" w:sz="0" w:space="0" w:color="auto" w:frame="1"/>
          <w:lang w:eastAsia="en-US"/>
        </w:rPr>
        <w:t>settings</w:t>
      </w:r>
      <w:r w:rsidRPr="00BC17FD">
        <w:rPr>
          <w:rFonts w:ascii="Times New Roman" w:hAnsi="Times New Roman"/>
          <w:szCs w:val="24"/>
          <w:bdr w:val="none" w:sz="0" w:space="0" w:color="auto" w:frame="1"/>
          <w:lang w:eastAsia="en-US"/>
        </w:rPr>
        <w:t xml:space="preserve">. The thesis concludes by highlighting the importance of understanding the role of culture </w:t>
      </w:r>
      <w:r w:rsidR="002C5F29">
        <w:rPr>
          <w:rFonts w:ascii="Times New Roman" w:hAnsi="Times New Roman"/>
          <w:szCs w:val="24"/>
          <w:bdr w:val="none" w:sz="0" w:space="0" w:color="auto" w:frame="1"/>
          <w:lang w:eastAsia="en-US"/>
        </w:rPr>
        <w:t>and</w:t>
      </w:r>
      <w:r w:rsidRPr="00BC17FD">
        <w:rPr>
          <w:rFonts w:ascii="Times New Roman" w:hAnsi="Times New Roman"/>
          <w:szCs w:val="24"/>
          <w:bdr w:val="none" w:sz="0" w:space="0" w:color="auto" w:frame="1"/>
          <w:lang w:eastAsia="en-US"/>
        </w:rPr>
        <w:t xml:space="preserve"> training </w:t>
      </w:r>
      <w:r w:rsidR="002C5F29">
        <w:rPr>
          <w:rFonts w:ascii="Times New Roman" w:hAnsi="Times New Roman"/>
          <w:szCs w:val="24"/>
          <w:bdr w:val="none" w:sz="0" w:space="0" w:color="auto" w:frame="1"/>
          <w:lang w:eastAsia="en-US"/>
        </w:rPr>
        <w:t>in</w:t>
      </w:r>
      <w:r w:rsidRPr="00BC17FD">
        <w:rPr>
          <w:rFonts w:ascii="Times New Roman" w:hAnsi="Times New Roman"/>
          <w:szCs w:val="24"/>
          <w:bdr w:val="none" w:sz="0" w:space="0" w:color="auto" w:frame="1"/>
          <w:lang w:eastAsia="en-US"/>
        </w:rPr>
        <w:t xml:space="preserve"> professional caregiving.</w:t>
      </w:r>
    </w:p>
    <w:p w14:paraId="1805A051" w14:textId="35AAAD4A" w:rsidR="00BC17FD" w:rsidRDefault="00BC17FD" w:rsidP="00403B56">
      <w:pPr>
        <w:spacing w:after="0" w:line="240" w:lineRule="auto"/>
        <w:jc w:val="both"/>
        <w:rPr>
          <w:rFonts w:ascii="Times New Roman" w:hAnsi="Times New Roman"/>
          <w:szCs w:val="24"/>
          <w:bdr w:val="none" w:sz="0" w:space="0" w:color="auto" w:frame="1"/>
          <w:lang w:eastAsia="en-US"/>
        </w:rPr>
      </w:pPr>
      <w:r w:rsidRPr="00EC2DCF">
        <w:rPr>
          <w:rFonts w:ascii="Times New Roman" w:hAnsi="Times New Roman"/>
          <w:b/>
          <w:bCs/>
          <w:szCs w:val="24"/>
          <w:bdr w:val="none" w:sz="0" w:space="0" w:color="auto" w:frame="1"/>
          <w:lang w:eastAsia="en-US"/>
        </w:rPr>
        <w:t>Key words:</w:t>
      </w:r>
      <w:r w:rsidRPr="00BC17FD">
        <w:rPr>
          <w:rFonts w:ascii="Times New Roman" w:hAnsi="Times New Roman"/>
          <w:szCs w:val="24"/>
          <w:bdr w:val="none" w:sz="0" w:space="0" w:color="auto" w:frame="1"/>
          <w:lang w:eastAsia="en-US"/>
        </w:rPr>
        <w:t xml:space="preserve"> caregiving, Nigerian, migrants, dementia, paid care worker, culture, interpretive phenomenology, lived experience</w:t>
      </w:r>
      <w:r w:rsidR="00714DCA">
        <w:rPr>
          <w:rFonts w:ascii="Times New Roman" w:hAnsi="Times New Roman"/>
          <w:szCs w:val="24"/>
          <w:bdr w:val="none" w:sz="0" w:space="0" w:color="auto" w:frame="1"/>
          <w:lang w:eastAsia="en-US"/>
        </w:rPr>
        <w:t>.</w:t>
      </w:r>
    </w:p>
    <w:p w14:paraId="676EA634" w14:textId="77777777" w:rsidR="006869A3" w:rsidRDefault="006869A3">
      <w:pPr>
        <w:spacing w:after="0" w:line="240" w:lineRule="auto"/>
        <w:rPr>
          <w:rFonts w:ascii="Times New Roman" w:eastAsia="MS Mincho" w:hAnsi="Times New Roman"/>
          <w:b/>
          <w:szCs w:val="24"/>
        </w:rPr>
      </w:pPr>
      <w:r>
        <w:rPr>
          <w:rFonts w:ascii="Times New Roman" w:eastAsia="MS Mincho" w:hAnsi="Times New Roman"/>
          <w:b/>
          <w:szCs w:val="24"/>
        </w:rPr>
        <w:br w:type="page"/>
      </w:r>
    </w:p>
    <w:p w14:paraId="44D80585" w14:textId="2995807B" w:rsidR="00533782" w:rsidRPr="00533782" w:rsidRDefault="00533782" w:rsidP="006869A3">
      <w:pPr>
        <w:pStyle w:val="Heading1"/>
        <w:rPr>
          <w:rFonts w:eastAsia="MS Mincho"/>
        </w:rPr>
      </w:pPr>
      <w:bookmarkStart w:id="3" w:name="_Toc86417207"/>
      <w:r w:rsidRPr="00533782">
        <w:rPr>
          <w:rFonts w:eastAsia="MS Mincho"/>
        </w:rPr>
        <w:lastRenderedPageBreak/>
        <w:t>TABLE OF CONTENTS</w:t>
      </w:r>
      <w:bookmarkEnd w:id="3"/>
    </w:p>
    <w:p w14:paraId="32614A02" w14:textId="596107BD" w:rsidR="00EF5F4A" w:rsidRDefault="00EF5F4A">
      <w:pPr>
        <w:spacing w:after="0" w:line="240" w:lineRule="auto"/>
        <w:rPr>
          <w:rFonts w:ascii="Times New Roman" w:eastAsia="MS Mincho" w:hAnsi="Times New Roman"/>
          <w:b/>
          <w:bCs/>
          <w:szCs w:val="24"/>
        </w:rPr>
      </w:pPr>
    </w:p>
    <w:sdt>
      <w:sdtPr>
        <w:id w:val="-1038201474"/>
        <w:docPartObj>
          <w:docPartGallery w:val="Table of Contents"/>
          <w:docPartUnique/>
        </w:docPartObj>
      </w:sdtPr>
      <w:sdtEndPr>
        <w:rPr>
          <w:rFonts w:ascii="Arial" w:eastAsia="Times New Roman" w:hAnsi="Arial" w:cs="Times New Roman"/>
          <w:b/>
          <w:bCs/>
          <w:noProof/>
          <w:color w:val="auto"/>
          <w:sz w:val="24"/>
          <w:szCs w:val="22"/>
          <w:lang w:val="en-GB" w:eastAsia="en-GB"/>
        </w:rPr>
      </w:sdtEndPr>
      <w:sdtContent>
        <w:p w14:paraId="0C597426" w14:textId="6D6FA608" w:rsidR="005A5E65" w:rsidRDefault="005A5E65" w:rsidP="005A5E65">
          <w:pPr>
            <w:pStyle w:val="TOCHeading"/>
            <w:jc w:val="left"/>
          </w:pPr>
        </w:p>
        <w:p w14:paraId="6817FA95" w14:textId="170D953F" w:rsidR="005A5E65" w:rsidRDefault="005A5E65">
          <w:pPr>
            <w:pStyle w:val="TOC1"/>
            <w:tabs>
              <w:tab w:val="right" w:leader="dot" w:pos="8302"/>
            </w:tabs>
            <w:rPr>
              <w:rFonts w:cstheme="minorBidi"/>
              <w:noProof/>
              <w:lang w:val="en-GB" w:eastAsia="ja-JP"/>
            </w:rPr>
          </w:pPr>
          <w:r>
            <w:fldChar w:fldCharType="begin"/>
          </w:r>
          <w:r>
            <w:instrText xml:space="preserve"> TOC \o "1-3" \h \z \u </w:instrText>
          </w:r>
          <w:r>
            <w:fldChar w:fldCharType="separate"/>
          </w:r>
          <w:hyperlink w:anchor="_Toc86417204" w:history="1">
            <w:r w:rsidRPr="00550B49">
              <w:rPr>
                <w:rStyle w:val="Hyperlink"/>
                <w:noProof/>
              </w:rPr>
              <w:t>ACKNOWLEDGEMENT</w:t>
            </w:r>
            <w:r>
              <w:rPr>
                <w:noProof/>
                <w:webHidden/>
              </w:rPr>
              <w:tab/>
            </w:r>
            <w:r>
              <w:rPr>
                <w:noProof/>
                <w:webHidden/>
              </w:rPr>
              <w:fldChar w:fldCharType="begin"/>
            </w:r>
            <w:r>
              <w:rPr>
                <w:noProof/>
                <w:webHidden/>
              </w:rPr>
              <w:instrText xml:space="preserve"> PAGEREF _Toc86417204 \h </w:instrText>
            </w:r>
            <w:r>
              <w:rPr>
                <w:noProof/>
                <w:webHidden/>
              </w:rPr>
            </w:r>
            <w:r>
              <w:rPr>
                <w:noProof/>
                <w:webHidden/>
              </w:rPr>
              <w:fldChar w:fldCharType="separate"/>
            </w:r>
            <w:r w:rsidR="00C836FC">
              <w:rPr>
                <w:noProof/>
                <w:webHidden/>
              </w:rPr>
              <w:t>i</w:t>
            </w:r>
            <w:r>
              <w:rPr>
                <w:noProof/>
                <w:webHidden/>
              </w:rPr>
              <w:fldChar w:fldCharType="end"/>
            </w:r>
          </w:hyperlink>
        </w:p>
        <w:p w14:paraId="7AF50C54" w14:textId="10534861" w:rsidR="005A5E65" w:rsidRDefault="005A5E65">
          <w:pPr>
            <w:pStyle w:val="TOC1"/>
            <w:tabs>
              <w:tab w:val="right" w:leader="dot" w:pos="8302"/>
            </w:tabs>
            <w:rPr>
              <w:rFonts w:cstheme="minorBidi"/>
              <w:noProof/>
              <w:lang w:val="en-GB" w:eastAsia="ja-JP"/>
            </w:rPr>
          </w:pPr>
          <w:hyperlink w:anchor="_Toc86417205" w:history="1">
            <w:r w:rsidRPr="00550B49">
              <w:rPr>
                <w:rStyle w:val="Hyperlink"/>
                <w:rFonts w:eastAsia="MS Mincho"/>
                <w:noProof/>
              </w:rPr>
              <w:t>DEDICATION</w:t>
            </w:r>
            <w:r>
              <w:rPr>
                <w:noProof/>
                <w:webHidden/>
              </w:rPr>
              <w:tab/>
            </w:r>
            <w:r>
              <w:rPr>
                <w:noProof/>
                <w:webHidden/>
              </w:rPr>
              <w:fldChar w:fldCharType="begin"/>
            </w:r>
            <w:r>
              <w:rPr>
                <w:noProof/>
                <w:webHidden/>
              </w:rPr>
              <w:instrText xml:space="preserve"> PAGEREF _Toc86417205 \h </w:instrText>
            </w:r>
            <w:r>
              <w:rPr>
                <w:noProof/>
                <w:webHidden/>
              </w:rPr>
            </w:r>
            <w:r>
              <w:rPr>
                <w:noProof/>
                <w:webHidden/>
              </w:rPr>
              <w:fldChar w:fldCharType="separate"/>
            </w:r>
            <w:r w:rsidR="00C836FC">
              <w:rPr>
                <w:noProof/>
                <w:webHidden/>
              </w:rPr>
              <w:t>iii</w:t>
            </w:r>
            <w:r>
              <w:rPr>
                <w:noProof/>
                <w:webHidden/>
              </w:rPr>
              <w:fldChar w:fldCharType="end"/>
            </w:r>
          </w:hyperlink>
        </w:p>
        <w:p w14:paraId="25E6E96E" w14:textId="07970E97" w:rsidR="005A5E65" w:rsidRDefault="005A5E65">
          <w:pPr>
            <w:pStyle w:val="TOC1"/>
            <w:tabs>
              <w:tab w:val="right" w:leader="dot" w:pos="8302"/>
            </w:tabs>
            <w:rPr>
              <w:rFonts w:cstheme="minorBidi"/>
              <w:noProof/>
              <w:lang w:val="en-GB" w:eastAsia="ja-JP"/>
            </w:rPr>
          </w:pPr>
          <w:hyperlink w:anchor="_Toc86417206" w:history="1">
            <w:r w:rsidRPr="00550B49">
              <w:rPr>
                <w:rStyle w:val="Hyperlink"/>
                <w:noProof/>
              </w:rPr>
              <w:t>ABSTRACT</w:t>
            </w:r>
            <w:r>
              <w:rPr>
                <w:noProof/>
                <w:webHidden/>
              </w:rPr>
              <w:tab/>
            </w:r>
            <w:r>
              <w:rPr>
                <w:noProof/>
                <w:webHidden/>
              </w:rPr>
              <w:fldChar w:fldCharType="begin"/>
            </w:r>
            <w:r>
              <w:rPr>
                <w:noProof/>
                <w:webHidden/>
              </w:rPr>
              <w:instrText xml:space="preserve"> PAGEREF _Toc86417206 \h </w:instrText>
            </w:r>
            <w:r>
              <w:rPr>
                <w:noProof/>
                <w:webHidden/>
              </w:rPr>
            </w:r>
            <w:r>
              <w:rPr>
                <w:noProof/>
                <w:webHidden/>
              </w:rPr>
              <w:fldChar w:fldCharType="separate"/>
            </w:r>
            <w:r w:rsidR="00C836FC">
              <w:rPr>
                <w:noProof/>
                <w:webHidden/>
              </w:rPr>
              <w:t>iv</w:t>
            </w:r>
            <w:r>
              <w:rPr>
                <w:noProof/>
                <w:webHidden/>
              </w:rPr>
              <w:fldChar w:fldCharType="end"/>
            </w:r>
          </w:hyperlink>
        </w:p>
        <w:p w14:paraId="2695DEA1" w14:textId="24E952F0" w:rsidR="005A5E65" w:rsidRDefault="005A5E65">
          <w:pPr>
            <w:pStyle w:val="TOC1"/>
            <w:tabs>
              <w:tab w:val="right" w:leader="dot" w:pos="8302"/>
            </w:tabs>
            <w:rPr>
              <w:rFonts w:cstheme="minorBidi"/>
              <w:noProof/>
              <w:lang w:val="en-GB" w:eastAsia="ja-JP"/>
            </w:rPr>
          </w:pPr>
          <w:hyperlink w:anchor="_Toc86417207" w:history="1">
            <w:r w:rsidRPr="00550B49">
              <w:rPr>
                <w:rStyle w:val="Hyperlink"/>
                <w:rFonts w:eastAsia="MS Mincho"/>
                <w:noProof/>
              </w:rPr>
              <w:t>TABLE OF CONTENTS</w:t>
            </w:r>
            <w:r>
              <w:rPr>
                <w:noProof/>
                <w:webHidden/>
              </w:rPr>
              <w:tab/>
            </w:r>
            <w:r>
              <w:rPr>
                <w:noProof/>
                <w:webHidden/>
              </w:rPr>
              <w:fldChar w:fldCharType="begin"/>
            </w:r>
            <w:r>
              <w:rPr>
                <w:noProof/>
                <w:webHidden/>
              </w:rPr>
              <w:instrText xml:space="preserve"> PAGEREF _Toc86417207 \h </w:instrText>
            </w:r>
            <w:r>
              <w:rPr>
                <w:noProof/>
                <w:webHidden/>
              </w:rPr>
            </w:r>
            <w:r>
              <w:rPr>
                <w:noProof/>
                <w:webHidden/>
              </w:rPr>
              <w:fldChar w:fldCharType="separate"/>
            </w:r>
            <w:r w:rsidR="00C836FC">
              <w:rPr>
                <w:noProof/>
                <w:webHidden/>
              </w:rPr>
              <w:t>v</w:t>
            </w:r>
            <w:r>
              <w:rPr>
                <w:noProof/>
                <w:webHidden/>
              </w:rPr>
              <w:fldChar w:fldCharType="end"/>
            </w:r>
          </w:hyperlink>
        </w:p>
        <w:p w14:paraId="5E8A8CC5" w14:textId="220775B2" w:rsidR="005A5E65" w:rsidRDefault="005A5E65">
          <w:pPr>
            <w:pStyle w:val="TOC1"/>
            <w:tabs>
              <w:tab w:val="right" w:leader="dot" w:pos="8302"/>
            </w:tabs>
            <w:rPr>
              <w:rFonts w:cstheme="minorBidi"/>
              <w:noProof/>
              <w:lang w:val="en-GB" w:eastAsia="ja-JP"/>
            </w:rPr>
          </w:pPr>
          <w:hyperlink w:anchor="_Toc86417208" w:history="1">
            <w:r w:rsidRPr="00550B49">
              <w:rPr>
                <w:rStyle w:val="Hyperlink"/>
                <w:rFonts w:eastAsia="MS Mincho"/>
                <w:noProof/>
              </w:rPr>
              <w:t>LIST OF FIGURES</w:t>
            </w:r>
            <w:r>
              <w:rPr>
                <w:noProof/>
                <w:webHidden/>
              </w:rPr>
              <w:tab/>
            </w:r>
            <w:r>
              <w:rPr>
                <w:noProof/>
                <w:webHidden/>
              </w:rPr>
              <w:fldChar w:fldCharType="begin"/>
            </w:r>
            <w:r>
              <w:rPr>
                <w:noProof/>
                <w:webHidden/>
              </w:rPr>
              <w:instrText xml:space="preserve"> PAGEREF _Toc86417208 \h </w:instrText>
            </w:r>
            <w:r>
              <w:rPr>
                <w:noProof/>
                <w:webHidden/>
              </w:rPr>
            </w:r>
            <w:r>
              <w:rPr>
                <w:noProof/>
                <w:webHidden/>
              </w:rPr>
              <w:fldChar w:fldCharType="separate"/>
            </w:r>
            <w:r w:rsidR="00C836FC">
              <w:rPr>
                <w:noProof/>
                <w:webHidden/>
              </w:rPr>
              <w:t>xiii</w:t>
            </w:r>
            <w:r>
              <w:rPr>
                <w:noProof/>
                <w:webHidden/>
              </w:rPr>
              <w:fldChar w:fldCharType="end"/>
            </w:r>
          </w:hyperlink>
        </w:p>
        <w:p w14:paraId="044749F2" w14:textId="585FAB45" w:rsidR="005A5E65" w:rsidRDefault="005A5E65">
          <w:pPr>
            <w:pStyle w:val="TOC1"/>
            <w:tabs>
              <w:tab w:val="right" w:leader="dot" w:pos="8302"/>
            </w:tabs>
            <w:rPr>
              <w:rFonts w:cstheme="minorBidi"/>
              <w:noProof/>
              <w:lang w:val="en-GB" w:eastAsia="ja-JP"/>
            </w:rPr>
          </w:pPr>
          <w:hyperlink w:anchor="_Toc86417209" w:history="1">
            <w:r w:rsidRPr="00550B49">
              <w:rPr>
                <w:rStyle w:val="Hyperlink"/>
                <w:rFonts w:eastAsia="MS Mincho"/>
                <w:noProof/>
              </w:rPr>
              <w:t>LIST OF TABLES</w:t>
            </w:r>
            <w:r>
              <w:rPr>
                <w:noProof/>
                <w:webHidden/>
              </w:rPr>
              <w:tab/>
            </w:r>
            <w:r>
              <w:rPr>
                <w:noProof/>
                <w:webHidden/>
              </w:rPr>
              <w:fldChar w:fldCharType="begin"/>
            </w:r>
            <w:r>
              <w:rPr>
                <w:noProof/>
                <w:webHidden/>
              </w:rPr>
              <w:instrText xml:space="preserve"> PAGEREF _Toc86417209 \h </w:instrText>
            </w:r>
            <w:r>
              <w:rPr>
                <w:noProof/>
                <w:webHidden/>
              </w:rPr>
            </w:r>
            <w:r>
              <w:rPr>
                <w:noProof/>
                <w:webHidden/>
              </w:rPr>
              <w:fldChar w:fldCharType="separate"/>
            </w:r>
            <w:r w:rsidR="00C836FC">
              <w:rPr>
                <w:noProof/>
                <w:webHidden/>
              </w:rPr>
              <w:t>xiv</w:t>
            </w:r>
            <w:r>
              <w:rPr>
                <w:noProof/>
                <w:webHidden/>
              </w:rPr>
              <w:fldChar w:fldCharType="end"/>
            </w:r>
          </w:hyperlink>
        </w:p>
        <w:p w14:paraId="3DEC7D5D" w14:textId="7F31D0C4" w:rsidR="005A5E65" w:rsidRDefault="005A5E65">
          <w:pPr>
            <w:pStyle w:val="TOC1"/>
            <w:tabs>
              <w:tab w:val="right" w:leader="dot" w:pos="8302"/>
            </w:tabs>
            <w:rPr>
              <w:rFonts w:cstheme="minorBidi"/>
              <w:noProof/>
              <w:lang w:val="en-GB" w:eastAsia="ja-JP"/>
            </w:rPr>
          </w:pPr>
          <w:hyperlink w:anchor="_Toc86417210" w:history="1">
            <w:r w:rsidRPr="00550B49">
              <w:rPr>
                <w:rStyle w:val="Hyperlink"/>
                <w:rFonts w:eastAsia="MS Mincho"/>
                <w:noProof/>
              </w:rPr>
              <w:t>TRANSCRIPTION CONVENTIONS</w:t>
            </w:r>
            <w:r>
              <w:rPr>
                <w:noProof/>
                <w:webHidden/>
              </w:rPr>
              <w:tab/>
            </w:r>
            <w:r>
              <w:rPr>
                <w:noProof/>
                <w:webHidden/>
              </w:rPr>
              <w:fldChar w:fldCharType="begin"/>
            </w:r>
            <w:r>
              <w:rPr>
                <w:noProof/>
                <w:webHidden/>
              </w:rPr>
              <w:instrText xml:space="preserve"> PAGEREF _Toc86417210 \h </w:instrText>
            </w:r>
            <w:r>
              <w:rPr>
                <w:noProof/>
                <w:webHidden/>
              </w:rPr>
            </w:r>
            <w:r>
              <w:rPr>
                <w:noProof/>
                <w:webHidden/>
              </w:rPr>
              <w:fldChar w:fldCharType="separate"/>
            </w:r>
            <w:r w:rsidR="00C836FC">
              <w:rPr>
                <w:noProof/>
                <w:webHidden/>
              </w:rPr>
              <w:t>xv</w:t>
            </w:r>
            <w:r>
              <w:rPr>
                <w:noProof/>
                <w:webHidden/>
              </w:rPr>
              <w:fldChar w:fldCharType="end"/>
            </w:r>
          </w:hyperlink>
        </w:p>
        <w:p w14:paraId="34923852" w14:textId="17B4A10D" w:rsidR="005A5E65" w:rsidRDefault="005A5E65">
          <w:pPr>
            <w:pStyle w:val="TOC1"/>
            <w:tabs>
              <w:tab w:val="right" w:leader="dot" w:pos="8302"/>
            </w:tabs>
            <w:rPr>
              <w:rFonts w:cstheme="minorBidi"/>
              <w:noProof/>
              <w:lang w:val="en-GB" w:eastAsia="ja-JP"/>
            </w:rPr>
          </w:pPr>
          <w:hyperlink w:anchor="_Toc86417211" w:history="1">
            <w:r w:rsidRPr="00550B49">
              <w:rPr>
                <w:rStyle w:val="Hyperlink"/>
                <w:rFonts w:eastAsia="MS Mincho"/>
                <w:noProof/>
              </w:rPr>
              <w:t>LIST OF ABBREVIATION/NOTATION</w:t>
            </w:r>
            <w:r>
              <w:rPr>
                <w:noProof/>
                <w:webHidden/>
              </w:rPr>
              <w:tab/>
            </w:r>
            <w:r>
              <w:rPr>
                <w:noProof/>
                <w:webHidden/>
              </w:rPr>
              <w:fldChar w:fldCharType="begin"/>
            </w:r>
            <w:r>
              <w:rPr>
                <w:noProof/>
                <w:webHidden/>
              </w:rPr>
              <w:instrText xml:space="preserve"> PAGEREF _Toc86417211 \h </w:instrText>
            </w:r>
            <w:r>
              <w:rPr>
                <w:noProof/>
                <w:webHidden/>
              </w:rPr>
            </w:r>
            <w:r>
              <w:rPr>
                <w:noProof/>
                <w:webHidden/>
              </w:rPr>
              <w:fldChar w:fldCharType="separate"/>
            </w:r>
            <w:r w:rsidR="00C836FC">
              <w:rPr>
                <w:noProof/>
                <w:webHidden/>
              </w:rPr>
              <w:t>xvi</w:t>
            </w:r>
            <w:r>
              <w:rPr>
                <w:noProof/>
                <w:webHidden/>
              </w:rPr>
              <w:fldChar w:fldCharType="end"/>
            </w:r>
          </w:hyperlink>
        </w:p>
        <w:p w14:paraId="68876BF7" w14:textId="35692E4B" w:rsidR="005A5E65" w:rsidRDefault="005A5E65">
          <w:pPr>
            <w:pStyle w:val="TOC1"/>
            <w:tabs>
              <w:tab w:val="right" w:leader="dot" w:pos="8302"/>
            </w:tabs>
            <w:rPr>
              <w:rFonts w:cstheme="minorBidi"/>
              <w:noProof/>
              <w:lang w:val="en-GB" w:eastAsia="ja-JP"/>
            </w:rPr>
          </w:pPr>
          <w:hyperlink w:anchor="_Toc86417212" w:history="1">
            <w:r w:rsidRPr="00550B49">
              <w:rPr>
                <w:rStyle w:val="Hyperlink"/>
                <w:noProof/>
              </w:rPr>
              <w:t>COPYRIGHT DECLARATION</w:t>
            </w:r>
            <w:r>
              <w:rPr>
                <w:noProof/>
                <w:webHidden/>
              </w:rPr>
              <w:tab/>
            </w:r>
            <w:r>
              <w:rPr>
                <w:noProof/>
                <w:webHidden/>
              </w:rPr>
              <w:fldChar w:fldCharType="begin"/>
            </w:r>
            <w:r>
              <w:rPr>
                <w:noProof/>
                <w:webHidden/>
              </w:rPr>
              <w:instrText xml:space="preserve"> PAGEREF _Toc86417212 \h </w:instrText>
            </w:r>
            <w:r>
              <w:rPr>
                <w:noProof/>
                <w:webHidden/>
              </w:rPr>
            </w:r>
            <w:r>
              <w:rPr>
                <w:noProof/>
                <w:webHidden/>
              </w:rPr>
              <w:fldChar w:fldCharType="separate"/>
            </w:r>
            <w:r w:rsidR="00C836FC">
              <w:rPr>
                <w:noProof/>
                <w:webHidden/>
              </w:rPr>
              <w:t>xvii</w:t>
            </w:r>
            <w:r>
              <w:rPr>
                <w:noProof/>
                <w:webHidden/>
              </w:rPr>
              <w:fldChar w:fldCharType="end"/>
            </w:r>
          </w:hyperlink>
        </w:p>
        <w:p w14:paraId="2E45DC31" w14:textId="6AD4A40E" w:rsidR="005A5E65" w:rsidRDefault="005A5E65">
          <w:pPr>
            <w:pStyle w:val="TOC1"/>
            <w:tabs>
              <w:tab w:val="right" w:leader="dot" w:pos="8302"/>
            </w:tabs>
            <w:rPr>
              <w:rFonts w:cstheme="minorBidi"/>
              <w:noProof/>
              <w:lang w:val="en-GB" w:eastAsia="ja-JP"/>
            </w:rPr>
          </w:pPr>
          <w:hyperlink w:anchor="_Toc86417213" w:history="1">
            <w:r w:rsidRPr="00550B49">
              <w:rPr>
                <w:rStyle w:val="Hyperlink"/>
                <w:noProof/>
              </w:rPr>
              <w:t>CHAPTER ONE</w:t>
            </w:r>
            <w:r>
              <w:rPr>
                <w:noProof/>
                <w:webHidden/>
              </w:rPr>
              <w:tab/>
            </w:r>
            <w:r>
              <w:rPr>
                <w:noProof/>
                <w:webHidden/>
              </w:rPr>
              <w:fldChar w:fldCharType="begin"/>
            </w:r>
            <w:r>
              <w:rPr>
                <w:noProof/>
                <w:webHidden/>
              </w:rPr>
              <w:instrText xml:space="preserve"> PAGEREF _Toc86417213 \h </w:instrText>
            </w:r>
            <w:r>
              <w:rPr>
                <w:noProof/>
                <w:webHidden/>
              </w:rPr>
            </w:r>
            <w:r>
              <w:rPr>
                <w:noProof/>
                <w:webHidden/>
              </w:rPr>
              <w:fldChar w:fldCharType="separate"/>
            </w:r>
            <w:r w:rsidR="00C836FC">
              <w:rPr>
                <w:noProof/>
                <w:webHidden/>
              </w:rPr>
              <w:t>1</w:t>
            </w:r>
            <w:r>
              <w:rPr>
                <w:noProof/>
                <w:webHidden/>
              </w:rPr>
              <w:fldChar w:fldCharType="end"/>
            </w:r>
          </w:hyperlink>
        </w:p>
        <w:p w14:paraId="491D0823" w14:textId="658F7602" w:rsidR="005A5E65" w:rsidRDefault="005A5E65">
          <w:pPr>
            <w:pStyle w:val="TOC2"/>
            <w:tabs>
              <w:tab w:val="right" w:leader="dot" w:pos="8302"/>
            </w:tabs>
            <w:rPr>
              <w:rFonts w:cstheme="minorBidi"/>
              <w:noProof/>
              <w:lang w:val="en-GB" w:eastAsia="ja-JP"/>
            </w:rPr>
          </w:pPr>
          <w:hyperlink w:anchor="_Toc86417214" w:history="1">
            <w:r w:rsidRPr="00550B49">
              <w:rPr>
                <w:rStyle w:val="Hyperlink"/>
                <w:noProof/>
              </w:rPr>
              <w:t>1.1. Introduction</w:t>
            </w:r>
            <w:r>
              <w:rPr>
                <w:noProof/>
                <w:webHidden/>
              </w:rPr>
              <w:tab/>
            </w:r>
            <w:r>
              <w:rPr>
                <w:noProof/>
                <w:webHidden/>
              </w:rPr>
              <w:fldChar w:fldCharType="begin"/>
            </w:r>
            <w:r>
              <w:rPr>
                <w:noProof/>
                <w:webHidden/>
              </w:rPr>
              <w:instrText xml:space="preserve"> PAGEREF _Toc86417214 \h </w:instrText>
            </w:r>
            <w:r>
              <w:rPr>
                <w:noProof/>
                <w:webHidden/>
              </w:rPr>
            </w:r>
            <w:r>
              <w:rPr>
                <w:noProof/>
                <w:webHidden/>
              </w:rPr>
              <w:fldChar w:fldCharType="separate"/>
            </w:r>
            <w:r w:rsidR="00C836FC">
              <w:rPr>
                <w:noProof/>
                <w:webHidden/>
              </w:rPr>
              <w:t>1</w:t>
            </w:r>
            <w:r>
              <w:rPr>
                <w:noProof/>
                <w:webHidden/>
              </w:rPr>
              <w:fldChar w:fldCharType="end"/>
            </w:r>
          </w:hyperlink>
        </w:p>
        <w:p w14:paraId="79CDF35D" w14:textId="1590F1DE" w:rsidR="005A5E65" w:rsidRDefault="005A5E65">
          <w:pPr>
            <w:pStyle w:val="TOC2"/>
            <w:tabs>
              <w:tab w:val="right" w:leader="dot" w:pos="8302"/>
            </w:tabs>
            <w:rPr>
              <w:rFonts w:cstheme="minorBidi"/>
              <w:noProof/>
              <w:lang w:val="en-GB" w:eastAsia="ja-JP"/>
            </w:rPr>
          </w:pPr>
          <w:hyperlink w:anchor="_Toc86417215" w:history="1">
            <w:r w:rsidRPr="00550B49">
              <w:rPr>
                <w:rStyle w:val="Hyperlink"/>
                <w:noProof/>
              </w:rPr>
              <w:t>1.2. Reflection: my gaze into the study of paid Nigerian migrant nurses and health care assistants in the UK</w:t>
            </w:r>
            <w:r>
              <w:rPr>
                <w:noProof/>
                <w:webHidden/>
              </w:rPr>
              <w:tab/>
            </w:r>
            <w:r>
              <w:rPr>
                <w:noProof/>
                <w:webHidden/>
              </w:rPr>
              <w:fldChar w:fldCharType="begin"/>
            </w:r>
            <w:r>
              <w:rPr>
                <w:noProof/>
                <w:webHidden/>
              </w:rPr>
              <w:instrText xml:space="preserve"> PAGEREF _Toc86417215 \h </w:instrText>
            </w:r>
            <w:r>
              <w:rPr>
                <w:noProof/>
                <w:webHidden/>
              </w:rPr>
            </w:r>
            <w:r>
              <w:rPr>
                <w:noProof/>
                <w:webHidden/>
              </w:rPr>
              <w:fldChar w:fldCharType="separate"/>
            </w:r>
            <w:r w:rsidR="00C836FC">
              <w:rPr>
                <w:noProof/>
                <w:webHidden/>
              </w:rPr>
              <w:t>2</w:t>
            </w:r>
            <w:r>
              <w:rPr>
                <w:noProof/>
                <w:webHidden/>
              </w:rPr>
              <w:fldChar w:fldCharType="end"/>
            </w:r>
          </w:hyperlink>
        </w:p>
        <w:p w14:paraId="6CFE3004" w14:textId="0D0FB125" w:rsidR="005A5E65" w:rsidRDefault="005A5E65">
          <w:pPr>
            <w:pStyle w:val="TOC2"/>
            <w:tabs>
              <w:tab w:val="right" w:leader="dot" w:pos="8302"/>
            </w:tabs>
            <w:rPr>
              <w:rFonts w:cstheme="minorBidi"/>
              <w:noProof/>
              <w:lang w:val="en-GB" w:eastAsia="ja-JP"/>
            </w:rPr>
          </w:pPr>
          <w:hyperlink w:anchor="_Toc86417216" w:history="1">
            <w:r w:rsidRPr="00550B49">
              <w:rPr>
                <w:rStyle w:val="Hyperlink"/>
                <w:bCs/>
                <w:noProof/>
              </w:rPr>
              <w:t xml:space="preserve">1.3. Dementia: </w:t>
            </w:r>
            <w:r w:rsidRPr="00550B49">
              <w:rPr>
                <w:rStyle w:val="Hyperlink"/>
                <w:noProof/>
              </w:rPr>
              <w:t>meaning, risk factors, trends and care needs</w:t>
            </w:r>
            <w:r>
              <w:rPr>
                <w:noProof/>
                <w:webHidden/>
              </w:rPr>
              <w:tab/>
            </w:r>
            <w:r>
              <w:rPr>
                <w:noProof/>
                <w:webHidden/>
              </w:rPr>
              <w:fldChar w:fldCharType="begin"/>
            </w:r>
            <w:r>
              <w:rPr>
                <w:noProof/>
                <w:webHidden/>
              </w:rPr>
              <w:instrText xml:space="preserve"> PAGEREF _Toc86417216 \h </w:instrText>
            </w:r>
            <w:r>
              <w:rPr>
                <w:noProof/>
                <w:webHidden/>
              </w:rPr>
            </w:r>
            <w:r>
              <w:rPr>
                <w:noProof/>
                <w:webHidden/>
              </w:rPr>
              <w:fldChar w:fldCharType="separate"/>
            </w:r>
            <w:r w:rsidR="00C836FC">
              <w:rPr>
                <w:noProof/>
                <w:webHidden/>
              </w:rPr>
              <w:t>4</w:t>
            </w:r>
            <w:r>
              <w:rPr>
                <w:noProof/>
                <w:webHidden/>
              </w:rPr>
              <w:fldChar w:fldCharType="end"/>
            </w:r>
          </w:hyperlink>
        </w:p>
        <w:p w14:paraId="6E8505C2" w14:textId="0E08F0C5" w:rsidR="005A5E65" w:rsidRDefault="005A5E65">
          <w:pPr>
            <w:pStyle w:val="TOC3"/>
            <w:tabs>
              <w:tab w:val="right" w:leader="dot" w:pos="8302"/>
            </w:tabs>
            <w:rPr>
              <w:rFonts w:cstheme="minorBidi"/>
              <w:noProof/>
              <w:lang w:val="en-GB" w:eastAsia="ja-JP"/>
            </w:rPr>
          </w:pPr>
          <w:hyperlink w:anchor="_Toc86417217" w:history="1">
            <w:r w:rsidRPr="00550B49">
              <w:rPr>
                <w:rStyle w:val="Hyperlink"/>
                <w:noProof/>
              </w:rPr>
              <w:t>1.3.1. Meaning and types of dementia</w:t>
            </w:r>
            <w:r>
              <w:rPr>
                <w:noProof/>
                <w:webHidden/>
              </w:rPr>
              <w:tab/>
            </w:r>
            <w:r>
              <w:rPr>
                <w:noProof/>
                <w:webHidden/>
              </w:rPr>
              <w:fldChar w:fldCharType="begin"/>
            </w:r>
            <w:r>
              <w:rPr>
                <w:noProof/>
                <w:webHidden/>
              </w:rPr>
              <w:instrText xml:space="preserve"> PAGEREF _Toc86417217 \h </w:instrText>
            </w:r>
            <w:r>
              <w:rPr>
                <w:noProof/>
                <w:webHidden/>
              </w:rPr>
            </w:r>
            <w:r>
              <w:rPr>
                <w:noProof/>
                <w:webHidden/>
              </w:rPr>
              <w:fldChar w:fldCharType="separate"/>
            </w:r>
            <w:r w:rsidR="00C836FC">
              <w:rPr>
                <w:noProof/>
                <w:webHidden/>
              </w:rPr>
              <w:t>4</w:t>
            </w:r>
            <w:r>
              <w:rPr>
                <w:noProof/>
                <w:webHidden/>
              </w:rPr>
              <w:fldChar w:fldCharType="end"/>
            </w:r>
          </w:hyperlink>
        </w:p>
        <w:p w14:paraId="003ACA82" w14:textId="6A0FF3B0" w:rsidR="005A5E65" w:rsidRDefault="005A5E65">
          <w:pPr>
            <w:pStyle w:val="TOC3"/>
            <w:tabs>
              <w:tab w:val="right" w:leader="dot" w:pos="8302"/>
            </w:tabs>
            <w:rPr>
              <w:rFonts w:cstheme="minorBidi"/>
              <w:noProof/>
              <w:lang w:val="en-GB" w:eastAsia="ja-JP"/>
            </w:rPr>
          </w:pPr>
          <w:hyperlink w:anchor="_Toc86417218" w:history="1">
            <w:r w:rsidRPr="00550B49">
              <w:rPr>
                <w:rStyle w:val="Hyperlink"/>
                <w:bCs/>
                <w:noProof/>
              </w:rPr>
              <w:t xml:space="preserve">1.3.2. </w:t>
            </w:r>
            <w:r w:rsidRPr="00550B49">
              <w:rPr>
                <w:rStyle w:val="Hyperlink"/>
                <w:noProof/>
              </w:rPr>
              <w:t>Risk factors for dementia</w:t>
            </w:r>
            <w:r>
              <w:rPr>
                <w:noProof/>
                <w:webHidden/>
              </w:rPr>
              <w:tab/>
            </w:r>
            <w:r>
              <w:rPr>
                <w:noProof/>
                <w:webHidden/>
              </w:rPr>
              <w:fldChar w:fldCharType="begin"/>
            </w:r>
            <w:r>
              <w:rPr>
                <w:noProof/>
                <w:webHidden/>
              </w:rPr>
              <w:instrText xml:space="preserve"> PAGEREF _Toc86417218 \h </w:instrText>
            </w:r>
            <w:r>
              <w:rPr>
                <w:noProof/>
                <w:webHidden/>
              </w:rPr>
            </w:r>
            <w:r>
              <w:rPr>
                <w:noProof/>
                <w:webHidden/>
              </w:rPr>
              <w:fldChar w:fldCharType="separate"/>
            </w:r>
            <w:r w:rsidR="00C836FC">
              <w:rPr>
                <w:noProof/>
                <w:webHidden/>
              </w:rPr>
              <w:t>5</w:t>
            </w:r>
            <w:r>
              <w:rPr>
                <w:noProof/>
                <w:webHidden/>
              </w:rPr>
              <w:fldChar w:fldCharType="end"/>
            </w:r>
          </w:hyperlink>
        </w:p>
        <w:p w14:paraId="6A778769" w14:textId="256E1CB9" w:rsidR="005A5E65" w:rsidRDefault="005A5E65">
          <w:pPr>
            <w:pStyle w:val="TOC3"/>
            <w:tabs>
              <w:tab w:val="right" w:leader="dot" w:pos="8302"/>
            </w:tabs>
            <w:rPr>
              <w:rFonts w:cstheme="minorBidi"/>
              <w:noProof/>
              <w:lang w:val="en-GB" w:eastAsia="ja-JP"/>
            </w:rPr>
          </w:pPr>
          <w:hyperlink w:anchor="_Toc86417219" w:history="1">
            <w:r w:rsidRPr="00550B49">
              <w:rPr>
                <w:rStyle w:val="Hyperlink"/>
                <w:noProof/>
              </w:rPr>
              <w:t>1.3.3. Trends: the social and economic impact of dementia prevalence/incidence in the UK</w:t>
            </w:r>
            <w:r>
              <w:rPr>
                <w:noProof/>
                <w:webHidden/>
              </w:rPr>
              <w:tab/>
            </w:r>
            <w:r>
              <w:rPr>
                <w:noProof/>
                <w:webHidden/>
              </w:rPr>
              <w:fldChar w:fldCharType="begin"/>
            </w:r>
            <w:r>
              <w:rPr>
                <w:noProof/>
                <w:webHidden/>
              </w:rPr>
              <w:instrText xml:space="preserve"> PAGEREF _Toc86417219 \h </w:instrText>
            </w:r>
            <w:r>
              <w:rPr>
                <w:noProof/>
                <w:webHidden/>
              </w:rPr>
            </w:r>
            <w:r>
              <w:rPr>
                <w:noProof/>
                <w:webHidden/>
              </w:rPr>
              <w:fldChar w:fldCharType="separate"/>
            </w:r>
            <w:r w:rsidR="00C836FC">
              <w:rPr>
                <w:noProof/>
                <w:webHidden/>
              </w:rPr>
              <w:t>6</w:t>
            </w:r>
            <w:r>
              <w:rPr>
                <w:noProof/>
                <w:webHidden/>
              </w:rPr>
              <w:fldChar w:fldCharType="end"/>
            </w:r>
          </w:hyperlink>
        </w:p>
        <w:p w14:paraId="0692AB1B" w14:textId="1095CE59" w:rsidR="005A5E65" w:rsidRDefault="005A5E65">
          <w:pPr>
            <w:pStyle w:val="TOC2"/>
            <w:tabs>
              <w:tab w:val="right" w:leader="dot" w:pos="8302"/>
            </w:tabs>
            <w:rPr>
              <w:rFonts w:cstheme="minorBidi"/>
              <w:noProof/>
              <w:lang w:val="en-GB" w:eastAsia="ja-JP"/>
            </w:rPr>
          </w:pPr>
          <w:hyperlink w:anchor="_Toc86417220" w:history="1">
            <w:r w:rsidRPr="00550B49">
              <w:rPr>
                <w:rStyle w:val="Hyperlink"/>
                <w:noProof/>
              </w:rPr>
              <w:t>1.4. Dementia caregiving and trends</w:t>
            </w:r>
            <w:r>
              <w:rPr>
                <w:noProof/>
                <w:webHidden/>
              </w:rPr>
              <w:tab/>
            </w:r>
            <w:r>
              <w:rPr>
                <w:noProof/>
                <w:webHidden/>
              </w:rPr>
              <w:fldChar w:fldCharType="begin"/>
            </w:r>
            <w:r>
              <w:rPr>
                <w:noProof/>
                <w:webHidden/>
              </w:rPr>
              <w:instrText xml:space="preserve"> PAGEREF _Toc86417220 \h </w:instrText>
            </w:r>
            <w:r>
              <w:rPr>
                <w:noProof/>
                <w:webHidden/>
              </w:rPr>
            </w:r>
            <w:r>
              <w:rPr>
                <w:noProof/>
                <w:webHidden/>
              </w:rPr>
              <w:fldChar w:fldCharType="separate"/>
            </w:r>
            <w:r w:rsidR="00C836FC">
              <w:rPr>
                <w:noProof/>
                <w:webHidden/>
              </w:rPr>
              <w:t>7</w:t>
            </w:r>
            <w:r>
              <w:rPr>
                <w:noProof/>
                <w:webHidden/>
              </w:rPr>
              <w:fldChar w:fldCharType="end"/>
            </w:r>
          </w:hyperlink>
        </w:p>
        <w:p w14:paraId="43BAD225" w14:textId="20F27237" w:rsidR="005A5E65" w:rsidRDefault="005A5E65">
          <w:pPr>
            <w:pStyle w:val="TOC3"/>
            <w:tabs>
              <w:tab w:val="right" w:leader="dot" w:pos="8302"/>
            </w:tabs>
            <w:rPr>
              <w:rFonts w:cstheme="minorBidi"/>
              <w:noProof/>
              <w:lang w:val="en-GB" w:eastAsia="ja-JP"/>
            </w:rPr>
          </w:pPr>
          <w:hyperlink w:anchor="_Toc86417221" w:history="1">
            <w:r w:rsidRPr="00550B49">
              <w:rPr>
                <w:rStyle w:val="Hyperlink"/>
                <w:noProof/>
              </w:rPr>
              <w:t>1.4.1. Dementia caregiving</w:t>
            </w:r>
            <w:r>
              <w:rPr>
                <w:noProof/>
                <w:webHidden/>
              </w:rPr>
              <w:tab/>
            </w:r>
            <w:r>
              <w:rPr>
                <w:noProof/>
                <w:webHidden/>
              </w:rPr>
              <w:fldChar w:fldCharType="begin"/>
            </w:r>
            <w:r>
              <w:rPr>
                <w:noProof/>
                <w:webHidden/>
              </w:rPr>
              <w:instrText xml:space="preserve"> PAGEREF _Toc86417221 \h </w:instrText>
            </w:r>
            <w:r>
              <w:rPr>
                <w:noProof/>
                <w:webHidden/>
              </w:rPr>
            </w:r>
            <w:r>
              <w:rPr>
                <w:noProof/>
                <w:webHidden/>
              </w:rPr>
              <w:fldChar w:fldCharType="separate"/>
            </w:r>
            <w:r w:rsidR="00C836FC">
              <w:rPr>
                <w:noProof/>
                <w:webHidden/>
              </w:rPr>
              <w:t>7</w:t>
            </w:r>
            <w:r>
              <w:rPr>
                <w:noProof/>
                <w:webHidden/>
              </w:rPr>
              <w:fldChar w:fldCharType="end"/>
            </w:r>
          </w:hyperlink>
        </w:p>
        <w:p w14:paraId="711CBD24" w14:textId="7A69ADA0" w:rsidR="005A5E65" w:rsidRDefault="005A5E65">
          <w:pPr>
            <w:pStyle w:val="TOC3"/>
            <w:tabs>
              <w:tab w:val="right" w:leader="dot" w:pos="8302"/>
            </w:tabs>
            <w:rPr>
              <w:rFonts w:cstheme="minorBidi"/>
              <w:noProof/>
              <w:lang w:val="en-GB" w:eastAsia="ja-JP"/>
            </w:rPr>
          </w:pPr>
          <w:hyperlink w:anchor="_Toc86417222" w:history="1">
            <w:r w:rsidRPr="00550B49">
              <w:rPr>
                <w:rStyle w:val="Hyperlink"/>
                <w:bCs/>
                <w:noProof/>
              </w:rPr>
              <w:t xml:space="preserve">1.4.2. </w:t>
            </w:r>
            <w:r w:rsidRPr="00550B49">
              <w:rPr>
                <w:rStyle w:val="Hyperlink"/>
                <w:noProof/>
              </w:rPr>
              <w:t>Trends in dementia caregiving in the UK</w:t>
            </w:r>
            <w:r>
              <w:rPr>
                <w:noProof/>
                <w:webHidden/>
              </w:rPr>
              <w:tab/>
            </w:r>
            <w:r>
              <w:rPr>
                <w:noProof/>
                <w:webHidden/>
              </w:rPr>
              <w:fldChar w:fldCharType="begin"/>
            </w:r>
            <w:r>
              <w:rPr>
                <w:noProof/>
                <w:webHidden/>
              </w:rPr>
              <w:instrText xml:space="preserve"> PAGEREF _Toc86417222 \h </w:instrText>
            </w:r>
            <w:r>
              <w:rPr>
                <w:noProof/>
                <w:webHidden/>
              </w:rPr>
            </w:r>
            <w:r>
              <w:rPr>
                <w:noProof/>
                <w:webHidden/>
              </w:rPr>
              <w:fldChar w:fldCharType="separate"/>
            </w:r>
            <w:r w:rsidR="00C836FC">
              <w:rPr>
                <w:noProof/>
                <w:webHidden/>
              </w:rPr>
              <w:t>8</w:t>
            </w:r>
            <w:r>
              <w:rPr>
                <w:noProof/>
                <w:webHidden/>
              </w:rPr>
              <w:fldChar w:fldCharType="end"/>
            </w:r>
          </w:hyperlink>
        </w:p>
        <w:p w14:paraId="7690F6E6" w14:textId="29F4283A" w:rsidR="005A5E65" w:rsidRDefault="005A5E65">
          <w:pPr>
            <w:pStyle w:val="TOC3"/>
            <w:tabs>
              <w:tab w:val="right" w:leader="dot" w:pos="8302"/>
            </w:tabs>
            <w:rPr>
              <w:rFonts w:cstheme="minorBidi"/>
              <w:noProof/>
              <w:lang w:val="en-GB" w:eastAsia="ja-JP"/>
            </w:rPr>
          </w:pPr>
          <w:hyperlink w:anchor="_Toc86417223" w:history="1">
            <w:r w:rsidRPr="00550B49">
              <w:rPr>
                <w:rStyle w:val="Hyperlink"/>
                <w:bCs/>
                <w:noProof/>
              </w:rPr>
              <w:t xml:space="preserve">1.4.3. </w:t>
            </w:r>
            <w:r w:rsidRPr="00550B49">
              <w:rPr>
                <w:rStyle w:val="Hyperlink"/>
                <w:noProof/>
              </w:rPr>
              <w:t>The profile of a family caregiver</w:t>
            </w:r>
            <w:r>
              <w:rPr>
                <w:noProof/>
                <w:webHidden/>
              </w:rPr>
              <w:tab/>
            </w:r>
            <w:r>
              <w:rPr>
                <w:noProof/>
                <w:webHidden/>
              </w:rPr>
              <w:fldChar w:fldCharType="begin"/>
            </w:r>
            <w:r>
              <w:rPr>
                <w:noProof/>
                <w:webHidden/>
              </w:rPr>
              <w:instrText xml:space="preserve"> PAGEREF _Toc86417223 \h </w:instrText>
            </w:r>
            <w:r>
              <w:rPr>
                <w:noProof/>
                <w:webHidden/>
              </w:rPr>
            </w:r>
            <w:r>
              <w:rPr>
                <w:noProof/>
                <w:webHidden/>
              </w:rPr>
              <w:fldChar w:fldCharType="separate"/>
            </w:r>
            <w:r w:rsidR="00C836FC">
              <w:rPr>
                <w:noProof/>
                <w:webHidden/>
              </w:rPr>
              <w:t>8</w:t>
            </w:r>
            <w:r>
              <w:rPr>
                <w:noProof/>
                <w:webHidden/>
              </w:rPr>
              <w:fldChar w:fldCharType="end"/>
            </w:r>
          </w:hyperlink>
        </w:p>
        <w:p w14:paraId="325CDA41" w14:textId="2B870B2D" w:rsidR="005A5E65" w:rsidRDefault="005A5E65">
          <w:pPr>
            <w:pStyle w:val="TOC3"/>
            <w:tabs>
              <w:tab w:val="right" w:leader="dot" w:pos="8302"/>
            </w:tabs>
            <w:rPr>
              <w:rFonts w:cstheme="minorBidi"/>
              <w:noProof/>
              <w:lang w:val="en-GB" w:eastAsia="ja-JP"/>
            </w:rPr>
          </w:pPr>
          <w:hyperlink w:anchor="_Toc86417224" w:history="1">
            <w:r w:rsidRPr="00550B49">
              <w:rPr>
                <w:rStyle w:val="Hyperlink"/>
                <w:noProof/>
              </w:rPr>
              <w:t>1.4.4. The profile of a formal caregiver</w:t>
            </w:r>
            <w:r>
              <w:rPr>
                <w:noProof/>
                <w:webHidden/>
              </w:rPr>
              <w:tab/>
            </w:r>
            <w:r>
              <w:rPr>
                <w:noProof/>
                <w:webHidden/>
              </w:rPr>
              <w:fldChar w:fldCharType="begin"/>
            </w:r>
            <w:r>
              <w:rPr>
                <w:noProof/>
                <w:webHidden/>
              </w:rPr>
              <w:instrText xml:space="preserve"> PAGEREF _Toc86417224 \h </w:instrText>
            </w:r>
            <w:r>
              <w:rPr>
                <w:noProof/>
                <w:webHidden/>
              </w:rPr>
            </w:r>
            <w:r>
              <w:rPr>
                <w:noProof/>
                <w:webHidden/>
              </w:rPr>
              <w:fldChar w:fldCharType="separate"/>
            </w:r>
            <w:r w:rsidR="00C836FC">
              <w:rPr>
                <w:noProof/>
                <w:webHidden/>
              </w:rPr>
              <w:t>9</w:t>
            </w:r>
            <w:r>
              <w:rPr>
                <w:noProof/>
                <w:webHidden/>
              </w:rPr>
              <w:fldChar w:fldCharType="end"/>
            </w:r>
          </w:hyperlink>
        </w:p>
        <w:p w14:paraId="2F2DBD77" w14:textId="6CA1585C" w:rsidR="005A5E65" w:rsidRDefault="005A5E65">
          <w:pPr>
            <w:pStyle w:val="TOC2"/>
            <w:tabs>
              <w:tab w:val="right" w:leader="dot" w:pos="8302"/>
            </w:tabs>
            <w:rPr>
              <w:rFonts w:cstheme="minorBidi"/>
              <w:noProof/>
              <w:lang w:val="en-GB" w:eastAsia="ja-JP"/>
            </w:rPr>
          </w:pPr>
          <w:hyperlink w:anchor="_Toc86417225" w:history="1">
            <w:r w:rsidRPr="00550B49">
              <w:rPr>
                <w:rStyle w:val="Hyperlink"/>
                <w:noProof/>
              </w:rPr>
              <w:t>1.5. Background of the study</w:t>
            </w:r>
            <w:r>
              <w:rPr>
                <w:noProof/>
                <w:webHidden/>
              </w:rPr>
              <w:tab/>
            </w:r>
            <w:r>
              <w:rPr>
                <w:noProof/>
                <w:webHidden/>
              </w:rPr>
              <w:fldChar w:fldCharType="begin"/>
            </w:r>
            <w:r>
              <w:rPr>
                <w:noProof/>
                <w:webHidden/>
              </w:rPr>
              <w:instrText xml:space="preserve"> PAGEREF _Toc86417225 \h </w:instrText>
            </w:r>
            <w:r>
              <w:rPr>
                <w:noProof/>
                <w:webHidden/>
              </w:rPr>
            </w:r>
            <w:r>
              <w:rPr>
                <w:noProof/>
                <w:webHidden/>
              </w:rPr>
              <w:fldChar w:fldCharType="separate"/>
            </w:r>
            <w:r w:rsidR="00C836FC">
              <w:rPr>
                <w:noProof/>
                <w:webHidden/>
              </w:rPr>
              <w:t>11</w:t>
            </w:r>
            <w:r>
              <w:rPr>
                <w:noProof/>
                <w:webHidden/>
              </w:rPr>
              <w:fldChar w:fldCharType="end"/>
            </w:r>
          </w:hyperlink>
        </w:p>
        <w:p w14:paraId="08CA4D82" w14:textId="7D30F651" w:rsidR="005A5E65" w:rsidRDefault="005A5E65">
          <w:pPr>
            <w:pStyle w:val="TOC2"/>
            <w:tabs>
              <w:tab w:val="right" w:leader="dot" w:pos="8302"/>
            </w:tabs>
            <w:rPr>
              <w:rFonts w:cstheme="minorBidi"/>
              <w:noProof/>
              <w:lang w:val="en-GB" w:eastAsia="ja-JP"/>
            </w:rPr>
          </w:pPr>
          <w:hyperlink w:anchor="_Toc86417226" w:history="1">
            <w:r w:rsidRPr="00550B49">
              <w:rPr>
                <w:rStyle w:val="Hyperlink"/>
                <w:noProof/>
              </w:rPr>
              <w:t>1.6. The rationale for undertaking this research: why study caregiving among paid Nigerian migrant nurses and health care assistants?</w:t>
            </w:r>
            <w:r>
              <w:rPr>
                <w:noProof/>
                <w:webHidden/>
              </w:rPr>
              <w:tab/>
            </w:r>
            <w:r>
              <w:rPr>
                <w:noProof/>
                <w:webHidden/>
              </w:rPr>
              <w:fldChar w:fldCharType="begin"/>
            </w:r>
            <w:r>
              <w:rPr>
                <w:noProof/>
                <w:webHidden/>
              </w:rPr>
              <w:instrText xml:space="preserve"> PAGEREF _Toc86417226 \h </w:instrText>
            </w:r>
            <w:r>
              <w:rPr>
                <w:noProof/>
                <w:webHidden/>
              </w:rPr>
            </w:r>
            <w:r>
              <w:rPr>
                <w:noProof/>
                <w:webHidden/>
              </w:rPr>
              <w:fldChar w:fldCharType="separate"/>
            </w:r>
            <w:r w:rsidR="00C836FC">
              <w:rPr>
                <w:noProof/>
                <w:webHidden/>
              </w:rPr>
              <w:t>12</w:t>
            </w:r>
            <w:r>
              <w:rPr>
                <w:noProof/>
                <w:webHidden/>
              </w:rPr>
              <w:fldChar w:fldCharType="end"/>
            </w:r>
          </w:hyperlink>
        </w:p>
        <w:p w14:paraId="540C2E72" w14:textId="2B7ED8AE" w:rsidR="005A5E65" w:rsidRDefault="005A5E65">
          <w:pPr>
            <w:pStyle w:val="TOC2"/>
            <w:tabs>
              <w:tab w:val="right" w:leader="dot" w:pos="8302"/>
            </w:tabs>
            <w:rPr>
              <w:rFonts w:cstheme="minorBidi"/>
              <w:noProof/>
              <w:lang w:val="en-GB" w:eastAsia="ja-JP"/>
            </w:rPr>
          </w:pPr>
          <w:hyperlink w:anchor="_Toc86417227" w:history="1">
            <w:r w:rsidRPr="00550B49">
              <w:rPr>
                <w:rStyle w:val="Hyperlink"/>
                <w:noProof/>
              </w:rPr>
              <w:t>1.7. Research question</w:t>
            </w:r>
            <w:r>
              <w:rPr>
                <w:noProof/>
                <w:webHidden/>
              </w:rPr>
              <w:tab/>
            </w:r>
            <w:r>
              <w:rPr>
                <w:noProof/>
                <w:webHidden/>
              </w:rPr>
              <w:fldChar w:fldCharType="begin"/>
            </w:r>
            <w:r>
              <w:rPr>
                <w:noProof/>
                <w:webHidden/>
              </w:rPr>
              <w:instrText xml:space="preserve"> PAGEREF _Toc86417227 \h </w:instrText>
            </w:r>
            <w:r>
              <w:rPr>
                <w:noProof/>
                <w:webHidden/>
              </w:rPr>
            </w:r>
            <w:r>
              <w:rPr>
                <w:noProof/>
                <w:webHidden/>
              </w:rPr>
              <w:fldChar w:fldCharType="separate"/>
            </w:r>
            <w:r w:rsidR="00C836FC">
              <w:rPr>
                <w:noProof/>
                <w:webHidden/>
              </w:rPr>
              <w:t>13</w:t>
            </w:r>
            <w:r>
              <w:rPr>
                <w:noProof/>
                <w:webHidden/>
              </w:rPr>
              <w:fldChar w:fldCharType="end"/>
            </w:r>
          </w:hyperlink>
        </w:p>
        <w:p w14:paraId="725EAA6C" w14:textId="30DE3303" w:rsidR="005A5E65" w:rsidRDefault="005A5E65">
          <w:pPr>
            <w:pStyle w:val="TOC2"/>
            <w:tabs>
              <w:tab w:val="right" w:leader="dot" w:pos="8302"/>
            </w:tabs>
            <w:rPr>
              <w:rFonts w:cstheme="minorBidi"/>
              <w:noProof/>
              <w:lang w:val="en-GB" w:eastAsia="ja-JP"/>
            </w:rPr>
          </w:pPr>
          <w:hyperlink w:anchor="_Toc86417228" w:history="1">
            <w:r w:rsidRPr="00550B49">
              <w:rPr>
                <w:rStyle w:val="Hyperlink"/>
                <w:noProof/>
              </w:rPr>
              <w:t>1.8. Research aim</w:t>
            </w:r>
            <w:r>
              <w:rPr>
                <w:noProof/>
                <w:webHidden/>
              </w:rPr>
              <w:tab/>
            </w:r>
            <w:r>
              <w:rPr>
                <w:noProof/>
                <w:webHidden/>
              </w:rPr>
              <w:fldChar w:fldCharType="begin"/>
            </w:r>
            <w:r>
              <w:rPr>
                <w:noProof/>
                <w:webHidden/>
              </w:rPr>
              <w:instrText xml:space="preserve"> PAGEREF _Toc86417228 \h </w:instrText>
            </w:r>
            <w:r>
              <w:rPr>
                <w:noProof/>
                <w:webHidden/>
              </w:rPr>
            </w:r>
            <w:r>
              <w:rPr>
                <w:noProof/>
                <w:webHidden/>
              </w:rPr>
              <w:fldChar w:fldCharType="separate"/>
            </w:r>
            <w:r w:rsidR="00C836FC">
              <w:rPr>
                <w:noProof/>
                <w:webHidden/>
              </w:rPr>
              <w:t>13</w:t>
            </w:r>
            <w:r>
              <w:rPr>
                <w:noProof/>
                <w:webHidden/>
              </w:rPr>
              <w:fldChar w:fldCharType="end"/>
            </w:r>
          </w:hyperlink>
        </w:p>
        <w:p w14:paraId="34BCD75D" w14:textId="5D0B9E6B" w:rsidR="005A5E65" w:rsidRDefault="005A5E65">
          <w:pPr>
            <w:pStyle w:val="TOC2"/>
            <w:tabs>
              <w:tab w:val="right" w:leader="dot" w:pos="8302"/>
            </w:tabs>
            <w:rPr>
              <w:rFonts w:cstheme="minorBidi"/>
              <w:noProof/>
              <w:lang w:val="en-GB" w:eastAsia="ja-JP"/>
            </w:rPr>
          </w:pPr>
          <w:hyperlink w:anchor="_Toc86417229" w:history="1">
            <w:r w:rsidRPr="00550B49">
              <w:rPr>
                <w:rStyle w:val="Hyperlink"/>
                <w:noProof/>
              </w:rPr>
              <w:t>1.9. Research objectives</w:t>
            </w:r>
            <w:r>
              <w:rPr>
                <w:noProof/>
                <w:webHidden/>
              </w:rPr>
              <w:tab/>
            </w:r>
            <w:r>
              <w:rPr>
                <w:noProof/>
                <w:webHidden/>
              </w:rPr>
              <w:fldChar w:fldCharType="begin"/>
            </w:r>
            <w:r>
              <w:rPr>
                <w:noProof/>
                <w:webHidden/>
              </w:rPr>
              <w:instrText xml:space="preserve"> PAGEREF _Toc86417229 \h </w:instrText>
            </w:r>
            <w:r>
              <w:rPr>
                <w:noProof/>
                <w:webHidden/>
              </w:rPr>
            </w:r>
            <w:r>
              <w:rPr>
                <w:noProof/>
                <w:webHidden/>
              </w:rPr>
              <w:fldChar w:fldCharType="separate"/>
            </w:r>
            <w:r w:rsidR="00C836FC">
              <w:rPr>
                <w:noProof/>
                <w:webHidden/>
              </w:rPr>
              <w:t>13</w:t>
            </w:r>
            <w:r>
              <w:rPr>
                <w:noProof/>
                <w:webHidden/>
              </w:rPr>
              <w:fldChar w:fldCharType="end"/>
            </w:r>
          </w:hyperlink>
        </w:p>
        <w:p w14:paraId="4B9ED470" w14:textId="45BA3477" w:rsidR="005A5E65" w:rsidRDefault="005A5E65">
          <w:pPr>
            <w:pStyle w:val="TOC2"/>
            <w:tabs>
              <w:tab w:val="right" w:leader="dot" w:pos="8302"/>
            </w:tabs>
            <w:rPr>
              <w:rFonts w:cstheme="minorBidi"/>
              <w:noProof/>
              <w:lang w:val="en-GB" w:eastAsia="ja-JP"/>
            </w:rPr>
          </w:pPr>
          <w:hyperlink w:anchor="_Toc86417230" w:history="1">
            <w:r w:rsidRPr="00550B49">
              <w:rPr>
                <w:rStyle w:val="Hyperlink"/>
                <w:noProof/>
              </w:rPr>
              <w:t>1.10. Thesis Structure</w:t>
            </w:r>
            <w:r>
              <w:rPr>
                <w:noProof/>
                <w:webHidden/>
              </w:rPr>
              <w:tab/>
            </w:r>
            <w:r>
              <w:rPr>
                <w:noProof/>
                <w:webHidden/>
              </w:rPr>
              <w:fldChar w:fldCharType="begin"/>
            </w:r>
            <w:r>
              <w:rPr>
                <w:noProof/>
                <w:webHidden/>
              </w:rPr>
              <w:instrText xml:space="preserve"> PAGEREF _Toc86417230 \h </w:instrText>
            </w:r>
            <w:r>
              <w:rPr>
                <w:noProof/>
                <w:webHidden/>
              </w:rPr>
            </w:r>
            <w:r>
              <w:rPr>
                <w:noProof/>
                <w:webHidden/>
              </w:rPr>
              <w:fldChar w:fldCharType="separate"/>
            </w:r>
            <w:r w:rsidR="00C836FC">
              <w:rPr>
                <w:noProof/>
                <w:webHidden/>
              </w:rPr>
              <w:t>14</w:t>
            </w:r>
            <w:r>
              <w:rPr>
                <w:noProof/>
                <w:webHidden/>
              </w:rPr>
              <w:fldChar w:fldCharType="end"/>
            </w:r>
          </w:hyperlink>
        </w:p>
        <w:p w14:paraId="2748BBBC" w14:textId="06C8CB16" w:rsidR="005A5E65" w:rsidRDefault="005A5E65">
          <w:pPr>
            <w:pStyle w:val="TOC2"/>
            <w:tabs>
              <w:tab w:val="right" w:leader="dot" w:pos="8302"/>
            </w:tabs>
            <w:rPr>
              <w:rFonts w:cstheme="minorBidi"/>
              <w:noProof/>
              <w:lang w:val="en-GB" w:eastAsia="ja-JP"/>
            </w:rPr>
          </w:pPr>
          <w:hyperlink w:anchor="_Toc86417231" w:history="1">
            <w:r w:rsidRPr="00550B49">
              <w:rPr>
                <w:rStyle w:val="Hyperlink"/>
                <w:noProof/>
              </w:rPr>
              <w:t>1.11. Summary</w:t>
            </w:r>
            <w:r>
              <w:rPr>
                <w:noProof/>
                <w:webHidden/>
              </w:rPr>
              <w:tab/>
            </w:r>
            <w:r>
              <w:rPr>
                <w:noProof/>
                <w:webHidden/>
              </w:rPr>
              <w:fldChar w:fldCharType="begin"/>
            </w:r>
            <w:r>
              <w:rPr>
                <w:noProof/>
                <w:webHidden/>
              </w:rPr>
              <w:instrText xml:space="preserve"> PAGEREF _Toc86417231 \h </w:instrText>
            </w:r>
            <w:r>
              <w:rPr>
                <w:noProof/>
                <w:webHidden/>
              </w:rPr>
            </w:r>
            <w:r>
              <w:rPr>
                <w:noProof/>
                <w:webHidden/>
              </w:rPr>
              <w:fldChar w:fldCharType="separate"/>
            </w:r>
            <w:r w:rsidR="00C836FC">
              <w:rPr>
                <w:noProof/>
                <w:webHidden/>
              </w:rPr>
              <w:t>15</w:t>
            </w:r>
            <w:r>
              <w:rPr>
                <w:noProof/>
                <w:webHidden/>
              </w:rPr>
              <w:fldChar w:fldCharType="end"/>
            </w:r>
          </w:hyperlink>
        </w:p>
        <w:p w14:paraId="2C56D61E" w14:textId="559F7B27" w:rsidR="005A5E65" w:rsidRDefault="005A5E65">
          <w:pPr>
            <w:pStyle w:val="TOC1"/>
            <w:tabs>
              <w:tab w:val="right" w:leader="dot" w:pos="8302"/>
            </w:tabs>
            <w:rPr>
              <w:rFonts w:cstheme="minorBidi"/>
              <w:noProof/>
              <w:lang w:val="en-GB" w:eastAsia="ja-JP"/>
            </w:rPr>
          </w:pPr>
          <w:hyperlink w:anchor="_Toc86417232" w:history="1">
            <w:r w:rsidRPr="00550B49">
              <w:rPr>
                <w:rStyle w:val="Hyperlink"/>
                <w:noProof/>
              </w:rPr>
              <w:t>CHAPTER TWO</w:t>
            </w:r>
            <w:r>
              <w:rPr>
                <w:noProof/>
                <w:webHidden/>
              </w:rPr>
              <w:tab/>
            </w:r>
            <w:r>
              <w:rPr>
                <w:noProof/>
                <w:webHidden/>
              </w:rPr>
              <w:fldChar w:fldCharType="begin"/>
            </w:r>
            <w:r>
              <w:rPr>
                <w:noProof/>
                <w:webHidden/>
              </w:rPr>
              <w:instrText xml:space="preserve"> PAGEREF _Toc86417232 \h </w:instrText>
            </w:r>
            <w:r>
              <w:rPr>
                <w:noProof/>
                <w:webHidden/>
              </w:rPr>
            </w:r>
            <w:r>
              <w:rPr>
                <w:noProof/>
                <w:webHidden/>
              </w:rPr>
              <w:fldChar w:fldCharType="separate"/>
            </w:r>
            <w:r w:rsidR="00C836FC">
              <w:rPr>
                <w:noProof/>
                <w:webHidden/>
              </w:rPr>
              <w:t>17</w:t>
            </w:r>
            <w:r>
              <w:rPr>
                <w:noProof/>
                <w:webHidden/>
              </w:rPr>
              <w:fldChar w:fldCharType="end"/>
            </w:r>
          </w:hyperlink>
        </w:p>
        <w:p w14:paraId="1A6106EE" w14:textId="77669792" w:rsidR="005A5E65" w:rsidRDefault="005A5E65">
          <w:pPr>
            <w:pStyle w:val="TOC2"/>
            <w:tabs>
              <w:tab w:val="right" w:leader="dot" w:pos="8302"/>
            </w:tabs>
            <w:rPr>
              <w:rFonts w:cstheme="minorBidi"/>
              <w:noProof/>
              <w:lang w:val="en-GB" w:eastAsia="ja-JP"/>
            </w:rPr>
          </w:pPr>
          <w:hyperlink w:anchor="_Toc86417233" w:history="1">
            <w:r w:rsidRPr="00550B49">
              <w:rPr>
                <w:rStyle w:val="Hyperlink"/>
                <w:noProof/>
              </w:rPr>
              <w:t>2.1. Introduction</w:t>
            </w:r>
            <w:r>
              <w:rPr>
                <w:noProof/>
                <w:webHidden/>
              </w:rPr>
              <w:tab/>
            </w:r>
            <w:r>
              <w:rPr>
                <w:noProof/>
                <w:webHidden/>
              </w:rPr>
              <w:fldChar w:fldCharType="begin"/>
            </w:r>
            <w:r>
              <w:rPr>
                <w:noProof/>
                <w:webHidden/>
              </w:rPr>
              <w:instrText xml:space="preserve"> PAGEREF _Toc86417233 \h </w:instrText>
            </w:r>
            <w:r>
              <w:rPr>
                <w:noProof/>
                <w:webHidden/>
              </w:rPr>
            </w:r>
            <w:r>
              <w:rPr>
                <w:noProof/>
                <w:webHidden/>
              </w:rPr>
              <w:fldChar w:fldCharType="separate"/>
            </w:r>
            <w:r w:rsidR="00C836FC">
              <w:rPr>
                <w:noProof/>
                <w:webHidden/>
              </w:rPr>
              <w:t>17</w:t>
            </w:r>
            <w:r>
              <w:rPr>
                <w:noProof/>
                <w:webHidden/>
              </w:rPr>
              <w:fldChar w:fldCharType="end"/>
            </w:r>
          </w:hyperlink>
        </w:p>
        <w:p w14:paraId="17539D9F" w14:textId="4B8578F4" w:rsidR="005A5E65" w:rsidRDefault="005A5E65">
          <w:pPr>
            <w:pStyle w:val="TOC2"/>
            <w:tabs>
              <w:tab w:val="right" w:leader="dot" w:pos="8302"/>
            </w:tabs>
            <w:rPr>
              <w:rFonts w:cstheme="minorBidi"/>
              <w:noProof/>
              <w:lang w:val="en-GB" w:eastAsia="ja-JP"/>
            </w:rPr>
          </w:pPr>
          <w:hyperlink w:anchor="_Toc86417234" w:history="1">
            <w:r w:rsidRPr="00550B49">
              <w:rPr>
                <w:rStyle w:val="Hyperlink"/>
                <w:noProof/>
              </w:rPr>
              <w:t>2.2. International migration: types and trend</w:t>
            </w:r>
            <w:r>
              <w:rPr>
                <w:noProof/>
                <w:webHidden/>
              </w:rPr>
              <w:tab/>
            </w:r>
            <w:r>
              <w:rPr>
                <w:noProof/>
                <w:webHidden/>
              </w:rPr>
              <w:fldChar w:fldCharType="begin"/>
            </w:r>
            <w:r>
              <w:rPr>
                <w:noProof/>
                <w:webHidden/>
              </w:rPr>
              <w:instrText xml:space="preserve"> PAGEREF _Toc86417234 \h </w:instrText>
            </w:r>
            <w:r>
              <w:rPr>
                <w:noProof/>
                <w:webHidden/>
              </w:rPr>
            </w:r>
            <w:r>
              <w:rPr>
                <w:noProof/>
                <w:webHidden/>
              </w:rPr>
              <w:fldChar w:fldCharType="separate"/>
            </w:r>
            <w:r w:rsidR="00C836FC">
              <w:rPr>
                <w:noProof/>
                <w:webHidden/>
              </w:rPr>
              <w:t>18</w:t>
            </w:r>
            <w:r>
              <w:rPr>
                <w:noProof/>
                <w:webHidden/>
              </w:rPr>
              <w:fldChar w:fldCharType="end"/>
            </w:r>
          </w:hyperlink>
        </w:p>
        <w:p w14:paraId="7DD2A956" w14:textId="327674B9" w:rsidR="005A5E65" w:rsidRDefault="005A5E65">
          <w:pPr>
            <w:pStyle w:val="TOC3"/>
            <w:tabs>
              <w:tab w:val="right" w:leader="dot" w:pos="8302"/>
            </w:tabs>
            <w:rPr>
              <w:rFonts w:cstheme="minorBidi"/>
              <w:noProof/>
              <w:lang w:val="en-GB" w:eastAsia="ja-JP"/>
            </w:rPr>
          </w:pPr>
          <w:hyperlink w:anchor="_Toc86417235" w:history="1">
            <w:r w:rsidRPr="00550B49">
              <w:rPr>
                <w:rStyle w:val="Hyperlink"/>
                <w:noProof/>
              </w:rPr>
              <w:t>2.2.1. Types of international migration</w:t>
            </w:r>
            <w:r>
              <w:rPr>
                <w:noProof/>
                <w:webHidden/>
              </w:rPr>
              <w:tab/>
            </w:r>
            <w:r>
              <w:rPr>
                <w:noProof/>
                <w:webHidden/>
              </w:rPr>
              <w:fldChar w:fldCharType="begin"/>
            </w:r>
            <w:r>
              <w:rPr>
                <w:noProof/>
                <w:webHidden/>
              </w:rPr>
              <w:instrText xml:space="preserve"> PAGEREF _Toc86417235 \h </w:instrText>
            </w:r>
            <w:r>
              <w:rPr>
                <w:noProof/>
                <w:webHidden/>
              </w:rPr>
            </w:r>
            <w:r>
              <w:rPr>
                <w:noProof/>
                <w:webHidden/>
              </w:rPr>
              <w:fldChar w:fldCharType="separate"/>
            </w:r>
            <w:r w:rsidR="00C836FC">
              <w:rPr>
                <w:noProof/>
                <w:webHidden/>
              </w:rPr>
              <w:t>18</w:t>
            </w:r>
            <w:r>
              <w:rPr>
                <w:noProof/>
                <w:webHidden/>
              </w:rPr>
              <w:fldChar w:fldCharType="end"/>
            </w:r>
          </w:hyperlink>
        </w:p>
        <w:p w14:paraId="15B73A83" w14:textId="1BB38B03" w:rsidR="005A5E65" w:rsidRDefault="005A5E65">
          <w:pPr>
            <w:pStyle w:val="TOC3"/>
            <w:tabs>
              <w:tab w:val="right" w:leader="dot" w:pos="8302"/>
            </w:tabs>
            <w:rPr>
              <w:rFonts w:cstheme="minorBidi"/>
              <w:noProof/>
              <w:lang w:val="en-GB" w:eastAsia="ja-JP"/>
            </w:rPr>
          </w:pPr>
          <w:hyperlink w:anchor="_Toc86417236" w:history="1">
            <w:r w:rsidRPr="00550B49">
              <w:rPr>
                <w:rStyle w:val="Hyperlink"/>
                <w:noProof/>
              </w:rPr>
              <w:t>2.2.2. The trend of international migration</w:t>
            </w:r>
            <w:r>
              <w:rPr>
                <w:noProof/>
                <w:webHidden/>
              </w:rPr>
              <w:tab/>
            </w:r>
            <w:r>
              <w:rPr>
                <w:noProof/>
                <w:webHidden/>
              </w:rPr>
              <w:fldChar w:fldCharType="begin"/>
            </w:r>
            <w:r>
              <w:rPr>
                <w:noProof/>
                <w:webHidden/>
              </w:rPr>
              <w:instrText xml:space="preserve"> PAGEREF _Toc86417236 \h </w:instrText>
            </w:r>
            <w:r>
              <w:rPr>
                <w:noProof/>
                <w:webHidden/>
              </w:rPr>
            </w:r>
            <w:r>
              <w:rPr>
                <w:noProof/>
                <w:webHidden/>
              </w:rPr>
              <w:fldChar w:fldCharType="separate"/>
            </w:r>
            <w:r w:rsidR="00C836FC">
              <w:rPr>
                <w:noProof/>
                <w:webHidden/>
              </w:rPr>
              <w:t>19</w:t>
            </w:r>
            <w:r>
              <w:rPr>
                <w:noProof/>
                <w:webHidden/>
              </w:rPr>
              <w:fldChar w:fldCharType="end"/>
            </w:r>
          </w:hyperlink>
        </w:p>
        <w:p w14:paraId="314C6737" w14:textId="64AEA2A6" w:rsidR="005A5E65" w:rsidRDefault="005A5E65">
          <w:pPr>
            <w:pStyle w:val="TOC2"/>
            <w:tabs>
              <w:tab w:val="right" w:leader="dot" w:pos="8302"/>
            </w:tabs>
            <w:rPr>
              <w:rFonts w:cstheme="minorBidi"/>
              <w:noProof/>
              <w:lang w:val="en-GB" w:eastAsia="ja-JP"/>
            </w:rPr>
          </w:pPr>
          <w:hyperlink w:anchor="_Toc86417237" w:history="1">
            <w:r w:rsidRPr="00550B49">
              <w:rPr>
                <w:rStyle w:val="Hyperlink"/>
                <w:noProof/>
              </w:rPr>
              <w:t>2.3. Migrant workers in the UK</w:t>
            </w:r>
            <w:r>
              <w:rPr>
                <w:noProof/>
                <w:webHidden/>
              </w:rPr>
              <w:tab/>
            </w:r>
            <w:r>
              <w:rPr>
                <w:noProof/>
                <w:webHidden/>
              </w:rPr>
              <w:fldChar w:fldCharType="begin"/>
            </w:r>
            <w:r>
              <w:rPr>
                <w:noProof/>
                <w:webHidden/>
              </w:rPr>
              <w:instrText xml:space="preserve"> PAGEREF _Toc86417237 \h </w:instrText>
            </w:r>
            <w:r>
              <w:rPr>
                <w:noProof/>
                <w:webHidden/>
              </w:rPr>
            </w:r>
            <w:r>
              <w:rPr>
                <w:noProof/>
                <w:webHidden/>
              </w:rPr>
              <w:fldChar w:fldCharType="separate"/>
            </w:r>
            <w:r w:rsidR="00C836FC">
              <w:rPr>
                <w:noProof/>
                <w:webHidden/>
              </w:rPr>
              <w:t>20</w:t>
            </w:r>
            <w:r>
              <w:rPr>
                <w:noProof/>
                <w:webHidden/>
              </w:rPr>
              <w:fldChar w:fldCharType="end"/>
            </w:r>
          </w:hyperlink>
        </w:p>
        <w:p w14:paraId="5B208896" w14:textId="6C5BE71E" w:rsidR="005A5E65" w:rsidRDefault="005A5E65">
          <w:pPr>
            <w:pStyle w:val="TOC3"/>
            <w:tabs>
              <w:tab w:val="right" w:leader="dot" w:pos="8302"/>
            </w:tabs>
            <w:rPr>
              <w:rFonts w:cstheme="minorBidi"/>
              <w:noProof/>
              <w:lang w:val="en-GB" w:eastAsia="ja-JP"/>
            </w:rPr>
          </w:pPr>
          <w:hyperlink w:anchor="_Toc86417238" w:history="1">
            <w:r w:rsidRPr="00550B49">
              <w:rPr>
                <w:rStyle w:val="Hyperlink"/>
                <w:noProof/>
              </w:rPr>
              <w:t>2.3.1. The trend in labour migration to the UK since the 1940s in brief</w:t>
            </w:r>
            <w:r>
              <w:rPr>
                <w:noProof/>
                <w:webHidden/>
              </w:rPr>
              <w:tab/>
            </w:r>
            <w:r>
              <w:rPr>
                <w:noProof/>
                <w:webHidden/>
              </w:rPr>
              <w:fldChar w:fldCharType="begin"/>
            </w:r>
            <w:r>
              <w:rPr>
                <w:noProof/>
                <w:webHidden/>
              </w:rPr>
              <w:instrText xml:space="preserve"> PAGEREF _Toc86417238 \h </w:instrText>
            </w:r>
            <w:r>
              <w:rPr>
                <w:noProof/>
                <w:webHidden/>
              </w:rPr>
            </w:r>
            <w:r>
              <w:rPr>
                <w:noProof/>
                <w:webHidden/>
              </w:rPr>
              <w:fldChar w:fldCharType="separate"/>
            </w:r>
            <w:r w:rsidR="00C836FC">
              <w:rPr>
                <w:noProof/>
                <w:webHidden/>
              </w:rPr>
              <w:t>20</w:t>
            </w:r>
            <w:r>
              <w:rPr>
                <w:noProof/>
                <w:webHidden/>
              </w:rPr>
              <w:fldChar w:fldCharType="end"/>
            </w:r>
          </w:hyperlink>
        </w:p>
        <w:p w14:paraId="0A24DA02" w14:textId="4C81013A" w:rsidR="005A5E65" w:rsidRDefault="005A5E65">
          <w:pPr>
            <w:pStyle w:val="TOC3"/>
            <w:tabs>
              <w:tab w:val="right" w:leader="dot" w:pos="8302"/>
            </w:tabs>
            <w:rPr>
              <w:rFonts w:cstheme="minorBidi"/>
              <w:noProof/>
              <w:lang w:val="en-GB" w:eastAsia="ja-JP"/>
            </w:rPr>
          </w:pPr>
          <w:hyperlink w:anchor="_Toc86417239" w:history="1">
            <w:r w:rsidRPr="00550B49">
              <w:rPr>
                <w:rStyle w:val="Hyperlink"/>
                <w:noProof/>
              </w:rPr>
              <w:t>2.3.2. Demographic characteristics: age and gender</w:t>
            </w:r>
            <w:r>
              <w:rPr>
                <w:noProof/>
                <w:webHidden/>
              </w:rPr>
              <w:tab/>
            </w:r>
            <w:r>
              <w:rPr>
                <w:noProof/>
                <w:webHidden/>
              </w:rPr>
              <w:fldChar w:fldCharType="begin"/>
            </w:r>
            <w:r>
              <w:rPr>
                <w:noProof/>
                <w:webHidden/>
              </w:rPr>
              <w:instrText xml:space="preserve"> PAGEREF _Toc86417239 \h </w:instrText>
            </w:r>
            <w:r>
              <w:rPr>
                <w:noProof/>
                <w:webHidden/>
              </w:rPr>
            </w:r>
            <w:r>
              <w:rPr>
                <w:noProof/>
                <w:webHidden/>
              </w:rPr>
              <w:fldChar w:fldCharType="separate"/>
            </w:r>
            <w:r w:rsidR="00C836FC">
              <w:rPr>
                <w:noProof/>
                <w:webHidden/>
              </w:rPr>
              <w:t>21</w:t>
            </w:r>
            <w:r>
              <w:rPr>
                <w:noProof/>
                <w:webHidden/>
              </w:rPr>
              <w:fldChar w:fldCharType="end"/>
            </w:r>
          </w:hyperlink>
        </w:p>
        <w:p w14:paraId="42CC2756" w14:textId="35A7A33C" w:rsidR="005A5E65" w:rsidRDefault="005A5E65">
          <w:pPr>
            <w:pStyle w:val="TOC3"/>
            <w:tabs>
              <w:tab w:val="right" w:leader="dot" w:pos="8302"/>
            </w:tabs>
            <w:rPr>
              <w:rFonts w:cstheme="minorBidi"/>
              <w:noProof/>
              <w:lang w:val="en-GB" w:eastAsia="ja-JP"/>
            </w:rPr>
          </w:pPr>
          <w:hyperlink w:anchor="_Toc86417240" w:history="1">
            <w:r w:rsidRPr="00550B49">
              <w:rPr>
                <w:rStyle w:val="Hyperlink"/>
                <w:noProof/>
              </w:rPr>
              <w:t>2.3.3. Educational background</w:t>
            </w:r>
            <w:r>
              <w:rPr>
                <w:noProof/>
                <w:webHidden/>
              </w:rPr>
              <w:tab/>
            </w:r>
            <w:r>
              <w:rPr>
                <w:noProof/>
                <w:webHidden/>
              </w:rPr>
              <w:fldChar w:fldCharType="begin"/>
            </w:r>
            <w:r>
              <w:rPr>
                <w:noProof/>
                <w:webHidden/>
              </w:rPr>
              <w:instrText xml:space="preserve"> PAGEREF _Toc86417240 \h </w:instrText>
            </w:r>
            <w:r>
              <w:rPr>
                <w:noProof/>
                <w:webHidden/>
              </w:rPr>
            </w:r>
            <w:r>
              <w:rPr>
                <w:noProof/>
                <w:webHidden/>
              </w:rPr>
              <w:fldChar w:fldCharType="separate"/>
            </w:r>
            <w:r w:rsidR="00C836FC">
              <w:rPr>
                <w:noProof/>
                <w:webHidden/>
              </w:rPr>
              <w:t>22</w:t>
            </w:r>
            <w:r>
              <w:rPr>
                <w:noProof/>
                <w:webHidden/>
              </w:rPr>
              <w:fldChar w:fldCharType="end"/>
            </w:r>
          </w:hyperlink>
        </w:p>
        <w:p w14:paraId="2D0DF951" w14:textId="310E33B9" w:rsidR="005A5E65" w:rsidRDefault="005A5E65">
          <w:pPr>
            <w:pStyle w:val="TOC2"/>
            <w:tabs>
              <w:tab w:val="right" w:leader="dot" w:pos="8302"/>
            </w:tabs>
            <w:rPr>
              <w:rFonts w:cstheme="minorBidi"/>
              <w:noProof/>
              <w:lang w:val="en-GB" w:eastAsia="ja-JP"/>
            </w:rPr>
          </w:pPr>
          <w:hyperlink w:anchor="_Toc86417241" w:history="1">
            <w:r w:rsidRPr="00550B49">
              <w:rPr>
                <w:rStyle w:val="Hyperlink"/>
                <w:noProof/>
              </w:rPr>
              <w:t>2.4. Migration theories</w:t>
            </w:r>
            <w:r>
              <w:rPr>
                <w:noProof/>
                <w:webHidden/>
              </w:rPr>
              <w:tab/>
            </w:r>
            <w:r>
              <w:rPr>
                <w:noProof/>
                <w:webHidden/>
              </w:rPr>
              <w:fldChar w:fldCharType="begin"/>
            </w:r>
            <w:r>
              <w:rPr>
                <w:noProof/>
                <w:webHidden/>
              </w:rPr>
              <w:instrText xml:space="preserve"> PAGEREF _Toc86417241 \h </w:instrText>
            </w:r>
            <w:r>
              <w:rPr>
                <w:noProof/>
                <w:webHidden/>
              </w:rPr>
            </w:r>
            <w:r>
              <w:rPr>
                <w:noProof/>
                <w:webHidden/>
              </w:rPr>
              <w:fldChar w:fldCharType="separate"/>
            </w:r>
            <w:r w:rsidR="00C836FC">
              <w:rPr>
                <w:noProof/>
                <w:webHidden/>
              </w:rPr>
              <w:t>23</w:t>
            </w:r>
            <w:r>
              <w:rPr>
                <w:noProof/>
                <w:webHidden/>
              </w:rPr>
              <w:fldChar w:fldCharType="end"/>
            </w:r>
          </w:hyperlink>
        </w:p>
        <w:p w14:paraId="0C22618F" w14:textId="0B8D8E7C" w:rsidR="005A5E65" w:rsidRDefault="005A5E65">
          <w:pPr>
            <w:pStyle w:val="TOC3"/>
            <w:tabs>
              <w:tab w:val="right" w:leader="dot" w:pos="8302"/>
            </w:tabs>
            <w:rPr>
              <w:rFonts w:cstheme="minorBidi"/>
              <w:noProof/>
              <w:lang w:val="en-GB" w:eastAsia="ja-JP"/>
            </w:rPr>
          </w:pPr>
          <w:hyperlink w:anchor="_Toc86417242" w:history="1">
            <w:r w:rsidRPr="00550B49">
              <w:rPr>
                <w:rStyle w:val="Hyperlink"/>
                <w:noProof/>
              </w:rPr>
              <w:t>2.4.1. Neoclassical Theory</w:t>
            </w:r>
            <w:r>
              <w:rPr>
                <w:noProof/>
                <w:webHidden/>
              </w:rPr>
              <w:tab/>
            </w:r>
            <w:r>
              <w:rPr>
                <w:noProof/>
                <w:webHidden/>
              </w:rPr>
              <w:fldChar w:fldCharType="begin"/>
            </w:r>
            <w:r>
              <w:rPr>
                <w:noProof/>
                <w:webHidden/>
              </w:rPr>
              <w:instrText xml:space="preserve"> PAGEREF _Toc86417242 \h </w:instrText>
            </w:r>
            <w:r>
              <w:rPr>
                <w:noProof/>
                <w:webHidden/>
              </w:rPr>
            </w:r>
            <w:r>
              <w:rPr>
                <w:noProof/>
                <w:webHidden/>
              </w:rPr>
              <w:fldChar w:fldCharType="separate"/>
            </w:r>
            <w:r w:rsidR="00C836FC">
              <w:rPr>
                <w:noProof/>
                <w:webHidden/>
              </w:rPr>
              <w:t>23</w:t>
            </w:r>
            <w:r>
              <w:rPr>
                <w:noProof/>
                <w:webHidden/>
              </w:rPr>
              <w:fldChar w:fldCharType="end"/>
            </w:r>
          </w:hyperlink>
        </w:p>
        <w:p w14:paraId="1E056938" w14:textId="1E6DE045" w:rsidR="005A5E65" w:rsidRDefault="005A5E65">
          <w:pPr>
            <w:pStyle w:val="TOC3"/>
            <w:tabs>
              <w:tab w:val="right" w:leader="dot" w:pos="8302"/>
            </w:tabs>
            <w:rPr>
              <w:rFonts w:cstheme="minorBidi"/>
              <w:noProof/>
              <w:lang w:val="en-GB" w:eastAsia="ja-JP"/>
            </w:rPr>
          </w:pPr>
          <w:hyperlink w:anchor="_Toc86417243" w:history="1">
            <w:r w:rsidRPr="00550B49">
              <w:rPr>
                <w:rStyle w:val="Hyperlink"/>
                <w:bCs/>
                <w:noProof/>
              </w:rPr>
              <w:t xml:space="preserve">2.4.2. </w:t>
            </w:r>
            <w:r w:rsidRPr="00550B49">
              <w:rPr>
                <w:rStyle w:val="Hyperlink"/>
                <w:noProof/>
              </w:rPr>
              <w:t>The New Economics of Labour Migration Theory</w:t>
            </w:r>
            <w:r>
              <w:rPr>
                <w:noProof/>
                <w:webHidden/>
              </w:rPr>
              <w:tab/>
            </w:r>
            <w:r>
              <w:rPr>
                <w:noProof/>
                <w:webHidden/>
              </w:rPr>
              <w:fldChar w:fldCharType="begin"/>
            </w:r>
            <w:r>
              <w:rPr>
                <w:noProof/>
                <w:webHidden/>
              </w:rPr>
              <w:instrText xml:space="preserve"> PAGEREF _Toc86417243 \h </w:instrText>
            </w:r>
            <w:r>
              <w:rPr>
                <w:noProof/>
                <w:webHidden/>
              </w:rPr>
            </w:r>
            <w:r>
              <w:rPr>
                <w:noProof/>
                <w:webHidden/>
              </w:rPr>
              <w:fldChar w:fldCharType="separate"/>
            </w:r>
            <w:r w:rsidR="00C836FC">
              <w:rPr>
                <w:noProof/>
                <w:webHidden/>
              </w:rPr>
              <w:t>25</w:t>
            </w:r>
            <w:r>
              <w:rPr>
                <w:noProof/>
                <w:webHidden/>
              </w:rPr>
              <w:fldChar w:fldCharType="end"/>
            </w:r>
          </w:hyperlink>
        </w:p>
        <w:p w14:paraId="50A23AA5" w14:textId="03AF04FF" w:rsidR="005A5E65" w:rsidRDefault="005A5E65">
          <w:pPr>
            <w:pStyle w:val="TOC3"/>
            <w:tabs>
              <w:tab w:val="right" w:leader="dot" w:pos="8302"/>
            </w:tabs>
            <w:rPr>
              <w:rFonts w:cstheme="minorBidi"/>
              <w:noProof/>
              <w:lang w:val="en-GB" w:eastAsia="ja-JP"/>
            </w:rPr>
          </w:pPr>
          <w:hyperlink w:anchor="_Toc86417244" w:history="1">
            <w:r w:rsidRPr="00550B49">
              <w:rPr>
                <w:rStyle w:val="Hyperlink"/>
                <w:bCs/>
                <w:noProof/>
              </w:rPr>
              <w:t xml:space="preserve">2.4.3. </w:t>
            </w:r>
            <w:r w:rsidRPr="00550B49">
              <w:rPr>
                <w:rStyle w:val="Hyperlink"/>
                <w:noProof/>
              </w:rPr>
              <w:t>Dual Labour Market Theory</w:t>
            </w:r>
            <w:r>
              <w:rPr>
                <w:noProof/>
                <w:webHidden/>
              </w:rPr>
              <w:tab/>
            </w:r>
            <w:r>
              <w:rPr>
                <w:noProof/>
                <w:webHidden/>
              </w:rPr>
              <w:fldChar w:fldCharType="begin"/>
            </w:r>
            <w:r>
              <w:rPr>
                <w:noProof/>
                <w:webHidden/>
              </w:rPr>
              <w:instrText xml:space="preserve"> PAGEREF _Toc86417244 \h </w:instrText>
            </w:r>
            <w:r>
              <w:rPr>
                <w:noProof/>
                <w:webHidden/>
              </w:rPr>
            </w:r>
            <w:r>
              <w:rPr>
                <w:noProof/>
                <w:webHidden/>
              </w:rPr>
              <w:fldChar w:fldCharType="separate"/>
            </w:r>
            <w:r w:rsidR="00C836FC">
              <w:rPr>
                <w:noProof/>
                <w:webHidden/>
              </w:rPr>
              <w:t>26</w:t>
            </w:r>
            <w:r>
              <w:rPr>
                <w:noProof/>
                <w:webHidden/>
              </w:rPr>
              <w:fldChar w:fldCharType="end"/>
            </w:r>
          </w:hyperlink>
        </w:p>
        <w:p w14:paraId="7AB0B9B5" w14:textId="205CDF36" w:rsidR="005A5E65" w:rsidRDefault="005A5E65">
          <w:pPr>
            <w:pStyle w:val="TOC3"/>
            <w:tabs>
              <w:tab w:val="right" w:leader="dot" w:pos="8302"/>
            </w:tabs>
            <w:rPr>
              <w:rFonts w:cstheme="minorBidi"/>
              <w:noProof/>
              <w:lang w:val="en-GB" w:eastAsia="ja-JP"/>
            </w:rPr>
          </w:pPr>
          <w:hyperlink w:anchor="_Toc86417245" w:history="1">
            <w:r w:rsidRPr="00550B49">
              <w:rPr>
                <w:rStyle w:val="Hyperlink"/>
                <w:bCs/>
                <w:noProof/>
              </w:rPr>
              <w:t xml:space="preserve">2.4.4. </w:t>
            </w:r>
            <w:r w:rsidRPr="00550B49">
              <w:rPr>
                <w:rStyle w:val="Hyperlink"/>
                <w:noProof/>
              </w:rPr>
              <w:t>World System Theory</w:t>
            </w:r>
            <w:r>
              <w:rPr>
                <w:noProof/>
                <w:webHidden/>
              </w:rPr>
              <w:tab/>
            </w:r>
            <w:r>
              <w:rPr>
                <w:noProof/>
                <w:webHidden/>
              </w:rPr>
              <w:fldChar w:fldCharType="begin"/>
            </w:r>
            <w:r>
              <w:rPr>
                <w:noProof/>
                <w:webHidden/>
              </w:rPr>
              <w:instrText xml:space="preserve"> PAGEREF _Toc86417245 \h </w:instrText>
            </w:r>
            <w:r>
              <w:rPr>
                <w:noProof/>
                <w:webHidden/>
              </w:rPr>
            </w:r>
            <w:r>
              <w:rPr>
                <w:noProof/>
                <w:webHidden/>
              </w:rPr>
              <w:fldChar w:fldCharType="separate"/>
            </w:r>
            <w:r w:rsidR="00C836FC">
              <w:rPr>
                <w:noProof/>
                <w:webHidden/>
              </w:rPr>
              <w:t>29</w:t>
            </w:r>
            <w:r>
              <w:rPr>
                <w:noProof/>
                <w:webHidden/>
              </w:rPr>
              <w:fldChar w:fldCharType="end"/>
            </w:r>
          </w:hyperlink>
        </w:p>
        <w:p w14:paraId="68D158ED" w14:textId="64E92263" w:rsidR="005A5E65" w:rsidRDefault="005A5E65">
          <w:pPr>
            <w:pStyle w:val="TOC2"/>
            <w:tabs>
              <w:tab w:val="right" w:leader="dot" w:pos="8302"/>
            </w:tabs>
            <w:rPr>
              <w:rFonts w:cstheme="minorBidi"/>
              <w:noProof/>
              <w:lang w:val="en-GB" w:eastAsia="ja-JP"/>
            </w:rPr>
          </w:pPr>
          <w:hyperlink w:anchor="_Toc86417246" w:history="1">
            <w:r w:rsidRPr="00550B49">
              <w:rPr>
                <w:rStyle w:val="Hyperlink"/>
                <w:noProof/>
              </w:rPr>
              <w:t>2.5. Factors influencing the global demand for migrant care workers</w:t>
            </w:r>
            <w:r>
              <w:rPr>
                <w:noProof/>
                <w:webHidden/>
              </w:rPr>
              <w:tab/>
            </w:r>
            <w:r>
              <w:rPr>
                <w:noProof/>
                <w:webHidden/>
              </w:rPr>
              <w:fldChar w:fldCharType="begin"/>
            </w:r>
            <w:r>
              <w:rPr>
                <w:noProof/>
                <w:webHidden/>
              </w:rPr>
              <w:instrText xml:space="preserve"> PAGEREF _Toc86417246 \h </w:instrText>
            </w:r>
            <w:r>
              <w:rPr>
                <w:noProof/>
                <w:webHidden/>
              </w:rPr>
            </w:r>
            <w:r>
              <w:rPr>
                <w:noProof/>
                <w:webHidden/>
              </w:rPr>
              <w:fldChar w:fldCharType="separate"/>
            </w:r>
            <w:r w:rsidR="00C836FC">
              <w:rPr>
                <w:noProof/>
                <w:webHidden/>
              </w:rPr>
              <w:t>33</w:t>
            </w:r>
            <w:r>
              <w:rPr>
                <w:noProof/>
                <w:webHidden/>
              </w:rPr>
              <w:fldChar w:fldCharType="end"/>
            </w:r>
          </w:hyperlink>
        </w:p>
        <w:p w14:paraId="424D65D2" w14:textId="47BBB11C" w:rsidR="005A5E65" w:rsidRDefault="005A5E65">
          <w:pPr>
            <w:pStyle w:val="TOC3"/>
            <w:tabs>
              <w:tab w:val="right" w:leader="dot" w:pos="8302"/>
            </w:tabs>
            <w:rPr>
              <w:rFonts w:cstheme="minorBidi"/>
              <w:noProof/>
              <w:lang w:val="en-GB" w:eastAsia="ja-JP"/>
            </w:rPr>
          </w:pPr>
          <w:hyperlink w:anchor="_Toc86417247" w:history="1">
            <w:r w:rsidRPr="00550B49">
              <w:rPr>
                <w:rStyle w:val="Hyperlink"/>
                <w:bCs/>
                <w:noProof/>
              </w:rPr>
              <w:t xml:space="preserve">2.5.1. </w:t>
            </w:r>
            <w:r w:rsidRPr="00550B49">
              <w:rPr>
                <w:rStyle w:val="Hyperlink"/>
                <w:noProof/>
              </w:rPr>
              <w:t>Changing demographics</w:t>
            </w:r>
            <w:r>
              <w:rPr>
                <w:noProof/>
                <w:webHidden/>
              </w:rPr>
              <w:tab/>
            </w:r>
            <w:r>
              <w:rPr>
                <w:noProof/>
                <w:webHidden/>
              </w:rPr>
              <w:fldChar w:fldCharType="begin"/>
            </w:r>
            <w:r>
              <w:rPr>
                <w:noProof/>
                <w:webHidden/>
              </w:rPr>
              <w:instrText xml:space="preserve"> PAGEREF _Toc86417247 \h </w:instrText>
            </w:r>
            <w:r>
              <w:rPr>
                <w:noProof/>
                <w:webHidden/>
              </w:rPr>
            </w:r>
            <w:r>
              <w:rPr>
                <w:noProof/>
                <w:webHidden/>
              </w:rPr>
              <w:fldChar w:fldCharType="separate"/>
            </w:r>
            <w:r w:rsidR="00C836FC">
              <w:rPr>
                <w:noProof/>
                <w:webHidden/>
              </w:rPr>
              <w:t>33</w:t>
            </w:r>
            <w:r>
              <w:rPr>
                <w:noProof/>
                <w:webHidden/>
              </w:rPr>
              <w:fldChar w:fldCharType="end"/>
            </w:r>
          </w:hyperlink>
        </w:p>
        <w:p w14:paraId="2E480E72" w14:textId="6D000384" w:rsidR="005A5E65" w:rsidRDefault="005A5E65">
          <w:pPr>
            <w:pStyle w:val="TOC3"/>
            <w:tabs>
              <w:tab w:val="right" w:leader="dot" w:pos="8302"/>
            </w:tabs>
            <w:rPr>
              <w:rFonts w:cstheme="minorBidi"/>
              <w:noProof/>
              <w:lang w:val="en-GB" w:eastAsia="ja-JP"/>
            </w:rPr>
          </w:pPr>
          <w:hyperlink w:anchor="_Toc86417248" w:history="1">
            <w:r w:rsidRPr="00550B49">
              <w:rPr>
                <w:rStyle w:val="Hyperlink"/>
                <w:noProof/>
              </w:rPr>
              <w:t>2.5.2. Change in family structures and caregiving roles</w:t>
            </w:r>
            <w:r>
              <w:rPr>
                <w:noProof/>
                <w:webHidden/>
              </w:rPr>
              <w:tab/>
            </w:r>
            <w:r>
              <w:rPr>
                <w:noProof/>
                <w:webHidden/>
              </w:rPr>
              <w:fldChar w:fldCharType="begin"/>
            </w:r>
            <w:r>
              <w:rPr>
                <w:noProof/>
                <w:webHidden/>
              </w:rPr>
              <w:instrText xml:space="preserve"> PAGEREF _Toc86417248 \h </w:instrText>
            </w:r>
            <w:r>
              <w:rPr>
                <w:noProof/>
                <w:webHidden/>
              </w:rPr>
            </w:r>
            <w:r>
              <w:rPr>
                <w:noProof/>
                <w:webHidden/>
              </w:rPr>
              <w:fldChar w:fldCharType="separate"/>
            </w:r>
            <w:r w:rsidR="00C836FC">
              <w:rPr>
                <w:noProof/>
                <w:webHidden/>
              </w:rPr>
              <w:t>34</w:t>
            </w:r>
            <w:r>
              <w:rPr>
                <w:noProof/>
                <w:webHidden/>
              </w:rPr>
              <w:fldChar w:fldCharType="end"/>
            </w:r>
          </w:hyperlink>
        </w:p>
        <w:p w14:paraId="1D5EE722" w14:textId="2516339D" w:rsidR="005A5E65" w:rsidRDefault="005A5E65">
          <w:pPr>
            <w:pStyle w:val="TOC3"/>
            <w:tabs>
              <w:tab w:val="right" w:leader="dot" w:pos="8302"/>
            </w:tabs>
            <w:rPr>
              <w:rFonts w:cstheme="minorBidi"/>
              <w:noProof/>
              <w:lang w:val="en-GB" w:eastAsia="ja-JP"/>
            </w:rPr>
          </w:pPr>
          <w:hyperlink w:anchor="_Toc86417249" w:history="1">
            <w:r w:rsidRPr="00550B49">
              <w:rPr>
                <w:rStyle w:val="Hyperlink"/>
                <w:noProof/>
              </w:rPr>
              <w:t>2.5.3. Changing gender roles</w:t>
            </w:r>
            <w:r>
              <w:rPr>
                <w:noProof/>
                <w:webHidden/>
              </w:rPr>
              <w:tab/>
            </w:r>
            <w:r>
              <w:rPr>
                <w:noProof/>
                <w:webHidden/>
              </w:rPr>
              <w:fldChar w:fldCharType="begin"/>
            </w:r>
            <w:r>
              <w:rPr>
                <w:noProof/>
                <w:webHidden/>
              </w:rPr>
              <w:instrText xml:space="preserve"> PAGEREF _Toc86417249 \h </w:instrText>
            </w:r>
            <w:r>
              <w:rPr>
                <w:noProof/>
                <w:webHidden/>
              </w:rPr>
            </w:r>
            <w:r>
              <w:rPr>
                <w:noProof/>
                <w:webHidden/>
              </w:rPr>
              <w:fldChar w:fldCharType="separate"/>
            </w:r>
            <w:r w:rsidR="00C836FC">
              <w:rPr>
                <w:noProof/>
                <w:webHidden/>
              </w:rPr>
              <w:t>36</w:t>
            </w:r>
            <w:r>
              <w:rPr>
                <w:noProof/>
                <w:webHidden/>
              </w:rPr>
              <w:fldChar w:fldCharType="end"/>
            </w:r>
          </w:hyperlink>
        </w:p>
        <w:p w14:paraId="5CD5D446" w14:textId="671FEE94" w:rsidR="005A5E65" w:rsidRDefault="005A5E65">
          <w:pPr>
            <w:pStyle w:val="TOC3"/>
            <w:tabs>
              <w:tab w:val="right" w:leader="dot" w:pos="8302"/>
            </w:tabs>
            <w:rPr>
              <w:rFonts w:cstheme="minorBidi"/>
              <w:noProof/>
              <w:lang w:val="en-GB" w:eastAsia="ja-JP"/>
            </w:rPr>
          </w:pPr>
          <w:hyperlink w:anchor="_Toc86417250" w:history="1">
            <w:r w:rsidRPr="00550B49">
              <w:rPr>
                <w:rStyle w:val="Hyperlink"/>
                <w:noProof/>
              </w:rPr>
              <w:t>2.5.4. Low status and unattractive nature of care work</w:t>
            </w:r>
            <w:r>
              <w:rPr>
                <w:noProof/>
                <w:webHidden/>
              </w:rPr>
              <w:tab/>
            </w:r>
            <w:r>
              <w:rPr>
                <w:noProof/>
                <w:webHidden/>
              </w:rPr>
              <w:fldChar w:fldCharType="begin"/>
            </w:r>
            <w:r>
              <w:rPr>
                <w:noProof/>
                <w:webHidden/>
              </w:rPr>
              <w:instrText xml:space="preserve"> PAGEREF _Toc86417250 \h </w:instrText>
            </w:r>
            <w:r>
              <w:rPr>
                <w:noProof/>
                <w:webHidden/>
              </w:rPr>
            </w:r>
            <w:r>
              <w:rPr>
                <w:noProof/>
                <w:webHidden/>
              </w:rPr>
              <w:fldChar w:fldCharType="separate"/>
            </w:r>
            <w:r w:rsidR="00C836FC">
              <w:rPr>
                <w:noProof/>
                <w:webHidden/>
              </w:rPr>
              <w:t>37</w:t>
            </w:r>
            <w:r>
              <w:rPr>
                <w:noProof/>
                <w:webHidden/>
              </w:rPr>
              <w:fldChar w:fldCharType="end"/>
            </w:r>
          </w:hyperlink>
        </w:p>
        <w:p w14:paraId="123D61DE" w14:textId="4A166DCB" w:rsidR="005A5E65" w:rsidRDefault="005A5E65">
          <w:pPr>
            <w:pStyle w:val="TOC2"/>
            <w:tabs>
              <w:tab w:val="right" w:leader="dot" w:pos="8302"/>
            </w:tabs>
            <w:rPr>
              <w:rFonts w:cstheme="minorBidi"/>
              <w:noProof/>
              <w:lang w:val="en-GB" w:eastAsia="ja-JP"/>
            </w:rPr>
          </w:pPr>
          <w:hyperlink w:anchor="_Toc86417251" w:history="1">
            <w:r w:rsidRPr="00550B49">
              <w:rPr>
                <w:rStyle w:val="Hyperlink"/>
                <w:noProof/>
              </w:rPr>
              <w:t>2.6. Summary</w:t>
            </w:r>
            <w:r>
              <w:rPr>
                <w:noProof/>
                <w:webHidden/>
              </w:rPr>
              <w:tab/>
            </w:r>
            <w:r>
              <w:rPr>
                <w:noProof/>
                <w:webHidden/>
              </w:rPr>
              <w:fldChar w:fldCharType="begin"/>
            </w:r>
            <w:r>
              <w:rPr>
                <w:noProof/>
                <w:webHidden/>
              </w:rPr>
              <w:instrText xml:space="preserve"> PAGEREF _Toc86417251 \h </w:instrText>
            </w:r>
            <w:r>
              <w:rPr>
                <w:noProof/>
                <w:webHidden/>
              </w:rPr>
            </w:r>
            <w:r>
              <w:rPr>
                <w:noProof/>
                <w:webHidden/>
              </w:rPr>
              <w:fldChar w:fldCharType="separate"/>
            </w:r>
            <w:r w:rsidR="00C836FC">
              <w:rPr>
                <w:noProof/>
                <w:webHidden/>
              </w:rPr>
              <w:t>38</w:t>
            </w:r>
            <w:r>
              <w:rPr>
                <w:noProof/>
                <w:webHidden/>
              </w:rPr>
              <w:fldChar w:fldCharType="end"/>
            </w:r>
          </w:hyperlink>
        </w:p>
        <w:p w14:paraId="57E02C5B" w14:textId="75B4B510" w:rsidR="005A5E65" w:rsidRDefault="005A5E65">
          <w:pPr>
            <w:pStyle w:val="TOC1"/>
            <w:tabs>
              <w:tab w:val="right" w:leader="dot" w:pos="8302"/>
            </w:tabs>
            <w:rPr>
              <w:rFonts w:cstheme="minorBidi"/>
              <w:noProof/>
              <w:lang w:val="en-GB" w:eastAsia="ja-JP"/>
            </w:rPr>
          </w:pPr>
          <w:hyperlink w:anchor="_Toc86417252" w:history="1">
            <w:r w:rsidRPr="00550B49">
              <w:rPr>
                <w:rStyle w:val="Hyperlink"/>
                <w:rFonts w:eastAsia="MS Mincho"/>
                <w:noProof/>
              </w:rPr>
              <w:t>CHAPTER THREE</w:t>
            </w:r>
            <w:r>
              <w:rPr>
                <w:noProof/>
                <w:webHidden/>
              </w:rPr>
              <w:tab/>
            </w:r>
            <w:r>
              <w:rPr>
                <w:noProof/>
                <w:webHidden/>
              </w:rPr>
              <w:fldChar w:fldCharType="begin"/>
            </w:r>
            <w:r>
              <w:rPr>
                <w:noProof/>
                <w:webHidden/>
              </w:rPr>
              <w:instrText xml:space="preserve"> PAGEREF _Toc86417252 \h </w:instrText>
            </w:r>
            <w:r>
              <w:rPr>
                <w:noProof/>
                <w:webHidden/>
              </w:rPr>
            </w:r>
            <w:r>
              <w:rPr>
                <w:noProof/>
                <w:webHidden/>
              </w:rPr>
              <w:fldChar w:fldCharType="separate"/>
            </w:r>
            <w:r w:rsidR="00C836FC">
              <w:rPr>
                <w:noProof/>
                <w:webHidden/>
              </w:rPr>
              <w:t>39</w:t>
            </w:r>
            <w:r>
              <w:rPr>
                <w:noProof/>
                <w:webHidden/>
              </w:rPr>
              <w:fldChar w:fldCharType="end"/>
            </w:r>
          </w:hyperlink>
        </w:p>
        <w:p w14:paraId="4E128D6D" w14:textId="1741424E" w:rsidR="005A5E65" w:rsidRDefault="005A5E65">
          <w:pPr>
            <w:pStyle w:val="TOC2"/>
            <w:tabs>
              <w:tab w:val="right" w:leader="dot" w:pos="8302"/>
            </w:tabs>
            <w:rPr>
              <w:rFonts w:cstheme="minorBidi"/>
              <w:noProof/>
              <w:lang w:val="en-GB" w:eastAsia="ja-JP"/>
            </w:rPr>
          </w:pPr>
          <w:hyperlink w:anchor="_Toc86417253" w:history="1">
            <w:r w:rsidRPr="00550B49">
              <w:rPr>
                <w:rStyle w:val="Hyperlink"/>
                <w:rFonts w:eastAsia="MS Mincho"/>
                <w:noProof/>
              </w:rPr>
              <w:t>3.1. Introduction</w:t>
            </w:r>
            <w:r>
              <w:rPr>
                <w:noProof/>
                <w:webHidden/>
              </w:rPr>
              <w:tab/>
            </w:r>
            <w:r>
              <w:rPr>
                <w:noProof/>
                <w:webHidden/>
              </w:rPr>
              <w:fldChar w:fldCharType="begin"/>
            </w:r>
            <w:r>
              <w:rPr>
                <w:noProof/>
                <w:webHidden/>
              </w:rPr>
              <w:instrText xml:space="preserve"> PAGEREF _Toc86417253 \h </w:instrText>
            </w:r>
            <w:r>
              <w:rPr>
                <w:noProof/>
                <w:webHidden/>
              </w:rPr>
            </w:r>
            <w:r>
              <w:rPr>
                <w:noProof/>
                <w:webHidden/>
              </w:rPr>
              <w:fldChar w:fldCharType="separate"/>
            </w:r>
            <w:r w:rsidR="00C836FC">
              <w:rPr>
                <w:noProof/>
                <w:webHidden/>
              </w:rPr>
              <w:t>39</w:t>
            </w:r>
            <w:r>
              <w:rPr>
                <w:noProof/>
                <w:webHidden/>
              </w:rPr>
              <w:fldChar w:fldCharType="end"/>
            </w:r>
          </w:hyperlink>
        </w:p>
        <w:p w14:paraId="38C87DCB" w14:textId="41A7CF9A" w:rsidR="005A5E65" w:rsidRDefault="005A5E65">
          <w:pPr>
            <w:pStyle w:val="TOC2"/>
            <w:tabs>
              <w:tab w:val="right" w:leader="dot" w:pos="8302"/>
            </w:tabs>
            <w:rPr>
              <w:rFonts w:cstheme="minorBidi"/>
              <w:noProof/>
              <w:lang w:val="en-GB" w:eastAsia="ja-JP"/>
            </w:rPr>
          </w:pPr>
          <w:hyperlink w:anchor="_Toc86417254" w:history="1">
            <w:r w:rsidRPr="00550B49">
              <w:rPr>
                <w:rStyle w:val="Hyperlink"/>
                <w:noProof/>
              </w:rPr>
              <w:t>3.2. Defining motivation and the motivation to care</w:t>
            </w:r>
            <w:r>
              <w:rPr>
                <w:noProof/>
                <w:webHidden/>
              </w:rPr>
              <w:tab/>
            </w:r>
            <w:r>
              <w:rPr>
                <w:noProof/>
                <w:webHidden/>
              </w:rPr>
              <w:fldChar w:fldCharType="begin"/>
            </w:r>
            <w:r>
              <w:rPr>
                <w:noProof/>
                <w:webHidden/>
              </w:rPr>
              <w:instrText xml:space="preserve"> PAGEREF _Toc86417254 \h </w:instrText>
            </w:r>
            <w:r>
              <w:rPr>
                <w:noProof/>
                <w:webHidden/>
              </w:rPr>
            </w:r>
            <w:r>
              <w:rPr>
                <w:noProof/>
                <w:webHidden/>
              </w:rPr>
              <w:fldChar w:fldCharType="separate"/>
            </w:r>
            <w:r w:rsidR="00C836FC">
              <w:rPr>
                <w:noProof/>
                <w:webHidden/>
              </w:rPr>
              <w:t>39</w:t>
            </w:r>
            <w:r>
              <w:rPr>
                <w:noProof/>
                <w:webHidden/>
              </w:rPr>
              <w:fldChar w:fldCharType="end"/>
            </w:r>
          </w:hyperlink>
        </w:p>
        <w:p w14:paraId="7E8E9D7F" w14:textId="2F116426" w:rsidR="005A5E65" w:rsidRDefault="005A5E65">
          <w:pPr>
            <w:pStyle w:val="TOC2"/>
            <w:tabs>
              <w:tab w:val="right" w:leader="dot" w:pos="8302"/>
            </w:tabs>
            <w:rPr>
              <w:rFonts w:cstheme="minorBidi"/>
              <w:noProof/>
              <w:lang w:val="en-GB" w:eastAsia="ja-JP"/>
            </w:rPr>
          </w:pPr>
          <w:hyperlink w:anchor="_Toc86417255" w:history="1">
            <w:r w:rsidRPr="00550B49">
              <w:rPr>
                <w:rStyle w:val="Hyperlink"/>
                <w:noProof/>
              </w:rPr>
              <w:t>3.3. Economic, social exchange and needs-based perspectives on work motivation</w:t>
            </w:r>
            <w:r>
              <w:rPr>
                <w:noProof/>
                <w:webHidden/>
              </w:rPr>
              <w:tab/>
            </w:r>
            <w:r>
              <w:rPr>
                <w:noProof/>
                <w:webHidden/>
              </w:rPr>
              <w:fldChar w:fldCharType="begin"/>
            </w:r>
            <w:r>
              <w:rPr>
                <w:noProof/>
                <w:webHidden/>
              </w:rPr>
              <w:instrText xml:space="preserve"> PAGEREF _Toc86417255 \h </w:instrText>
            </w:r>
            <w:r>
              <w:rPr>
                <w:noProof/>
                <w:webHidden/>
              </w:rPr>
            </w:r>
            <w:r>
              <w:rPr>
                <w:noProof/>
                <w:webHidden/>
              </w:rPr>
              <w:fldChar w:fldCharType="separate"/>
            </w:r>
            <w:r w:rsidR="00C836FC">
              <w:rPr>
                <w:noProof/>
                <w:webHidden/>
              </w:rPr>
              <w:t>40</w:t>
            </w:r>
            <w:r>
              <w:rPr>
                <w:noProof/>
                <w:webHidden/>
              </w:rPr>
              <w:fldChar w:fldCharType="end"/>
            </w:r>
          </w:hyperlink>
        </w:p>
        <w:p w14:paraId="403D1FA7" w14:textId="16844B32" w:rsidR="005A5E65" w:rsidRDefault="005A5E65">
          <w:pPr>
            <w:pStyle w:val="TOC3"/>
            <w:tabs>
              <w:tab w:val="right" w:leader="dot" w:pos="8302"/>
            </w:tabs>
            <w:rPr>
              <w:rFonts w:cstheme="minorBidi"/>
              <w:noProof/>
              <w:lang w:val="en-GB" w:eastAsia="ja-JP"/>
            </w:rPr>
          </w:pPr>
          <w:hyperlink w:anchor="_Toc86417256" w:history="1">
            <w:r w:rsidRPr="00550B49">
              <w:rPr>
                <w:rStyle w:val="Hyperlink"/>
                <w:noProof/>
              </w:rPr>
              <w:t>3.3.1. Taylorism</w:t>
            </w:r>
            <w:r>
              <w:rPr>
                <w:noProof/>
                <w:webHidden/>
              </w:rPr>
              <w:tab/>
            </w:r>
            <w:r>
              <w:rPr>
                <w:noProof/>
                <w:webHidden/>
              </w:rPr>
              <w:fldChar w:fldCharType="begin"/>
            </w:r>
            <w:r>
              <w:rPr>
                <w:noProof/>
                <w:webHidden/>
              </w:rPr>
              <w:instrText xml:space="preserve"> PAGEREF _Toc86417256 \h </w:instrText>
            </w:r>
            <w:r>
              <w:rPr>
                <w:noProof/>
                <w:webHidden/>
              </w:rPr>
            </w:r>
            <w:r>
              <w:rPr>
                <w:noProof/>
                <w:webHidden/>
              </w:rPr>
              <w:fldChar w:fldCharType="separate"/>
            </w:r>
            <w:r w:rsidR="00C836FC">
              <w:rPr>
                <w:noProof/>
                <w:webHidden/>
              </w:rPr>
              <w:t>40</w:t>
            </w:r>
            <w:r>
              <w:rPr>
                <w:noProof/>
                <w:webHidden/>
              </w:rPr>
              <w:fldChar w:fldCharType="end"/>
            </w:r>
          </w:hyperlink>
        </w:p>
        <w:p w14:paraId="03F40FBB" w14:textId="432F4503" w:rsidR="005A5E65" w:rsidRDefault="005A5E65">
          <w:pPr>
            <w:pStyle w:val="TOC3"/>
            <w:tabs>
              <w:tab w:val="right" w:leader="dot" w:pos="8302"/>
            </w:tabs>
            <w:rPr>
              <w:rFonts w:cstheme="minorBidi"/>
              <w:noProof/>
              <w:lang w:val="en-GB" w:eastAsia="ja-JP"/>
            </w:rPr>
          </w:pPr>
          <w:hyperlink w:anchor="_Toc86417257" w:history="1">
            <w:r w:rsidRPr="00550B49">
              <w:rPr>
                <w:rStyle w:val="Hyperlink"/>
                <w:noProof/>
              </w:rPr>
              <w:t>3.3.2. Social Exchange Theory</w:t>
            </w:r>
            <w:r>
              <w:rPr>
                <w:noProof/>
                <w:webHidden/>
              </w:rPr>
              <w:tab/>
            </w:r>
            <w:r>
              <w:rPr>
                <w:noProof/>
                <w:webHidden/>
              </w:rPr>
              <w:fldChar w:fldCharType="begin"/>
            </w:r>
            <w:r>
              <w:rPr>
                <w:noProof/>
                <w:webHidden/>
              </w:rPr>
              <w:instrText xml:space="preserve"> PAGEREF _Toc86417257 \h </w:instrText>
            </w:r>
            <w:r>
              <w:rPr>
                <w:noProof/>
                <w:webHidden/>
              </w:rPr>
            </w:r>
            <w:r>
              <w:rPr>
                <w:noProof/>
                <w:webHidden/>
              </w:rPr>
              <w:fldChar w:fldCharType="separate"/>
            </w:r>
            <w:r w:rsidR="00C836FC">
              <w:rPr>
                <w:noProof/>
                <w:webHidden/>
              </w:rPr>
              <w:t>41</w:t>
            </w:r>
            <w:r>
              <w:rPr>
                <w:noProof/>
                <w:webHidden/>
              </w:rPr>
              <w:fldChar w:fldCharType="end"/>
            </w:r>
          </w:hyperlink>
        </w:p>
        <w:p w14:paraId="450C260A" w14:textId="08E84A4F" w:rsidR="005A5E65" w:rsidRDefault="005A5E65">
          <w:pPr>
            <w:pStyle w:val="TOC3"/>
            <w:tabs>
              <w:tab w:val="right" w:leader="dot" w:pos="8302"/>
            </w:tabs>
            <w:rPr>
              <w:rFonts w:cstheme="minorBidi"/>
              <w:noProof/>
              <w:lang w:val="en-GB" w:eastAsia="ja-JP"/>
            </w:rPr>
          </w:pPr>
          <w:hyperlink w:anchor="_Toc86417258" w:history="1">
            <w:r w:rsidRPr="00550B49">
              <w:rPr>
                <w:rStyle w:val="Hyperlink"/>
                <w:noProof/>
              </w:rPr>
              <w:t>3.3.3. Maslow’s Hierarchy of Needs</w:t>
            </w:r>
            <w:r>
              <w:rPr>
                <w:noProof/>
                <w:webHidden/>
              </w:rPr>
              <w:tab/>
            </w:r>
            <w:r>
              <w:rPr>
                <w:noProof/>
                <w:webHidden/>
              </w:rPr>
              <w:fldChar w:fldCharType="begin"/>
            </w:r>
            <w:r>
              <w:rPr>
                <w:noProof/>
                <w:webHidden/>
              </w:rPr>
              <w:instrText xml:space="preserve"> PAGEREF _Toc86417258 \h </w:instrText>
            </w:r>
            <w:r>
              <w:rPr>
                <w:noProof/>
                <w:webHidden/>
              </w:rPr>
            </w:r>
            <w:r>
              <w:rPr>
                <w:noProof/>
                <w:webHidden/>
              </w:rPr>
              <w:fldChar w:fldCharType="separate"/>
            </w:r>
            <w:r w:rsidR="00C836FC">
              <w:rPr>
                <w:noProof/>
                <w:webHidden/>
              </w:rPr>
              <w:t>43</w:t>
            </w:r>
            <w:r>
              <w:rPr>
                <w:noProof/>
                <w:webHidden/>
              </w:rPr>
              <w:fldChar w:fldCharType="end"/>
            </w:r>
          </w:hyperlink>
        </w:p>
        <w:p w14:paraId="7E1C34CE" w14:textId="4C217923" w:rsidR="005A5E65" w:rsidRDefault="005A5E65">
          <w:pPr>
            <w:pStyle w:val="TOC2"/>
            <w:tabs>
              <w:tab w:val="right" w:leader="dot" w:pos="8302"/>
            </w:tabs>
            <w:rPr>
              <w:rFonts w:cstheme="minorBidi"/>
              <w:noProof/>
              <w:lang w:val="en-GB" w:eastAsia="ja-JP"/>
            </w:rPr>
          </w:pPr>
          <w:hyperlink w:anchor="_Toc86417259" w:history="1">
            <w:r w:rsidRPr="00550B49">
              <w:rPr>
                <w:rStyle w:val="Hyperlink"/>
                <w:noProof/>
              </w:rPr>
              <w:t>3.4. Theories on the extrinsic motivation and intrinsic motivation for caregiving</w:t>
            </w:r>
            <w:r>
              <w:rPr>
                <w:noProof/>
                <w:webHidden/>
              </w:rPr>
              <w:tab/>
            </w:r>
            <w:r>
              <w:rPr>
                <w:noProof/>
                <w:webHidden/>
              </w:rPr>
              <w:fldChar w:fldCharType="begin"/>
            </w:r>
            <w:r>
              <w:rPr>
                <w:noProof/>
                <w:webHidden/>
              </w:rPr>
              <w:instrText xml:space="preserve"> PAGEREF _Toc86417259 \h </w:instrText>
            </w:r>
            <w:r>
              <w:rPr>
                <w:noProof/>
                <w:webHidden/>
              </w:rPr>
            </w:r>
            <w:r>
              <w:rPr>
                <w:noProof/>
                <w:webHidden/>
              </w:rPr>
              <w:fldChar w:fldCharType="separate"/>
            </w:r>
            <w:r w:rsidR="00C836FC">
              <w:rPr>
                <w:noProof/>
                <w:webHidden/>
              </w:rPr>
              <w:t>45</w:t>
            </w:r>
            <w:r>
              <w:rPr>
                <w:noProof/>
                <w:webHidden/>
              </w:rPr>
              <w:fldChar w:fldCharType="end"/>
            </w:r>
          </w:hyperlink>
        </w:p>
        <w:p w14:paraId="1B22C79D" w14:textId="65A23E15" w:rsidR="005A5E65" w:rsidRDefault="005A5E65">
          <w:pPr>
            <w:pStyle w:val="TOC3"/>
            <w:tabs>
              <w:tab w:val="right" w:leader="dot" w:pos="8302"/>
            </w:tabs>
            <w:rPr>
              <w:rFonts w:cstheme="minorBidi"/>
              <w:noProof/>
              <w:lang w:val="en-GB" w:eastAsia="ja-JP"/>
            </w:rPr>
          </w:pPr>
          <w:hyperlink w:anchor="_Toc86417260" w:history="1">
            <w:r w:rsidRPr="00550B49">
              <w:rPr>
                <w:rStyle w:val="Hyperlink"/>
                <w:noProof/>
              </w:rPr>
              <w:t>3.4.1. The Self-Determination Theory</w:t>
            </w:r>
            <w:r>
              <w:rPr>
                <w:noProof/>
                <w:webHidden/>
              </w:rPr>
              <w:tab/>
            </w:r>
            <w:r>
              <w:rPr>
                <w:noProof/>
                <w:webHidden/>
              </w:rPr>
              <w:fldChar w:fldCharType="begin"/>
            </w:r>
            <w:r>
              <w:rPr>
                <w:noProof/>
                <w:webHidden/>
              </w:rPr>
              <w:instrText xml:space="preserve"> PAGEREF _Toc86417260 \h </w:instrText>
            </w:r>
            <w:r>
              <w:rPr>
                <w:noProof/>
                <w:webHidden/>
              </w:rPr>
            </w:r>
            <w:r>
              <w:rPr>
                <w:noProof/>
                <w:webHidden/>
              </w:rPr>
              <w:fldChar w:fldCharType="separate"/>
            </w:r>
            <w:r w:rsidR="00C836FC">
              <w:rPr>
                <w:noProof/>
                <w:webHidden/>
              </w:rPr>
              <w:t>46</w:t>
            </w:r>
            <w:r>
              <w:rPr>
                <w:noProof/>
                <w:webHidden/>
              </w:rPr>
              <w:fldChar w:fldCharType="end"/>
            </w:r>
          </w:hyperlink>
        </w:p>
        <w:p w14:paraId="2050806B" w14:textId="27444F02" w:rsidR="005A5E65" w:rsidRDefault="005A5E65">
          <w:pPr>
            <w:pStyle w:val="TOC3"/>
            <w:tabs>
              <w:tab w:val="right" w:leader="dot" w:pos="8302"/>
            </w:tabs>
            <w:rPr>
              <w:rFonts w:cstheme="minorBidi"/>
              <w:noProof/>
              <w:lang w:val="en-GB" w:eastAsia="ja-JP"/>
            </w:rPr>
          </w:pPr>
          <w:hyperlink w:anchor="_Toc86417261" w:history="1">
            <w:r w:rsidRPr="00550B49">
              <w:rPr>
                <w:rStyle w:val="Hyperlink"/>
                <w:noProof/>
              </w:rPr>
              <w:t>3.4.2. Herzberg Two Factor Theory</w:t>
            </w:r>
            <w:r>
              <w:rPr>
                <w:noProof/>
                <w:webHidden/>
              </w:rPr>
              <w:tab/>
            </w:r>
            <w:r>
              <w:rPr>
                <w:noProof/>
                <w:webHidden/>
              </w:rPr>
              <w:fldChar w:fldCharType="begin"/>
            </w:r>
            <w:r>
              <w:rPr>
                <w:noProof/>
                <w:webHidden/>
              </w:rPr>
              <w:instrText xml:space="preserve"> PAGEREF _Toc86417261 \h </w:instrText>
            </w:r>
            <w:r>
              <w:rPr>
                <w:noProof/>
                <w:webHidden/>
              </w:rPr>
            </w:r>
            <w:r>
              <w:rPr>
                <w:noProof/>
                <w:webHidden/>
              </w:rPr>
              <w:fldChar w:fldCharType="separate"/>
            </w:r>
            <w:r w:rsidR="00C836FC">
              <w:rPr>
                <w:noProof/>
                <w:webHidden/>
              </w:rPr>
              <w:t>49</w:t>
            </w:r>
            <w:r>
              <w:rPr>
                <w:noProof/>
                <w:webHidden/>
              </w:rPr>
              <w:fldChar w:fldCharType="end"/>
            </w:r>
          </w:hyperlink>
        </w:p>
        <w:p w14:paraId="4B5B4D0E" w14:textId="128E8EE0" w:rsidR="005A5E65" w:rsidRDefault="005A5E65">
          <w:pPr>
            <w:pStyle w:val="TOC2"/>
            <w:tabs>
              <w:tab w:val="right" w:leader="dot" w:pos="8302"/>
            </w:tabs>
            <w:rPr>
              <w:rFonts w:cstheme="minorBidi"/>
              <w:noProof/>
              <w:lang w:val="en-GB" w:eastAsia="ja-JP"/>
            </w:rPr>
          </w:pPr>
          <w:hyperlink w:anchor="_Toc86417262" w:history="1">
            <w:r w:rsidRPr="00550B49">
              <w:rPr>
                <w:rStyle w:val="Hyperlink"/>
                <w:noProof/>
              </w:rPr>
              <w:t>3.5. Other theories on caregiving motivation</w:t>
            </w:r>
            <w:r>
              <w:rPr>
                <w:noProof/>
                <w:webHidden/>
              </w:rPr>
              <w:tab/>
            </w:r>
            <w:r>
              <w:rPr>
                <w:noProof/>
                <w:webHidden/>
              </w:rPr>
              <w:fldChar w:fldCharType="begin"/>
            </w:r>
            <w:r>
              <w:rPr>
                <w:noProof/>
                <w:webHidden/>
              </w:rPr>
              <w:instrText xml:space="preserve"> PAGEREF _Toc86417262 \h </w:instrText>
            </w:r>
            <w:r>
              <w:rPr>
                <w:noProof/>
                <w:webHidden/>
              </w:rPr>
            </w:r>
            <w:r>
              <w:rPr>
                <w:noProof/>
                <w:webHidden/>
              </w:rPr>
              <w:fldChar w:fldCharType="separate"/>
            </w:r>
            <w:r w:rsidR="00C836FC">
              <w:rPr>
                <w:noProof/>
                <w:webHidden/>
              </w:rPr>
              <w:t>50</w:t>
            </w:r>
            <w:r>
              <w:rPr>
                <w:noProof/>
                <w:webHidden/>
              </w:rPr>
              <w:fldChar w:fldCharType="end"/>
            </w:r>
          </w:hyperlink>
        </w:p>
        <w:p w14:paraId="08A7F72B" w14:textId="1AB29310" w:rsidR="005A5E65" w:rsidRDefault="005A5E65">
          <w:pPr>
            <w:pStyle w:val="TOC3"/>
            <w:tabs>
              <w:tab w:val="right" w:leader="dot" w:pos="8302"/>
            </w:tabs>
            <w:rPr>
              <w:rFonts w:cstheme="minorBidi"/>
              <w:noProof/>
              <w:lang w:val="en-GB" w:eastAsia="ja-JP"/>
            </w:rPr>
          </w:pPr>
          <w:hyperlink w:anchor="_Toc86417263" w:history="1">
            <w:r w:rsidRPr="00550B49">
              <w:rPr>
                <w:rStyle w:val="Hyperlink"/>
                <w:noProof/>
              </w:rPr>
              <w:t>3.5.1. Altruistic motivation</w:t>
            </w:r>
            <w:r>
              <w:rPr>
                <w:noProof/>
                <w:webHidden/>
              </w:rPr>
              <w:tab/>
            </w:r>
            <w:r>
              <w:rPr>
                <w:noProof/>
                <w:webHidden/>
              </w:rPr>
              <w:fldChar w:fldCharType="begin"/>
            </w:r>
            <w:r>
              <w:rPr>
                <w:noProof/>
                <w:webHidden/>
              </w:rPr>
              <w:instrText xml:space="preserve"> PAGEREF _Toc86417263 \h </w:instrText>
            </w:r>
            <w:r>
              <w:rPr>
                <w:noProof/>
                <w:webHidden/>
              </w:rPr>
            </w:r>
            <w:r>
              <w:rPr>
                <w:noProof/>
                <w:webHidden/>
              </w:rPr>
              <w:fldChar w:fldCharType="separate"/>
            </w:r>
            <w:r w:rsidR="00C836FC">
              <w:rPr>
                <w:noProof/>
                <w:webHidden/>
              </w:rPr>
              <w:t>51</w:t>
            </w:r>
            <w:r>
              <w:rPr>
                <w:noProof/>
                <w:webHidden/>
              </w:rPr>
              <w:fldChar w:fldCharType="end"/>
            </w:r>
          </w:hyperlink>
        </w:p>
        <w:p w14:paraId="2EC1E15F" w14:textId="2B19F09D" w:rsidR="005A5E65" w:rsidRDefault="005A5E65">
          <w:pPr>
            <w:pStyle w:val="TOC3"/>
            <w:tabs>
              <w:tab w:val="right" w:leader="dot" w:pos="8302"/>
            </w:tabs>
            <w:rPr>
              <w:rFonts w:cstheme="minorBidi"/>
              <w:noProof/>
              <w:lang w:val="en-GB" w:eastAsia="ja-JP"/>
            </w:rPr>
          </w:pPr>
          <w:hyperlink w:anchor="_Toc86417264" w:history="1">
            <w:r w:rsidRPr="00550B49">
              <w:rPr>
                <w:rStyle w:val="Hyperlink"/>
                <w:noProof/>
              </w:rPr>
              <w:t>3.5.2. The Attachment Theory</w:t>
            </w:r>
            <w:r>
              <w:rPr>
                <w:noProof/>
                <w:webHidden/>
              </w:rPr>
              <w:tab/>
            </w:r>
            <w:r>
              <w:rPr>
                <w:noProof/>
                <w:webHidden/>
              </w:rPr>
              <w:fldChar w:fldCharType="begin"/>
            </w:r>
            <w:r>
              <w:rPr>
                <w:noProof/>
                <w:webHidden/>
              </w:rPr>
              <w:instrText xml:space="preserve"> PAGEREF _Toc86417264 \h </w:instrText>
            </w:r>
            <w:r>
              <w:rPr>
                <w:noProof/>
                <w:webHidden/>
              </w:rPr>
            </w:r>
            <w:r>
              <w:rPr>
                <w:noProof/>
                <w:webHidden/>
              </w:rPr>
              <w:fldChar w:fldCharType="separate"/>
            </w:r>
            <w:r w:rsidR="00C836FC">
              <w:rPr>
                <w:noProof/>
                <w:webHidden/>
              </w:rPr>
              <w:t>52</w:t>
            </w:r>
            <w:r>
              <w:rPr>
                <w:noProof/>
                <w:webHidden/>
              </w:rPr>
              <w:fldChar w:fldCharType="end"/>
            </w:r>
          </w:hyperlink>
        </w:p>
        <w:p w14:paraId="5EEFCE8E" w14:textId="69CE4315" w:rsidR="005A5E65" w:rsidRDefault="005A5E65">
          <w:pPr>
            <w:pStyle w:val="TOC2"/>
            <w:tabs>
              <w:tab w:val="right" w:leader="dot" w:pos="8302"/>
            </w:tabs>
            <w:rPr>
              <w:rFonts w:cstheme="minorBidi"/>
              <w:noProof/>
              <w:lang w:val="en-GB" w:eastAsia="ja-JP"/>
            </w:rPr>
          </w:pPr>
          <w:hyperlink w:anchor="_Toc86417265" w:history="1">
            <w:r w:rsidRPr="00550B49">
              <w:rPr>
                <w:rStyle w:val="Hyperlink"/>
                <w:noProof/>
              </w:rPr>
              <w:t>3.6. Other factors that might motivate care workers</w:t>
            </w:r>
            <w:r>
              <w:rPr>
                <w:noProof/>
                <w:webHidden/>
              </w:rPr>
              <w:tab/>
            </w:r>
            <w:r>
              <w:rPr>
                <w:noProof/>
                <w:webHidden/>
              </w:rPr>
              <w:fldChar w:fldCharType="begin"/>
            </w:r>
            <w:r>
              <w:rPr>
                <w:noProof/>
                <w:webHidden/>
              </w:rPr>
              <w:instrText xml:space="preserve"> PAGEREF _Toc86417265 \h </w:instrText>
            </w:r>
            <w:r>
              <w:rPr>
                <w:noProof/>
                <w:webHidden/>
              </w:rPr>
            </w:r>
            <w:r>
              <w:rPr>
                <w:noProof/>
                <w:webHidden/>
              </w:rPr>
              <w:fldChar w:fldCharType="separate"/>
            </w:r>
            <w:r w:rsidR="00C836FC">
              <w:rPr>
                <w:noProof/>
                <w:webHidden/>
              </w:rPr>
              <w:t>53</w:t>
            </w:r>
            <w:r>
              <w:rPr>
                <w:noProof/>
                <w:webHidden/>
              </w:rPr>
              <w:fldChar w:fldCharType="end"/>
            </w:r>
          </w:hyperlink>
        </w:p>
        <w:p w14:paraId="30D3FDA5" w14:textId="28F836D5" w:rsidR="005A5E65" w:rsidRDefault="005A5E65">
          <w:pPr>
            <w:pStyle w:val="TOC2"/>
            <w:tabs>
              <w:tab w:val="right" w:leader="dot" w:pos="8302"/>
            </w:tabs>
            <w:rPr>
              <w:rFonts w:cstheme="minorBidi"/>
              <w:noProof/>
              <w:lang w:val="en-GB" w:eastAsia="ja-JP"/>
            </w:rPr>
          </w:pPr>
          <w:hyperlink w:anchor="_Toc86417266" w:history="1">
            <w:r w:rsidRPr="00550B49">
              <w:rPr>
                <w:rStyle w:val="Hyperlink"/>
                <w:noProof/>
              </w:rPr>
              <w:t>3.7. Cultural differences in motivation to care</w:t>
            </w:r>
            <w:r>
              <w:rPr>
                <w:noProof/>
                <w:webHidden/>
              </w:rPr>
              <w:tab/>
            </w:r>
            <w:r>
              <w:rPr>
                <w:noProof/>
                <w:webHidden/>
              </w:rPr>
              <w:fldChar w:fldCharType="begin"/>
            </w:r>
            <w:r>
              <w:rPr>
                <w:noProof/>
                <w:webHidden/>
              </w:rPr>
              <w:instrText xml:space="preserve"> PAGEREF _Toc86417266 \h </w:instrText>
            </w:r>
            <w:r>
              <w:rPr>
                <w:noProof/>
                <w:webHidden/>
              </w:rPr>
            </w:r>
            <w:r>
              <w:rPr>
                <w:noProof/>
                <w:webHidden/>
              </w:rPr>
              <w:fldChar w:fldCharType="separate"/>
            </w:r>
            <w:r w:rsidR="00C836FC">
              <w:rPr>
                <w:noProof/>
                <w:webHidden/>
              </w:rPr>
              <w:t>54</w:t>
            </w:r>
            <w:r>
              <w:rPr>
                <w:noProof/>
                <w:webHidden/>
              </w:rPr>
              <w:fldChar w:fldCharType="end"/>
            </w:r>
          </w:hyperlink>
        </w:p>
        <w:p w14:paraId="4FB67789" w14:textId="546E2BFB" w:rsidR="005A5E65" w:rsidRDefault="005A5E65">
          <w:pPr>
            <w:pStyle w:val="TOC2"/>
            <w:tabs>
              <w:tab w:val="right" w:leader="dot" w:pos="8302"/>
            </w:tabs>
            <w:rPr>
              <w:rFonts w:cstheme="minorBidi"/>
              <w:noProof/>
              <w:lang w:val="en-GB" w:eastAsia="ja-JP"/>
            </w:rPr>
          </w:pPr>
          <w:hyperlink w:anchor="_Toc86417267" w:history="1">
            <w:r w:rsidRPr="00550B49">
              <w:rPr>
                <w:rStyle w:val="Hyperlink"/>
                <w:noProof/>
              </w:rPr>
              <w:t>3.8. Summary</w:t>
            </w:r>
            <w:r>
              <w:rPr>
                <w:noProof/>
                <w:webHidden/>
              </w:rPr>
              <w:tab/>
            </w:r>
            <w:r>
              <w:rPr>
                <w:noProof/>
                <w:webHidden/>
              </w:rPr>
              <w:fldChar w:fldCharType="begin"/>
            </w:r>
            <w:r>
              <w:rPr>
                <w:noProof/>
                <w:webHidden/>
              </w:rPr>
              <w:instrText xml:space="preserve"> PAGEREF _Toc86417267 \h </w:instrText>
            </w:r>
            <w:r>
              <w:rPr>
                <w:noProof/>
                <w:webHidden/>
              </w:rPr>
            </w:r>
            <w:r>
              <w:rPr>
                <w:noProof/>
                <w:webHidden/>
              </w:rPr>
              <w:fldChar w:fldCharType="separate"/>
            </w:r>
            <w:r w:rsidR="00C836FC">
              <w:rPr>
                <w:noProof/>
                <w:webHidden/>
              </w:rPr>
              <w:t>55</w:t>
            </w:r>
            <w:r>
              <w:rPr>
                <w:noProof/>
                <w:webHidden/>
              </w:rPr>
              <w:fldChar w:fldCharType="end"/>
            </w:r>
          </w:hyperlink>
        </w:p>
        <w:p w14:paraId="26149F62" w14:textId="30096D51" w:rsidR="005A5E65" w:rsidRDefault="005A5E65">
          <w:pPr>
            <w:pStyle w:val="TOC1"/>
            <w:tabs>
              <w:tab w:val="right" w:leader="dot" w:pos="8302"/>
            </w:tabs>
            <w:rPr>
              <w:rFonts w:cstheme="minorBidi"/>
              <w:noProof/>
              <w:lang w:val="en-GB" w:eastAsia="ja-JP"/>
            </w:rPr>
          </w:pPr>
          <w:hyperlink w:anchor="_Toc86417268" w:history="1">
            <w:r w:rsidRPr="00550B49">
              <w:rPr>
                <w:rStyle w:val="Hyperlink"/>
                <w:noProof/>
              </w:rPr>
              <w:t>CHAPTER FOUR</w:t>
            </w:r>
            <w:r>
              <w:rPr>
                <w:noProof/>
                <w:webHidden/>
              </w:rPr>
              <w:tab/>
            </w:r>
            <w:r>
              <w:rPr>
                <w:noProof/>
                <w:webHidden/>
              </w:rPr>
              <w:fldChar w:fldCharType="begin"/>
            </w:r>
            <w:r>
              <w:rPr>
                <w:noProof/>
                <w:webHidden/>
              </w:rPr>
              <w:instrText xml:space="preserve"> PAGEREF _Toc86417268 \h </w:instrText>
            </w:r>
            <w:r>
              <w:rPr>
                <w:noProof/>
                <w:webHidden/>
              </w:rPr>
            </w:r>
            <w:r>
              <w:rPr>
                <w:noProof/>
                <w:webHidden/>
              </w:rPr>
              <w:fldChar w:fldCharType="separate"/>
            </w:r>
            <w:r w:rsidR="00C836FC">
              <w:rPr>
                <w:noProof/>
                <w:webHidden/>
              </w:rPr>
              <w:t>56</w:t>
            </w:r>
            <w:r>
              <w:rPr>
                <w:noProof/>
                <w:webHidden/>
              </w:rPr>
              <w:fldChar w:fldCharType="end"/>
            </w:r>
          </w:hyperlink>
        </w:p>
        <w:p w14:paraId="00333990" w14:textId="2803071A" w:rsidR="005A5E65" w:rsidRDefault="005A5E65">
          <w:pPr>
            <w:pStyle w:val="TOC2"/>
            <w:tabs>
              <w:tab w:val="right" w:leader="dot" w:pos="8302"/>
            </w:tabs>
            <w:rPr>
              <w:rFonts w:cstheme="minorBidi"/>
              <w:noProof/>
              <w:lang w:val="en-GB" w:eastAsia="ja-JP"/>
            </w:rPr>
          </w:pPr>
          <w:hyperlink w:anchor="_Toc86417269" w:history="1">
            <w:r w:rsidRPr="00550B49">
              <w:rPr>
                <w:rStyle w:val="Hyperlink"/>
                <w:noProof/>
              </w:rPr>
              <w:t>4.1. Introduction</w:t>
            </w:r>
            <w:r>
              <w:rPr>
                <w:noProof/>
                <w:webHidden/>
              </w:rPr>
              <w:tab/>
            </w:r>
            <w:r>
              <w:rPr>
                <w:noProof/>
                <w:webHidden/>
              </w:rPr>
              <w:fldChar w:fldCharType="begin"/>
            </w:r>
            <w:r>
              <w:rPr>
                <w:noProof/>
                <w:webHidden/>
              </w:rPr>
              <w:instrText xml:space="preserve"> PAGEREF _Toc86417269 \h </w:instrText>
            </w:r>
            <w:r>
              <w:rPr>
                <w:noProof/>
                <w:webHidden/>
              </w:rPr>
            </w:r>
            <w:r>
              <w:rPr>
                <w:noProof/>
                <w:webHidden/>
              </w:rPr>
              <w:fldChar w:fldCharType="separate"/>
            </w:r>
            <w:r w:rsidR="00C836FC">
              <w:rPr>
                <w:noProof/>
                <w:webHidden/>
              </w:rPr>
              <w:t>56</w:t>
            </w:r>
            <w:r>
              <w:rPr>
                <w:noProof/>
                <w:webHidden/>
              </w:rPr>
              <w:fldChar w:fldCharType="end"/>
            </w:r>
          </w:hyperlink>
        </w:p>
        <w:p w14:paraId="4833FD50" w14:textId="49A5C020" w:rsidR="005A5E65" w:rsidRDefault="005A5E65">
          <w:pPr>
            <w:pStyle w:val="TOC2"/>
            <w:tabs>
              <w:tab w:val="right" w:leader="dot" w:pos="8302"/>
            </w:tabs>
            <w:rPr>
              <w:rFonts w:cstheme="minorBidi"/>
              <w:noProof/>
              <w:lang w:val="en-GB" w:eastAsia="ja-JP"/>
            </w:rPr>
          </w:pPr>
          <w:hyperlink w:anchor="_Toc86417270" w:history="1">
            <w:r w:rsidRPr="00550B49">
              <w:rPr>
                <w:rStyle w:val="Hyperlink"/>
                <w:noProof/>
              </w:rPr>
              <w:t>4.2. The impact of caregiving</w:t>
            </w:r>
            <w:r>
              <w:rPr>
                <w:noProof/>
                <w:webHidden/>
              </w:rPr>
              <w:tab/>
            </w:r>
            <w:r>
              <w:rPr>
                <w:noProof/>
                <w:webHidden/>
              </w:rPr>
              <w:fldChar w:fldCharType="begin"/>
            </w:r>
            <w:r>
              <w:rPr>
                <w:noProof/>
                <w:webHidden/>
              </w:rPr>
              <w:instrText xml:space="preserve"> PAGEREF _Toc86417270 \h </w:instrText>
            </w:r>
            <w:r>
              <w:rPr>
                <w:noProof/>
                <w:webHidden/>
              </w:rPr>
            </w:r>
            <w:r>
              <w:rPr>
                <w:noProof/>
                <w:webHidden/>
              </w:rPr>
              <w:fldChar w:fldCharType="separate"/>
            </w:r>
            <w:r w:rsidR="00C836FC">
              <w:rPr>
                <w:noProof/>
                <w:webHidden/>
              </w:rPr>
              <w:t>56</w:t>
            </w:r>
            <w:r>
              <w:rPr>
                <w:noProof/>
                <w:webHidden/>
              </w:rPr>
              <w:fldChar w:fldCharType="end"/>
            </w:r>
          </w:hyperlink>
        </w:p>
        <w:p w14:paraId="0D89C227" w14:textId="02030B3C" w:rsidR="005A5E65" w:rsidRDefault="005A5E65">
          <w:pPr>
            <w:pStyle w:val="TOC3"/>
            <w:tabs>
              <w:tab w:val="right" w:leader="dot" w:pos="8302"/>
            </w:tabs>
            <w:rPr>
              <w:rFonts w:cstheme="minorBidi"/>
              <w:noProof/>
              <w:lang w:val="en-GB" w:eastAsia="ja-JP"/>
            </w:rPr>
          </w:pPr>
          <w:hyperlink w:anchor="_Toc86417271" w:history="1">
            <w:r w:rsidRPr="00550B49">
              <w:rPr>
                <w:rStyle w:val="Hyperlink"/>
                <w:noProof/>
              </w:rPr>
              <w:t xml:space="preserve">4.2.1. </w:t>
            </w:r>
            <w:r w:rsidRPr="00550B49">
              <w:rPr>
                <w:rStyle w:val="Hyperlink"/>
                <w:noProof/>
                <w:lang w:val="en"/>
              </w:rPr>
              <w:t>Positive emotions</w:t>
            </w:r>
            <w:r>
              <w:rPr>
                <w:noProof/>
                <w:webHidden/>
              </w:rPr>
              <w:tab/>
            </w:r>
            <w:r>
              <w:rPr>
                <w:noProof/>
                <w:webHidden/>
              </w:rPr>
              <w:fldChar w:fldCharType="begin"/>
            </w:r>
            <w:r>
              <w:rPr>
                <w:noProof/>
                <w:webHidden/>
              </w:rPr>
              <w:instrText xml:space="preserve"> PAGEREF _Toc86417271 \h </w:instrText>
            </w:r>
            <w:r>
              <w:rPr>
                <w:noProof/>
                <w:webHidden/>
              </w:rPr>
            </w:r>
            <w:r>
              <w:rPr>
                <w:noProof/>
                <w:webHidden/>
              </w:rPr>
              <w:fldChar w:fldCharType="separate"/>
            </w:r>
            <w:r w:rsidR="00C836FC">
              <w:rPr>
                <w:noProof/>
                <w:webHidden/>
              </w:rPr>
              <w:t>57</w:t>
            </w:r>
            <w:r>
              <w:rPr>
                <w:noProof/>
                <w:webHidden/>
              </w:rPr>
              <w:fldChar w:fldCharType="end"/>
            </w:r>
          </w:hyperlink>
        </w:p>
        <w:p w14:paraId="78EA1D18" w14:textId="2FA7E2CD" w:rsidR="005A5E65" w:rsidRDefault="005A5E65">
          <w:pPr>
            <w:pStyle w:val="TOC3"/>
            <w:tabs>
              <w:tab w:val="right" w:leader="dot" w:pos="8302"/>
            </w:tabs>
            <w:rPr>
              <w:rFonts w:cstheme="minorBidi"/>
              <w:noProof/>
              <w:lang w:val="en-GB" w:eastAsia="ja-JP"/>
            </w:rPr>
          </w:pPr>
          <w:hyperlink w:anchor="_Toc86417272" w:history="1">
            <w:r w:rsidRPr="00550B49">
              <w:rPr>
                <w:rStyle w:val="Hyperlink"/>
                <w:noProof/>
              </w:rPr>
              <w:t>4.2.2. Role satisfaction</w:t>
            </w:r>
            <w:r>
              <w:rPr>
                <w:noProof/>
                <w:webHidden/>
              </w:rPr>
              <w:tab/>
            </w:r>
            <w:r>
              <w:rPr>
                <w:noProof/>
                <w:webHidden/>
              </w:rPr>
              <w:fldChar w:fldCharType="begin"/>
            </w:r>
            <w:r>
              <w:rPr>
                <w:noProof/>
                <w:webHidden/>
              </w:rPr>
              <w:instrText xml:space="preserve"> PAGEREF _Toc86417272 \h </w:instrText>
            </w:r>
            <w:r>
              <w:rPr>
                <w:noProof/>
                <w:webHidden/>
              </w:rPr>
            </w:r>
            <w:r>
              <w:rPr>
                <w:noProof/>
                <w:webHidden/>
              </w:rPr>
              <w:fldChar w:fldCharType="separate"/>
            </w:r>
            <w:r w:rsidR="00C836FC">
              <w:rPr>
                <w:noProof/>
                <w:webHidden/>
              </w:rPr>
              <w:t>58</w:t>
            </w:r>
            <w:r>
              <w:rPr>
                <w:noProof/>
                <w:webHidden/>
              </w:rPr>
              <w:fldChar w:fldCharType="end"/>
            </w:r>
          </w:hyperlink>
        </w:p>
        <w:p w14:paraId="486B1422" w14:textId="67DF5D4C" w:rsidR="005A5E65" w:rsidRDefault="005A5E65">
          <w:pPr>
            <w:pStyle w:val="TOC3"/>
            <w:tabs>
              <w:tab w:val="right" w:leader="dot" w:pos="8302"/>
            </w:tabs>
            <w:rPr>
              <w:rFonts w:cstheme="minorBidi"/>
              <w:noProof/>
              <w:lang w:val="en-GB" w:eastAsia="ja-JP"/>
            </w:rPr>
          </w:pPr>
          <w:hyperlink w:anchor="_Toc86417273" w:history="1">
            <w:r w:rsidRPr="00550B49">
              <w:rPr>
                <w:rStyle w:val="Hyperlink"/>
                <w:noProof/>
              </w:rPr>
              <w:t>4.2.3. Coping with caregiving</w:t>
            </w:r>
            <w:r>
              <w:rPr>
                <w:noProof/>
                <w:webHidden/>
              </w:rPr>
              <w:tab/>
            </w:r>
            <w:r>
              <w:rPr>
                <w:noProof/>
                <w:webHidden/>
              </w:rPr>
              <w:fldChar w:fldCharType="begin"/>
            </w:r>
            <w:r>
              <w:rPr>
                <w:noProof/>
                <w:webHidden/>
              </w:rPr>
              <w:instrText xml:space="preserve"> PAGEREF _Toc86417273 \h </w:instrText>
            </w:r>
            <w:r>
              <w:rPr>
                <w:noProof/>
                <w:webHidden/>
              </w:rPr>
            </w:r>
            <w:r>
              <w:rPr>
                <w:noProof/>
                <w:webHidden/>
              </w:rPr>
              <w:fldChar w:fldCharType="separate"/>
            </w:r>
            <w:r w:rsidR="00C836FC">
              <w:rPr>
                <w:noProof/>
                <w:webHidden/>
              </w:rPr>
              <w:t>58</w:t>
            </w:r>
            <w:r>
              <w:rPr>
                <w:noProof/>
                <w:webHidden/>
              </w:rPr>
              <w:fldChar w:fldCharType="end"/>
            </w:r>
          </w:hyperlink>
        </w:p>
        <w:p w14:paraId="4EF04447" w14:textId="6AB499E1" w:rsidR="005A5E65" w:rsidRDefault="005A5E65">
          <w:pPr>
            <w:pStyle w:val="TOC3"/>
            <w:tabs>
              <w:tab w:val="right" w:leader="dot" w:pos="8302"/>
            </w:tabs>
            <w:rPr>
              <w:rFonts w:cstheme="minorBidi"/>
              <w:noProof/>
              <w:lang w:val="en-GB" w:eastAsia="ja-JP"/>
            </w:rPr>
          </w:pPr>
          <w:hyperlink w:anchor="_Toc86417274" w:history="1">
            <w:r w:rsidRPr="00550B49">
              <w:rPr>
                <w:rStyle w:val="Hyperlink"/>
                <w:noProof/>
              </w:rPr>
              <w:t>4.2.4. The emotional rewards of caregiving</w:t>
            </w:r>
            <w:r>
              <w:rPr>
                <w:noProof/>
                <w:webHidden/>
              </w:rPr>
              <w:tab/>
            </w:r>
            <w:r>
              <w:rPr>
                <w:noProof/>
                <w:webHidden/>
              </w:rPr>
              <w:fldChar w:fldCharType="begin"/>
            </w:r>
            <w:r>
              <w:rPr>
                <w:noProof/>
                <w:webHidden/>
              </w:rPr>
              <w:instrText xml:space="preserve"> PAGEREF _Toc86417274 \h </w:instrText>
            </w:r>
            <w:r>
              <w:rPr>
                <w:noProof/>
                <w:webHidden/>
              </w:rPr>
            </w:r>
            <w:r>
              <w:rPr>
                <w:noProof/>
                <w:webHidden/>
              </w:rPr>
              <w:fldChar w:fldCharType="separate"/>
            </w:r>
            <w:r w:rsidR="00C836FC">
              <w:rPr>
                <w:noProof/>
                <w:webHidden/>
              </w:rPr>
              <w:t>60</w:t>
            </w:r>
            <w:r>
              <w:rPr>
                <w:noProof/>
                <w:webHidden/>
              </w:rPr>
              <w:fldChar w:fldCharType="end"/>
            </w:r>
          </w:hyperlink>
        </w:p>
        <w:p w14:paraId="72782F28" w14:textId="2B5CEA85" w:rsidR="005A5E65" w:rsidRDefault="005A5E65">
          <w:pPr>
            <w:pStyle w:val="TOC3"/>
            <w:tabs>
              <w:tab w:val="right" w:leader="dot" w:pos="8302"/>
            </w:tabs>
            <w:rPr>
              <w:rFonts w:cstheme="minorBidi"/>
              <w:noProof/>
              <w:lang w:val="en-GB" w:eastAsia="ja-JP"/>
            </w:rPr>
          </w:pPr>
          <w:hyperlink w:anchor="_Toc86417275" w:history="1">
            <w:r w:rsidRPr="00550B49">
              <w:rPr>
                <w:rStyle w:val="Hyperlink"/>
                <w:noProof/>
              </w:rPr>
              <w:t>4.2.5. Reciprocity in caregiving</w:t>
            </w:r>
            <w:r>
              <w:rPr>
                <w:noProof/>
                <w:webHidden/>
              </w:rPr>
              <w:tab/>
            </w:r>
            <w:r>
              <w:rPr>
                <w:noProof/>
                <w:webHidden/>
              </w:rPr>
              <w:fldChar w:fldCharType="begin"/>
            </w:r>
            <w:r>
              <w:rPr>
                <w:noProof/>
                <w:webHidden/>
              </w:rPr>
              <w:instrText xml:space="preserve"> PAGEREF _Toc86417275 \h </w:instrText>
            </w:r>
            <w:r>
              <w:rPr>
                <w:noProof/>
                <w:webHidden/>
              </w:rPr>
            </w:r>
            <w:r>
              <w:rPr>
                <w:noProof/>
                <w:webHidden/>
              </w:rPr>
              <w:fldChar w:fldCharType="separate"/>
            </w:r>
            <w:r w:rsidR="00C836FC">
              <w:rPr>
                <w:noProof/>
                <w:webHidden/>
              </w:rPr>
              <w:t>60</w:t>
            </w:r>
            <w:r>
              <w:rPr>
                <w:noProof/>
                <w:webHidden/>
              </w:rPr>
              <w:fldChar w:fldCharType="end"/>
            </w:r>
          </w:hyperlink>
        </w:p>
        <w:p w14:paraId="07B609CC" w14:textId="0E4A333E" w:rsidR="005A5E65" w:rsidRDefault="005A5E65">
          <w:pPr>
            <w:pStyle w:val="TOC2"/>
            <w:tabs>
              <w:tab w:val="right" w:leader="dot" w:pos="8302"/>
            </w:tabs>
            <w:rPr>
              <w:rFonts w:cstheme="minorBidi"/>
              <w:noProof/>
              <w:lang w:val="en-GB" w:eastAsia="ja-JP"/>
            </w:rPr>
          </w:pPr>
          <w:hyperlink w:anchor="_Toc86417276" w:history="1">
            <w:r w:rsidRPr="00550B49">
              <w:rPr>
                <w:rStyle w:val="Hyperlink"/>
                <w:noProof/>
              </w:rPr>
              <w:t>4.3. Why do caregivers have very different experiences of caregiving?</w:t>
            </w:r>
            <w:r>
              <w:rPr>
                <w:noProof/>
                <w:webHidden/>
              </w:rPr>
              <w:tab/>
            </w:r>
            <w:r>
              <w:rPr>
                <w:noProof/>
                <w:webHidden/>
              </w:rPr>
              <w:fldChar w:fldCharType="begin"/>
            </w:r>
            <w:r>
              <w:rPr>
                <w:noProof/>
                <w:webHidden/>
              </w:rPr>
              <w:instrText xml:space="preserve"> PAGEREF _Toc86417276 \h </w:instrText>
            </w:r>
            <w:r>
              <w:rPr>
                <w:noProof/>
                <w:webHidden/>
              </w:rPr>
            </w:r>
            <w:r>
              <w:rPr>
                <w:noProof/>
                <w:webHidden/>
              </w:rPr>
              <w:fldChar w:fldCharType="separate"/>
            </w:r>
            <w:r w:rsidR="00C836FC">
              <w:rPr>
                <w:noProof/>
                <w:webHidden/>
              </w:rPr>
              <w:t>61</w:t>
            </w:r>
            <w:r>
              <w:rPr>
                <w:noProof/>
                <w:webHidden/>
              </w:rPr>
              <w:fldChar w:fldCharType="end"/>
            </w:r>
          </w:hyperlink>
        </w:p>
        <w:p w14:paraId="6DA278C0" w14:textId="41C6ECC2" w:rsidR="005A5E65" w:rsidRDefault="005A5E65">
          <w:pPr>
            <w:pStyle w:val="TOC3"/>
            <w:tabs>
              <w:tab w:val="right" w:leader="dot" w:pos="8302"/>
            </w:tabs>
            <w:rPr>
              <w:rFonts w:cstheme="minorBidi"/>
              <w:noProof/>
              <w:lang w:val="en-GB" w:eastAsia="ja-JP"/>
            </w:rPr>
          </w:pPr>
          <w:hyperlink w:anchor="_Toc86417277" w:history="1">
            <w:r w:rsidRPr="00550B49">
              <w:rPr>
                <w:rStyle w:val="Hyperlink"/>
                <w:noProof/>
              </w:rPr>
              <w:t>4.3.1. The Stress Process Model</w:t>
            </w:r>
            <w:r>
              <w:rPr>
                <w:noProof/>
                <w:webHidden/>
              </w:rPr>
              <w:tab/>
            </w:r>
            <w:r>
              <w:rPr>
                <w:noProof/>
                <w:webHidden/>
              </w:rPr>
              <w:fldChar w:fldCharType="begin"/>
            </w:r>
            <w:r>
              <w:rPr>
                <w:noProof/>
                <w:webHidden/>
              </w:rPr>
              <w:instrText xml:space="preserve"> PAGEREF _Toc86417277 \h </w:instrText>
            </w:r>
            <w:r>
              <w:rPr>
                <w:noProof/>
                <w:webHidden/>
              </w:rPr>
            </w:r>
            <w:r>
              <w:rPr>
                <w:noProof/>
                <w:webHidden/>
              </w:rPr>
              <w:fldChar w:fldCharType="separate"/>
            </w:r>
            <w:r w:rsidR="00C836FC">
              <w:rPr>
                <w:noProof/>
                <w:webHidden/>
              </w:rPr>
              <w:t>61</w:t>
            </w:r>
            <w:r>
              <w:rPr>
                <w:noProof/>
                <w:webHidden/>
              </w:rPr>
              <w:fldChar w:fldCharType="end"/>
            </w:r>
          </w:hyperlink>
        </w:p>
        <w:p w14:paraId="0CFF4CF2" w14:textId="49E364C9" w:rsidR="005A5E65" w:rsidRDefault="005A5E65">
          <w:pPr>
            <w:pStyle w:val="TOC3"/>
            <w:tabs>
              <w:tab w:val="right" w:leader="dot" w:pos="8302"/>
            </w:tabs>
            <w:rPr>
              <w:rFonts w:cstheme="minorBidi"/>
              <w:noProof/>
              <w:lang w:val="en-GB" w:eastAsia="ja-JP"/>
            </w:rPr>
          </w:pPr>
          <w:hyperlink w:anchor="_Toc86417278" w:history="1">
            <w:r w:rsidRPr="00550B49">
              <w:rPr>
                <w:rStyle w:val="Hyperlink"/>
                <w:noProof/>
              </w:rPr>
              <w:t>4.3.2. A two-factor model</w:t>
            </w:r>
            <w:r>
              <w:rPr>
                <w:noProof/>
                <w:webHidden/>
              </w:rPr>
              <w:tab/>
            </w:r>
            <w:r>
              <w:rPr>
                <w:noProof/>
                <w:webHidden/>
              </w:rPr>
              <w:fldChar w:fldCharType="begin"/>
            </w:r>
            <w:r>
              <w:rPr>
                <w:noProof/>
                <w:webHidden/>
              </w:rPr>
              <w:instrText xml:space="preserve"> PAGEREF _Toc86417278 \h </w:instrText>
            </w:r>
            <w:r>
              <w:rPr>
                <w:noProof/>
                <w:webHidden/>
              </w:rPr>
            </w:r>
            <w:r>
              <w:rPr>
                <w:noProof/>
                <w:webHidden/>
              </w:rPr>
              <w:fldChar w:fldCharType="separate"/>
            </w:r>
            <w:r w:rsidR="00C836FC">
              <w:rPr>
                <w:noProof/>
                <w:webHidden/>
              </w:rPr>
              <w:t>62</w:t>
            </w:r>
            <w:r>
              <w:rPr>
                <w:noProof/>
                <w:webHidden/>
              </w:rPr>
              <w:fldChar w:fldCharType="end"/>
            </w:r>
          </w:hyperlink>
        </w:p>
        <w:p w14:paraId="3937A8AC" w14:textId="59C6B34D" w:rsidR="005A5E65" w:rsidRDefault="005A5E65">
          <w:pPr>
            <w:pStyle w:val="TOC2"/>
            <w:tabs>
              <w:tab w:val="right" w:leader="dot" w:pos="8302"/>
            </w:tabs>
            <w:rPr>
              <w:rFonts w:cstheme="minorBidi"/>
              <w:noProof/>
              <w:lang w:val="en-GB" w:eastAsia="ja-JP"/>
            </w:rPr>
          </w:pPr>
          <w:hyperlink w:anchor="_Toc86417279" w:history="1">
            <w:r w:rsidRPr="00550B49">
              <w:rPr>
                <w:rStyle w:val="Hyperlink"/>
                <w:noProof/>
              </w:rPr>
              <w:t xml:space="preserve">4.4. Differences between </w:t>
            </w:r>
            <w:r w:rsidRPr="00550B49">
              <w:rPr>
                <w:rStyle w:val="Hyperlink"/>
                <w:noProof/>
                <w:lang w:val="en"/>
              </w:rPr>
              <w:t>caring for PLWD and caring for other illnesses</w:t>
            </w:r>
            <w:r>
              <w:rPr>
                <w:noProof/>
                <w:webHidden/>
              </w:rPr>
              <w:tab/>
            </w:r>
            <w:r>
              <w:rPr>
                <w:noProof/>
                <w:webHidden/>
              </w:rPr>
              <w:fldChar w:fldCharType="begin"/>
            </w:r>
            <w:r>
              <w:rPr>
                <w:noProof/>
                <w:webHidden/>
              </w:rPr>
              <w:instrText xml:space="preserve"> PAGEREF _Toc86417279 \h </w:instrText>
            </w:r>
            <w:r>
              <w:rPr>
                <w:noProof/>
                <w:webHidden/>
              </w:rPr>
            </w:r>
            <w:r>
              <w:rPr>
                <w:noProof/>
                <w:webHidden/>
              </w:rPr>
              <w:fldChar w:fldCharType="separate"/>
            </w:r>
            <w:r w:rsidR="00C836FC">
              <w:rPr>
                <w:noProof/>
                <w:webHidden/>
              </w:rPr>
              <w:t>63</w:t>
            </w:r>
            <w:r>
              <w:rPr>
                <w:noProof/>
                <w:webHidden/>
              </w:rPr>
              <w:fldChar w:fldCharType="end"/>
            </w:r>
          </w:hyperlink>
        </w:p>
        <w:p w14:paraId="274E9046" w14:textId="500B6667" w:rsidR="005A5E65" w:rsidRDefault="005A5E65">
          <w:pPr>
            <w:pStyle w:val="TOC2"/>
            <w:tabs>
              <w:tab w:val="right" w:leader="dot" w:pos="8302"/>
            </w:tabs>
            <w:rPr>
              <w:rFonts w:cstheme="minorBidi"/>
              <w:noProof/>
              <w:lang w:val="en-GB" w:eastAsia="ja-JP"/>
            </w:rPr>
          </w:pPr>
          <w:hyperlink w:anchor="_Toc86417280" w:history="1">
            <w:r w:rsidRPr="00550B49">
              <w:rPr>
                <w:rStyle w:val="Hyperlink"/>
                <w:noProof/>
              </w:rPr>
              <w:t>4.5. Cultural beliefs/values and dementia caregiving</w:t>
            </w:r>
            <w:r>
              <w:rPr>
                <w:noProof/>
                <w:webHidden/>
              </w:rPr>
              <w:tab/>
            </w:r>
            <w:r>
              <w:rPr>
                <w:noProof/>
                <w:webHidden/>
              </w:rPr>
              <w:fldChar w:fldCharType="begin"/>
            </w:r>
            <w:r>
              <w:rPr>
                <w:noProof/>
                <w:webHidden/>
              </w:rPr>
              <w:instrText xml:space="preserve"> PAGEREF _Toc86417280 \h </w:instrText>
            </w:r>
            <w:r>
              <w:rPr>
                <w:noProof/>
                <w:webHidden/>
              </w:rPr>
            </w:r>
            <w:r>
              <w:rPr>
                <w:noProof/>
                <w:webHidden/>
              </w:rPr>
              <w:fldChar w:fldCharType="separate"/>
            </w:r>
            <w:r w:rsidR="00C836FC">
              <w:rPr>
                <w:noProof/>
                <w:webHidden/>
              </w:rPr>
              <w:t>64</w:t>
            </w:r>
            <w:r>
              <w:rPr>
                <w:noProof/>
                <w:webHidden/>
              </w:rPr>
              <w:fldChar w:fldCharType="end"/>
            </w:r>
          </w:hyperlink>
        </w:p>
        <w:p w14:paraId="0C019357" w14:textId="068AF899" w:rsidR="005A5E65" w:rsidRDefault="005A5E65">
          <w:pPr>
            <w:pStyle w:val="TOC3"/>
            <w:tabs>
              <w:tab w:val="right" w:leader="dot" w:pos="8302"/>
            </w:tabs>
            <w:rPr>
              <w:rFonts w:cstheme="minorBidi"/>
              <w:noProof/>
              <w:lang w:val="en-GB" w:eastAsia="ja-JP"/>
            </w:rPr>
          </w:pPr>
          <w:hyperlink w:anchor="_Toc86417281" w:history="1">
            <w:r w:rsidRPr="00550B49">
              <w:rPr>
                <w:rStyle w:val="Hyperlink"/>
                <w:noProof/>
              </w:rPr>
              <w:t>4.5.1. Rates of caregiving vary across ethnic groups</w:t>
            </w:r>
            <w:r>
              <w:rPr>
                <w:noProof/>
                <w:webHidden/>
              </w:rPr>
              <w:tab/>
            </w:r>
            <w:r>
              <w:rPr>
                <w:noProof/>
                <w:webHidden/>
              </w:rPr>
              <w:fldChar w:fldCharType="begin"/>
            </w:r>
            <w:r>
              <w:rPr>
                <w:noProof/>
                <w:webHidden/>
              </w:rPr>
              <w:instrText xml:space="preserve"> PAGEREF _Toc86417281 \h </w:instrText>
            </w:r>
            <w:r>
              <w:rPr>
                <w:noProof/>
                <w:webHidden/>
              </w:rPr>
            </w:r>
            <w:r>
              <w:rPr>
                <w:noProof/>
                <w:webHidden/>
              </w:rPr>
              <w:fldChar w:fldCharType="separate"/>
            </w:r>
            <w:r w:rsidR="00C836FC">
              <w:rPr>
                <w:noProof/>
                <w:webHidden/>
              </w:rPr>
              <w:t>64</w:t>
            </w:r>
            <w:r>
              <w:rPr>
                <w:noProof/>
                <w:webHidden/>
              </w:rPr>
              <w:fldChar w:fldCharType="end"/>
            </w:r>
          </w:hyperlink>
        </w:p>
        <w:p w14:paraId="337E3624" w14:textId="0526C59C" w:rsidR="005A5E65" w:rsidRDefault="005A5E65">
          <w:pPr>
            <w:pStyle w:val="TOC3"/>
            <w:tabs>
              <w:tab w:val="right" w:leader="dot" w:pos="8302"/>
            </w:tabs>
            <w:rPr>
              <w:rFonts w:cstheme="minorBidi"/>
              <w:noProof/>
              <w:lang w:val="en-GB" w:eastAsia="ja-JP"/>
            </w:rPr>
          </w:pPr>
          <w:hyperlink w:anchor="_Toc86417282" w:history="1">
            <w:r w:rsidRPr="00550B49">
              <w:rPr>
                <w:rStyle w:val="Hyperlink"/>
                <w:noProof/>
              </w:rPr>
              <w:t>4.5.2. Cultural perceptions of dementia</w:t>
            </w:r>
            <w:r>
              <w:rPr>
                <w:noProof/>
                <w:webHidden/>
              </w:rPr>
              <w:tab/>
            </w:r>
            <w:r>
              <w:rPr>
                <w:noProof/>
                <w:webHidden/>
              </w:rPr>
              <w:fldChar w:fldCharType="begin"/>
            </w:r>
            <w:r>
              <w:rPr>
                <w:noProof/>
                <w:webHidden/>
              </w:rPr>
              <w:instrText xml:space="preserve"> PAGEREF _Toc86417282 \h </w:instrText>
            </w:r>
            <w:r>
              <w:rPr>
                <w:noProof/>
                <w:webHidden/>
              </w:rPr>
            </w:r>
            <w:r>
              <w:rPr>
                <w:noProof/>
                <w:webHidden/>
              </w:rPr>
              <w:fldChar w:fldCharType="separate"/>
            </w:r>
            <w:r w:rsidR="00C836FC">
              <w:rPr>
                <w:noProof/>
                <w:webHidden/>
              </w:rPr>
              <w:t>65</w:t>
            </w:r>
            <w:r>
              <w:rPr>
                <w:noProof/>
                <w:webHidden/>
              </w:rPr>
              <w:fldChar w:fldCharType="end"/>
            </w:r>
          </w:hyperlink>
        </w:p>
        <w:p w14:paraId="0BEFCC23" w14:textId="757DD1B4" w:rsidR="005A5E65" w:rsidRDefault="005A5E65">
          <w:pPr>
            <w:pStyle w:val="TOC3"/>
            <w:tabs>
              <w:tab w:val="right" w:leader="dot" w:pos="8302"/>
            </w:tabs>
            <w:rPr>
              <w:rFonts w:cstheme="minorBidi"/>
              <w:noProof/>
              <w:lang w:val="en-GB" w:eastAsia="ja-JP"/>
            </w:rPr>
          </w:pPr>
          <w:hyperlink w:anchor="_Toc86417283" w:history="1">
            <w:r w:rsidRPr="00550B49">
              <w:rPr>
                <w:rStyle w:val="Hyperlink"/>
                <w:bCs/>
                <w:noProof/>
              </w:rPr>
              <w:t xml:space="preserve">4.5.3. Ethnic </w:t>
            </w:r>
            <w:r w:rsidRPr="00550B49">
              <w:rPr>
                <w:rStyle w:val="Hyperlink"/>
                <w:noProof/>
              </w:rPr>
              <w:t>beliefs concerning dementia and caregiving</w:t>
            </w:r>
            <w:r>
              <w:rPr>
                <w:noProof/>
                <w:webHidden/>
              </w:rPr>
              <w:tab/>
            </w:r>
            <w:r>
              <w:rPr>
                <w:noProof/>
                <w:webHidden/>
              </w:rPr>
              <w:fldChar w:fldCharType="begin"/>
            </w:r>
            <w:r>
              <w:rPr>
                <w:noProof/>
                <w:webHidden/>
              </w:rPr>
              <w:instrText xml:space="preserve"> PAGEREF _Toc86417283 \h </w:instrText>
            </w:r>
            <w:r>
              <w:rPr>
                <w:noProof/>
                <w:webHidden/>
              </w:rPr>
            </w:r>
            <w:r>
              <w:rPr>
                <w:noProof/>
                <w:webHidden/>
              </w:rPr>
              <w:fldChar w:fldCharType="separate"/>
            </w:r>
            <w:r w:rsidR="00C836FC">
              <w:rPr>
                <w:noProof/>
                <w:webHidden/>
              </w:rPr>
              <w:t>66</w:t>
            </w:r>
            <w:r>
              <w:rPr>
                <w:noProof/>
                <w:webHidden/>
              </w:rPr>
              <w:fldChar w:fldCharType="end"/>
            </w:r>
          </w:hyperlink>
        </w:p>
        <w:p w14:paraId="09771204" w14:textId="757C5797" w:rsidR="005A5E65" w:rsidRDefault="005A5E65">
          <w:pPr>
            <w:pStyle w:val="TOC3"/>
            <w:tabs>
              <w:tab w:val="right" w:leader="dot" w:pos="8302"/>
            </w:tabs>
            <w:rPr>
              <w:rFonts w:cstheme="minorBidi"/>
              <w:noProof/>
              <w:lang w:val="en-GB" w:eastAsia="ja-JP"/>
            </w:rPr>
          </w:pPr>
          <w:hyperlink w:anchor="_Toc86417284" w:history="1">
            <w:r w:rsidRPr="00550B49">
              <w:rPr>
                <w:rStyle w:val="Hyperlink"/>
                <w:bCs/>
                <w:noProof/>
              </w:rPr>
              <w:t xml:space="preserve">4.5.4. </w:t>
            </w:r>
            <w:r w:rsidRPr="00550B49">
              <w:rPr>
                <w:rStyle w:val="Hyperlink"/>
                <w:noProof/>
              </w:rPr>
              <w:t>Dementia and normal ageing</w:t>
            </w:r>
            <w:r>
              <w:rPr>
                <w:noProof/>
                <w:webHidden/>
              </w:rPr>
              <w:tab/>
            </w:r>
            <w:r>
              <w:rPr>
                <w:noProof/>
                <w:webHidden/>
              </w:rPr>
              <w:fldChar w:fldCharType="begin"/>
            </w:r>
            <w:r>
              <w:rPr>
                <w:noProof/>
                <w:webHidden/>
              </w:rPr>
              <w:instrText xml:space="preserve"> PAGEREF _Toc86417284 \h </w:instrText>
            </w:r>
            <w:r>
              <w:rPr>
                <w:noProof/>
                <w:webHidden/>
              </w:rPr>
            </w:r>
            <w:r>
              <w:rPr>
                <w:noProof/>
                <w:webHidden/>
              </w:rPr>
              <w:fldChar w:fldCharType="separate"/>
            </w:r>
            <w:r w:rsidR="00C836FC">
              <w:rPr>
                <w:noProof/>
                <w:webHidden/>
              </w:rPr>
              <w:t>67</w:t>
            </w:r>
            <w:r>
              <w:rPr>
                <w:noProof/>
                <w:webHidden/>
              </w:rPr>
              <w:fldChar w:fldCharType="end"/>
            </w:r>
          </w:hyperlink>
        </w:p>
        <w:p w14:paraId="37FAD8E1" w14:textId="323DFA2B" w:rsidR="005A5E65" w:rsidRDefault="005A5E65">
          <w:pPr>
            <w:pStyle w:val="TOC3"/>
            <w:tabs>
              <w:tab w:val="right" w:leader="dot" w:pos="8302"/>
            </w:tabs>
            <w:rPr>
              <w:rFonts w:cstheme="minorBidi"/>
              <w:noProof/>
              <w:lang w:val="en-GB" w:eastAsia="ja-JP"/>
            </w:rPr>
          </w:pPr>
          <w:hyperlink w:anchor="_Toc86417285" w:history="1">
            <w:r w:rsidRPr="00550B49">
              <w:rPr>
                <w:rStyle w:val="Hyperlink"/>
                <w:bCs/>
                <w:noProof/>
              </w:rPr>
              <w:t xml:space="preserve">4.5.5. </w:t>
            </w:r>
            <w:r w:rsidRPr="00550B49">
              <w:rPr>
                <w:rStyle w:val="Hyperlink"/>
                <w:noProof/>
              </w:rPr>
              <w:t>Insanity and dementia</w:t>
            </w:r>
            <w:r>
              <w:rPr>
                <w:noProof/>
                <w:webHidden/>
              </w:rPr>
              <w:tab/>
            </w:r>
            <w:r>
              <w:rPr>
                <w:noProof/>
                <w:webHidden/>
              </w:rPr>
              <w:fldChar w:fldCharType="begin"/>
            </w:r>
            <w:r>
              <w:rPr>
                <w:noProof/>
                <w:webHidden/>
              </w:rPr>
              <w:instrText xml:space="preserve"> PAGEREF _Toc86417285 \h </w:instrText>
            </w:r>
            <w:r>
              <w:rPr>
                <w:noProof/>
                <w:webHidden/>
              </w:rPr>
            </w:r>
            <w:r>
              <w:rPr>
                <w:noProof/>
                <w:webHidden/>
              </w:rPr>
              <w:fldChar w:fldCharType="separate"/>
            </w:r>
            <w:r w:rsidR="00C836FC">
              <w:rPr>
                <w:noProof/>
                <w:webHidden/>
              </w:rPr>
              <w:t>68</w:t>
            </w:r>
            <w:r>
              <w:rPr>
                <w:noProof/>
                <w:webHidden/>
              </w:rPr>
              <w:fldChar w:fldCharType="end"/>
            </w:r>
          </w:hyperlink>
        </w:p>
        <w:p w14:paraId="2D5EF6C6" w14:textId="04145C5E" w:rsidR="005A5E65" w:rsidRDefault="005A5E65">
          <w:pPr>
            <w:pStyle w:val="TOC3"/>
            <w:tabs>
              <w:tab w:val="right" w:leader="dot" w:pos="8302"/>
            </w:tabs>
            <w:rPr>
              <w:rFonts w:cstheme="minorBidi"/>
              <w:noProof/>
              <w:lang w:val="en-GB" w:eastAsia="ja-JP"/>
            </w:rPr>
          </w:pPr>
          <w:hyperlink w:anchor="_Toc86417286" w:history="1">
            <w:r w:rsidRPr="00550B49">
              <w:rPr>
                <w:rStyle w:val="Hyperlink"/>
                <w:bCs/>
                <w:noProof/>
              </w:rPr>
              <w:t xml:space="preserve">4.5.6. </w:t>
            </w:r>
            <w:r w:rsidRPr="00550B49">
              <w:rPr>
                <w:rStyle w:val="Hyperlink"/>
                <w:noProof/>
              </w:rPr>
              <w:t>Dementia and shame</w:t>
            </w:r>
            <w:r>
              <w:rPr>
                <w:noProof/>
                <w:webHidden/>
              </w:rPr>
              <w:tab/>
            </w:r>
            <w:r>
              <w:rPr>
                <w:noProof/>
                <w:webHidden/>
              </w:rPr>
              <w:fldChar w:fldCharType="begin"/>
            </w:r>
            <w:r>
              <w:rPr>
                <w:noProof/>
                <w:webHidden/>
              </w:rPr>
              <w:instrText xml:space="preserve"> PAGEREF _Toc86417286 \h </w:instrText>
            </w:r>
            <w:r>
              <w:rPr>
                <w:noProof/>
                <w:webHidden/>
              </w:rPr>
            </w:r>
            <w:r>
              <w:rPr>
                <w:noProof/>
                <w:webHidden/>
              </w:rPr>
              <w:fldChar w:fldCharType="separate"/>
            </w:r>
            <w:r w:rsidR="00C836FC">
              <w:rPr>
                <w:noProof/>
                <w:webHidden/>
              </w:rPr>
              <w:t>68</w:t>
            </w:r>
            <w:r>
              <w:rPr>
                <w:noProof/>
                <w:webHidden/>
              </w:rPr>
              <w:fldChar w:fldCharType="end"/>
            </w:r>
          </w:hyperlink>
        </w:p>
        <w:p w14:paraId="2F2DC4E6" w14:textId="4ECBDF38" w:rsidR="005A5E65" w:rsidRDefault="005A5E65">
          <w:pPr>
            <w:pStyle w:val="TOC3"/>
            <w:tabs>
              <w:tab w:val="right" w:leader="dot" w:pos="8302"/>
            </w:tabs>
            <w:rPr>
              <w:rFonts w:cstheme="minorBidi"/>
              <w:noProof/>
              <w:lang w:val="en-GB" w:eastAsia="ja-JP"/>
            </w:rPr>
          </w:pPr>
          <w:hyperlink w:anchor="_Toc86417287" w:history="1">
            <w:r w:rsidRPr="00550B49">
              <w:rPr>
                <w:rStyle w:val="Hyperlink"/>
                <w:bCs/>
                <w:noProof/>
              </w:rPr>
              <w:t xml:space="preserve">4.5.7. </w:t>
            </w:r>
            <w:r w:rsidRPr="00550B49">
              <w:rPr>
                <w:rStyle w:val="Hyperlink"/>
                <w:noProof/>
              </w:rPr>
              <w:t>Socio-cultural constructions of dementia</w:t>
            </w:r>
            <w:r>
              <w:rPr>
                <w:noProof/>
                <w:webHidden/>
              </w:rPr>
              <w:tab/>
            </w:r>
            <w:r>
              <w:rPr>
                <w:noProof/>
                <w:webHidden/>
              </w:rPr>
              <w:fldChar w:fldCharType="begin"/>
            </w:r>
            <w:r>
              <w:rPr>
                <w:noProof/>
                <w:webHidden/>
              </w:rPr>
              <w:instrText xml:space="preserve"> PAGEREF _Toc86417287 \h </w:instrText>
            </w:r>
            <w:r>
              <w:rPr>
                <w:noProof/>
                <w:webHidden/>
              </w:rPr>
            </w:r>
            <w:r>
              <w:rPr>
                <w:noProof/>
                <w:webHidden/>
              </w:rPr>
              <w:fldChar w:fldCharType="separate"/>
            </w:r>
            <w:r w:rsidR="00C836FC">
              <w:rPr>
                <w:noProof/>
                <w:webHidden/>
              </w:rPr>
              <w:t>69</w:t>
            </w:r>
            <w:r>
              <w:rPr>
                <w:noProof/>
                <w:webHidden/>
              </w:rPr>
              <w:fldChar w:fldCharType="end"/>
            </w:r>
          </w:hyperlink>
        </w:p>
        <w:p w14:paraId="09E78386" w14:textId="5A082D04" w:rsidR="005A5E65" w:rsidRDefault="005A5E65">
          <w:pPr>
            <w:pStyle w:val="TOC2"/>
            <w:tabs>
              <w:tab w:val="right" w:leader="dot" w:pos="8302"/>
            </w:tabs>
            <w:rPr>
              <w:rFonts w:cstheme="minorBidi"/>
              <w:noProof/>
              <w:lang w:val="en-GB" w:eastAsia="ja-JP"/>
            </w:rPr>
          </w:pPr>
          <w:hyperlink w:anchor="_Toc86417288" w:history="1">
            <w:r w:rsidRPr="00550B49">
              <w:rPr>
                <w:rStyle w:val="Hyperlink"/>
                <w:bCs/>
                <w:noProof/>
              </w:rPr>
              <w:t xml:space="preserve">4.6. </w:t>
            </w:r>
            <w:r w:rsidRPr="00550B49">
              <w:rPr>
                <w:rStyle w:val="Hyperlink"/>
                <w:noProof/>
              </w:rPr>
              <w:t>Key cultural values</w:t>
            </w:r>
            <w:r>
              <w:rPr>
                <w:noProof/>
                <w:webHidden/>
              </w:rPr>
              <w:tab/>
            </w:r>
            <w:r>
              <w:rPr>
                <w:noProof/>
                <w:webHidden/>
              </w:rPr>
              <w:fldChar w:fldCharType="begin"/>
            </w:r>
            <w:r>
              <w:rPr>
                <w:noProof/>
                <w:webHidden/>
              </w:rPr>
              <w:instrText xml:space="preserve"> PAGEREF _Toc86417288 \h </w:instrText>
            </w:r>
            <w:r>
              <w:rPr>
                <w:noProof/>
                <w:webHidden/>
              </w:rPr>
            </w:r>
            <w:r>
              <w:rPr>
                <w:noProof/>
                <w:webHidden/>
              </w:rPr>
              <w:fldChar w:fldCharType="separate"/>
            </w:r>
            <w:r w:rsidR="00C836FC">
              <w:rPr>
                <w:noProof/>
                <w:webHidden/>
              </w:rPr>
              <w:t>69</w:t>
            </w:r>
            <w:r>
              <w:rPr>
                <w:noProof/>
                <w:webHidden/>
              </w:rPr>
              <w:fldChar w:fldCharType="end"/>
            </w:r>
          </w:hyperlink>
        </w:p>
        <w:p w14:paraId="11AD6899" w14:textId="3AAB6B2D" w:rsidR="005A5E65" w:rsidRDefault="005A5E65">
          <w:pPr>
            <w:pStyle w:val="TOC3"/>
            <w:tabs>
              <w:tab w:val="right" w:leader="dot" w:pos="8302"/>
            </w:tabs>
            <w:rPr>
              <w:rFonts w:cstheme="minorBidi"/>
              <w:noProof/>
              <w:lang w:val="en-GB" w:eastAsia="ja-JP"/>
            </w:rPr>
          </w:pPr>
          <w:hyperlink w:anchor="_Toc86417289" w:history="1">
            <w:r w:rsidRPr="00550B49">
              <w:rPr>
                <w:rStyle w:val="Hyperlink"/>
                <w:noProof/>
              </w:rPr>
              <w:t>4.6.1. Familism</w:t>
            </w:r>
            <w:r>
              <w:rPr>
                <w:noProof/>
                <w:webHidden/>
              </w:rPr>
              <w:tab/>
            </w:r>
            <w:r>
              <w:rPr>
                <w:noProof/>
                <w:webHidden/>
              </w:rPr>
              <w:fldChar w:fldCharType="begin"/>
            </w:r>
            <w:r>
              <w:rPr>
                <w:noProof/>
                <w:webHidden/>
              </w:rPr>
              <w:instrText xml:space="preserve"> PAGEREF _Toc86417289 \h </w:instrText>
            </w:r>
            <w:r>
              <w:rPr>
                <w:noProof/>
                <w:webHidden/>
              </w:rPr>
            </w:r>
            <w:r>
              <w:rPr>
                <w:noProof/>
                <w:webHidden/>
              </w:rPr>
              <w:fldChar w:fldCharType="separate"/>
            </w:r>
            <w:r w:rsidR="00C836FC">
              <w:rPr>
                <w:noProof/>
                <w:webHidden/>
              </w:rPr>
              <w:t>70</w:t>
            </w:r>
            <w:r>
              <w:rPr>
                <w:noProof/>
                <w:webHidden/>
              </w:rPr>
              <w:fldChar w:fldCharType="end"/>
            </w:r>
          </w:hyperlink>
        </w:p>
        <w:p w14:paraId="449282E8" w14:textId="4E8330A9" w:rsidR="005A5E65" w:rsidRDefault="005A5E65">
          <w:pPr>
            <w:pStyle w:val="TOC3"/>
            <w:tabs>
              <w:tab w:val="right" w:leader="dot" w:pos="8302"/>
            </w:tabs>
            <w:rPr>
              <w:rFonts w:cstheme="minorBidi"/>
              <w:noProof/>
              <w:lang w:val="en-GB" w:eastAsia="ja-JP"/>
            </w:rPr>
          </w:pPr>
          <w:hyperlink w:anchor="_Toc86417290" w:history="1">
            <w:r w:rsidRPr="00550B49">
              <w:rPr>
                <w:rStyle w:val="Hyperlink"/>
                <w:noProof/>
              </w:rPr>
              <w:t>4.6.2. Filial piety</w:t>
            </w:r>
            <w:r>
              <w:rPr>
                <w:noProof/>
                <w:webHidden/>
              </w:rPr>
              <w:tab/>
            </w:r>
            <w:r>
              <w:rPr>
                <w:noProof/>
                <w:webHidden/>
              </w:rPr>
              <w:fldChar w:fldCharType="begin"/>
            </w:r>
            <w:r>
              <w:rPr>
                <w:noProof/>
                <w:webHidden/>
              </w:rPr>
              <w:instrText xml:space="preserve"> PAGEREF _Toc86417290 \h </w:instrText>
            </w:r>
            <w:r>
              <w:rPr>
                <w:noProof/>
                <w:webHidden/>
              </w:rPr>
            </w:r>
            <w:r>
              <w:rPr>
                <w:noProof/>
                <w:webHidden/>
              </w:rPr>
              <w:fldChar w:fldCharType="separate"/>
            </w:r>
            <w:r w:rsidR="00C836FC">
              <w:rPr>
                <w:noProof/>
                <w:webHidden/>
              </w:rPr>
              <w:t>71</w:t>
            </w:r>
            <w:r>
              <w:rPr>
                <w:noProof/>
                <w:webHidden/>
              </w:rPr>
              <w:fldChar w:fldCharType="end"/>
            </w:r>
          </w:hyperlink>
        </w:p>
        <w:p w14:paraId="43B4E981" w14:textId="7104A49F" w:rsidR="005A5E65" w:rsidRDefault="005A5E65">
          <w:pPr>
            <w:pStyle w:val="TOC3"/>
            <w:tabs>
              <w:tab w:val="right" w:leader="dot" w:pos="8302"/>
            </w:tabs>
            <w:rPr>
              <w:rFonts w:cstheme="minorBidi"/>
              <w:noProof/>
              <w:lang w:val="en-GB" w:eastAsia="ja-JP"/>
            </w:rPr>
          </w:pPr>
          <w:hyperlink w:anchor="_Toc86417291" w:history="1">
            <w:r w:rsidRPr="00550B49">
              <w:rPr>
                <w:rStyle w:val="Hyperlink"/>
                <w:bCs/>
                <w:noProof/>
              </w:rPr>
              <w:t xml:space="preserve">4.6.3. </w:t>
            </w:r>
            <w:r w:rsidRPr="00550B49">
              <w:rPr>
                <w:rStyle w:val="Hyperlink"/>
                <w:noProof/>
              </w:rPr>
              <w:t>Culture and reciprocity</w:t>
            </w:r>
            <w:r>
              <w:rPr>
                <w:noProof/>
                <w:webHidden/>
              </w:rPr>
              <w:tab/>
            </w:r>
            <w:r>
              <w:rPr>
                <w:noProof/>
                <w:webHidden/>
              </w:rPr>
              <w:fldChar w:fldCharType="begin"/>
            </w:r>
            <w:r>
              <w:rPr>
                <w:noProof/>
                <w:webHidden/>
              </w:rPr>
              <w:instrText xml:space="preserve"> PAGEREF _Toc86417291 \h </w:instrText>
            </w:r>
            <w:r>
              <w:rPr>
                <w:noProof/>
                <w:webHidden/>
              </w:rPr>
            </w:r>
            <w:r>
              <w:rPr>
                <w:noProof/>
                <w:webHidden/>
              </w:rPr>
              <w:fldChar w:fldCharType="separate"/>
            </w:r>
            <w:r w:rsidR="00C836FC">
              <w:rPr>
                <w:noProof/>
                <w:webHidden/>
              </w:rPr>
              <w:t>71</w:t>
            </w:r>
            <w:r>
              <w:rPr>
                <w:noProof/>
                <w:webHidden/>
              </w:rPr>
              <w:fldChar w:fldCharType="end"/>
            </w:r>
          </w:hyperlink>
        </w:p>
        <w:p w14:paraId="0E6ED0EF" w14:textId="751BBAC9" w:rsidR="005A5E65" w:rsidRDefault="005A5E65">
          <w:pPr>
            <w:pStyle w:val="TOC3"/>
            <w:tabs>
              <w:tab w:val="right" w:leader="dot" w:pos="8302"/>
            </w:tabs>
            <w:rPr>
              <w:rFonts w:cstheme="minorBidi"/>
              <w:noProof/>
              <w:lang w:val="en-GB" w:eastAsia="ja-JP"/>
            </w:rPr>
          </w:pPr>
          <w:hyperlink w:anchor="_Toc86417292" w:history="1">
            <w:r w:rsidRPr="00550B49">
              <w:rPr>
                <w:rStyle w:val="Hyperlink"/>
                <w:bCs/>
                <w:noProof/>
              </w:rPr>
              <w:t xml:space="preserve">4.6.4. </w:t>
            </w:r>
            <w:r w:rsidRPr="00550B49">
              <w:rPr>
                <w:rStyle w:val="Hyperlink"/>
                <w:noProof/>
              </w:rPr>
              <w:t>Religious and spiritual values</w:t>
            </w:r>
            <w:r>
              <w:rPr>
                <w:noProof/>
                <w:webHidden/>
              </w:rPr>
              <w:tab/>
            </w:r>
            <w:r>
              <w:rPr>
                <w:noProof/>
                <w:webHidden/>
              </w:rPr>
              <w:fldChar w:fldCharType="begin"/>
            </w:r>
            <w:r>
              <w:rPr>
                <w:noProof/>
                <w:webHidden/>
              </w:rPr>
              <w:instrText xml:space="preserve"> PAGEREF _Toc86417292 \h </w:instrText>
            </w:r>
            <w:r>
              <w:rPr>
                <w:noProof/>
                <w:webHidden/>
              </w:rPr>
            </w:r>
            <w:r>
              <w:rPr>
                <w:noProof/>
                <w:webHidden/>
              </w:rPr>
              <w:fldChar w:fldCharType="separate"/>
            </w:r>
            <w:r w:rsidR="00C836FC">
              <w:rPr>
                <w:noProof/>
                <w:webHidden/>
              </w:rPr>
              <w:t>72</w:t>
            </w:r>
            <w:r>
              <w:rPr>
                <w:noProof/>
                <w:webHidden/>
              </w:rPr>
              <w:fldChar w:fldCharType="end"/>
            </w:r>
          </w:hyperlink>
        </w:p>
        <w:p w14:paraId="4C5216D9" w14:textId="0E3D6E64" w:rsidR="005A5E65" w:rsidRDefault="005A5E65">
          <w:pPr>
            <w:pStyle w:val="TOC2"/>
            <w:tabs>
              <w:tab w:val="right" w:leader="dot" w:pos="8302"/>
            </w:tabs>
            <w:rPr>
              <w:rFonts w:cstheme="minorBidi"/>
              <w:noProof/>
              <w:lang w:val="en-GB" w:eastAsia="ja-JP"/>
            </w:rPr>
          </w:pPr>
          <w:hyperlink w:anchor="_Toc86417293" w:history="1">
            <w:r w:rsidRPr="00550B49">
              <w:rPr>
                <w:rStyle w:val="Hyperlink"/>
                <w:bCs/>
                <w:noProof/>
              </w:rPr>
              <w:t xml:space="preserve">4.7. </w:t>
            </w:r>
            <w:r w:rsidRPr="00550B49">
              <w:rPr>
                <w:rStyle w:val="Hyperlink"/>
                <w:noProof/>
              </w:rPr>
              <w:t>Gaps in literature</w:t>
            </w:r>
            <w:r>
              <w:rPr>
                <w:noProof/>
                <w:webHidden/>
              </w:rPr>
              <w:tab/>
            </w:r>
            <w:r>
              <w:rPr>
                <w:noProof/>
                <w:webHidden/>
              </w:rPr>
              <w:fldChar w:fldCharType="begin"/>
            </w:r>
            <w:r>
              <w:rPr>
                <w:noProof/>
                <w:webHidden/>
              </w:rPr>
              <w:instrText xml:space="preserve"> PAGEREF _Toc86417293 \h </w:instrText>
            </w:r>
            <w:r>
              <w:rPr>
                <w:noProof/>
                <w:webHidden/>
              </w:rPr>
            </w:r>
            <w:r>
              <w:rPr>
                <w:noProof/>
                <w:webHidden/>
              </w:rPr>
              <w:fldChar w:fldCharType="separate"/>
            </w:r>
            <w:r w:rsidR="00C836FC">
              <w:rPr>
                <w:noProof/>
                <w:webHidden/>
              </w:rPr>
              <w:t>72</w:t>
            </w:r>
            <w:r>
              <w:rPr>
                <w:noProof/>
                <w:webHidden/>
              </w:rPr>
              <w:fldChar w:fldCharType="end"/>
            </w:r>
          </w:hyperlink>
        </w:p>
        <w:p w14:paraId="04435B40" w14:textId="2A74C3B5" w:rsidR="005A5E65" w:rsidRDefault="005A5E65">
          <w:pPr>
            <w:pStyle w:val="TOC2"/>
            <w:tabs>
              <w:tab w:val="right" w:leader="dot" w:pos="8302"/>
            </w:tabs>
            <w:rPr>
              <w:rFonts w:cstheme="minorBidi"/>
              <w:noProof/>
              <w:lang w:val="en-GB" w:eastAsia="ja-JP"/>
            </w:rPr>
          </w:pPr>
          <w:hyperlink w:anchor="_Toc86417294" w:history="1">
            <w:r w:rsidRPr="00550B49">
              <w:rPr>
                <w:rStyle w:val="Hyperlink"/>
                <w:noProof/>
              </w:rPr>
              <w:t>4.8. The conceptual framework for this study</w:t>
            </w:r>
            <w:r>
              <w:rPr>
                <w:noProof/>
                <w:webHidden/>
              </w:rPr>
              <w:tab/>
            </w:r>
            <w:r>
              <w:rPr>
                <w:noProof/>
                <w:webHidden/>
              </w:rPr>
              <w:fldChar w:fldCharType="begin"/>
            </w:r>
            <w:r>
              <w:rPr>
                <w:noProof/>
                <w:webHidden/>
              </w:rPr>
              <w:instrText xml:space="preserve"> PAGEREF _Toc86417294 \h </w:instrText>
            </w:r>
            <w:r>
              <w:rPr>
                <w:noProof/>
                <w:webHidden/>
              </w:rPr>
            </w:r>
            <w:r>
              <w:rPr>
                <w:noProof/>
                <w:webHidden/>
              </w:rPr>
              <w:fldChar w:fldCharType="separate"/>
            </w:r>
            <w:r w:rsidR="00C836FC">
              <w:rPr>
                <w:noProof/>
                <w:webHidden/>
              </w:rPr>
              <w:t>73</w:t>
            </w:r>
            <w:r>
              <w:rPr>
                <w:noProof/>
                <w:webHidden/>
              </w:rPr>
              <w:fldChar w:fldCharType="end"/>
            </w:r>
          </w:hyperlink>
        </w:p>
        <w:p w14:paraId="2710669E" w14:textId="6D32152D" w:rsidR="005A5E65" w:rsidRDefault="005A5E65">
          <w:pPr>
            <w:pStyle w:val="TOC2"/>
            <w:tabs>
              <w:tab w:val="right" w:leader="dot" w:pos="8302"/>
            </w:tabs>
            <w:rPr>
              <w:rFonts w:cstheme="minorBidi"/>
              <w:noProof/>
              <w:lang w:val="en-GB" w:eastAsia="ja-JP"/>
            </w:rPr>
          </w:pPr>
          <w:hyperlink w:anchor="_Toc86417295" w:history="1">
            <w:r w:rsidRPr="00550B49">
              <w:rPr>
                <w:rStyle w:val="Hyperlink"/>
                <w:noProof/>
              </w:rPr>
              <w:t>4.9. Framework overview</w:t>
            </w:r>
            <w:r>
              <w:rPr>
                <w:noProof/>
                <w:webHidden/>
              </w:rPr>
              <w:tab/>
            </w:r>
            <w:r>
              <w:rPr>
                <w:noProof/>
                <w:webHidden/>
              </w:rPr>
              <w:fldChar w:fldCharType="begin"/>
            </w:r>
            <w:r>
              <w:rPr>
                <w:noProof/>
                <w:webHidden/>
              </w:rPr>
              <w:instrText xml:space="preserve"> PAGEREF _Toc86417295 \h </w:instrText>
            </w:r>
            <w:r>
              <w:rPr>
                <w:noProof/>
                <w:webHidden/>
              </w:rPr>
            </w:r>
            <w:r>
              <w:rPr>
                <w:noProof/>
                <w:webHidden/>
              </w:rPr>
              <w:fldChar w:fldCharType="separate"/>
            </w:r>
            <w:r w:rsidR="00C836FC">
              <w:rPr>
                <w:noProof/>
                <w:webHidden/>
              </w:rPr>
              <w:t>75</w:t>
            </w:r>
            <w:r>
              <w:rPr>
                <w:noProof/>
                <w:webHidden/>
              </w:rPr>
              <w:fldChar w:fldCharType="end"/>
            </w:r>
          </w:hyperlink>
        </w:p>
        <w:p w14:paraId="3B3D7000" w14:textId="3BB24B75" w:rsidR="005A5E65" w:rsidRDefault="005A5E65">
          <w:pPr>
            <w:pStyle w:val="TOC3"/>
            <w:tabs>
              <w:tab w:val="right" w:leader="dot" w:pos="8302"/>
            </w:tabs>
            <w:rPr>
              <w:rFonts w:cstheme="minorBidi"/>
              <w:noProof/>
              <w:lang w:val="en-GB" w:eastAsia="ja-JP"/>
            </w:rPr>
          </w:pPr>
          <w:hyperlink w:anchor="_Toc86417296" w:history="1">
            <w:r w:rsidRPr="00550B49">
              <w:rPr>
                <w:rStyle w:val="Hyperlink"/>
                <w:noProof/>
              </w:rPr>
              <w:t>4.9.1. The decision to migrate</w:t>
            </w:r>
            <w:r>
              <w:rPr>
                <w:noProof/>
                <w:webHidden/>
              </w:rPr>
              <w:tab/>
            </w:r>
            <w:r>
              <w:rPr>
                <w:noProof/>
                <w:webHidden/>
              </w:rPr>
              <w:fldChar w:fldCharType="begin"/>
            </w:r>
            <w:r>
              <w:rPr>
                <w:noProof/>
                <w:webHidden/>
              </w:rPr>
              <w:instrText xml:space="preserve"> PAGEREF _Toc86417296 \h </w:instrText>
            </w:r>
            <w:r>
              <w:rPr>
                <w:noProof/>
                <w:webHidden/>
              </w:rPr>
            </w:r>
            <w:r>
              <w:rPr>
                <w:noProof/>
                <w:webHidden/>
              </w:rPr>
              <w:fldChar w:fldCharType="separate"/>
            </w:r>
            <w:r w:rsidR="00C836FC">
              <w:rPr>
                <w:noProof/>
                <w:webHidden/>
              </w:rPr>
              <w:t>75</w:t>
            </w:r>
            <w:r>
              <w:rPr>
                <w:noProof/>
                <w:webHidden/>
              </w:rPr>
              <w:fldChar w:fldCharType="end"/>
            </w:r>
          </w:hyperlink>
        </w:p>
        <w:p w14:paraId="3EFE771B" w14:textId="6B6AB164" w:rsidR="005A5E65" w:rsidRDefault="005A5E65">
          <w:pPr>
            <w:pStyle w:val="TOC3"/>
            <w:tabs>
              <w:tab w:val="right" w:leader="dot" w:pos="8302"/>
            </w:tabs>
            <w:rPr>
              <w:rFonts w:cstheme="minorBidi"/>
              <w:noProof/>
              <w:lang w:val="en-GB" w:eastAsia="ja-JP"/>
            </w:rPr>
          </w:pPr>
          <w:hyperlink w:anchor="_Toc86417297" w:history="1">
            <w:r w:rsidRPr="00550B49">
              <w:rPr>
                <w:rStyle w:val="Hyperlink"/>
                <w:noProof/>
              </w:rPr>
              <w:t>4.9.2. Motivation to do paid caregiving</w:t>
            </w:r>
            <w:r>
              <w:rPr>
                <w:noProof/>
                <w:webHidden/>
              </w:rPr>
              <w:tab/>
            </w:r>
            <w:r>
              <w:rPr>
                <w:noProof/>
                <w:webHidden/>
              </w:rPr>
              <w:fldChar w:fldCharType="begin"/>
            </w:r>
            <w:r>
              <w:rPr>
                <w:noProof/>
                <w:webHidden/>
              </w:rPr>
              <w:instrText xml:space="preserve"> PAGEREF _Toc86417297 \h </w:instrText>
            </w:r>
            <w:r>
              <w:rPr>
                <w:noProof/>
                <w:webHidden/>
              </w:rPr>
            </w:r>
            <w:r>
              <w:rPr>
                <w:noProof/>
                <w:webHidden/>
              </w:rPr>
              <w:fldChar w:fldCharType="separate"/>
            </w:r>
            <w:r w:rsidR="00C836FC">
              <w:rPr>
                <w:noProof/>
                <w:webHidden/>
              </w:rPr>
              <w:t>75</w:t>
            </w:r>
            <w:r>
              <w:rPr>
                <w:noProof/>
                <w:webHidden/>
              </w:rPr>
              <w:fldChar w:fldCharType="end"/>
            </w:r>
          </w:hyperlink>
        </w:p>
        <w:p w14:paraId="432C2F1C" w14:textId="43A4B4EB" w:rsidR="005A5E65" w:rsidRDefault="005A5E65">
          <w:pPr>
            <w:pStyle w:val="TOC3"/>
            <w:tabs>
              <w:tab w:val="right" w:leader="dot" w:pos="8302"/>
            </w:tabs>
            <w:rPr>
              <w:rFonts w:cstheme="minorBidi"/>
              <w:noProof/>
              <w:lang w:val="en-GB" w:eastAsia="ja-JP"/>
            </w:rPr>
          </w:pPr>
          <w:hyperlink w:anchor="_Toc86417298" w:history="1">
            <w:r w:rsidRPr="00550B49">
              <w:rPr>
                <w:rStyle w:val="Hyperlink"/>
                <w:noProof/>
              </w:rPr>
              <w:t>4.9.3. Experience of caregiving</w:t>
            </w:r>
            <w:r>
              <w:rPr>
                <w:noProof/>
                <w:webHidden/>
              </w:rPr>
              <w:tab/>
            </w:r>
            <w:r>
              <w:rPr>
                <w:noProof/>
                <w:webHidden/>
              </w:rPr>
              <w:fldChar w:fldCharType="begin"/>
            </w:r>
            <w:r>
              <w:rPr>
                <w:noProof/>
                <w:webHidden/>
              </w:rPr>
              <w:instrText xml:space="preserve"> PAGEREF _Toc86417298 \h </w:instrText>
            </w:r>
            <w:r>
              <w:rPr>
                <w:noProof/>
                <w:webHidden/>
              </w:rPr>
            </w:r>
            <w:r>
              <w:rPr>
                <w:noProof/>
                <w:webHidden/>
              </w:rPr>
              <w:fldChar w:fldCharType="separate"/>
            </w:r>
            <w:r w:rsidR="00C836FC">
              <w:rPr>
                <w:noProof/>
                <w:webHidden/>
              </w:rPr>
              <w:t>75</w:t>
            </w:r>
            <w:r>
              <w:rPr>
                <w:noProof/>
                <w:webHidden/>
              </w:rPr>
              <w:fldChar w:fldCharType="end"/>
            </w:r>
          </w:hyperlink>
        </w:p>
        <w:p w14:paraId="11181905" w14:textId="1EF5EDEA" w:rsidR="005A5E65" w:rsidRDefault="005A5E65">
          <w:pPr>
            <w:pStyle w:val="TOC2"/>
            <w:tabs>
              <w:tab w:val="right" w:leader="dot" w:pos="8302"/>
            </w:tabs>
            <w:rPr>
              <w:rFonts w:cstheme="minorBidi"/>
              <w:noProof/>
              <w:lang w:val="en-GB" w:eastAsia="ja-JP"/>
            </w:rPr>
          </w:pPr>
          <w:hyperlink w:anchor="_Toc86417299" w:history="1">
            <w:r w:rsidRPr="00550B49">
              <w:rPr>
                <w:rStyle w:val="Hyperlink"/>
                <w:noProof/>
              </w:rPr>
              <w:t>4.10. Summary</w:t>
            </w:r>
            <w:r>
              <w:rPr>
                <w:noProof/>
                <w:webHidden/>
              </w:rPr>
              <w:tab/>
            </w:r>
            <w:r>
              <w:rPr>
                <w:noProof/>
                <w:webHidden/>
              </w:rPr>
              <w:fldChar w:fldCharType="begin"/>
            </w:r>
            <w:r>
              <w:rPr>
                <w:noProof/>
                <w:webHidden/>
              </w:rPr>
              <w:instrText xml:space="preserve"> PAGEREF _Toc86417299 \h </w:instrText>
            </w:r>
            <w:r>
              <w:rPr>
                <w:noProof/>
                <w:webHidden/>
              </w:rPr>
            </w:r>
            <w:r>
              <w:rPr>
                <w:noProof/>
                <w:webHidden/>
              </w:rPr>
              <w:fldChar w:fldCharType="separate"/>
            </w:r>
            <w:r w:rsidR="00C836FC">
              <w:rPr>
                <w:noProof/>
                <w:webHidden/>
              </w:rPr>
              <w:t>76</w:t>
            </w:r>
            <w:r>
              <w:rPr>
                <w:noProof/>
                <w:webHidden/>
              </w:rPr>
              <w:fldChar w:fldCharType="end"/>
            </w:r>
          </w:hyperlink>
        </w:p>
        <w:p w14:paraId="6484921B" w14:textId="449BEFFA" w:rsidR="005A5E65" w:rsidRDefault="005A5E65">
          <w:pPr>
            <w:pStyle w:val="TOC1"/>
            <w:tabs>
              <w:tab w:val="right" w:leader="dot" w:pos="8302"/>
            </w:tabs>
            <w:rPr>
              <w:rFonts w:cstheme="minorBidi"/>
              <w:noProof/>
              <w:lang w:val="en-GB" w:eastAsia="ja-JP"/>
            </w:rPr>
          </w:pPr>
          <w:hyperlink w:anchor="_Toc86417300" w:history="1">
            <w:r w:rsidRPr="00550B49">
              <w:rPr>
                <w:rStyle w:val="Hyperlink"/>
                <w:noProof/>
              </w:rPr>
              <w:t>CHAPTER FIVE</w:t>
            </w:r>
            <w:r>
              <w:rPr>
                <w:noProof/>
                <w:webHidden/>
              </w:rPr>
              <w:tab/>
            </w:r>
            <w:r>
              <w:rPr>
                <w:noProof/>
                <w:webHidden/>
              </w:rPr>
              <w:fldChar w:fldCharType="begin"/>
            </w:r>
            <w:r>
              <w:rPr>
                <w:noProof/>
                <w:webHidden/>
              </w:rPr>
              <w:instrText xml:space="preserve"> PAGEREF _Toc86417300 \h </w:instrText>
            </w:r>
            <w:r>
              <w:rPr>
                <w:noProof/>
                <w:webHidden/>
              </w:rPr>
            </w:r>
            <w:r>
              <w:rPr>
                <w:noProof/>
                <w:webHidden/>
              </w:rPr>
              <w:fldChar w:fldCharType="separate"/>
            </w:r>
            <w:r w:rsidR="00C836FC">
              <w:rPr>
                <w:noProof/>
                <w:webHidden/>
              </w:rPr>
              <w:t>77</w:t>
            </w:r>
            <w:r>
              <w:rPr>
                <w:noProof/>
                <w:webHidden/>
              </w:rPr>
              <w:fldChar w:fldCharType="end"/>
            </w:r>
          </w:hyperlink>
        </w:p>
        <w:p w14:paraId="4CE605FA" w14:textId="4459CE9E" w:rsidR="005A5E65" w:rsidRDefault="005A5E65">
          <w:pPr>
            <w:pStyle w:val="TOC2"/>
            <w:tabs>
              <w:tab w:val="right" w:leader="dot" w:pos="8302"/>
            </w:tabs>
            <w:rPr>
              <w:rFonts w:cstheme="minorBidi"/>
              <w:noProof/>
              <w:lang w:val="en-GB" w:eastAsia="ja-JP"/>
            </w:rPr>
          </w:pPr>
          <w:hyperlink w:anchor="_Toc86417301" w:history="1">
            <w:r w:rsidRPr="00550B49">
              <w:rPr>
                <w:rStyle w:val="Hyperlink"/>
                <w:noProof/>
              </w:rPr>
              <w:t>5.1. Introduction</w:t>
            </w:r>
            <w:r>
              <w:rPr>
                <w:noProof/>
                <w:webHidden/>
              </w:rPr>
              <w:tab/>
            </w:r>
            <w:r>
              <w:rPr>
                <w:noProof/>
                <w:webHidden/>
              </w:rPr>
              <w:fldChar w:fldCharType="begin"/>
            </w:r>
            <w:r>
              <w:rPr>
                <w:noProof/>
                <w:webHidden/>
              </w:rPr>
              <w:instrText xml:space="preserve"> PAGEREF _Toc86417301 \h </w:instrText>
            </w:r>
            <w:r>
              <w:rPr>
                <w:noProof/>
                <w:webHidden/>
              </w:rPr>
            </w:r>
            <w:r>
              <w:rPr>
                <w:noProof/>
                <w:webHidden/>
              </w:rPr>
              <w:fldChar w:fldCharType="separate"/>
            </w:r>
            <w:r w:rsidR="00C836FC">
              <w:rPr>
                <w:noProof/>
                <w:webHidden/>
              </w:rPr>
              <w:t>77</w:t>
            </w:r>
            <w:r>
              <w:rPr>
                <w:noProof/>
                <w:webHidden/>
              </w:rPr>
              <w:fldChar w:fldCharType="end"/>
            </w:r>
          </w:hyperlink>
        </w:p>
        <w:p w14:paraId="2F801E70" w14:textId="0BEF8AFE" w:rsidR="005A5E65" w:rsidRDefault="005A5E65">
          <w:pPr>
            <w:pStyle w:val="TOC2"/>
            <w:tabs>
              <w:tab w:val="right" w:leader="dot" w:pos="8302"/>
            </w:tabs>
            <w:rPr>
              <w:rFonts w:cstheme="minorBidi"/>
              <w:noProof/>
              <w:lang w:val="en-GB" w:eastAsia="ja-JP"/>
            </w:rPr>
          </w:pPr>
          <w:hyperlink w:anchor="_Toc86417302" w:history="1">
            <w:r w:rsidRPr="00550B49">
              <w:rPr>
                <w:rStyle w:val="Hyperlink"/>
                <w:noProof/>
              </w:rPr>
              <w:t>5.2. Philosophical assumptions and paradigms</w:t>
            </w:r>
            <w:r>
              <w:rPr>
                <w:noProof/>
                <w:webHidden/>
              </w:rPr>
              <w:tab/>
            </w:r>
            <w:r>
              <w:rPr>
                <w:noProof/>
                <w:webHidden/>
              </w:rPr>
              <w:fldChar w:fldCharType="begin"/>
            </w:r>
            <w:r>
              <w:rPr>
                <w:noProof/>
                <w:webHidden/>
              </w:rPr>
              <w:instrText xml:space="preserve"> PAGEREF _Toc86417302 \h </w:instrText>
            </w:r>
            <w:r>
              <w:rPr>
                <w:noProof/>
                <w:webHidden/>
              </w:rPr>
            </w:r>
            <w:r>
              <w:rPr>
                <w:noProof/>
                <w:webHidden/>
              </w:rPr>
              <w:fldChar w:fldCharType="separate"/>
            </w:r>
            <w:r w:rsidR="00C836FC">
              <w:rPr>
                <w:noProof/>
                <w:webHidden/>
              </w:rPr>
              <w:t>77</w:t>
            </w:r>
            <w:r>
              <w:rPr>
                <w:noProof/>
                <w:webHidden/>
              </w:rPr>
              <w:fldChar w:fldCharType="end"/>
            </w:r>
          </w:hyperlink>
        </w:p>
        <w:p w14:paraId="611C87A0" w14:textId="340042BC" w:rsidR="005A5E65" w:rsidRDefault="005A5E65">
          <w:pPr>
            <w:pStyle w:val="TOC2"/>
            <w:tabs>
              <w:tab w:val="right" w:leader="dot" w:pos="8302"/>
            </w:tabs>
            <w:rPr>
              <w:rFonts w:cstheme="minorBidi"/>
              <w:noProof/>
              <w:lang w:val="en-GB" w:eastAsia="ja-JP"/>
            </w:rPr>
          </w:pPr>
          <w:hyperlink w:anchor="_Toc86417303" w:history="1">
            <w:r w:rsidRPr="00550B49">
              <w:rPr>
                <w:rStyle w:val="Hyperlink"/>
                <w:noProof/>
              </w:rPr>
              <w:t>5.3. Philosophical underpinning of this study</w:t>
            </w:r>
            <w:r>
              <w:rPr>
                <w:noProof/>
                <w:webHidden/>
              </w:rPr>
              <w:tab/>
            </w:r>
            <w:r>
              <w:rPr>
                <w:noProof/>
                <w:webHidden/>
              </w:rPr>
              <w:fldChar w:fldCharType="begin"/>
            </w:r>
            <w:r>
              <w:rPr>
                <w:noProof/>
                <w:webHidden/>
              </w:rPr>
              <w:instrText xml:space="preserve"> PAGEREF _Toc86417303 \h </w:instrText>
            </w:r>
            <w:r>
              <w:rPr>
                <w:noProof/>
                <w:webHidden/>
              </w:rPr>
            </w:r>
            <w:r>
              <w:rPr>
                <w:noProof/>
                <w:webHidden/>
              </w:rPr>
              <w:fldChar w:fldCharType="separate"/>
            </w:r>
            <w:r w:rsidR="00C836FC">
              <w:rPr>
                <w:noProof/>
                <w:webHidden/>
              </w:rPr>
              <w:t>78</w:t>
            </w:r>
            <w:r>
              <w:rPr>
                <w:noProof/>
                <w:webHidden/>
              </w:rPr>
              <w:fldChar w:fldCharType="end"/>
            </w:r>
          </w:hyperlink>
        </w:p>
        <w:p w14:paraId="1E8BF645" w14:textId="4E924103" w:rsidR="005A5E65" w:rsidRDefault="005A5E65">
          <w:pPr>
            <w:pStyle w:val="TOC3"/>
            <w:tabs>
              <w:tab w:val="right" w:leader="dot" w:pos="8302"/>
            </w:tabs>
            <w:rPr>
              <w:rFonts w:cstheme="minorBidi"/>
              <w:noProof/>
              <w:lang w:val="en-GB" w:eastAsia="ja-JP"/>
            </w:rPr>
          </w:pPr>
          <w:hyperlink w:anchor="_Toc86417304" w:history="1">
            <w:r w:rsidRPr="00550B49">
              <w:rPr>
                <w:rStyle w:val="Hyperlink"/>
                <w:noProof/>
              </w:rPr>
              <w:t>5.3.1. Ontology</w:t>
            </w:r>
            <w:r>
              <w:rPr>
                <w:noProof/>
                <w:webHidden/>
              </w:rPr>
              <w:tab/>
            </w:r>
            <w:r>
              <w:rPr>
                <w:noProof/>
                <w:webHidden/>
              </w:rPr>
              <w:fldChar w:fldCharType="begin"/>
            </w:r>
            <w:r>
              <w:rPr>
                <w:noProof/>
                <w:webHidden/>
              </w:rPr>
              <w:instrText xml:space="preserve"> PAGEREF _Toc86417304 \h </w:instrText>
            </w:r>
            <w:r>
              <w:rPr>
                <w:noProof/>
                <w:webHidden/>
              </w:rPr>
            </w:r>
            <w:r>
              <w:rPr>
                <w:noProof/>
                <w:webHidden/>
              </w:rPr>
              <w:fldChar w:fldCharType="separate"/>
            </w:r>
            <w:r w:rsidR="00C836FC">
              <w:rPr>
                <w:noProof/>
                <w:webHidden/>
              </w:rPr>
              <w:t>79</w:t>
            </w:r>
            <w:r>
              <w:rPr>
                <w:noProof/>
                <w:webHidden/>
              </w:rPr>
              <w:fldChar w:fldCharType="end"/>
            </w:r>
          </w:hyperlink>
        </w:p>
        <w:p w14:paraId="7A73732E" w14:textId="144CC80C" w:rsidR="005A5E65" w:rsidRDefault="005A5E65">
          <w:pPr>
            <w:pStyle w:val="TOC3"/>
            <w:tabs>
              <w:tab w:val="right" w:leader="dot" w:pos="8302"/>
            </w:tabs>
            <w:rPr>
              <w:rFonts w:cstheme="minorBidi"/>
              <w:noProof/>
              <w:lang w:val="en-GB" w:eastAsia="ja-JP"/>
            </w:rPr>
          </w:pPr>
          <w:hyperlink w:anchor="_Toc86417305" w:history="1">
            <w:r w:rsidRPr="00550B49">
              <w:rPr>
                <w:rStyle w:val="Hyperlink"/>
                <w:noProof/>
              </w:rPr>
              <w:t>5.3.2. Ontological assumption</w:t>
            </w:r>
            <w:r>
              <w:rPr>
                <w:noProof/>
                <w:webHidden/>
              </w:rPr>
              <w:tab/>
            </w:r>
            <w:r>
              <w:rPr>
                <w:noProof/>
                <w:webHidden/>
              </w:rPr>
              <w:fldChar w:fldCharType="begin"/>
            </w:r>
            <w:r>
              <w:rPr>
                <w:noProof/>
                <w:webHidden/>
              </w:rPr>
              <w:instrText xml:space="preserve"> PAGEREF _Toc86417305 \h </w:instrText>
            </w:r>
            <w:r>
              <w:rPr>
                <w:noProof/>
                <w:webHidden/>
              </w:rPr>
            </w:r>
            <w:r>
              <w:rPr>
                <w:noProof/>
                <w:webHidden/>
              </w:rPr>
              <w:fldChar w:fldCharType="separate"/>
            </w:r>
            <w:r w:rsidR="00C836FC">
              <w:rPr>
                <w:noProof/>
                <w:webHidden/>
              </w:rPr>
              <w:t>80</w:t>
            </w:r>
            <w:r>
              <w:rPr>
                <w:noProof/>
                <w:webHidden/>
              </w:rPr>
              <w:fldChar w:fldCharType="end"/>
            </w:r>
          </w:hyperlink>
        </w:p>
        <w:p w14:paraId="3A169BCE" w14:textId="6F168495" w:rsidR="005A5E65" w:rsidRDefault="005A5E65">
          <w:pPr>
            <w:pStyle w:val="TOC3"/>
            <w:tabs>
              <w:tab w:val="right" w:leader="dot" w:pos="8302"/>
            </w:tabs>
            <w:rPr>
              <w:rFonts w:cstheme="minorBidi"/>
              <w:noProof/>
              <w:lang w:val="en-GB" w:eastAsia="ja-JP"/>
            </w:rPr>
          </w:pPr>
          <w:hyperlink w:anchor="_Toc86417306" w:history="1">
            <w:r w:rsidRPr="00550B49">
              <w:rPr>
                <w:rStyle w:val="Hyperlink"/>
                <w:noProof/>
              </w:rPr>
              <w:t>5.3.3. Epistemological assumption</w:t>
            </w:r>
            <w:r>
              <w:rPr>
                <w:noProof/>
                <w:webHidden/>
              </w:rPr>
              <w:tab/>
            </w:r>
            <w:r>
              <w:rPr>
                <w:noProof/>
                <w:webHidden/>
              </w:rPr>
              <w:fldChar w:fldCharType="begin"/>
            </w:r>
            <w:r>
              <w:rPr>
                <w:noProof/>
                <w:webHidden/>
              </w:rPr>
              <w:instrText xml:space="preserve"> PAGEREF _Toc86417306 \h </w:instrText>
            </w:r>
            <w:r>
              <w:rPr>
                <w:noProof/>
                <w:webHidden/>
              </w:rPr>
            </w:r>
            <w:r>
              <w:rPr>
                <w:noProof/>
                <w:webHidden/>
              </w:rPr>
              <w:fldChar w:fldCharType="separate"/>
            </w:r>
            <w:r w:rsidR="00C836FC">
              <w:rPr>
                <w:noProof/>
                <w:webHidden/>
              </w:rPr>
              <w:t>81</w:t>
            </w:r>
            <w:r>
              <w:rPr>
                <w:noProof/>
                <w:webHidden/>
              </w:rPr>
              <w:fldChar w:fldCharType="end"/>
            </w:r>
          </w:hyperlink>
        </w:p>
        <w:p w14:paraId="1063FD7D" w14:textId="08860245" w:rsidR="005A5E65" w:rsidRDefault="005A5E65">
          <w:pPr>
            <w:pStyle w:val="TOC3"/>
            <w:tabs>
              <w:tab w:val="right" w:leader="dot" w:pos="8302"/>
            </w:tabs>
            <w:rPr>
              <w:rFonts w:cstheme="minorBidi"/>
              <w:noProof/>
              <w:lang w:val="en-GB" w:eastAsia="ja-JP"/>
            </w:rPr>
          </w:pPr>
          <w:hyperlink w:anchor="_Toc86417307" w:history="1">
            <w:r w:rsidRPr="00550B49">
              <w:rPr>
                <w:rStyle w:val="Hyperlink"/>
                <w:noProof/>
              </w:rPr>
              <w:t>5.3.4. Methodological assumption</w:t>
            </w:r>
            <w:r>
              <w:rPr>
                <w:noProof/>
                <w:webHidden/>
              </w:rPr>
              <w:tab/>
            </w:r>
            <w:r>
              <w:rPr>
                <w:noProof/>
                <w:webHidden/>
              </w:rPr>
              <w:fldChar w:fldCharType="begin"/>
            </w:r>
            <w:r>
              <w:rPr>
                <w:noProof/>
                <w:webHidden/>
              </w:rPr>
              <w:instrText xml:space="preserve"> PAGEREF _Toc86417307 \h </w:instrText>
            </w:r>
            <w:r>
              <w:rPr>
                <w:noProof/>
                <w:webHidden/>
              </w:rPr>
            </w:r>
            <w:r>
              <w:rPr>
                <w:noProof/>
                <w:webHidden/>
              </w:rPr>
              <w:fldChar w:fldCharType="separate"/>
            </w:r>
            <w:r w:rsidR="00C836FC">
              <w:rPr>
                <w:noProof/>
                <w:webHidden/>
              </w:rPr>
              <w:t>82</w:t>
            </w:r>
            <w:r>
              <w:rPr>
                <w:noProof/>
                <w:webHidden/>
              </w:rPr>
              <w:fldChar w:fldCharType="end"/>
            </w:r>
          </w:hyperlink>
        </w:p>
        <w:p w14:paraId="67005B1B" w14:textId="7BBF44E6" w:rsidR="005A5E65" w:rsidRDefault="005A5E65">
          <w:pPr>
            <w:pStyle w:val="TOC2"/>
            <w:tabs>
              <w:tab w:val="right" w:leader="dot" w:pos="8302"/>
            </w:tabs>
            <w:rPr>
              <w:rFonts w:cstheme="minorBidi"/>
              <w:noProof/>
              <w:lang w:val="en-GB" w:eastAsia="ja-JP"/>
            </w:rPr>
          </w:pPr>
          <w:hyperlink w:anchor="_Toc86417308" w:history="1">
            <w:r w:rsidRPr="00550B49">
              <w:rPr>
                <w:rStyle w:val="Hyperlink"/>
                <w:noProof/>
              </w:rPr>
              <w:t>5.4. Methodological approach to qualitative research</w:t>
            </w:r>
            <w:r>
              <w:rPr>
                <w:noProof/>
                <w:webHidden/>
              </w:rPr>
              <w:tab/>
            </w:r>
            <w:r>
              <w:rPr>
                <w:noProof/>
                <w:webHidden/>
              </w:rPr>
              <w:fldChar w:fldCharType="begin"/>
            </w:r>
            <w:r>
              <w:rPr>
                <w:noProof/>
                <w:webHidden/>
              </w:rPr>
              <w:instrText xml:space="preserve"> PAGEREF _Toc86417308 \h </w:instrText>
            </w:r>
            <w:r>
              <w:rPr>
                <w:noProof/>
                <w:webHidden/>
              </w:rPr>
            </w:r>
            <w:r>
              <w:rPr>
                <w:noProof/>
                <w:webHidden/>
              </w:rPr>
              <w:fldChar w:fldCharType="separate"/>
            </w:r>
            <w:r w:rsidR="00C836FC">
              <w:rPr>
                <w:noProof/>
                <w:webHidden/>
              </w:rPr>
              <w:t>83</w:t>
            </w:r>
            <w:r>
              <w:rPr>
                <w:noProof/>
                <w:webHidden/>
              </w:rPr>
              <w:fldChar w:fldCharType="end"/>
            </w:r>
          </w:hyperlink>
        </w:p>
        <w:p w14:paraId="13B40B94" w14:textId="20E5A9A3" w:rsidR="005A5E65" w:rsidRDefault="005A5E65">
          <w:pPr>
            <w:pStyle w:val="TOC2"/>
            <w:tabs>
              <w:tab w:val="right" w:leader="dot" w:pos="8302"/>
            </w:tabs>
            <w:rPr>
              <w:rFonts w:cstheme="minorBidi"/>
              <w:noProof/>
              <w:lang w:val="en-GB" w:eastAsia="ja-JP"/>
            </w:rPr>
          </w:pPr>
          <w:hyperlink w:anchor="_Toc86417309" w:history="1">
            <w:r w:rsidRPr="00550B49">
              <w:rPr>
                <w:rStyle w:val="Hyperlink"/>
                <w:noProof/>
              </w:rPr>
              <w:t>5.5. The Phenomenological Approach</w:t>
            </w:r>
            <w:r>
              <w:rPr>
                <w:noProof/>
                <w:webHidden/>
              </w:rPr>
              <w:tab/>
            </w:r>
            <w:r>
              <w:rPr>
                <w:noProof/>
                <w:webHidden/>
              </w:rPr>
              <w:fldChar w:fldCharType="begin"/>
            </w:r>
            <w:r>
              <w:rPr>
                <w:noProof/>
                <w:webHidden/>
              </w:rPr>
              <w:instrText xml:space="preserve"> PAGEREF _Toc86417309 \h </w:instrText>
            </w:r>
            <w:r>
              <w:rPr>
                <w:noProof/>
                <w:webHidden/>
              </w:rPr>
            </w:r>
            <w:r>
              <w:rPr>
                <w:noProof/>
                <w:webHidden/>
              </w:rPr>
              <w:fldChar w:fldCharType="separate"/>
            </w:r>
            <w:r w:rsidR="00C836FC">
              <w:rPr>
                <w:noProof/>
                <w:webHidden/>
              </w:rPr>
              <w:t>84</w:t>
            </w:r>
            <w:r>
              <w:rPr>
                <w:noProof/>
                <w:webHidden/>
              </w:rPr>
              <w:fldChar w:fldCharType="end"/>
            </w:r>
          </w:hyperlink>
        </w:p>
        <w:p w14:paraId="7D2CEE66" w14:textId="7707001A" w:rsidR="005A5E65" w:rsidRDefault="005A5E65">
          <w:pPr>
            <w:pStyle w:val="TOC3"/>
            <w:tabs>
              <w:tab w:val="right" w:leader="dot" w:pos="8302"/>
            </w:tabs>
            <w:rPr>
              <w:rFonts w:cstheme="minorBidi"/>
              <w:noProof/>
              <w:lang w:val="en-GB" w:eastAsia="ja-JP"/>
            </w:rPr>
          </w:pPr>
          <w:hyperlink w:anchor="_Toc86417310" w:history="1">
            <w:r w:rsidRPr="00550B49">
              <w:rPr>
                <w:rStyle w:val="Hyperlink"/>
                <w:noProof/>
              </w:rPr>
              <w:t>5.5.1. Husserlian or descriptive phenomenology</w:t>
            </w:r>
            <w:r>
              <w:rPr>
                <w:noProof/>
                <w:webHidden/>
              </w:rPr>
              <w:tab/>
            </w:r>
            <w:r>
              <w:rPr>
                <w:noProof/>
                <w:webHidden/>
              </w:rPr>
              <w:fldChar w:fldCharType="begin"/>
            </w:r>
            <w:r>
              <w:rPr>
                <w:noProof/>
                <w:webHidden/>
              </w:rPr>
              <w:instrText xml:space="preserve"> PAGEREF _Toc86417310 \h </w:instrText>
            </w:r>
            <w:r>
              <w:rPr>
                <w:noProof/>
                <w:webHidden/>
              </w:rPr>
            </w:r>
            <w:r>
              <w:rPr>
                <w:noProof/>
                <w:webHidden/>
              </w:rPr>
              <w:fldChar w:fldCharType="separate"/>
            </w:r>
            <w:r w:rsidR="00C836FC">
              <w:rPr>
                <w:noProof/>
                <w:webHidden/>
              </w:rPr>
              <w:t>86</w:t>
            </w:r>
            <w:r>
              <w:rPr>
                <w:noProof/>
                <w:webHidden/>
              </w:rPr>
              <w:fldChar w:fldCharType="end"/>
            </w:r>
          </w:hyperlink>
        </w:p>
        <w:p w14:paraId="3FC2C3C1" w14:textId="12052036" w:rsidR="005A5E65" w:rsidRDefault="005A5E65">
          <w:pPr>
            <w:pStyle w:val="TOC3"/>
            <w:tabs>
              <w:tab w:val="right" w:leader="dot" w:pos="8302"/>
            </w:tabs>
            <w:rPr>
              <w:rFonts w:cstheme="minorBidi"/>
              <w:noProof/>
              <w:lang w:val="en-GB" w:eastAsia="ja-JP"/>
            </w:rPr>
          </w:pPr>
          <w:hyperlink w:anchor="_Toc86417311" w:history="1">
            <w:r w:rsidRPr="00550B49">
              <w:rPr>
                <w:rStyle w:val="Hyperlink"/>
                <w:noProof/>
              </w:rPr>
              <w:t>5.5.2. Bracketing (Epoché)</w:t>
            </w:r>
            <w:r>
              <w:rPr>
                <w:noProof/>
                <w:webHidden/>
              </w:rPr>
              <w:tab/>
            </w:r>
            <w:r>
              <w:rPr>
                <w:noProof/>
                <w:webHidden/>
              </w:rPr>
              <w:fldChar w:fldCharType="begin"/>
            </w:r>
            <w:r>
              <w:rPr>
                <w:noProof/>
                <w:webHidden/>
              </w:rPr>
              <w:instrText xml:space="preserve"> PAGEREF _Toc86417311 \h </w:instrText>
            </w:r>
            <w:r>
              <w:rPr>
                <w:noProof/>
                <w:webHidden/>
              </w:rPr>
            </w:r>
            <w:r>
              <w:rPr>
                <w:noProof/>
                <w:webHidden/>
              </w:rPr>
              <w:fldChar w:fldCharType="separate"/>
            </w:r>
            <w:r w:rsidR="00C836FC">
              <w:rPr>
                <w:noProof/>
                <w:webHidden/>
              </w:rPr>
              <w:t>88</w:t>
            </w:r>
            <w:r>
              <w:rPr>
                <w:noProof/>
                <w:webHidden/>
              </w:rPr>
              <w:fldChar w:fldCharType="end"/>
            </w:r>
          </w:hyperlink>
        </w:p>
        <w:p w14:paraId="2DDC90F7" w14:textId="5549B631" w:rsidR="005A5E65" w:rsidRDefault="005A5E65">
          <w:pPr>
            <w:pStyle w:val="TOC3"/>
            <w:tabs>
              <w:tab w:val="right" w:leader="dot" w:pos="8302"/>
            </w:tabs>
            <w:rPr>
              <w:rFonts w:cstheme="minorBidi"/>
              <w:noProof/>
              <w:lang w:val="en-GB" w:eastAsia="ja-JP"/>
            </w:rPr>
          </w:pPr>
          <w:hyperlink w:anchor="_Toc86417312" w:history="1">
            <w:r w:rsidRPr="00550B49">
              <w:rPr>
                <w:rStyle w:val="Hyperlink"/>
                <w:noProof/>
              </w:rPr>
              <w:t>5.5.3. Phenomenological reduction</w:t>
            </w:r>
            <w:r>
              <w:rPr>
                <w:noProof/>
                <w:webHidden/>
              </w:rPr>
              <w:tab/>
            </w:r>
            <w:r>
              <w:rPr>
                <w:noProof/>
                <w:webHidden/>
              </w:rPr>
              <w:fldChar w:fldCharType="begin"/>
            </w:r>
            <w:r>
              <w:rPr>
                <w:noProof/>
                <w:webHidden/>
              </w:rPr>
              <w:instrText xml:space="preserve"> PAGEREF _Toc86417312 \h </w:instrText>
            </w:r>
            <w:r>
              <w:rPr>
                <w:noProof/>
                <w:webHidden/>
              </w:rPr>
            </w:r>
            <w:r>
              <w:rPr>
                <w:noProof/>
                <w:webHidden/>
              </w:rPr>
              <w:fldChar w:fldCharType="separate"/>
            </w:r>
            <w:r w:rsidR="00C836FC">
              <w:rPr>
                <w:noProof/>
                <w:webHidden/>
              </w:rPr>
              <w:t>88</w:t>
            </w:r>
            <w:r>
              <w:rPr>
                <w:noProof/>
                <w:webHidden/>
              </w:rPr>
              <w:fldChar w:fldCharType="end"/>
            </w:r>
          </w:hyperlink>
        </w:p>
        <w:p w14:paraId="01B22302" w14:textId="20940EFF" w:rsidR="005A5E65" w:rsidRDefault="005A5E65">
          <w:pPr>
            <w:pStyle w:val="TOC3"/>
            <w:tabs>
              <w:tab w:val="right" w:leader="dot" w:pos="8302"/>
            </w:tabs>
            <w:rPr>
              <w:rFonts w:cstheme="minorBidi"/>
              <w:noProof/>
              <w:lang w:val="en-GB" w:eastAsia="ja-JP"/>
            </w:rPr>
          </w:pPr>
          <w:hyperlink w:anchor="_Toc86417313" w:history="1">
            <w:r w:rsidRPr="00550B49">
              <w:rPr>
                <w:rStyle w:val="Hyperlink"/>
                <w:noProof/>
              </w:rPr>
              <w:t>5.5.4. Hermeneutic or interpretative phenomenology</w:t>
            </w:r>
            <w:r>
              <w:rPr>
                <w:noProof/>
                <w:webHidden/>
              </w:rPr>
              <w:tab/>
            </w:r>
            <w:r>
              <w:rPr>
                <w:noProof/>
                <w:webHidden/>
              </w:rPr>
              <w:fldChar w:fldCharType="begin"/>
            </w:r>
            <w:r>
              <w:rPr>
                <w:noProof/>
                <w:webHidden/>
              </w:rPr>
              <w:instrText xml:space="preserve"> PAGEREF _Toc86417313 \h </w:instrText>
            </w:r>
            <w:r>
              <w:rPr>
                <w:noProof/>
                <w:webHidden/>
              </w:rPr>
            </w:r>
            <w:r>
              <w:rPr>
                <w:noProof/>
                <w:webHidden/>
              </w:rPr>
              <w:fldChar w:fldCharType="separate"/>
            </w:r>
            <w:r w:rsidR="00C836FC">
              <w:rPr>
                <w:noProof/>
                <w:webHidden/>
              </w:rPr>
              <w:t>90</w:t>
            </w:r>
            <w:r>
              <w:rPr>
                <w:noProof/>
                <w:webHidden/>
              </w:rPr>
              <w:fldChar w:fldCharType="end"/>
            </w:r>
          </w:hyperlink>
        </w:p>
        <w:p w14:paraId="29F5BDF3" w14:textId="6405DA7C" w:rsidR="005A5E65" w:rsidRDefault="005A5E65">
          <w:pPr>
            <w:pStyle w:val="TOC3"/>
            <w:tabs>
              <w:tab w:val="right" w:leader="dot" w:pos="8302"/>
            </w:tabs>
            <w:rPr>
              <w:rFonts w:cstheme="minorBidi"/>
              <w:noProof/>
              <w:lang w:val="en-GB" w:eastAsia="ja-JP"/>
            </w:rPr>
          </w:pPr>
          <w:hyperlink w:anchor="_Toc86417314" w:history="1">
            <w:r w:rsidRPr="00550B49">
              <w:rPr>
                <w:rStyle w:val="Hyperlink"/>
                <w:noProof/>
              </w:rPr>
              <w:t>5.5.5. Fusion of Horizons</w:t>
            </w:r>
            <w:r>
              <w:rPr>
                <w:noProof/>
                <w:webHidden/>
              </w:rPr>
              <w:tab/>
            </w:r>
            <w:r>
              <w:rPr>
                <w:noProof/>
                <w:webHidden/>
              </w:rPr>
              <w:fldChar w:fldCharType="begin"/>
            </w:r>
            <w:r>
              <w:rPr>
                <w:noProof/>
                <w:webHidden/>
              </w:rPr>
              <w:instrText xml:space="preserve"> PAGEREF _Toc86417314 \h </w:instrText>
            </w:r>
            <w:r>
              <w:rPr>
                <w:noProof/>
                <w:webHidden/>
              </w:rPr>
            </w:r>
            <w:r>
              <w:rPr>
                <w:noProof/>
                <w:webHidden/>
              </w:rPr>
              <w:fldChar w:fldCharType="separate"/>
            </w:r>
            <w:r w:rsidR="00C836FC">
              <w:rPr>
                <w:noProof/>
                <w:webHidden/>
              </w:rPr>
              <w:t>91</w:t>
            </w:r>
            <w:r>
              <w:rPr>
                <w:noProof/>
                <w:webHidden/>
              </w:rPr>
              <w:fldChar w:fldCharType="end"/>
            </w:r>
          </w:hyperlink>
        </w:p>
        <w:p w14:paraId="5384CBED" w14:textId="227D5EDC" w:rsidR="005A5E65" w:rsidRDefault="005A5E65">
          <w:pPr>
            <w:pStyle w:val="TOC2"/>
            <w:tabs>
              <w:tab w:val="right" w:leader="dot" w:pos="8302"/>
            </w:tabs>
            <w:rPr>
              <w:rFonts w:cstheme="minorBidi"/>
              <w:noProof/>
              <w:lang w:val="en-GB" w:eastAsia="ja-JP"/>
            </w:rPr>
          </w:pPr>
          <w:hyperlink w:anchor="_Toc86417315" w:history="1">
            <w:r w:rsidRPr="00550B49">
              <w:rPr>
                <w:rStyle w:val="Hyperlink"/>
                <w:noProof/>
              </w:rPr>
              <w:t>5.6. Rationale for the choice of methodological approach</w:t>
            </w:r>
            <w:r>
              <w:rPr>
                <w:noProof/>
                <w:webHidden/>
              </w:rPr>
              <w:tab/>
            </w:r>
            <w:r>
              <w:rPr>
                <w:noProof/>
                <w:webHidden/>
              </w:rPr>
              <w:fldChar w:fldCharType="begin"/>
            </w:r>
            <w:r>
              <w:rPr>
                <w:noProof/>
                <w:webHidden/>
              </w:rPr>
              <w:instrText xml:space="preserve"> PAGEREF _Toc86417315 \h </w:instrText>
            </w:r>
            <w:r>
              <w:rPr>
                <w:noProof/>
                <w:webHidden/>
              </w:rPr>
            </w:r>
            <w:r>
              <w:rPr>
                <w:noProof/>
                <w:webHidden/>
              </w:rPr>
              <w:fldChar w:fldCharType="separate"/>
            </w:r>
            <w:r w:rsidR="00C836FC">
              <w:rPr>
                <w:noProof/>
                <w:webHidden/>
              </w:rPr>
              <w:t>92</w:t>
            </w:r>
            <w:r>
              <w:rPr>
                <w:noProof/>
                <w:webHidden/>
              </w:rPr>
              <w:fldChar w:fldCharType="end"/>
            </w:r>
          </w:hyperlink>
        </w:p>
        <w:p w14:paraId="289019DE" w14:textId="0AAA1C89" w:rsidR="005A5E65" w:rsidRDefault="005A5E65">
          <w:pPr>
            <w:pStyle w:val="TOC2"/>
            <w:tabs>
              <w:tab w:val="right" w:leader="dot" w:pos="8302"/>
            </w:tabs>
            <w:rPr>
              <w:rFonts w:cstheme="minorBidi"/>
              <w:noProof/>
              <w:lang w:val="en-GB" w:eastAsia="ja-JP"/>
            </w:rPr>
          </w:pPr>
          <w:hyperlink w:anchor="_Toc86417316" w:history="1">
            <w:r w:rsidRPr="00550B49">
              <w:rPr>
                <w:rStyle w:val="Hyperlink"/>
                <w:noProof/>
              </w:rPr>
              <w:t>5.7. Summary</w:t>
            </w:r>
            <w:r>
              <w:rPr>
                <w:noProof/>
                <w:webHidden/>
              </w:rPr>
              <w:tab/>
            </w:r>
            <w:r>
              <w:rPr>
                <w:noProof/>
                <w:webHidden/>
              </w:rPr>
              <w:fldChar w:fldCharType="begin"/>
            </w:r>
            <w:r>
              <w:rPr>
                <w:noProof/>
                <w:webHidden/>
              </w:rPr>
              <w:instrText xml:space="preserve"> PAGEREF _Toc86417316 \h </w:instrText>
            </w:r>
            <w:r>
              <w:rPr>
                <w:noProof/>
                <w:webHidden/>
              </w:rPr>
            </w:r>
            <w:r>
              <w:rPr>
                <w:noProof/>
                <w:webHidden/>
              </w:rPr>
              <w:fldChar w:fldCharType="separate"/>
            </w:r>
            <w:r w:rsidR="00C836FC">
              <w:rPr>
                <w:noProof/>
                <w:webHidden/>
              </w:rPr>
              <w:t>93</w:t>
            </w:r>
            <w:r>
              <w:rPr>
                <w:noProof/>
                <w:webHidden/>
              </w:rPr>
              <w:fldChar w:fldCharType="end"/>
            </w:r>
          </w:hyperlink>
        </w:p>
        <w:p w14:paraId="3B3D1A2A" w14:textId="3FC7A651" w:rsidR="005A5E65" w:rsidRDefault="005A5E65">
          <w:pPr>
            <w:pStyle w:val="TOC1"/>
            <w:tabs>
              <w:tab w:val="right" w:leader="dot" w:pos="8302"/>
            </w:tabs>
            <w:rPr>
              <w:rFonts w:cstheme="minorBidi"/>
              <w:noProof/>
              <w:lang w:val="en-GB" w:eastAsia="ja-JP"/>
            </w:rPr>
          </w:pPr>
          <w:hyperlink w:anchor="_Toc86417317" w:history="1">
            <w:r w:rsidRPr="00550B49">
              <w:rPr>
                <w:rStyle w:val="Hyperlink"/>
                <w:noProof/>
              </w:rPr>
              <w:t>CHAPTER SIX</w:t>
            </w:r>
            <w:r>
              <w:rPr>
                <w:noProof/>
                <w:webHidden/>
              </w:rPr>
              <w:tab/>
            </w:r>
            <w:r>
              <w:rPr>
                <w:noProof/>
                <w:webHidden/>
              </w:rPr>
              <w:fldChar w:fldCharType="begin"/>
            </w:r>
            <w:r>
              <w:rPr>
                <w:noProof/>
                <w:webHidden/>
              </w:rPr>
              <w:instrText xml:space="preserve"> PAGEREF _Toc86417317 \h </w:instrText>
            </w:r>
            <w:r>
              <w:rPr>
                <w:noProof/>
                <w:webHidden/>
              </w:rPr>
            </w:r>
            <w:r>
              <w:rPr>
                <w:noProof/>
                <w:webHidden/>
              </w:rPr>
              <w:fldChar w:fldCharType="separate"/>
            </w:r>
            <w:r w:rsidR="00C836FC">
              <w:rPr>
                <w:noProof/>
                <w:webHidden/>
              </w:rPr>
              <w:t>94</w:t>
            </w:r>
            <w:r>
              <w:rPr>
                <w:noProof/>
                <w:webHidden/>
              </w:rPr>
              <w:fldChar w:fldCharType="end"/>
            </w:r>
          </w:hyperlink>
        </w:p>
        <w:p w14:paraId="32217FCC" w14:textId="7BE0032F" w:rsidR="005A5E65" w:rsidRDefault="005A5E65">
          <w:pPr>
            <w:pStyle w:val="TOC2"/>
            <w:tabs>
              <w:tab w:val="right" w:leader="dot" w:pos="8302"/>
            </w:tabs>
            <w:rPr>
              <w:rFonts w:cstheme="minorBidi"/>
              <w:noProof/>
              <w:lang w:val="en-GB" w:eastAsia="ja-JP"/>
            </w:rPr>
          </w:pPr>
          <w:hyperlink w:anchor="_Toc86417318" w:history="1">
            <w:r w:rsidRPr="00550B49">
              <w:rPr>
                <w:rStyle w:val="Hyperlink"/>
                <w:noProof/>
              </w:rPr>
              <w:t>6.1. Introduction</w:t>
            </w:r>
            <w:r>
              <w:rPr>
                <w:noProof/>
                <w:webHidden/>
              </w:rPr>
              <w:tab/>
            </w:r>
            <w:r>
              <w:rPr>
                <w:noProof/>
                <w:webHidden/>
              </w:rPr>
              <w:fldChar w:fldCharType="begin"/>
            </w:r>
            <w:r>
              <w:rPr>
                <w:noProof/>
                <w:webHidden/>
              </w:rPr>
              <w:instrText xml:space="preserve"> PAGEREF _Toc86417318 \h </w:instrText>
            </w:r>
            <w:r>
              <w:rPr>
                <w:noProof/>
                <w:webHidden/>
              </w:rPr>
            </w:r>
            <w:r>
              <w:rPr>
                <w:noProof/>
                <w:webHidden/>
              </w:rPr>
              <w:fldChar w:fldCharType="separate"/>
            </w:r>
            <w:r w:rsidR="00C836FC">
              <w:rPr>
                <w:noProof/>
                <w:webHidden/>
              </w:rPr>
              <w:t>94</w:t>
            </w:r>
            <w:r>
              <w:rPr>
                <w:noProof/>
                <w:webHidden/>
              </w:rPr>
              <w:fldChar w:fldCharType="end"/>
            </w:r>
          </w:hyperlink>
        </w:p>
        <w:p w14:paraId="4A3073F9" w14:textId="4A2F712A" w:rsidR="005A5E65" w:rsidRDefault="005A5E65">
          <w:pPr>
            <w:pStyle w:val="TOC2"/>
            <w:tabs>
              <w:tab w:val="right" w:leader="dot" w:pos="8302"/>
            </w:tabs>
            <w:rPr>
              <w:rFonts w:cstheme="minorBidi"/>
              <w:noProof/>
              <w:lang w:val="en-GB" w:eastAsia="ja-JP"/>
            </w:rPr>
          </w:pPr>
          <w:hyperlink w:anchor="_Toc86417319" w:history="1">
            <w:r w:rsidRPr="00550B49">
              <w:rPr>
                <w:rStyle w:val="Hyperlink"/>
                <w:noProof/>
              </w:rPr>
              <w:t>6.2. The ethical and research governance approval process</w:t>
            </w:r>
            <w:r>
              <w:rPr>
                <w:noProof/>
                <w:webHidden/>
              </w:rPr>
              <w:tab/>
            </w:r>
            <w:r>
              <w:rPr>
                <w:noProof/>
                <w:webHidden/>
              </w:rPr>
              <w:fldChar w:fldCharType="begin"/>
            </w:r>
            <w:r>
              <w:rPr>
                <w:noProof/>
                <w:webHidden/>
              </w:rPr>
              <w:instrText xml:space="preserve"> PAGEREF _Toc86417319 \h </w:instrText>
            </w:r>
            <w:r>
              <w:rPr>
                <w:noProof/>
                <w:webHidden/>
              </w:rPr>
            </w:r>
            <w:r>
              <w:rPr>
                <w:noProof/>
                <w:webHidden/>
              </w:rPr>
              <w:fldChar w:fldCharType="separate"/>
            </w:r>
            <w:r w:rsidR="00C836FC">
              <w:rPr>
                <w:noProof/>
                <w:webHidden/>
              </w:rPr>
              <w:t>94</w:t>
            </w:r>
            <w:r>
              <w:rPr>
                <w:noProof/>
                <w:webHidden/>
              </w:rPr>
              <w:fldChar w:fldCharType="end"/>
            </w:r>
          </w:hyperlink>
        </w:p>
        <w:p w14:paraId="3FDE0082" w14:textId="5DC25428" w:rsidR="005A5E65" w:rsidRDefault="005A5E65">
          <w:pPr>
            <w:pStyle w:val="TOC2"/>
            <w:tabs>
              <w:tab w:val="right" w:leader="dot" w:pos="8302"/>
            </w:tabs>
            <w:rPr>
              <w:rFonts w:cstheme="minorBidi"/>
              <w:noProof/>
              <w:lang w:val="en-GB" w:eastAsia="ja-JP"/>
            </w:rPr>
          </w:pPr>
          <w:hyperlink w:anchor="_Toc86417320" w:history="1">
            <w:r w:rsidRPr="00550B49">
              <w:rPr>
                <w:rStyle w:val="Hyperlink"/>
                <w:noProof/>
              </w:rPr>
              <w:t>6.3. Addressing research ethical issues</w:t>
            </w:r>
            <w:r>
              <w:rPr>
                <w:noProof/>
                <w:webHidden/>
              </w:rPr>
              <w:tab/>
            </w:r>
            <w:r>
              <w:rPr>
                <w:noProof/>
                <w:webHidden/>
              </w:rPr>
              <w:fldChar w:fldCharType="begin"/>
            </w:r>
            <w:r>
              <w:rPr>
                <w:noProof/>
                <w:webHidden/>
              </w:rPr>
              <w:instrText xml:space="preserve"> PAGEREF _Toc86417320 \h </w:instrText>
            </w:r>
            <w:r>
              <w:rPr>
                <w:noProof/>
                <w:webHidden/>
              </w:rPr>
            </w:r>
            <w:r>
              <w:rPr>
                <w:noProof/>
                <w:webHidden/>
              </w:rPr>
              <w:fldChar w:fldCharType="separate"/>
            </w:r>
            <w:r w:rsidR="00C836FC">
              <w:rPr>
                <w:noProof/>
                <w:webHidden/>
              </w:rPr>
              <w:t>95</w:t>
            </w:r>
            <w:r>
              <w:rPr>
                <w:noProof/>
                <w:webHidden/>
              </w:rPr>
              <w:fldChar w:fldCharType="end"/>
            </w:r>
          </w:hyperlink>
        </w:p>
        <w:p w14:paraId="42C64807" w14:textId="0189B86F" w:rsidR="005A5E65" w:rsidRDefault="005A5E65">
          <w:pPr>
            <w:pStyle w:val="TOC3"/>
            <w:tabs>
              <w:tab w:val="right" w:leader="dot" w:pos="8302"/>
            </w:tabs>
            <w:rPr>
              <w:rFonts w:cstheme="minorBidi"/>
              <w:noProof/>
              <w:lang w:val="en-GB" w:eastAsia="ja-JP"/>
            </w:rPr>
          </w:pPr>
          <w:hyperlink w:anchor="_Toc86417321" w:history="1">
            <w:r w:rsidRPr="00550B49">
              <w:rPr>
                <w:rStyle w:val="Hyperlink"/>
                <w:noProof/>
              </w:rPr>
              <w:t>6.</w:t>
            </w:r>
            <w:r w:rsidRPr="00550B49">
              <w:rPr>
                <w:rStyle w:val="Hyperlink"/>
                <w:bCs/>
                <w:noProof/>
              </w:rPr>
              <w:t>3</w:t>
            </w:r>
            <w:r w:rsidRPr="00550B49">
              <w:rPr>
                <w:rStyle w:val="Hyperlink"/>
                <w:noProof/>
              </w:rPr>
              <w:t>.1. Risk to participants</w:t>
            </w:r>
            <w:r>
              <w:rPr>
                <w:noProof/>
                <w:webHidden/>
              </w:rPr>
              <w:tab/>
            </w:r>
            <w:r>
              <w:rPr>
                <w:noProof/>
                <w:webHidden/>
              </w:rPr>
              <w:fldChar w:fldCharType="begin"/>
            </w:r>
            <w:r>
              <w:rPr>
                <w:noProof/>
                <w:webHidden/>
              </w:rPr>
              <w:instrText xml:space="preserve"> PAGEREF _Toc86417321 \h </w:instrText>
            </w:r>
            <w:r>
              <w:rPr>
                <w:noProof/>
                <w:webHidden/>
              </w:rPr>
            </w:r>
            <w:r>
              <w:rPr>
                <w:noProof/>
                <w:webHidden/>
              </w:rPr>
              <w:fldChar w:fldCharType="separate"/>
            </w:r>
            <w:r w:rsidR="00C836FC">
              <w:rPr>
                <w:noProof/>
                <w:webHidden/>
              </w:rPr>
              <w:t>96</w:t>
            </w:r>
            <w:r>
              <w:rPr>
                <w:noProof/>
                <w:webHidden/>
              </w:rPr>
              <w:fldChar w:fldCharType="end"/>
            </w:r>
          </w:hyperlink>
        </w:p>
        <w:p w14:paraId="4BC6155A" w14:textId="79231D5F" w:rsidR="005A5E65" w:rsidRDefault="005A5E65">
          <w:pPr>
            <w:pStyle w:val="TOC3"/>
            <w:tabs>
              <w:tab w:val="right" w:leader="dot" w:pos="8302"/>
            </w:tabs>
            <w:rPr>
              <w:rFonts w:cstheme="minorBidi"/>
              <w:noProof/>
              <w:lang w:val="en-GB" w:eastAsia="ja-JP"/>
            </w:rPr>
          </w:pPr>
          <w:hyperlink w:anchor="_Toc86417322" w:history="1">
            <w:r w:rsidRPr="00550B49">
              <w:rPr>
                <w:rStyle w:val="Hyperlink"/>
                <w:noProof/>
              </w:rPr>
              <w:t>6.3.2. Freedom to participate</w:t>
            </w:r>
            <w:r>
              <w:rPr>
                <w:noProof/>
                <w:webHidden/>
              </w:rPr>
              <w:tab/>
            </w:r>
            <w:r>
              <w:rPr>
                <w:noProof/>
                <w:webHidden/>
              </w:rPr>
              <w:fldChar w:fldCharType="begin"/>
            </w:r>
            <w:r>
              <w:rPr>
                <w:noProof/>
                <w:webHidden/>
              </w:rPr>
              <w:instrText xml:space="preserve"> PAGEREF _Toc86417322 \h </w:instrText>
            </w:r>
            <w:r>
              <w:rPr>
                <w:noProof/>
                <w:webHidden/>
              </w:rPr>
            </w:r>
            <w:r>
              <w:rPr>
                <w:noProof/>
                <w:webHidden/>
              </w:rPr>
              <w:fldChar w:fldCharType="separate"/>
            </w:r>
            <w:r w:rsidR="00C836FC">
              <w:rPr>
                <w:noProof/>
                <w:webHidden/>
              </w:rPr>
              <w:t>96</w:t>
            </w:r>
            <w:r>
              <w:rPr>
                <w:noProof/>
                <w:webHidden/>
              </w:rPr>
              <w:fldChar w:fldCharType="end"/>
            </w:r>
          </w:hyperlink>
        </w:p>
        <w:p w14:paraId="092DEB40" w14:textId="2A954344" w:rsidR="005A5E65" w:rsidRDefault="005A5E65">
          <w:pPr>
            <w:pStyle w:val="TOC3"/>
            <w:tabs>
              <w:tab w:val="right" w:leader="dot" w:pos="8302"/>
            </w:tabs>
            <w:rPr>
              <w:rFonts w:cstheme="minorBidi"/>
              <w:noProof/>
              <w:lang w:val="en-GB" w:eastAsia="ja-JP"/>
            </w:rPr>
          </w:pPr>
          <w:hyperlink w:anchor="_Toc86417323" w:history="1">
            <w:r w:rsidRPr="00550B49">
              <w:rPr>
                <w:rStyle w:val="Hyperlink"/>
                <w:noProof/>
              </w:rPr>
              <w:t>6.</w:t>
            </w:r>
            <w:r w:rsidRPr="00550B49">
              <w:rPr>
                <w:rStyle w:val="Hyperlink"/>
                <w:bCs/>
                <w:noProof/>
              </w:rPr>
              <w:t>3</w:t>
            </w:r>
            <w:r w:rsidRPr="00550B49">
              <w:rPr>
                <w:rStyle w:val="Hyperlink"/>
                <w:noProof/>
              </w:rPr>
              <w:t>.3. Addressing trust issues in the research</w:t>
            </w:r>
            <w:r>
              <w:rPr>
                <w:noProof/>
                <w:webHidden/>
              </w:rPr>
              <w:tab/>
            </w:r>
            <w:r>
              <w:rPr>
                <w:noProof/>
                <w:webHidden/>
              </w:rPr>
              <w:fldChar w:fldCharType="begin"/>
            </w:r>
            <w:r>
              <w:rPr>
                <w:noProof/>
                <w:webHidden/>
              </w:rPr>
              <w:instrText xml:space="preserve"> PAGEREF _Toc86417323 \h </w:instrText>
            </w:r>
            <w:r>
              <w:rPr>
                <w:noProof/>
                <w:webHidden/>
              </w:rPr>
            </w:r>
            <w:r>
              <w:rPr>
                <w:noProof/>
                <w:webHidden/>
              </w:rPr>
              <w:fldChar w:fldCharType="separate"/>
            </w:r>
            <w:r w:rsidR="00C836FC">
              <w:rPr>
                <w:noProof/>
                <w:webHidden/>
              </w:rPr>
              <w:t>97</w:t>
            </w:r>
            <w:r>
              <w:rPr>
                <w:noProof/>
                <w:webHidden/>
              </w:rPr>
              <w:fldChar w:fldCharType="end"/>
            </w:r>
          </w:hyperlink>
        </w:p>
        <w:p w14:paraId="41A6A9A7" w14:textId="798E66BB" w:rsidR="005A5E65" w:rsidRDefault="005A5E65">
          <w:pPr>
            <w:pStyle w:val="TOC3"/>
            <w:tabs>
              <w:tab w:val="right" w:leader="dot" w:pos="8302"/>
            </w:tabs>
            <w:rPr>
              <w:rFonts w:cstheme="minorBidi"/>
              <w:noProof/>
              <w:lang w:val="en-GB" w:eastAsia="ja-JP"/>
            </w:rPr>
          </w:pPr>
          <w:hyperlink w:anchor="_Toc86417324" w:history="1">
            <w:r w:rsidRPr="00550B49">
              <w:rPr>
                <w:rStyle w:val="Hyperlink"/>
                <w:noProof/>
              </w:rPr>
              <w:t>6.3.4. Confidentiality and recording</w:t>
            </w:r>
            <w:r>
              <w:rPr>
                <w:noProof/>
                <w:webHidden/>
              </w:rPr>
              <w:tab/>
            </w:r>
            <w:r>
              <w:rPr>
                <w:noProof/>
                <w:webHidden/>
              </w:rPr>
              <w:fldChar w:fldCharType="begin"/>
            </w:r>
            <w:r>
              <w:rPr>
                <w:noProof/>
                <w:webHidden/>
              </w:rPr>
              <w:instrText xml:space="preserve"> PAGEREF _Toc86417324 \h </w:instrText>
            </w:r>
            <w:r>
              <w:rPr>
                <w:noProof/>
                <w:webHidden/>
              </w:rPr>
            </w:r>
            <w:r>
              <w:rPr>
                <w:noProof/>
                <w:webHidden/>
              </w:rPr>
              <w:fldChar w:fldCharType="separate"/>
            </w:r>
            <w:r w:rsidR="00C836FC">
              <w:rPr>
                <w:noProof/>
                <w:webHidden/>
              </w:rPr>
              <w:t>98</w:t>
            </w:r>
            <w:r>
              <w:rPr>
                <w:noProof/>
                <w:webHidden/>
              </w:rPr>
              <w:fldChar w:fldCharType="end"/>
            </w:r>
          </w:hyperlink>
        </w:p>
        <w:p w14:paraId="31C7365F" w14:textId="394493B4" w:rsidR="005A5E65" w:rsidRDefault="005A5E65">
          <w:pPr>
            <w:pStyle w:val="TOC3"/>
            <w:tabs>
              <w:tab w:val="right" w:leader="dot" w:pos="8302"/>
            </w:tabs>
            <w:rPr>
              <w:rFonts w:cstheme="minorBidi"/>
              <w:noProof/>
              <w:lang w:val="en-GB" w:eastAsia="ja-JP"/>
            </w:rPr>
          </w:pPr>
          <w:hyperlink w:anchor="_Toc86417325" w:history="1">
            <w:r w:rsidRPr="00550B49">
              <w:rPr>
                <w:rStyle w:val="Hyperlink"/>
                <w:noProof/>
              </w:rPr>
              <w:t>6.3.5. Benefit of participating</w:t>
            </w:r>
            <w:r>
              <w:rPr>
                <w:noProof/>
                <w:webHidden/>
              </w:rPr>
              <w:tab/>
            </w:r>
            <w:r>
              <w:rPr>
                <w:noProof/>
                <w:webHidden/>
              </w:rPr>
              <w:fldChar w:fldCharType="begin"/>
            </w:r>
            <w:r>
              <w:rPr>
                <w:noProof/>
                <w:webHidden/>
              </w:rPr>
              <w:instrText xml:space="preserve"> PAGEREF _Toc86417325 \h </w:instrText>
            </w:r>
            <w:r>
              <w:rPr>
                <w:noProof/>
                <w:webHidden/>
              </w:rPr>
            </w:r>
            <w:r>
              <w:rPr>
                <w:noProof/>
                <w:webHidden/>
              </w:rPr>
              <w:fldChar w:fldCharType="separate"/>
            </w:r>
            <w:r w:rsidR="00C836FC">
              <w:rPr>
                <w:noProof/>
                <w:webHidden/>
              </w:rPr>
              <w:t>98</w:t>
            </w:r>
            <w:r>
              <w:rPr>
                <w:noProof/>
                <w:webHidden/>
              </w:rPr>
              <w:fldChar w:fldCharType="end"/>
            </w:r>
          </w:hyperlink>
        </w:p>
        <w:p w14:paraId="427DB806" w14:textId="279F4B33" w:rsidR="005A5E65" w:rsidRDefault="005A5E65">
          <w:pPr>
            <w:pStyle w:val="TOC3"/>
            <w:tabs>
              <w:tab w:val="right" w:leader="dot" w:pos="8302"/>
            </w:tabs>
            <w:rPr>
              <w:rFonts w:cstheme="minorBidi"/>
              <w:noProof/>
              <w:lang w:val="en-GB" w:eastAsia="ja-JP"/>
            </w:rPr>
          </w:pPr>
          <w:hyperlink w:anchor="_Toc86417326" w:history="1">
            <w:r w:rsidRPr="00550B49">
              <w:rPr>
                <w:rStyle w:val="Hyperlink"/>
                <w:rFonts w:eastAsia="MS Gothic"/>
                <w:noProof/>
              </w:rPr>
              <w:t>6.3.6. Ethical dilemmas during interviews</w:t>
            </w:r>
            <w:r>
              <w:rPr>
                <w:noProof/>
                <w:webHidden/>
              </w:rPr>
              <w:tab/>
            </w:r>
            <w:r>
              <w:rPr>
                <w:noProof/>
                <w:webHidden/>
              </w:rPr>
              <w:fldChar w:fldCharType="begin"/>
            </w:r>
            <w:r>
              <w:rPr>
                <w:noProof/>
                <w:webHidden/>
              </w:rPr>
              <w:instrText xml:space="preserve"> PAGEREF _Toc86417326 \h </w:instrText>
            </w:r>
            <w:r>
              <w:rPr>
                <w:noProof/>
                <w:webHidden/>
              </w:rPr>
            </w:r>
            <w:r>
              <w:rPr>
                <w:noProof/>
                <w:webHidden/>
              </w:rPr>
              <w:fldChar w:fldCharType="separate"/>
            </w:r>
            <w:r w:rsidR="00C836FC">
              <w:rPr>
                <w:noProof/>
                <w:webHidden/>
              </w:rPr>
              <w:t>99</w:t>
            </w:r>
            <w:r>
              <w:rPr>
                <w:noProof/>
                <w:webHidden/>
              </w:rPr>
              <w:fldChar w:fldCharType="end"/>
            </w:r>
          </w:hyperlink>
        </w:p>
        <w:p w14:paraId="6C098C07" w14:textId="2666FFB2" w:rsidR="005A5E65" w:rsidRDefault="005A5E65">
          <w:pPr>
            <w:pStyle w:val="TOC2"/>
            <w:tabs>
              <w:tab w:val="right" w:leader="dot" w:pos="8302"/>
            </w:tabs>
            <w:rPr>
              <w:rFonts w:cstheme="minorBidi"/>
              <w:noProof/>
              <w:lang w:val="en-GB" w:eastAsia="ja-JP"/>
            </w:rPr>
          </w:pPr>
          <w:hyperlink w:anchor="_Toc86417327" w:history="1">
            <w:r w:rsidRPr="00550B49">
              <w:rPr>
                <w:rStyle w:val="Hyperlink"/>
                <w:noProof/>
              </w:rPr>
              <w:t>6.4. Study setting and location</w:t>
            </w:r>
            <w:r>
              <w:rPr>
                <w:noProof/>
                <w:webHidden/>
              </w:rPr>
              <w:tab/>
            </w:r>
            <w:r>
              <w:rPr>
                <w:noProof/>
                <w:webHidden/>
              </w:rPr>
              <w:fldChar w:fldCharType="begin"/>
            </w:r>
            <w:r>
              <w:rPr>
                <w:noProof/>
                <w:webHidden/>
              </w:rPr>
              <w:instrText xml:space="preserve"> PAGEREF _Toc86417327 \h </w:instrText>
            </w:r>
            <w:r>
              <w:rPr>
                <w:noProof/>
                <w:webHidden/>
              </w:rPr>
            </w:r>
            <w:r>
              <w:rPr>
                <w:noProof/>
                <w:webHidden/>
              </w:rPr>
              <w:fldChar w:fldCharType="separate"/>
            </w:r>
            <w:r w:rsidR="00C836FC">
              <w:rPr>
                <w:noProof/>
                <w:webHidden/>
              </w:rPr>
              <w:t>99</w:t>
            </w:r>
            <w:r>
              <w:rPr>
                <w:noProof/>
                <w:webHidden/>
              </w:rPr>
              <w:fldChar w:fldCharType="end"/>
            </w:r>
          </w:hyperlink>
        </w:p>
        <w:p w14:paraId="454DDE2E" w14:textId="44B8571E" w:rsidR="005A5E65" w:rsidRDefault="005A5E65">
          <w:pPr>
            <w:pStyle w:val="TOC2"/>
            <w:tabs>
              <w:tab w:val="right" w:leader="dot" w:pos="8302"/>
            </w:tabs>
            <w:rPr>
              <w:rFonts w:cstheme="minorBidi"/>
              <w:noProof/>
              <w:lang w:val="en-GB" w:eastAsia="ja-JP"/>
            </w:rPr>
          </w:pPr>
          <w:hyperlink w:anchor="_Toc86417328" w:history="1">
            <w:r w:rsidRPr="00550B49">
              <w:rPr>
                <w:rStyle w:val="Hyperlink"/>
                <w:noProof/>
              </w:rPr>
              <w:t>6.5. Data collection methods</w:t>
            </w:r>
            <w:r>
              <w:rPr>
                <w:noProof/>
                <w:webHidden/>
              </w:rPr>
              <w:tab/>
            </w:r>
            <w:r>
              <w:rPr>
                <w:noProof/>
                <w:webHidden/>
              </w:rPr>
              <w:fldChar w:fldCharType="begin"/>
            </w:r>
            <w:r>
              <w:rPr>
                <w:noProof/>
                <w:webHidden/>
              </w:rPr>
              <w:instrText xml:space="preserve"> PAGEREF _Toc86417328 \h </w:instrText>
            </w:r>
            <w:r>
              <w:rPr>
                <w:noProof/>
                <w:webHidden/>
              </w:rPr>
            </w:r>
            <w:r>
              <w:rPr>
                <w:noProof/>
                <w:webHidden/>
              </w:rPr>
              <w:fldChar w:fldCharType="separate"/>
            </w:r>
            <w:r w:rsidR="00C836FC">
              <w:rPr>
                <w:noProof/>
                <w:webHidden/>
              </w:rPr>
              <w:t>100</w:t>
            </w:r>
            <w:r>
              <w:rPr>
                <w:noProof/>
                <w:webHidden/>
              </w:rPr>
              <w:fldChar w:fldCharType="end"/>
            </w:r>
          </w:hyperlink>
        </w:p>
        <w:p w14:paraId="57516B71" w14:textId="7A943EC9" w:rsidR="005A5E65" w:rsidRDefault="005A5E65">
          <w:pPr>
            <w:pStyle w:val="TOC3"/>
            <w:tabs>
              <w:tab w:val="right" w:leader="dot" w:pos="8302"/>
            </w:tabs>
            <w:rPr>
              <w:rFonts w:cstheme="minorBidi"/>
              <w:noProof/>
              <w:lang w:val="en-GB" w:eastAsia="ja-JP"/>
            </w:rPr>
          </w:pPr>
          <w:hyperlink w:anchor="_Toc86417329" w:history="1">
            <w:r w:rsidRPr="00550B49">
              <w:rPr>
                <w:rStyle w:val="Hyperlink"/>
                <w:noProof/>
              </w:rPr>
              <w:t>6.5.1. Inclusion criteria</w:t>
            </w:r>
            <w:r>
              <w:rPr>
                <w:noProof/>
                <w:webHidden/>
              </w:rPr>
              <w:tab/>
            </w:r>
            <w:r>
              <w:rPr>
                <w:noProof/>
                <w:webHidden/>
              </w:rPr>
              <w:fldChar w:fldCharType="begin"/>
            </w:r>
            <w:r>
              <w:rPr>
                <w:noProof/>
                <w:webHidden/>
              </w:rPr>
              <w:instrText xml:space="preserve"> PAGEREF _Toc86417329 \h </w:instrText>
            </w:r>
            <w:r>
              <w:rPr>
                <w:noProof/>
                <w:webHidden/>
              </w:rPr>
            </w:r>
            <w:r>
              <w:rPr>
                <w:noProof/>
                <w:webHidden/>
              </w:rPr>
              <w:fldChar w:fldCharType="separate"/>
            </w:r>
            <w:r w:rsidR="00C836FC">
              <w:rPr>
                <w:noProof/>
                <w:webHidden/>
              </w:rPr>
              <w:t>100</w:t>
            </w:r>
            <w:r>
              <w:rPr>
                <w:noProof/>
                <w:webHidden/>
              </w:rPr>
              <w:fldChar w:fldCharType="end"/>
            </w:r>
          </w:hyperlink>
        </w:p>
        <w:p w14:paraId="6993BAFF" w14:textId="500BE9E8" w:rsidR="005A5E65" w:rsidRDefault="005A5E65">
          <w:pPr>
            <w:pStyle w:val="TOC3"/>
            <w:tabs>
              <w:tab w:val="right" w:leader="dot" w:pos="8302"/>
            </w:tabs>
            <w:rPr>
              <w:rFonts w:cstheme="minorBidi"/>
              <w:noProof/>
              <w:lang w:val="en-GB" w:eastAsia="ja-JP"/>
            </w:rPr>
          </w:pPr>
          <w:hyperlink w:anchor="_Toc86417330" w:history="1">
            <w:r w:rsidRPr="00550B49">
              <w:rPr>
                <w:rStyle w:val="Hyperlink"/>
                <w:noProof/>
              </w:rPr>
              <w:t>6.5.2. Exclusion criteria</w:t>
            </w:r>
            <w:r>
              <w:rPr>
                <w:noProof/>
                <w:webHidden/>
              </w:rPr>
              <w:tab/>
            </w:r>
            <w:r>
              <w:rPr>
                <w:noProof/>
                <w:webHidden/>
              </w:rPr>
              <w:fldChar w:fldCharType="begin"/>
            </w:r>
            <w:r>
              <w:rPr>
                <w:noProof/>
                <w:webHidden/>
              </w:rPr>
              <w:instrText xml:space="preserve"> PAGEREF _Toc86417330 \h </w:instrText>
            </w:r>
            <w:r>
              <w:rPr>
                <w:noProof/>
                <w:webHidden/>
              </w:rPr>
            </w:r>
            <w:r>
              <w:rPr>
                <w:noProof/>
                <w:webHidden/>
              </w:rPr>
              <w:fldChar w:fldCharType="separate"/>
            </w:r>
            <w:r w:rsidR="00C836FC">
              <w:rPr>
                <w:noProof/>
                <w:webHidden/>
              </w:rPr>
              <w:t>101</w:t>
            </w:r>
            <w:r>
              <w:rPr>
                <w:noProof/>
                <w:webHidden/>
              </w:rPr>
              <w:fldChar w:fldCharType="end"/>
            </w:r>
          </w:hyperlink>
        </w:p>
        <w:p w14:paraId="6379A685" w14:textId="070E7B00" w:rsidR="005A5E65" w:rsidRDefault="005A5E65">
          <w:pPr>
            <w:pStyle w:val="TOC3"/>
            <w:tabs>
              <w:tab w:val="right" w:leader="dot" w:pos="8302"/>
            </w:tabs>
            <w:rPr>
              <w:rFonts w:cstheme="minorBidi"/>
              <w:noProof/>
              <w:lang w:val="en-GB" w:eastAsia="ja-JP"/>
            </w:rPr>
          </w:pPr>
          <w:hyperlink w:anchor="_Toc86417331" w:history="1">
            <w:r w:rsidRPr="00550B49">
              <w:rPr>
                <w:rStyle w:val="Hyperlink"/>
                <w:noProof/>
              </w:rPr>
              <w:t>6.5.3. Sampling</w:t>
            </w:r>
            <w:r>
              <w:rPr>
                <w:noProof/>
                <w:webHidden/>
              </w:rPr>
              <w:tab/>
            </w:r>
            <w:r>
              <w:rPr>
                <w:noProof/>
                <w:webHidden/>
              </w:rPr>
              <w:fldChar w:fldCharType="begin"/>
            </w:r>
            <w:r>
              <w:rPr>
                <w:noProof/>
                <w:webHidden/>
              </w:rPr>
              <w:instrText xml:space="preserve"> PAGEREF _Toc86417331 \h </w:instrText>
            </w:r>
            <w:r>
              <w:rPr>
                <w:noProof/>
                <w:webHidden/>
              </w:rPr>
            </w:r>
            <w:r>
              <w:rPr>
                <w:noProof/>
                <w:webHidden/>
              </w:rPr>
              <w:fldChar w:fldCharType="separate"/>
            </w:r>
            <w:r w:rsidR="00C836FC">
              <w:rPr>
                <w:noProof/>
                <w:webHidden/>
              </w:rPr>
              <w:t>101</w:t>
            </w:r>
            <w:r>
              <w:rPr>
                <w:noProof/>
                <w:webHidden/>
              </w:rPr>
              <w:fldChar w:fldCharType="end"/>
            </w:r>
          </w:hyperlink>
        </w:p>
        <w:p w14:paraId="4CF62D02" w14:textId="508FFE99" w:rsidR="005A5E65" w:rsidRDefault="005A5E65">
          <w:pPr>
            <w:pStyle w:val="TOC3"/>
            <w:tabs>
              <w:tab w:val="right" w:leader="dot" w:pos="8302"/>
            </w:tabs>
            <w:rPr>
              <w:rFonts w:cstheme="minorBidi"/>
              <w:noProof/>
              <w:lang w:val="en-GB" w:eastAsia="ja-JP"/>
            </w:rPr>
          </w:pPr>
          <w:hyperlink w:anchor="_Toc86417332" w:history="1">
            <w:r w:rsidRPr="00550B49">
              <w:rPr>
                <w:rStyle w:val="Hyperlink"/>
                <w:noProof/>
              </w:rPr>
              <w:t>6.5.4. Sampling methods for recruiting participants</w:t>
            </w:r>
            <w:r>
              <w:rPr>
                <w:noProof/>
                <w:webHidden/>
              </w:rPr>
              <w:tab/>
            </w:r>
            <w:r>
              <w:rPr>
                <w:noProof/>
                <w:webHidden/>
              </w:rPr>
              <w:fldChar w:fldCharType="begin"/>
            </w:r>
            <w:r>
              <w:rPr>
                <w:noProof/>
                <w:webHidden/>
              </w:rPr>
              <w:instrText xml:space="preserve"> PAGEREF _Toc86417332 \h </w:instrText>
            </w:r>
            <w:r>
              <w:rPr>
                <w:noProof/>
                <w:webHidden/>
              </w:rPr>
            </w:r>
            <w:r>
              <w:rPr>
                <w:noProof/>
                <w:webHidden/>
              </w:rPr>
              <w:fldChar w:fldCharType="separate"/>
            </w:r>
            <w:r w:rsidR="00C836FC">
              <w:rPr>
                <w:noProof/>
                <w:webHidden/>
              </w:rPr>
              <w:t>103</w:t>
            </w:r>
            <w:r>
              <w:rPr>
                <w:noProof/>
                <w:webHidden/>
              </w:rPr>
              <w:fldChar w:fldCharType="end"/>
            </w:r>
          </w:hyperlink>
        </w:p>
        <w:p w14:paraId="1B2986C3" w14:textId="570FC75B" w:rsidR="005A5E65" w:rsidRDefault="005A5E65">
          <w:pPr>
            <w:pStyle w:val="TOC3"/>
            <w:tabs>
              <w:tab w:val="right" w:leader="dot" w:pos="8302"/>
            </w:tabs>
            <w:rPr>
              <w:rFonts w:cstheme="minorBidi"/>
              <w:noProof/>
              <w:lang w:val="en-GB" w:eastAsia="ja-JP"/>
            </w:rPr>
          </w:pPr>
          <w:hyperlink w:anchor="_Toc86417333" w:history="1">
            <w:r w:rsidRPr="00550B49">
              <w:rPr>
                <w:rStyle w:val="Hyperlink"/>
                <w:noProof/>
              </w:rPr>
              <w:t>6.5.5. Interviewing: language of choice</w:t>
            </w:r>
            <w:r>
              <w:rPr>
                <w:noProof/>
                <w:webHidden/>
              </w:rPr>
              <w:tab/>
            </w:r>
            <w:r>
              <w:rPr>
                <w:noProof/>
                <w:webHidden/>
              </w:rPr>
              <w:fldChar w:fldCharType="begin"/>
            </w:r>
            <w:r>
              <w:rPr>
                <w:noProof/>
                <w:webHidden/>
              </w:rPr>
              <w:instrText xml:space="preserve"> PAGEREF _Toc86417333 \h </w:instrText>
            </w:r>
            <w:r>
              <w:rPr>
                <w:noProof/>
                <w:webHidden/>
              </w:rPr>
            </w:r>
            <w:r>
              <w:rPr>
                <w:noProof/>
                <w:webHidden/>
              </w:rPr>
              <w:fldChar w:fldCharType="separate"/>
            </w:r>
            <w:r w:rsidR="00C836FC">
              <w:rPr>
                <w:noProof/>
                <w:webHidden/>
              </w:rPr>
              <w:t>103</w:t>
            </w:r>
            <w:r>
              <w:rPr>
                <w:noProof/>
                <w:webHidden/>
              </w:rPr>
              <w:fldChar w:fldCharType="end"/>
            </w:r>
          </w:hyperlink>
        </w:p>
        <w:p w14:paraId="2323A2EF" w14:textId="5D70499F" w:rsidR="005A5E65" w:rsidRDefault="005A5E65">
          <w:pPr>
            <w:pStyle w:val="TOC3"/>
            <w:tabs>
              <w:tab w:val="right" w:leader="dot" w:pos="8302"/>
            </w:tabs>
            <w:rPr>
              <w:rFonts w:cstheme="minorBidi"/>
              <w:noProof/>
              <w:lang w:val="en-GB" w:eastAsia="ja-JP"/>
            </w:rPr>
          </w:pPr>
          <w:hyperlink w:anchor="_Toc86417334" w:history="1">
            <w:r w:rsidRPr="00550B49">
              <w:rPr>
                <w:rStyle w:val="Hyperlink"/>
                <w:noProof/>
              </w:rPr>
              <w:t>6.5.6. Phase One: Pilot interviews with paid Nigerian migrant care workers</w:t>
            </w:r>
            <w:r>
              <w:rPr>
                <w:noProof/>
                <w:webHidden/>
              </w:rPr>
              <w:tab/>
            </w:r>
            <w:r>
              <w:rPr>
                <w:noProof/>
                <w:webHidden/>
              </w:rPr>
              <w:fldChar w:fldCharType="begin"/>
            </w:r>
            <w:r>
              <w:rPr>
                <w:noProof/>
                <w:webHidden/>
              </w:rPr>
              <w:instrText xml:space="preserve"> PAGEREF _Toc86417334 \h </w:instrText>
            </w:r>
            <w:r>
              <w:rPr>
                <w:noProof/>
                <w:webHidden/>
              </w:rPr>
            </w:r>
            <w:r>
              <w:rPr>
                <w:noProof/>
                <w:webHidden/>
              </w:rPr>
              <w:fldChar w:fldCharType="separate"/>
            </w:r>
            <w:r w:rsidR="00C836FC">
              <w:rPr>
                <w:noProof/>
                <w:webHidden/>
              </w:rPr>
              <w:t>104</w:t>
            </w:r>
            <w:r>
              <w:rPr>
                <w:noProof/>
                <w:webHidden/>
              </w:rPr>
              <w:fldChar w:fldCharType="end"/>
            </w:r>
          </w:hyperlink>
        </w:p>
        <w:p w14:paraId="292E783A" w14:textId="243B83B9" w:rsidR="005A5E65" w:rsidRDefault="005A5E65">
          <w:pPr>
            <w:pStyle w:val="TOC3"/>
            <w:tabs>
              <w:tab w:val="right" w:leader="dot" w:pos="8302"/>
            </w:tabs>
            <w:rPr>
              <w:rFonts w:cstheme="minorBidi"/>
              <w:noProof/>
              <w:lang w:val="en-GB" w:eastAsia="ja-JP"/>
            </w:rPr>
          </w:pPr>
          <w:hyperlink w:anchor="_Toc86417335" w:history="1">
            <w:r w:rsidRPr="00550B49">
              <w:rPr>
                <w:rStyle w:val="Hyperlink"/>
                <w:noProof/>
              </w:rPr>
              <w:t>6.5.7. Challenges of recruitment</w:t>
            </w:r>
            <w:r>
              <w:rPr>
                <w:noProof/>
                <w:webHidden/>
              </w:rPr>
              <w:tab/>
            </w:r>
            <w:r>
              <w:rPr>
                <w:noProof/>
                <w:webHidden/>
              </w:rPr>
              <w:fldChar w:fldCharType="begin"/>
            </w:r>
            <w:r>
              <w:rPr>
                <w:noProof/>
                <w:webHidden/>
              </w:rPr>
              <w:instrText xml:space="preserve"> PAGEREF _Toc86417335 \h </w:instrText>
            </w:r>
            <w:r>
              <w:rPr>
                <w:noProof/>
                <w:webHidden/>
              </w:rPr>
            </w:r>
            <w:r>
              <w:rPr>
                <w:noProof/>
                <w:webHidden/>
              </w:rPr>
              <w:fldChar w:fldCharType="separate"/>
            </w:r>
            <w:r w:rsidR="00C836FC">
              <w:rPr>
                <w:noProof/>
                <w:webHidden/>
              </w:rPr>
              <w:t>106</w:t>
            </w:r>
            <w:r>
              <w:rPr>
                <w:noProof/>
                <w:webHidden/>
              </w:rPr>
              <w:fldChar w:fldCharType="end"/>
            </w:r>
          </w:hyperlink>
        </w:p>
        <w:p w14:paraId="76C714E5" w14:textId="18EA5B44" w:rsidR="005A5E65" w:rsidRDefault="005A5E65">
          <w:pPr>
            <w:pStyle w:val="TOC3"/>
            <w:tabs>
              <w:tab w:val="right" w:leader="dot" w:pos="8302"/>
            </w:tabs>
            <w:rPr>
              <w:rFonts w:cstheme="minorBidi"/>
              <w:noProof/>
              <w:lang w:val="en-GB" w:eastAsia="ja-JP"/>
            </w:rPr>
          </w:pPr>
          <w:hyperlink w:anchor="_Toc86417336" w:history="1">
            <w:r w:rsidRPr="00550B49">
              <w:rPr>
                <w:rStyle w:val="Hyperlink"/>
                <w:noProof/>
              </w:rPr>
              <w:t>6.5.8. Phase Two: Interviews with Nigerian migrant care workers</w:t>
            </w:r>
            <w:r>
              <w:rPr>
                <w:noProof/>
                <w:webHidden/>
              </w:rPr>
              <w:tab/>
            </w:r>
            <w:r>
              <w:rPr>
                <w:noProof/>
                <w:webHidden/>
              </w:rPr>
              <w:fldChar w:fldCharType="begin"/>
            </w:r>
            <w:r>
              <w:rPr>
                <w:noProof/>
                <w:webHidden/>
              </w:rPr>
              <w:instrText xml:space="preserve"> PAGEREF _Toc86417336 \h </w:instrText>
            </w:r>
            <w:r>
              <w:rPr>
                <w:noProof/>
                <w:webHidden/>
              </w:rPr>
            </w:r>
            <w:r>
              <w:rPr>
                <w:noProof/>
                <w:webHidden/>
              </w:rPr>
              <w:fldChar w:fldCharType="separate"/>
            </w:r>
            <w:r w:rsidR="00C836FC">
              <w:rPr>
                <w:noProof/>
                <w:webHidden/>
              </w:rPr>
              <w:t>107</w:t>
            </w:r>
            <w:r>
              <w:rPr>
                <w:noProof/>
                <w:webHidden/>
              </w:rPr>
              <w:fldChar w:fldCharType="end"/>
            </w:r>
          </w:hyperlink>
        </w:p>
        <w:p w14:paraId="4E798E80" w14:textId="5380F0F7" w:rsidR="005A5E65" w:rsidRDefault="005A5E65">
          <w:pPr>
            <w:pStyle w:val="TOC3"/>
            <w:tabs>
              <w:tab w:val="right" w:leader="dot" w:pos="8302"/>
            </w:tabs>
            <w:rPr>
              <w:rFonts w:cstheme="minorBidi"/>
              <w:noProof/>
              <w:lang w:val="en-GB" w:eastAsia="ja-JP"/>
            </w:rPr>
          </w:pPr>
          <w:hyperlink w:anchor="_Toc86417337" w:history="1">
            <w:r w:rsidRPr="00550B49">
              <w:rPr>
                <w:rStyle w:val="Hyperlink"/>
                <w:noProof/>
              </w:rPr>
              <w:t>6.5.9. Withdrawing from the study</w:t>
            </w:r>
            <w:r>
              <w:rPr>
                <w:noProof/>
                <w:webHidden/>
              </w:rPr>
              <w:tab/>
            </w:r>
            <w:r>
              <w:rPr>
                <w:noProof/>
                <w:webHidden/>
              </w:rPr>
              <w:fldChar w:fldCharType="begin"/>
            </w:r>
            <w:r>
              <w:rPr>
                <w:noProof/>
                <w:webHidden/>
              </w:rPr>
              <w:instrText xml:space="preserve"> PAGEREF _Toc86417337 \h </w:instrText>
            </w:r>
            <w:r>
              <w:rPr>
                <w:noProof/>
                <w:webHidden/>
              </w:rPr>
            </w:r>
            <w:r>
              <w:rPr>
                <w:noProof/>
                <w:webHidden/>
              </w:rPr>
              <w:fldChar w:fldCharType="separate"/>
            </w:r>
            <w:r w:rsidR="00C836FC">
              <w:rPr>
                <w:noProof/>
                <w:webHidden/>
              </w:rPr>
              <w:t>107</w:t>
            </w:r>
            <w:r>
              <w:rPr>
                <w:noProof/>
                <w:webHidden/>
              </w:rPr>
              <w:fldChar w:fldCharType="end"/>
            </w:r>
          </w:hyperlink>
        </w:p>
        <w:p w14:paraId="285CA157" w14:textId="3862BEB5" w:rsidR="005A5E65" w:rsidRDefault="005A5E65">
          <w:pPr>
            <w:pStyle w:val="TOC2"/>
            <w:tabs>
              <w:tab w:val="right" w:leader="dot" w:pos="8302"/>
            </w:tabs>
            <w:rPr>
              <w:rFonts w:cstheme="minorBidi"/>
              <w:noProof/>
              <w:lang w:val="en-GB" w:eastAsia="ja-JP"/>
            </w:rPr>
          </w:pPr>
          <w:hyperlink w:anchor="_Toc86417338" w:history="1">
            <w:r w:rsidRPr="00550B49">
              <w:rPr>
                <w:rStyle w:val="Hyperlink"/>
                <w:noProof/>
              </w:rPr>
              <w:t>6.6. Data Analysis</w:t>
            </w:r>
            <w:r>
              <w:rPr>
                <w:noProof/>
                <w:webHidden/>
              </w:rPr>
              <w:tab/>
            </w:r>
            <w:r>
              <w:rPr>
                <w:noProof/>
                <w:webHidden/>
              </w:rPr>
              <w:fldChar w:fldCharType="begin"/>
            </w:r>
            <w:r>
              <w:rPr>
                <w:noProof/>
                <w:webHidden/>
              </w:rPr>
              <w:instrText xml:space="preserve"> PAGEREF _Toc86417338 \h </w:instrText>
            </w:r>
            <w:r>
              <w:rPr>
                <w:noProof/>
                <w:webHidden/>
              </w:rPr>
            </w:r>
            <w:r>
              <w:rPr>
                <w:noProof/>
                <w:webHidden/>
              </w:rPr>
              <w:fldChar w:fldCharType="separate"/>
            </w:r>
            <w:r w:rsidR="00C836FC">
              <w:rPr>
                <w:noProof/>
                <w:webHidden/>
              </w:rPr>
              <w:t>107</w:t>
            </w:r>
            <w:r>
              <w:rPr>
                <w:noProof/>
                <w:webHidden/>
              </w:rPr>
              <w:fldChar w:fldCharType="end"/>
            </w:r>
          </w:hyperlink>
        </w:p>
        <w:p w14:paraId="04A63C1C" w14:textId="53279603" w:rsidR="005A5E65" w:rsidRDefault="005A5E65">
          <w:pPr>
            <w:pStyle w:val="TOC3"/>
            <w:tabs>
              <w:tab w:val="right" w:leader="dot" w:pos="8302"/>
            </w:tabs>
            <w:rPr>
              <w:rFonts w:cstheme="minorBidi"/>
              <w:noProof/>
              <w:lang w:val="en-GB" w:eastAsia="ja-JP"/>
            </w:rPr>
          </w:pPr>
          <w:hyperlink w:anchor="_Toc86417339" w:history="1">
            <w:r w:rsidRPr="00550B49">
              <w:rPr>
                <w:rStyle w:val="Hyperlink"/>
                <w:noProof/>
              </w:rPr>
              <w:t>6.6.1. The role of the researcher in data analysis</w:t>
            </w:r>
            <w:r>
              <w:rPr>
                <w:noProof/>
                <w:webHidden/>
              </w:rPr>
              <w:tab/>
            </w:r>
            <w:r>
              <w:rPr>
                <w:noProof/>
                <w:webHidden/>
              </w:rPr>
              <w:fldChar w:fldCharType="begin"/>
            </w:r>
            <w:r>
              <w:rPr>
                <w:noProof/>
                <w:webHidden/>
              </w:rPr>
              <w:instrText xml:space="preserve"> PAGEREF _Toc86417339 \h </w:instrText>
            </w:r>
            <w:r>
              <w:rPr>
                <w:noProof/>
                <w:webHidden/>
              </w:rPr>
            </w:r>
            <w:r>
              <w:rPr>
                <w:noProof/>
                <w:webHidden/>
              </w:rPr>
              <w:fldChar w:fldCharType="separate"/>
            </w:r>
            <w:r w:rsidR="00C836FC">
              <w:rPr>
                <w:noProof/>
                <w:webHidden/>
              </w:rPr>
              <w:t>108</w:t>
            </w:r>
            <w:r>
              <w:rPr>
                <w:noProof/>
                <w:webHidden/>
              </w:rPr>
              <w:fldChar w:fldCharType="end"/>
            </w:r>
          </w:hyperlink>
        </w:p>
        <w:p w14:paraId="785CA5CE" w14:textId="5A13B09C" w:rsidR="005A5E65" w:rsidRDefault="005A5E65">
          <w:pPr>
            <w:pStyle w:val="TOC3"/>
            <w:tabs>
              <w:tab w:val="right" w:leader="dot" w:pos="8302"/>
            </w:tabs>
            <w:rPr>
              <w:rFonts w:cstheme="minorBidi"/>
              <w:noProof/>
              <w:lang w:val="en-GB" w:eastAsia="ja-JP"/>
            </w:rPr>
          </w:pPr>
          <w:hyperlink w:anchor="_Toc86417340" w:history="1">
            <w:r w:rsidRPr="00550B49">
              <w:rPr>
                <w:rStyle w:val="Hyperlink"/>
                <w:noProof/>
              </w:rPr>
              <w:t>6.6.2. Analytical process informed by van Manen’s reflection and writing</w:t>
            </w:r>
            <w:r>
              <w:rPr>
                <w:noProof/>
                <w:webHidden/>
              </w:rPr>
              <w:tab/>
            </w:r>
            <w:r>
              <w:rPr>
                <w:noProof/>
                <w:webHidden/>
              </w:rPr>
              <w:fldChar w:fldCharType="begin"/>
            </w:r>
            <w:r>
              <w:rPr>
                <w:noProof/>
                <w:webHidden/>
              </w:rPr>
              <w:instrText xml:space="preserve"> PAGEREF _Toc86417340 \h </w:instrText>
            </w:r>
            <w:r>
              <w:rPr>
                <w:noProof/>
                <w:webHidden/>
              </w:rPr>
            </w:r>
            <w:r>
              <w:rPr>
                <w:noProof/>
                <w:webHidden/>
              </w:rPr>
              <w:fldChar w:fldCharType="separate"/>
            </w:r>
            <w:r w:rsidR="00C836FC">
              <w:rPr>
                <w:noProof/>
                <w:webHidden/>
              </w:rPr>
              <w:t>109</w:t>
            </w:r>
            <w:r>
              <w:rPr>
                <w:noProof/>
                <w:webHidden/>
              </w:rPr>
              <w:fldChar w:fldCharType="end"/>
            </w:r>
          </w:hyperlink>
        </w:p>
        <w:p w14:paraId="1551D36A" w14:textId="6B4D699F" w:rsidR="005A5E65" w:rsidRDefault="005A5E65">
          <w:pPr>
            <w:pStyle w:val="TOC3"/>
            <w:tabs>
              <w:tab w:val="right" w:leader="dot" w:pos="8302"/>
            </w:tabs>
            <w:rPr>
              <w:rFonts w:cstheme="minorBidi"/>
              <w:noProof/>
              <w:lang w:val="en-GB" w:eastAsia="ja-JP"/>
            </w:rPr>
          </w:pPr>
          <w:hyperlink w:anchor="_Toc86417341" w:history="1">
            <w:r w:rsidRPr="00550B49">
              <w:rPr>
                <w:rStyle w:val="Hyperlink"/>
                <w:noProof/>
              </w:rPr>
              <w:t>6.6.3. Phenomenological reflection – discovering themes through detailed, selective and holistic reading of transcripts</w:t>
            </w:r>
            <w:r>
              <w:rPr>
                <w:noProof/>
                <w:webHidden/>
              </w:rPr>
              <w:tab/>
            </w:r>
            <w:r>
              <w:rPr>
                <w:noProof/>
                <w:webHidden/>
              </w:rPr>
              <w:fldChar w:fldCharType="begin"/>
            </w:r>
            <w:r>
              <w:rPr>
                <w:noProof/>
                <w:webHidden/>
              </w:rPr>
              <w:instrText xml:space="preserve"> PAGEREF _Toc86417341 \h </w:instrText>
            </w:r>
            <w:r>
              <w:rPr>
                <w:noProof/>
                <w:webHidden/>
              </w:rPr>
            </w:r>
            <w:r>
              <w:rPr>
                <w:noProof/>
                <w:webHidden/>
              </w:rPr>
              <w:fldChar w:fldCharType="separate"/>
            </w:r>
            <w:r w:rsidR="00C836FC">
              <w:rPr>
                <w:noProof/>
                <w:webHidden/>
              </w:rPr>
              <w:t>109</w:t>
            </w:r>
            <w:r>
              <w:rPr>
                <w:noProof/>
                <w:webHidden/>
              </w:rPr>
              <w:fldChar w:fldCharType="end"/>
            </w:r>
          </w:hyperlink>
        </w:p>
        <w:p w14:paraId="7F283B7B" w14:textId="28489A7C" w:rsidR="005A5E65" w:rsidRDefault="005A5E65">
          <w:pPr>
            <w:pStyle w:val="TOC3"/>
            <w:tabs>
              <w:tab w:val="right" w:leader="dot" w:pos="8302"/>
            </w:tabs>
            <w:rPr>
              <w:rFonts w:cstheme="minorBidi"/>
              <w:noProof/>
              <w:lang w:val="en-GB" w:eastAsia="ja-JP"/>
            </w:rPr>
          </w:pPr>
          <w:hyperlink w:anchor="_Toc86417342" w:history="1">
            <w:r w:rsidRPr="00550B49">
              <w:rPr>
                <w:rStyle w:val="Hyperlink"/>
                <w:noProof/>
              </w:rPr>
              <w:t>6.6.4. Phenomenological writing</w:t>
            </w:r>
            <w:r>
              <w:rPr>
                <w:noProof/>
                <w:webHidden/>
              </w:rPr>
              <w:tab/>
            </w:r>
            <w:r>
              <w:rPr>
                <w:noProof/>
                <w:webHidden/>
              </w:rPr>
              <w:fldChar w:fldCharType="begin"/>
            </w:r>
            <w:r>
              <w:rPr>
                <w:noProof/>
                <w:webHidden/>
              </w:rPr>
              <w:instrText xml:space="preserve"> PAGEREF _Toc86417342 \h </w:instrText>
            </w:r>
            <w:r>
              <w:rPr>
                <w:noProof/>
                <w:webHidden/>
              </w:rPr>
            </w:r>
            <w:r>
              <w:rPr>
                <w:noProof/>
                <w:webHidden/>
              </w:rPr>
              <w:fldChar w:fldCharType="separate"/>
            </w:r>
            <w:r w:rsidR="00C836FC">
              <w:rPr>
                <w:noProof/>
                <w:webHidden/>
              </w:rPr>
              <w:t>112</w:t>
            </w:r>
            <w:r>
              <w:rPr>
                <w:noProof/>
                <w:webHidden/>
              </w:rPr>
              <w:fldChar w:fldCharType="end"/>
            </w:r>
          </w:hyperlink>
        </w:p>
        <w:p w14:paraId="457EE3CE" w14:textId="3E0E73C1" w:rsidR="005A5E65" w:rsidRDefault="005A5E65">
          <w:pPr>
            <w:pStyle w:val="TOC3"/>
            <w:tabs>
              <w:tab w:val="right" w:leader="dot" w:pos="8302"/>
            </w:tabs>
            <w:rPr>
              <w:rFonts w:cstheme="minorBidi"/>
              <w:noProof/>
              <w:lang w:val="en-GB" w:eastAsia="ja-JP"/>
            </w:rPr>
          </w:pPr>
          <w:hyperlink w:anchor="_Toc86417343" w:history="1">
            <w:r w:rsidRPr="00550B49">
              <w:rPr>
                <w:rStyle w:val="Hyperlink"/>
                <w:noProof/>
              </w:rPr>
              <w:t>Worked Examples of data analysis</w:t>
            </w:r>
            <w:r>
              <w:rPr>
                <w:noProof/>
                <w:webHidden/>
              </w:rPr>
              <w:tab/>
            </w:r>
            <w:r>
              <w:rPr>
                <w:noProof/>
                <w:webHidden/>
              </w:rPr>
              <w:fldChar w:fldCharType="begin"/>
            </w:r>
            <w:r>
              <w:rPr>
                <w:noProof/>
                <w:webHidden/>
              </w:rPr>
              <w:instrText xml:space="preserve"> PAGEREF _Toc86417343 \h </w:instrText>
            </w:r>
            <w:r>
              <w:rPr>
                <w:noProof/>
                <w:webHidden/>
              </w:rPr>
            </w:r>
            <w:r>
              <w:rPr>
                <w:noProof/>
                <w:webHidden/>
              </w:rPr>
              <w:fldChar w:fldCharType="separate"/>
            </w:r>
            <w:r w:rsidR="00C836FC">
              <w:rPr>
                <w:noProof/>
                <w:webHidden/>
              </w:rPr>
              <w:t>113</w:t>
            </w:r>
            <w:r>
              <w:rPr>
                <w:noProof/>
                <w:webHidden/>
              </w:rPr>
              <w:fldChar w:fldCharType="end"/>
            </w:r>
          </w:hyperlink>
        </w:p>
        <w:p w14:paraId="2FF63512" w14:textId="5B7CB999" w:rsidR="005A5E65" w:rsidRDefault="005A5E65">
          <w:pPr>
            <w:pStyle w:val="TOC2"/>
            <w:tabs>
              <w:tab w:val="right" w:leader="dot" w:pos="8302"/>
            </w:tabs>
            <w:rPr>
              <w:rFonts w:cstheme="minorBidi"/>
              <w:noProof/>
              <w:lang w:val="en-GB" w:eastAsia="ja-JP"/>
            </w:rPr>
          </w:pPr>
          <w:hyperlink w:anchor="_Toc86417344" w:history="1">
            <w:r w:rsidRPr="00550B49">
              <w:rPr>
                <w:rStyle w:val="Hyperlink"/>
                <w:rFonts w:eastAsia="MS Mincho"/>
                <w:noProof/>
              </w:rPr>
              <w:t>6.7. Data storage and NVivo</w:t>
            </w:r>
            <w:r>
              <w:rPr>
                <w:noProof/>
                <w:webHidden/>
              </w:rPr>
              <w:tab/>
            </w:r>
            <w:r>
              <w:rPr>
                <w:noProof/>
                <w:webHidden/>
              </w:rPr>
              <w:fldChar w:fldCharType="begin"/>
            </w:r>
            <w:r>
              <w:rPr>
                <w:noProof/>
                <w:webHidden/>
              </w:rPr>
              <w:instrText xml:space="preserve"> PAGEREF _Toc86417344 \h </w:instrText>
            </w:r>
            <w:r>
              <w:rPr>
                <w:noProof/>
                <w:webHidden/>
              </w:rPr>
            </w:r>
            <w:r>
              <w:rPr>
                <w:noProof/>
                <w:webHidden/>
              </w:rPr>
              <w:fldChar w:fldCharType="separate"/>
            </w:r>
            <w:r w:rsidR="00C836FC">
              <w:rPr>
                <w:noProof/>
                <w:webHidden/>
              </w:rPr>
              <w:t>113</w:t>
            </w:r>
            <w:r>
              <w:rPr>
                <w:noProof/>
                <w:webHidden/>
              </w:rPr>
              <w:fldChar w:fldCharType="end"/>
            </w:r>
          </w:hyperlink>
        </w:p>
        <w:p w14:paraId="135EC836" w14:textId="3AEB8195" w:rsidR="005A5E65" w:rsidRDefault="005A5E65">
          <w:pPr>
            <w:pStyle w:val="TOC2"/>
            <w:tabs>
              <w:tab w:val="right" w:leader="dot" w:pos="8302"/>
            </w:tabs>
            <w:rPr>
              <w:rFonts w:cstheme="minorBidi"/>
              <w:noProof/>
              <w:lang w:val="en-GB" w:eastAsia="ja-JP"/>
            </w:rPr>
          </w:pPr>
          <w:hyperlink w:anchor="_Toc86417345" w:history="1">
            <w:r w:rsidRPr="00550B49">
              <w:rPr>
                <w:rStyle w:val="Hyperlink"/>
                <w:rFonts w:eastAsia="MS Mincho"/>
                <w:noProof/>
              </w:rPr>
              <w:t>6.8. Assessing study trustworthiness</w:t>
            </w:r>
            <w:r>
              <w:rPr>
                <w:noProof/>
                <w:webHidden/>
              </w:rPr>
              <w:tab/>
            </w:r>
            <w:r>
              <w:rPr>
                <w:noProof/>
                <w:webHidden/>
              </w:rPr>
              <w:fldChar w:fldCharType="begin"/>
            </w:r>
            <w:r>
              <w:rPr>
                <w:noProof/>
                <w:webHidden/>
              </w:rPr>
              <w:instrText xml:space="preserve"> PAGEREF _Toc86417345 \h </w:instrText>
            </w:r>
            <w:r>
              <w:rPr>
                <w:noProof/>
                <w:webHidden/>
              </w:rPr>
            </w:r>
            <w:r>
              <w:rPr>
                <w:noProof/>
                <w:webHidden/>
              </w:rPr>
              <w:fldChar w:fldCharType="separate"/>
            </w:r>
            <w:r w:rsidR="00C836FC">
              <w:rPr>
                <w:noProof/>
                <w:webHidden/>
              </w:rPr>
              <w:t>114</w:t>
            </w:r>
            <w:r>
              <w:rPr>
                <w:noProof/>
                <w:webHidden/>
              </w:rPr>
              <w:fldChar w:fldCharType="end"/>
            </w:r>
          </w:hyperlink>
        </w:p>
        <w:p w14:paraId="36337CD6" w14:textId="0FCF7DA4" w:rsidR="005A5E65" w:rsidRDefault="005A5E65">
          <w:pPr>
            <w:pStyle w:val="TOC2"/>
            <w:tabs>
              <w:tab w:val="right" w:leader="dot" w:pos="8302"/>
            </w:tabs>
            <w:rPr>
              <w:rFonts w:cstheme="minorBidi"/>
              <w:noProof/>
              <w:lang w:val="en-GB" w:eastAsia="ja-JP"/>
            </w:rPr>
          </w:pPr>
          <w:hyperlink w:anchor="_Toc86417346" w:history="1">
            <w:r w:rsidRPr="00550B49">
              <w:rPr>
                <w:rStyle w:val="Hyperlink"/>
                <w:noProof/>
              </w:rPr>
              <w:t>6.9. Summary</w:t>
            </w:r>
            <w:r>
              <w:rPr>
                <w:noProof/>
                <w:webHidden/>
              </w:rPr>
              <w:tab/>
            </w:r>
            <w:r>
              <w:rPr>
                <w:noProof/>
                <w:webHidden/>
              </w:rPr>
              <w:fldChar w:fldCharType="begin"/>
            </w:r>
            <w:r>
              <w:rPr>
                <w:noProof/>
                <w:webHidden/>
              </w:rPr>
              <w:instrText xml:space="preserve"> PAGEREF _Toc86417346 \h </w:instrText>
            </w:r>
            <w:r>
              <w:rPr>
                <w:noProof/>
                <w:webHidden/>
              </w:rPr>
            </w:r>
            <w:r>
              <w:rPr>
                <w:noProof/>
                <w:webHidden/>
              </w:rPr>
              <w:fldChar w:fldCharType="separate"/>
            </w:r>
            <w:r w:rsidR="00C836FC">
              <w:rPr>
                <w:noProof/>
                <w:webHidden/>
              </w:rPr>
              <w:t>114</w:t>
            </w:r>
            <w:r>
              <w:rPr>
                <w:noProof/>
                <w:webHidden/>
              </w:rPr>
              <w:fldChar w:fldCharType="end"/>
            </w:r>
          </w:hyperlink>
        </w:p>
        <w:p w14:paraId="7048E093" w14:textId="5BA96284" w:rsidR="005A5E65" w:rsidRDefault="005A5E65">
          <w:pPr>
            <w:pStyle w:val="TOC1"/>
            <w:tabs>
              <w:tab w:val="right" w:leader="dot" w:pos="8302"/>
            </w:tabs>
            <w:rPr>
              <w:rFonts w:cstheme="minorBidi"/>
              <w:noProof/>
              <w:lang w:val="en-GB" w:eastAsia="ja-JP"/>
            </w:rPr>
          </w:pPr>
          <w:hyperlink w:anchor="_Toc86417347" w:history="1">
            <w:r w:rsidRPr="00550B49">
              <w:rPr>
                <w:rStyle w:val="Hyperlink"/>
                <w:noProof/>
              </w:rPr>
              <w:t>CHAPTER SEVEN</w:t>
            </w:r>
            <w:r>
              <w:rPr>
                <w:noProof/>
                <w:webHidden/>
              </w:rPr>
              <w:tab/>
            </w:r>
            <w:r>
              <w:rPr>
                <w:noProof/>
                <w:webHidden/>
              </w:rPr>
              <w:fldChar w:fldCharType="begin"/>
            </w:r>
            <w:r>
              <w:rPr>
                <w:noProof/>
                <w:webHidden/>
              </w:rPr>
              <w:instrText xml:space="preserve"> PAGEREF _Toc86417347 \h </w:instrText>
            </w:r>
            <w:r>
              <w:rPr>
                <w:noProof/>
                <w:webHidden/>
              </w:rPr>
            </w:r>
            <w:r>
              <w:rPr>
                <w:noProof/>
                <w:webHidden/>
              </w:rPr>
              <w:fldChar w:fldCharType="separate"/>
            </w:r>
            <w:r w:rsidR="00C836FC">
              <w:rPr>
                <w:noProof/>
                <w:webHidden/>
              </w:rPr>
              <w:t>115</w:t>
            </w:r>
            <w:r>
              <w:rPr>
                <w:noProof/>
                <w:webHidden/>
              </w:rPr>
              <w:fldChar w:fldCharType="end"/>
            </w:r>
          </w:hyperlink>
        </w:p>
        <w:p w14:paraId="36DC6881" w14:textId="73C1CFB4" w:rsidR="005A5E65" w:rsidRDefault="005A5E65">
          <w:pPr>
            <w:pStyle w:val="TOC2"/>
            <w:tabs>
              <w:tab w:val="right" w:leader="dot" w:pos="8302"/>
            </w:tabs>
            <w:rPr>
              <w:rFonts w:cstheme="minorBidi"/>
              <w:noProof/>
              <w:lang w:val="en-GB" w:eastAsia="ja-JP"/>
            </w:rPr>
          </w:pPr>
          <w:hyperlink w:anchor="_Toc86417348" w:history="1">
            <w:r w:rsidRPr="00550B49">
              <w:rPr>
                <w:rStyle w:val="Hyperlink"/>
                <w:noProof/>
              </w:rPr>
              <w:t>7.1. Introduction</w:t>
            </w:r>
            <w:r>
              <w:rPr>
                <w:noProof/>
                <w:webHidden/>
              </w:rPr>
              <w:tab/>
            </w:r>
            <w:r>
              <w:rPr>
                <w:noProof/>
                <w:webHidden/>
              </w:rPr>
              <w:fldChar w:fldCharType="begin"/>
            </w:r>
            <w:r>
              <w:rPr>
                <w:noProof/>
                <w:webHidden/>
              </w:rPr>
              <w:instrText xml:space="preserve"> PAGEREF _Toc86417348 \h </w:instrText>
            </w:r>
            <w:r>
              <w:rPr>
                <w:noProof/>
                <w:webHidden/>
              </w:rPr>
            </w:r>
            <w:r>
              <w:rPr>
                <w:noProof/>
                <w:webHidden/>
              </w:rPr>
              <w:fldChar w:fldCharType="separate"/>
            </w:r>
            <w:r w:rsidR="00C836FC">
              <w:rPr>
                <w:noProof/>
                <w:webHidden/>
              </w:rPr>
              <w:t>115</w:t>
            </w:r>
            <w:r>
              <w:rPr>
                <w:noProof/>
                <w:webHidden/>
              </w:rPr>
              <w:fldChar w:fldCharType="end"/>
            </w:r>
          </w:hyperlink>
        </w:p>
        <w:p w14:paraId="40A1F581" w14:textId="526C8BA7" w:rsidR="005A5E65" w:rsidRDefault="005A5E65">
          <w:pPr>
            <w:pStyle w:val="TOC2"/>
            <w:tabs>
              <w:tab w:val="right" w:leader="dot" w:pos="8302"/>
            </w:tabs>
            <w:rPr>
              <w:rFonts w:cstheme="minorBidi"/>
              <w:noProof/>
              <w:lang w:val="en-GB" w:eastAsia="ja-JP"/>
            </w:rPr>
          </w:pPr>
          <w:hyperlink w:anchor="_Toc86417349" w:history="1">
            <w:r w:rsidRPr="00550B49">
              <w:rPr>
                <w:rStyle w:val="Hyperlink"/>
                <w:noProof/>
              </w:rPr>
              <w:t>7.2. Background of paid Nigerian migrant HCA and nurses caring for people with dementia in the NHS.</w:t>
            </w:r>
            <w:r>
              <w:rPr>
                <w:noProof/>
                <w:webHidden/>
              </w:rPr>
              <w:tab/>
            </w:r>
            <w:r>
              <w:rPr>
                <w:noProof/>
                <w:webHidden/>
              </w:rPr>
              <w:fldChar w:fldCharType="begin"/>
            </w:r>
            <w:r>
              <w:rPr>
                <w:noProof/>
                <w:webHidden/>
              </w:rPr>
              <w:instrText xml:space="preserve"> PAGEREF _Toc86417349 \h </w:instrText>
            </w:r>
            <w:r>
              <w:rPr>
                <w:noProof/>
                <w:webHidden/>
              </w:rPr>
            </w:r>
            <w:r>
              <w:rPr>
                <w:noProof/>
                <w:webHidden/>
              </w:rPr>
              <w:fldChar w:fldCharType="separate"/>
            </w:r>
            <w:r w:rsidR="00C836FC">
              <w:rPr>
                <w:noProof/>
                <w:webHidden/>
              </w:rPr>
              <w:t>115</w:t>
            </w:r>
            <w:r>
              <w:rPr>
                <w:noProof/>
                <w:webHidden/>
              </w:rPr>
              <w:fldChar w:fldCharType="end"/>
            </w:r>
          </w:hyperlink>
        </w:p>
        <w:p w14:paraId="20542B22" w14:textId="287EB2EE" w:rsidR="005A5E65" w:rsidRDefault="005A5E65">
          <w:pPr>
            <w:pStyle w:val="TOC3"/>
            <w:tabs>
              <w:tab w:val="right" w:leader="dot" w:pos="8302"/>
            </w:tabs>
            <w:rPr>
              <w:rFonts w:cstheme="minorBidi"/>
              <w:noProof/>
              <w:lang w:val="en-GB" w:eastAsia="ja-JP"/>
            </w:rPr>
          </w:pPr>
          <w:hyperlink w:anchor="_Toc86417350" w:history="1">
            <w:r w:rsidRPr="00550B49">
              <w:rPr>
                <w:rStyle w:val="Hyperlink"/>
                <w:noProof/>
              </w:rPr>
              <w:t>7.2.1. Introduction</w:t>
            </w:r>
            <w:r>
              <w:rPr>
                <w:noProof/>
                <w:webHidden/>
              </w:rPr>
              <w:tab/>
            </w:r>
            <w:r>
              <w:rPr>
                <w:noProof/>
                <w:webHidden/>
              </w:rPr>
              <w:fldChar w:fldCharType="begin"/>
            </w:r>
            <w:r>
              <w:rPr>
                <w:noProof/>
                <w:webHidden/>
              </w:rPr>
              <w:instrText xml:space="preserve"> PAGEREF _Toc86417350 \h </w:instrText>
            </w:r>
            <w:r>
              <w:rPr>
                <w:noProof/>
                <w:webHidden/>
              </w:rPr>
            </w:r>
            <w:r>
              <w:rPr>
                <w:noProof/>
                <w:webHidden/>
              </w:rPr>
              <w:fldChar w:fldCharType="separate"/>
            </w:r>
            <w:r w:rsidR="00C836FC">
              <w:rPr>
                <w:noProof/>
                <w:webHidden/>
              </w:rPr>
              <w:t>115</w:t>
            </w:r>
            <w:r>
              <w:rPr>
                <w:noProof/>
                <w:webHidden/>
              </w:rPr>
              <w:fldChar w:fldCharType="end"/>
            </w:r>
          </w:hyperlink>
        </w:p>
        <w:p w14:paraId="580785F3" w14:textId="51C6D68F" w:rsidR="005A5E65" w:rsidRDefault="005A5E65">
          <w:pPr>
            <w:pStyle w:val="TOC3"/>
            <w:tabs>
              <w:tab w:val="right" w:leader="dot" w:pos="8302"/>
            </w:tabs>
            <w:rPr>
              <w:rFonts w:cstheme="minorBidi"/>
              <w:noProof/>
              <w:lang w:val="en-GB" w:eastAsia="ja-JP"/>
            </w:rPr>
          </w:pPr>
          <w:hyperlink w:anchor="_Toc86417351" w:history="1">
            <w:r w:rsidRPr="00550B49">
              <w:rPr>
                <w:rStyle w:val="Hyperlink"/>
                <w:noProof/>
              </w:rPr>
              <w:t>7.2.2. Participant characteristics</w:t>
            </w:r>
            <w:r>
              <w:rPr>
                <w:noProof/>
                <w:webHidden/>
              </w:rPr>
              <w:tab/>
            </w:r>
            <w:r>
              <w:rPr>
                <w:noProof/>
                <w:webHidden/>
              </w:rPr>
              <w:fldChar w:fldCharType="begin"/>
            </w:r>
            <w:r>
              <w:rPr>
                <w:noProof/>
                <w:webHidden/>
              </w:rPr>
              <w:instrText xml:space="preserve"> PAGEREF _Toc86417351 \h </w:instrText>
            </w:r>
            <w:r>
              <w:rPr>
                <w:noProof/>
                <w:webHidden/>
              </w:rPr>
            </w:r>
            <w:r>
              <w:rPr>
                <w:noProof/>
                <w:webHidden/>
              </w:rPr>
              <w:fldChar w:fldCharType="separate"/>
            </w:r>
            <w:r w:rsidR="00C836FC">
              <w:rPr>
                <w:noProof/>
                <w:webHidden/>
              </w:rPr>
              <w:t>116</w:t>
            </w:r>
            <w:r>
              <w:rPr>
                <w:noProof/>
                <w:webHidden/>
              </w:rPr>
              <w:fldChar w:fldCharType="end"/>
            </w:r>
          </w:hyperlink>
        </w:p>
        <w:p w14:paraId="33AAA9DF" w14:textId="38AC6366" w:rsidR="005A5E65" w:rsidRDefault="005A5E65">
          <w:pPr>
            <w:pStyle w:val="TOC3"/>
            <w:tabs>
              <w:tab w:val="right" w:leader="dot" w:pos="8302"/>
            </w:tabs>
            <w:rPr>
              <w:rFonts w:cstheme="minorBidi"/>
              <w:noProof/>
              <w:lang w:val="en-GB" w:eastAsia="ja-JP"/>
            </w:rPr>
          </w:pPr>
          <w:hyperlink w:anchor="_Toc86417352" w:history="1">
            <w:r w:rsidRPr="00550B49">
              <w:rPr>
                <w:rStyle w:val="Hyperlink"/>
                <w:noProof/>
              </w:rPr>
              <w:t>7.2.3. Gender</w:t>
            </w:r>
            <w:r>
              <w:rPr>
                <w:noProof/>
                <w:webHidden/>
              </w:rPr>
              <w:tab/>
            </w:r>
            <w:r>
              <w:rPr>
                <w:noProof/>
                <w:webHidden/>
              </w:rPr>
              <w:fldChar w:fldCharType="begin"/>
            </w:r>
            <w:r>
              <w:rPr>
                <w:noProof/>
                <w:webHidden/>
              </w:rPr>
              <w:instrText xml:space="preserve"> PAGEREF _Toc86417352 \h </w:instrText>
            </w:r>
            <w:r>
              <w:rPr>
                <w:noProof/>
                <w:webHidden/>
              </w:rPr>
            </w:r>
            <w:r>
              <w:rPr>
                <w:noProof/>
                <w:webHidden/>
              </w:rPr>
              <w:fldChar w:fldCharType="separate"/>
            </w:r>
            <w:r w:rsidR="00C836FC">
              <w:rPr>
                <w:noProof/>
                <w:webHidden/>
              </w:rPr>
              <w:t>117</w:t>
            </w:r>
            <w:r>
              <w:rPr>
                <w:noProof/>
                <w:webHidden/>
              </w:rPr>
              <w:fldChar w:fldCharType="end"/>
            </w:r>
          </w:hyperlink>
        </w:p>
        <w:p w14:paraId="3543ADBF" w14:textId="43966FD8" w:rsidR="005A5E65" w:rsidRDefault="005A5E65">
          <w:pPr>
            <w:pStyle w:val="TOC3"/>
            <w:tabs>
              <w:tab w:val="right" w:leader="dot" w:pos="8302"/>
            </w:tabs>
            <w:rPr>
              <w:rFonts w:cstheme="minorBidi"/>
              <w:noProof/>
              <w:lang w:val="en-GB" w:eastAsia="ja-JP"/>
            </w:rPr>
          </w:pPr>
          <w:hyperlink w:anchor="_Toc86417353" w:history="1">
            <w:r w:rsidRPr="00550B49">
              <w:rPr>
                <w:rStyle w:val="Hyperlink"/>
                <w:noProof/>
              </w:rPr>
              <w:t>7.2.4. Age</w:t>
            </w:r>
            <w:r>
              <w:rPr>
                <w:noProof/>
                <w:webHidden/>
              </w:rPr>
              <w:tab/>
            </w:r>
            <w:r>
              <w:rPr>
                <w:noProof/>
                <w:webHidden/>
              </w:rPr>
              <w:fldChar w:fldCharType="begin"/>
            </w:r>
            <w:r>
              <w:rPr>
                <w:noProof/>
                <w:webHidden/>
              </w:rPr>
              <w:instrText xml:space="preserve"> PAGEREF _Toc86417353 \h </w:instrText>
            </w:r>
            <w:r>
              <w:rPr>
                <w:noProof/>
                <w:webHidden/>
              </w:rPr>
            </w:r>
            <w:r>
              <w:rPr>
                <w:noProof/>
                <w:webHidden/>
              </w:rPr>
              <w:fldChar w:fldCharType="separate"/>
            </w:r>
            <w:r w:rsidR="00C836FC">
              <w:rPr>
                <w:noProof/>
                <w:webHidden/>
              </w:rPr>
              <w:t>119</w:t>
            </w:r>
            <w:r>
              <w:rPr>
                <w:noProof/>
                <w:webHidden/>
              </w:rPr>
              <w:fldChar w:fldCharType="end"/>
            </w:r>
          </w:hyperlink>
        </w:p>
        <w:p w14:paraId="006D5B25" w14:textId="24C911A5" w:rsidR="005A5E65" w:rsidRDefault="005A5E65">
          <w:pPr>
            <w:pStyle w:val="TOC3"/>
            <w:tabs>
              <w:tab w:val="right" w:leader="dot" w:pos="8302"/>
            </w:tabs>
            <w:rPr>
              <w:rFonts w:cstheme="minorBidi"/>
              <w:noProof/>
              <w:lang w:val="en-GB" w:eastAsia="ja-JP"/>
            </w:rPr>
          </w:pPr>
          <w:hyperlink w:anchor="_Toc86417354" w:history="1">
            <w:r w:rsidRPr="00550B49">
              <w:rPr>
                <w:rStyle w:val="Hyperlink"/>
                <w:noProof/>
              </w:rPr>
              <w:t>7.2.5. Place of origin</w:t>
            </w:r>
            <w:r>
              <w:rPr>
                <w:noProof/>
                <w:webHidden/>
              </w:rPr>
              <w:tab/>
            </w:r>
            <w:r>
              <w:rPr>
                <w:noProof/>
                <w:webHidden/>
              </w:rPr>
              <w:fldChar w:fldCharType="begin"/>
            </w:r>
            <w:r>
              <w:rPr>
                <w:noProof/>
                <w:webHidden/>
              </w:rPr>
              <w:instrText xml:space="preserve"> PAGEREF _Toc86417354 \h </w:instrText>
            </w:r>
            <w:r>
              <w:rPr>
                <w:noProof/>
                <w:webHidden/>
              </w:rPr>
            </w:r>
            <w:r>
              <w:rPr>
                <w:noProof/>
                <w:webHidden/>
              </w:rPr>
              <w:fldChar w:fldCharType="separate"/>
            </w:r>
            <w:r w:rsidR="00C836FC">
              <w:rPr>
                <w:noProof/>
                <w:webHidden/>
              </w:rPr>
              <w:t>120</w:t>
            </w:r>
            <w:r>
              <w:rPr>
                <w:noProof/>
                <w:webHidden/>
              </w:rPr>
              <w:fldChar w:fldCharType="end"/>
            </w:r>
          </w:hyperlink>
        </w:p>
        <w:p w14:paraId="7E4E5D59" w14:textId="0DBE0DF4" w:rsidR="005A5E65" w:rsidRDefault="005A5E65">
          <w:pPr>
            <w:pStyle w:val="TOC3"/>
            <w:tabs>
              <w:tab w:val="right" w:leader="dot" w:pos="8302"/>
            </w:tabs>
            <w:rPr>
              <w:rFonts w:cstheme="minorBidi"/>
              <w:noProof/>
              <w:lang w:val="en-GB" w:eastAsia="ja-JP"/>
            </w:rPr>
          </w:pPr>
          <w:hyperlink w:anchor="_Toc86417355" w:history="1">
            <w:r w:rsidRPr="00550B49">
              <w:rPr>
                <w:rStyle w:val="Hyperlink"/>
                <w:noProof/>
              </w:rPr>
              <w:t>7.2.6. Place of birth and place of residence</w:t>
            </w:r>
            <w:r>
              <w:rPr>
                <w:noProof/>
                <w:webHidden/>
              </w:rPr>
              <w:tab/>
            </w:r>
            <w:r>
              <w:rPr>
                <w:noProof/>
                <w:webHidden/>
              </w:rPr>
              <w:fldChar w:fldCharType="begin"/>
            </w:r>
            <w:r>
              <w:rPr>
                <w:noProof/>
                <w:webHidden/>
              </w:rPr>
              <w:instrText xml:space="preserve"> PAGEREF _Toc86417355 \h </w:instrText>
            </w:r>
            <w:r>
              <w:rPr>
                <w:noProof/>
                <w:webHidden/>
              </w:rPr>
            </w:r>
            <w:r>
              <w:rPr>
                <w:noProof/>
                <w:webHidden/>
              </w:rPr>
              <w:fldChar w:fldCharType="separate"/>
            </w:r>
            <w:r w:rsidR="00C836FC">
              <w:rPr>
                <w:noProof/>
                <w:webHidden/>
              </w:rPr>
              <w:t>122</w:t>
            </w:r>
            <w:r>
              <w:rPr>
                <w:noProof/>
                <w:webHidden/>
              </w:rPr>
              <w:fldChar w:fldCharType="end"/>
            </w:r>
          </w:hyperlink>
        </w:p>
        <w:p w14:paraId="1F602768" w14:textId="18DA79D5" w:rsidR="005A5E65" w:rsidRDefault="005A5E65">
          <w:pPr>
            <w:pStyle w:val="TOC3"/>
            <w:tabs>
              <w:tab w:val="right" w:leader="dot" w:pos="8302"/>
            </w:tabs>
            <w:rPr>
              <w:rFonts w:cstheme="minorBidi"/>
              <w:noProof/>
              <w:lang w:val="en-GB" w:eastAsia="ja-JP"/>
            </w:rPr>
          </w:pPr>
          <w:hyperlink w:anchor="_Toc86417356" w:history="1">
            <w:r w:rsidRPr="00550B49">
              <w:rPr>
                <w:rStyle w:val="Hyperlink"/>
                <w:noProof/>
              </w:rPr>
              <w:t>7.2.7. Educational and professional background</w:t>
            </w:r>
            <w:r>
              <w:rPr>
                <w:noProof/>
                <w:webHidden/>
              </w:rPr>
              <w:tab/>
            </w:r>
            <w:r>
              <w:rPr>
                <w:noProof/>
                <w:webHidden/>
              </w:rPr>
              <w:fldChar w:fldCharType="begin"/>
            </w:r>
            <w:r>
              <w:rPr>
                <w:noProof/>
                <w:webHidden/>
              </w:rPr>
              <w:instrText xml:space="preserve"> PAGEREF _Toc86417356 \h </w:instrText>
            </w:r>
            <w:r>
              <w:rPr>
                <w:noProof/>
                <w:webHidden/>
              </w:rPr>
            </w:r>
            <w:r>
              <w:rPr>
                <w:noProof/>
                <w:webHidden/>
              </w:rPr>
              <w:fldChar w:fldCharType="separate"/>
            </w:r>
            <w:r w:rsidR="00C836FC">
              <w:rPr>
                <w:noProof/>
                <w:webHidden/>
              </w:rPr>
              <w:t>122</w:t>
            </w:r>
            <w:r>
              <w:rPr>
                <w:noProof/>
                <w:webHidden/>
              </w:rPr>
              <w:fldChar w:fldCharType="end"/>
            </w:r>
          </w:hyperlink>
        </w:p>
        <w:p w14:paraId="46D47A67" w14:textId="30DFFCC8" w:rsidR="005A5E65" w:rsidRDefault="005A5E65">
          <w:pPr>
            <w:pStyle w:val="TOC2"/>
            <w:tabs>
              <w:tab w:val="right" w:leader="dot" w:pos="8302"/>
            </w:tabs>
            <w:rPr>
              <w:rFonts w:cstheme="minorBidi"/>
              <w:noProof/>
              <w:lang w:val="en-GB" w:eastAsia="ja-JP"/>
            </w:rPr>
          </w:pPr>
          <w:hyperlink w:anchor="_Toc86417357" w:history="1">
            <w:r w:rsidRPr="00550B49">
              <w:rPr>
                <w:rStyle w:val="Hyperlink"/>
                <w:noProof/>
              </w:rPr>
              <w:t>7.3. Motivation for coming to the UK</w:t>
            </w:r>
            <w:r>
              <w:rPr>
                <w:noProof/>
                <w:webHidden/>
              </w:rPr>
              <w:tab/>
            </w:r>
            <w:r>
              <w:rPr>
                <w:noProof/>
                <w:webHidden/>
              </w:rPr>
              <w:fldChar w:fldCharType="begin"/>
            </w:r>
            <w:r>
              <w:rPr>
                <w:noProof/>
                <w:webHidden/>
              </w:rPr>
              <w:instrText xml:space="preserve"> PAGEREF _Toc86417357 \h </w:instrText>
            </w:r>
            <w:r>
              <w:rPr>
                <w:noProof/>
                <w:webHidden/>
              </w:rPr>
            </w:r>
            <w:r>
              <w:rPr>
                <w:noProof/>
                <w:webHidden/>
              </w:rPr>
              <w:fldChar w:fldCharType="separate"/>
            </w:r>
            <w:r w:rsidR="00C836FC">
              <w:rPr>
                <w:noProof/>
                <w:webHidden/>
              </w:rPr>
              <w:t>127</w:t>
            </w:r>
            <w:r>
              <w:rPr>
                <w:noProof/>
                <w:webHidden/>
              </w:rPr>
              <w:fldChar w:fldCharType="end"/>
            </w:r>
          </w:hyperlink>
        </w:p>
        <w:p w14:paraId="60688F0B" w14:textId="14B4CBF8" w:rsidR="005A5E65" w:rsidRDefault="005A5E65">
          <w:pPr>
            <w:pStyle w:val="TOC3"/>
            <w:tabs>
              <w:tab w:val="right" w:leader="dot" w:pos="8302"/>
            </w:tabs>
            <w:rPr>
              <w:rFonts w:cstheme="minorBidi"/>
              <w:noProof/>
              <w:lang w:val="en-GB" w:eastAsia="ja-JP"/>
            </w:rPr>
          </w:pPr>
          <w:hyperlink w:anchor="_Toc86417358" w:history="1">
            <w:r w:rsidRPr="00550B49">
              <w:rPr>
                <w:rStyle w:val="Hyperlink"/>
                <w:noProof/>
              </w:rPr>
              <w:t>7.3.1. Introduction</w:t>
            </w:r>
            <w:r>
              <w:rPr>
                <w:noProof/>
                <w:webHidden/>
              </w:rPr>
              <w:tab/>
            </w:r>
            <w:r>
              <w:rPr>
                <w:noProof/>
                <w:webHidden/>
              </w:rPr>
              <w:fldChar w:fldCharType="begin"/>
            </w:r>
            <w:r>
              <w:rPr>
                <w:noProof/>
                <w:webHidden/>
              </w:rPr>
              <w:instrText xml:space="preserve"> PAGEREF _Toc86417358 \h </w:instrText>
            </w:r>
            <w:r>
              <w:rPr>
                <w:noProof/>
                <w:webHidden/>
              </w:rPr>
            </w:r>
            <w:r>
              <w:rPr>
                <w:noProof/>
                <w:webHidden/>
              </w:rPr>
              <w:fldChar w:fldCharType="separate"/>
            </w:r>
            <w:r w:rsidR="00C836FC">
              <w:rPr>
                <w:noProof/>
                <w:webHidden/>
              </w:rPr>
              <w:t>127</w:t>
            </w:r>
            <w:r>
              <w:rPr>
                <w:noProof/>
                <w:webHidden/>
              </w:rPr>
              <w:fldChar w:fldCharType="end"/>
            </w:r>
          </w:hyperlink>
        </w:p>
        <w:p w14:paraId="264479BB" w14:textId="145ED906" w:rsidR="005A5E65" w:rsidRDefault="005A5E65">
          <w:pPr>
            <w:pStyle w:val="TOC3"/>
            <w:tabs>
              <w:tab w:val="right" w:leader="dot" w:pos="8302"/>
            </w:tabs>
            <w:rPr>
              <w:rFonts w:cstheme="minorBidi"/>
              <w:noProof/>
              <w:lang w:val="en-GB" w:eastAsia="ja-JP"/>
            </w:rPr>
          </w:pPr>
          <w:hyperlink w:anchor="_Toc86417359" w:history="1">
            <w:r w:rsidRPr="00550B49">
              <w:rPr>
                <w:rStyle w:val="Hyperlink"/>
                <w:noProof/>
              </w:rPr>
              <w:t>7.3.2. Participants’ route of migrating to the UK</w:t>
            </w:r>
            <w:r>
              <w:rPr>
                <w:noProof/>
                <w:webHidden/>
              </w:rPr>
              <w:tab/>
            </w:r>
            <w:r>
              <w:rPr>
                <w:noProof/>
                <w:webHidden/>
              </w:rPr>
              <w:fldChar w:fldCharType="begin"/>
            </w:r>
            <w:r>
              <w:rPr>
                <w:noProof/>
                <w:webHidden/>
              </w:rPr>
              <w:instrText xml:space="preserve"> PAGEREF _Toc86417359 \h </w:instrText>
            </w:r>
            <w:r>
              <w:rPr>
                <w:noProof/>
                <w:webHidden/>
              </w:rPr>
            </w:r>
            <w:r>
              <w:rPr>
                <w:noProof/>
                <w:webHidden/>
              </w:rPr>
              <w:fldChar w:fldCharType="separate"/>
            </w:r>
            <w:r w:rsidR="00C836FC">
              <w:rPr>
                <w:noProof/>
                <w:webHidden/>
              </w:rPr>
              <w:t>128</w:t>
            </w:r>
            <w:r>
              <w:rPr>
                <w:noProof/>
                <w:webHidden/>
              </w:rPr>
              <w:fldChar w:fldCharType="end"/>
            </w:r>
          </w:hyperlink>
        </w:p>
        <w:p w14:paraId="2BFEC185" w14:textId="6100E31D" w:rsidR="005A5E65" w:rsidRDefault="005A5E65">
          <w:pPr>
            <w:pStyle w:val="TOC3"/>
            <w:tabs>
              <w:tab w:val="right" w:leader="dot" w:pos="8302"/>
            </w:tabs>
            <w:rPr>
              <w:rFonts w:cstheme="minorBidi"/>
              <w:noProof/>
              <w:lang w:val="en-GB" w:eastAsia="ja-JP"/>
            </w:rPr>
          </w:pPr>
          <w:hyperlink w:anchor="_Toc86417360" w:history="1">
            <w:r w:rsidRPr="00550B49">
              <w:rPr>
                <w:rStyle w:val="Hyperlink"/>
                <w:noProof/>
              </w:rPr>
              <w:t>7.3.3. Migratory motives</w:t>
            </w:r>
            <w:r>
              <w:rPr>
                <w:noProof/>
                <w:webHidden/>
              </w:rPr>
              <w:tab/>
            </w:r>
            <w:r>
              <w:rPr>
                <w:noProof/>
                <w:webHidden/>
              </w:rPr>
              <w:fldChar w:fldCharType="begin"/>
            </w:r>
            <w:r>
              <w:rPr>
                <w:noProof/>
                <w:webHidden/>
              </w:rPr>
              <w:instrText xml:space="preserve"> PAGEREF _Toc86417360 \h </w:instrText>
            </w:r>
            <w:r>
              <w:rPr>
                <w:noProof/>
                <w:webHidden/>
              </w:rPr>
            </w:r>
            <w:r>
              <w:rPr>
                <w:noProof/>
                <w:webHidden/>
              </w:rPr>
              <w:fldChar w:fldCharType="separate"/>
            </w:r>
            <w:r w:rsidR="00C836FC">
              <w:rPr>
                <w:noProof/>
                <w:webHidden/>
              </w:rPr>
              <w:t>131</w:t>
            </w:r>
            <w:r>
              <w:rPr>
                <w:noProof/>
                <w:webHidden/>
              </w:rPr>
              <w:fldChar w:fldCharType="end"/>
            </w:r>
          </w:hyperlink>
        </w:p>
        <w:p w14:paraId="6752C2D6" w14:textId="2E3D4076" w:rsidR="005A5E65" w:rsidRDefault="005A5E65">
          <w:pPr>
            <w:pStyle w:val="TOC2"/>
            <w:tabs>
              <w:tab w:val="right" w:leader="dot" w:pos="8302"/>
            </w:tabs>
            <w:rPr>
              <w:rFonts w:cstheme="minorBidi"/>
              <w:noProof/>
              <w:lang w:val="en-GB" w:eastAsia="ja-JP"/>
            </w:rPr>
          </w:pPr>
          <w:hyperlink w:anchor="_Toc86417361" w:history="1">
            <w:r w:rsidRPr="00550B49">
              <w:rPr>
                <w:rStyle w:val="Hyperlink"/>
                <w:noProof/>
              </w:rPr>
              <w:t>7.4. Discussion</w:t>
            </w:r>
            <w:r>
              <w:rPr>
                <w:noProof/>
                <w:webHidden/>
              </w:rPr>
              <w:tab/>
            </w:r>
            <w:r>
              <w:rPr>
                <w:noProof/>
                <w:webHidden/>
              </w:rPr>
              <w:fldChar w:fldCharType="begin"/>
            </w:r>
            <w:r>
              <w:rPr>
                <w:noProof/>
                <w:webHidden/>
              </w:rPr>
              <w:instrText xml:space="preserve"> PAGEREF _Toc86417361 \h </w:instrText>
            </w:r>
            <w:r>
              <w:rPr>
                <w:noProof/>
                <w:webHidden/>
              </w:rPr>
            </w:r>
            <w:r>
              <w:rPr>
                <w:noProof/>
                <w:webHidden/>
              </w:rPr>
              <w:fldChar w:fldCharType="separate"/>
            </w:r>
            <w:r w:rsidR="00C836FC">
              <w:rPr>
                <w:noProof/>
                <w:webHidden/>
              </w:rPr>
              <w:t>139</w:t>
            </w:r>
            <w:r>
              <w:rPr>
                <w:noProof/>
                <w:webHidden/>
              </w:rPr>
              <w:fldChar w:fldCharType="end"/>
            </w:r>
          </w:hyperlink>
        </w:p>
        <w:p w14:paraId="6D097C6F" w14:textId="3EE151D0" w:rsidR="005A5E65" w:rsidRDefault="005A5E65">
          <w:pPr>
            <w:pStyle w:val="TOC2"/>
            <w:tabs>
              <w:tab w:val="right" w:leader="dot" w:pos="8302"/>
            </w:tabs>
            <w:rPr>
              <w:rFonts w:cstheme="minorBidi"/>
              <w:noProof/>
              <w:lang w:val="en-GB" w:eastAsia="ja-JP"/>
            </w:rPr>
          </w:pPr>
          <w:hyperlink w:anchor="_Toc86417362" w:history="1">
            <w:r w:rsidRPr="00550B49">
              <w:rPr>
                <w:rStyle w:val="Hyperlink"/>
                <w:noProof/>
              </w:rPr>
              <w:t>7.5. Summary</w:t>
            </w:r>
            <w:r>
              <w:rPr>
                <w:noProof/>
                <w:webHidden/>
              </w:rPr>
              <w:tab/>
            </w:r>
            <w:r>
              <w:rPr>
                <w:noProof/>
                <w:webHidden/>
              </w:rPr>
              <w:fldChar w:fldCharType="begin"/>
            </w:r>
            <w:r>
              <w:rPr>
                <w:noProof/>
                <w:webHidden/>
              </w:rPr>
              <w:instrText xml:space="preserve"> PAGEREF _Toc86417362 \h </w:instrText>
            </w:r>
            <w:r>
              <w:rPr>
                <w:noProof/>
                <w:webHidden/>
              </w:rPr>
            </w:r>
            <w:r>
              <w:rPr>
                <w:noProof/>
                <w:webHidden/>
              </w:rPr>
              <w:fldChar w:fldCharType="separate"/>
            </w:r>
            <w:r w:rsidR="00C836FC">
              <w:rPr>
                <w:noProof/>
                <w:webHidden/>
              </w:rPr>
              <w:t>141</w:t>
            </w:r>
            <w:r>
              <w:rPr>
                <w:noProof/>
                <w:webHidden/>
              </w:rPr>
              <w:fldChar w:fldCharType="end"/>
            </w:r>
          </w:hyperlink>
        </w:p>
        <w:p w14:paraId="1FF78F5C" w14:textId="2890B679" w:rsidR="005A5E65" w:rsidRDefault="005A5E65">
          <w:pPr>
            <w:pStyle w:val="TOC1"/>
            <w:tabs>
              <w:tab w:val="right" w:leader="dot" w:pos="8302"/>
            </w:tabs>
            <w:rPr>
              <w:rFonts w:cstheme="minorBidi"/>
              <w:noProof/>
              <w:lang w:val="en-GB" w:eastAsia="ja-JP"/>
            </w:rPr>
          </w:pPr>
          <w:hyperlink w:anchor="_Toc86417363" w:history="1">
            <w:r w:rsidRPr="00550B49">
              <w:rPr>
                <w:rStyle w:val="Hyperlink"/>
                <w:noProof/>
              </w:rPr>
              <w:t>CHAPTER EIGHT</w:t>
            </w:r>
            <w:r>
              <w:rPr>
                <w:noProof/>
                <w:webHidden/>
              </w:rPr>
              <w:tab/>
            </w:r>
            <w:r>
              <w:rPr>
                <w:noProof/>
                <w:webHidden/>
              </w:rPr>
              <w:fldChar w:fldCharType="begin"/>
            </w:r>
            <w:r>
              <w:rPr>
                <w:noProof/>
                <w:webHidden/>
              </w:rPr>
              <w:instrText xml:space="preserve"> PAGEREF _Toc86417363 \h </w:instrText>
            </w:r>
            <w:r>
              <w:rPr>
                <w:noProof/>
                <w:webHidden/>
              </w:rPr>
            </w:r>
            <w:r>
              <w:rPr>
                <w:noProof/>
                <w:webHidden/>
              </w:rPr>
              <w:fldChar w:fldCharType="separate"/>
            </w:r>
            <w:r w:rsidR="00C836FC">
              <w:rPr>
                <w:noProof/>
                <w:webHidden/>
              </w:rPr>
              <w:t>142</w:t>
            </w:r>
            <w:r>
              <w:rPr>
                <w:noProof/>
                <w:webHidden/>
              </w:rPr>
              <w:fldChar w:fldCharType="end"/>
            </w:r>
          </w:hyperlink>
        </w:p>
        <w:p w14:paraId="77437896" w14:textId="05755DC6" w:rsidR="005A5E65" w:rsidRDefault="005A5E65">
          <w:pPr>
            <w:pStyle w:val="TOC2"/>
            <w:tabs>
              <w:tab w:val="right" w:leader="dot" w:pos="8302"/>
            </w:tabs>
            <w:rPr>
              <w:rFonts w:cstheme="minorBidi"/>
              <w:noProof/>
              <w:lang w:val="en-GB" w:eastAsia="ja-JP"/>
            </w:rPr>
          </w:pPr>
          <w:hyperlink w:anchor="_Toc86417364" w:history="1">
            <w:r w:rsidRPr="00550B49">
              <w:rPr>
                <w:rStyle w:val="Hyperlink"/>
                <w:noProof/>
              </w:rPr>
              <w:t>8.1. Introduction</w:t>
            </w:r>
            <w:r>
              <w:rPr>
                <w:noProof/>
                <w:webHidden/>
              </w:rPr>
              <w:tab/>
            </w:r>
            <w:r>
              <w:rPr>
                <w:noProof/>
                <w:webHidden/>
              </w:rPr>
              <w:fldChar w:fldCharType="begin"/>
            </w:r>
            <w:r>
              <w:rPr>
                <w:noProof/>
                <w:webHidden/>
              </w:rPr>
              <w:instrText xml:space="preserve"> PAGEREF _Toc86417364 \h </w:instrText>
            </w:r>
            <w:r>
              <w:rPr>
                <w:noProof/>
                <w:webHidden/>
              </w:rPr>
            </w:r>
            <w:r>
              <w:rPr>
                <w:noProof/>
                <w:webHidden/>
              </w:rPr>
              <w:fldChar w:fldCharType="separate"/>
            </w:r>
            <w:r w:rsidR="00C836FC">
              <w:rPr>
                <w:noProof/>
                <w:webHidden/>
              </w:rPr>
              <w:t>142</w:t>
            </w:r>
            <w:r>
              <w:rPr>
                <w:noProof/>
                <w:webHidden/>
              </w:rPr>
              <w:fldChar w:fldCharType="end"/>
            </w:r>
          </w:hyperlink>
        </w:p>
        <w:p w14:paraId="72760D39" w14:textId="13C08299" w:rsidR="005A5E65" w:rsidRDefault="005A5E65">
          <w:pPr>
            <w:pStyle w:val="TOC2"/>
            <w:tabs>
              <w:tab w:val="right" w:leader="dot" w:pos="8302"/>
            </w:tabs>
            <w:rPr>
              <w:rFonts w:cstheme="minorBidi"/>
              <w:noProof/>
              <w:lang w:val="en-GB" w:eastAsia="ja-JP"/>
            </w:rPr>
          </w:pPr>
          <w:hyperlink w:anchor="_Toc86417365" w:history="1">
            <w:r w:rsidRPr="00550B49">
              <w:rPr>
                <w:rStyle w:val="Hyperlink"/>
                <w:noProof/>
              </w:rPr>
              <w:t>8.2. Motivations for caring for PLWD</w:t>
            </w:r>
            <w:r>
              <w:rPr>
                <w:noProof/>
                <w:webHidden/>
              </w:rPr>
              <w:tab/>
            </w:r>
            <w:r>
              <w:rPr>
                <w:noProof/>
                <w:webHidden/>
              </w:rPr>
              <w:fldChar w:fldCharType="begin"/>
            </w:r>
            <w:r>
              <w:rPr>
                <w:noProof/>
                <w:webHidden/>
              </w:rPr>
              <w:instrText xml:space="preserve"> PAGEREF _Toc86417365 \h </w:instrText>
            </w:r>
            <w:r>
              <w:rPr>
                <w:noProof/>
                <w:webHidden/>
              </w:rPr>
            </w:r>
            <w:r>
              <w:rPr>
                <w:noProof/>
                <w:webHidden/>
              </w:rPr>
              <w:fldChar w:fldCharType="separate"/>
            </w:r>
            <w:r w:rsidR="00C836FC">
              <w:rPr>
                <w:noProof/>
                <w:webHidden/>
              </w:rPr>
              <w:t>142</w:t>
            </w:r>
            <w:r>
              <w:rPr>
                <w:noProof/>
                <w:webHidden/>
              </w:rPr>
              <w:fldChar w:fldCharType="end"/>
            </w:r>
          </w:hyperlink>
        </w:p>
        <w:p w14:paraId="35E631ED" w14:textId="605FFEA0" w:rsidR="005A5E65" w:rsidRDefault="005A5E65">
          <w:pPr>
            <w:pStyle w:val="TOC3"/>
            <w:tabs>
              <w:tab w:val="right" w:leader="dot" w:pos="8302"/>
            </w:tabs>
            <w:rPr>
              <w:rFonts w:cstheme="minorBidi"/>
              <w:noProof/>
              <w:lang w:val="en-GB" w:eastAsia="ja-JP"/>
            </w:rPr>
          </w:pPr>
          <w:hyperlink w:anchor="_Toc86417366" w:history="1">
            <w:r w:rsidRPr="00550B49">
              <w:rPr>
                <w:rStyle w:val="Hyperlink"/>
                <w:noProof/>
              </w:rPr>
              <w:t>8.2.1. Moral motivation</w:t>
            </w:r>
            <w:r>
              <w:rPr>
                <w:noProof/>
                <w:webHidden/>
              </w:rPr>
              <w:tab/>
            </w:r>
            <w:r>
              <w:rPr>
                <w:noProof/>
                <w:webHidden/>
              </w:rPr>
              <w:fldChar w:fldCharType="begin"/>
            </w:r>
            <w:r>
              <w:rPr>
                <w:noProof/>
                <w:webHidden/>
              </w:rPr>
              <w:instrText xml:space="preserve"> PAGEREF _Toc86417366 \h </w:instrText>
            </w:r>
            <w:r>
              <w:rPr>
                <w:noProof/>
                <w:webHidden/>
              </w:rPr>
            </w:r>
            <w:r>
              <w:rPr>
                <w:noProof/>
                <w:webHidden/>
              </w:rPr>
              <w:fldChar w:fldCharType="separate"/>
            </w:r>
            <w:r w:rsidR="00C836FC">
              <w:rPr>
                <w:noProof/>
                <w:webHidden/>
              </w:rPr>
              <w:t>144</w:t>
            </w:r>
            <w:r>
              <w:rPr>
                <w:noProof/>
                <w:webHidden/>
              </w:rPr>
              <w:fldChar w:fldCharType="end"/>
            </w:r>
          </w:hyperlink>
        </w:p>
        <w:p w14:paraId="5B16326E" w14:textId="7AAF0B90" w:rsidR="005A5E65" w:rsidRDefault="005A5E65">
          <w:pPr>
            <w:pStyle w:val="TOC3"/>
            <w:tabs>
              <w:tab w:val="right" w:leader="dot" w:pos="8302"/>
            </w:tabs>
            <w:rPr>
              <w:rFonts w:cstheme="minorBidi"/>
              <w:noProof/>
              <w:lang w:val="en-GB" w:eastAsia="ja-JP"/>
            </w:rPr>
          </w:pPr>
          <w:hyperlink w:anchor="_Toc86417367" w:history="1">
            <w:r w:rsidRPr="00550B49">
              <w:rPr>
                <w:rStyle w:val="Hyperlink"/>
                <w:noProof/>
              </w:rPr>
              <w:t>8.2.2. Career-oriented motivation</w:t>
            </w:r>
            <w:r>
              <w:rPr>
                <w:noProof/>
                <w:webHidden/>
              </w:rPr>
              <w:tab/>
            </w:r>
            <w:r>
              <w:rPr>
                <w:noProof/>
                <w:webHidden/>
              </w:rPr>
              <w:fldChar w:fldCharType="begin"/>
            </w:r>
            <w:r>
              <w:rPr>
                <w:noProof/>
                <w:webHidden/>
              </w:rPr>
              <w:instrText xml:space="preserve"> PAGEREF _Toc86417367 \h </w:instrText>
            </w:r>
            <w:r>
              <w:rPr>
                <w:noProof/>
                <w:webHidden/>
              </w:rPr>
            </w:r>
            <w:r>
              <w:rPr>
                <w:noProof/>
                <w:webHidden/>
              </w:rPr>
              <w:fldChar w:fldCharType="separate"/>
            </w:r>
            <w:r w:rsidR="00C836FC">
              <w:rPr>
                <w:noProof/>
                <w:webHidden/>
              </w:rPr>
              <w:t>148</w:t>
            </w:r>
            <w:r>
              <w:rPr>
                <w:noProof/>
                <w:webHidden/>
              </w:rPr>
              <w:fldChar w:fldCharType="end"/>
            </w:r>
          </w:hyperlink>
        </w:p>
        <w:p w14:paraId="7D997DEC" w14:textId="5BF4E399" w:rsidR="005A5E65" w:rsidRDefault="005A5E65">
          <w:pPr>
            <w:pStyle w:val="TOC3"/>
            <w:tabs>
              <w:tab w:val="right" w:leader="dot" w:pos="8302"/>
            </w:tabs>
            <w:rPr>
              <w:rFonts w:cstheme="minorBidi"/>
              <w:noProof/>
              <w:lang w:val="en-GB" w:eastAsia="ja-JP"/>
            </w:rPr>
          </w:pPr>
          <w:hyperlink w:anchor="_Toc86417368" w:history="1">
            <w:r w:rsidRPr="00550B49">
              <w:rPr>
                <w:rStyle w:val="Hyperlink"/>
                <w:noProof/>
              </w:rPr>
              <w:t>8.2.3. Needs-based (necessity-defined) motivation</w:t>
            </w:r>
            <w:r>
              <w:rPr>
                <w:noProof/>
                <w:webHidden/>
              </w:rPr>
              <w:tab/>
            </w:r>
            <w:r>
              <w:rPr>
                <w:noProof/>
                <w:webHidden/>
              </w:rPr>
              <w:fldChar w:fldCharType="begin"/>
            </w:r>
            <w:r>
              <w:rPr>
                <w:noProof/>
                <w:webHidden/>
              </w:rPr>
              <w:instrText xml:space="preserve"> PAGEREF _Toc86417368 \h </w:instrText>
            </w:r>
            <w:r>
              <w:rPr>
                <w:noProof/>
                <w:webHidden/>
              </w:rPr>
            </w:r>
            <w:r>
              <w:rPr>
                <w:noProof/>
                <w:webHidden/>
              </w:rPr>
              <w:fldChar w:fldCharType="separate"/>
            </w:r>
            <w:r w:rsidR="00C836FC">
              <w:rPr>
                <w:noProof/>
                <w:webHidden/>
              </w:rPr>
              <w:t>155</w:t>
            </w:r>
            <w:r>
              <w:rPr>
                <w:noProof/>
                <w:webHidden/>
              </w:rPr>
              <w:fldChar w:fldCharType="end"/>
            </w:r>
          </w:hyperlink>
        </w:p>
        <w:p w14:paraId="0480D062" w14:textId="25270884" w:rsidR="005A5E65" w:rsidRDefault="005A5E65">
          <w:pPr>
            <w:pStyle w:val="TOC2"/>
            <w:tabs>
              <w:tab w:val="right" w:leader="dot" w:pos="8302"/>
            </w:tabs>
            <w:rPr>
              <w:rFonts w:cstheme="minorBidi"/>
              <w:noProof/>
              <w:lang w:val="en-GB" w:eastAsia="ja-JP"/>
            </w:rPr>
          </w:pPr>
          <w:hyperlink w:anchor="_Toc86417369" w:history="1">
            <w:r w:rsidRPr="00550B49">
              <w:rPr>
                <w:rStyle w:val="Hyperlink"/>
                <w:noProof/>
              </w:rPr>
              <w:t>8.3. The rewarding aspects of caring for PLWD</w:t>
            </w:r>
            <w:r>
              <w:rPr>
                <w:noProof/>
                <w:webHidden/>
              </w:rPr>
              <w:tab/>
            </w:r>
            <w:r>
              <w:rPr>
                <w:noProof/>
                <w:webHidden/>
              </w:rPr>
              <w:fldChar w:fldCharType="begin"/>
            </w:r>
            <w:r>
              <w:rPr>
                <w:noProof/>
                <w:webHidden/>
              </w:rPr>
              <w:instrText xml:space="preserve"> PAGEREF _Toc86417369 \h </w:instrText>
            </w:r>
            <w:r>
              <w:rPr>
                <w:noProof/>
                <w:webHidden/>
              </w:rPr>
            </w:r>
            <w:r>
              <w:rPr>
                <w:noProof/>
                <w:webHidden/>
              </w:rPr>
              <w:fldChar w:fldCharType="separate"/>
            </w:r>
            <w:r w:rsidR="00C836FC">
              <w:rPr>
                <w:noProof/>
                <w:webHidden/>
              </w:rPr>
              <w:t>158</w:t>
            </w:r>
            <w:r>
              <w:rPr>
                <w:noProof/>
                <w:webHidden/>
              </w:rPr>
              <w:fldChar w:fldCharType="end"/>
            </w:r>
          </w:hyperlink>
        </w:p>
        <w:p w14:paraId="5CC6E6A3" w14:textId="4100735C" w:rsidR="005A5E65" w:rsidRDefault="005A5E65">
          <w:pPr>
            <w:pStyle w:val="TOC3"/>
            <w:tabs>
              <w:tab w:val="right" w:leader="dot" w:pos="8302"/>
            </w:tabs>
            <w:rPr>
              <w:rFonts w:cstheme="minorBidi"/>
              <w:noProof/>
              <w:lang w:val="en-GB" w:eastAsia="ja-JP"/>
            </w:rPr>
          </w:pPr>
          <w:hyperlink w:anchor="_Toc86417370" w:history="1">
            <w:r w:rsidRPr="00550B49">
              <w:rPr>
                <w:rStyle w:val="Hyperlink"/>
                <w:noProof/>
              </w:rPr>
              <w:t>8.3.1. Introduction</w:t>
            </w:r>
            <w:r>
              <w:rPr>
                <w:noProof/>
                <w:webHidden/>
              </w:rPr>
              <w:tab/>
            </w:r>
            <w:r>
              <w:rPr>
                <w:noProof/>
                <w:webHidden/>
              </w:rPr>
              <w:fldChar w:fldCharType="begin"/>
            </w:r>
            <w:r>
              <w:rPr>
                <w:noProof/>
                <w:webHidden/>
              </w:rPr>
              <w:instrText xml:space="preserve"> PAGEREF _Toc86417370 \h </w:instrText>
            </w:r>
            <w:r>
              <w:rPr>
                <w:noProof/>
                <w:webHidden/>
              </w:rPr>
            </w:r>
            <w:r>
              <w:rPr>
                <w:noProof/>
                <w:webHidden/>
              </w:rPr>
              <w:fldChar w:fldCharType="separate"/>
            </w:r>
            <w:r w:rsidR="00C836FC">
              <w:rPr>
                <w:noProof/>
                <w:webHidden/>
              </w:rPr>
              <w:t>158</w:t>
            </w:r>
            <w:r>
              <w:rPr>
                <w:noProof/>
                <w:webHidden/>
              </w:rPr>
              <w:fldChar w:fldCharType="end"/>
            </w:r>
          </w:hyperlink>
        </w:p>
        <w:p w14:paraId="558AED68" w14:textId="13907A01" w:rsidR="005A5E65" w:rsidRDefault="005A5E65">
          <w:pPr>
            <w:pStyle w:val="TOC3"/>
            <w:tabs>
              <w:tab w:val="right" w:leader="dot" w:pos="8302"/>
            </w:tabs>
            <w:rPr>
              <w:rFonts w:cstheme="minorBidi"/>
              <w:noProof/>
              <w:lang w:val="en-GB" w:eastAsia="ja-JP"/>
            </w:rPr>
          </w:pPr>
          <w:hyperlink w:anchor="_Toc86417371" w:history="1">
            <w:r w:rsidRPr="00550B49">
              <w:rPr>
                <w:rStyle w:val="Hyperlink"/>
                <w:noProof/>
              </w:rPr>
              <w:t>8.3.2. Financial rewards</w:t>
            </w:r>
            <w:r>
              <w:rPr>
                <w:noProof/>
                <w:webHidden/>
              </w:rPr>
              <w:tab/>
            </w:r>
            <w:r>
              <w:rPr>
                <w:noProof/>
                <w:webHidden/>
              </w:rPr>
              <w:fldChar w:fldCharType="begin"/>
            </w:r>
            <w:r>
              <w:rPr>
                <w:noProof/>
                <w:webHidden/>
              </w:rPr>
              <w:instrText xml:space="preserve"> PAGEREF _Toc86417371 \h </w:instrText>
            </w:r>
            <w:r>
              <w:rPr>
                <w:noProof/>
                <w:webHidden/>
              </w:rPr>
            </w:r>
            <w:r>
              <w:rPr>
                <w:noProof/>
                <w:webHidden/>
              </w:rPr>
              <w:fldChar w:fldCharType="separate"/>
            </w:r>
            <w:r w:rsidR="00C836FC">
              <w:rPr>
                <w:noProof/>
                <w:webHidden/>
              </w:rPr>
              <w:t>159</w:t>
            </w:r>
            <w:r>
              <w:rPr>
                <w:noProof/>
                <w:webHidden/>
              </w:rPr>
              <w:fldChar w:fldCharType="end"/>
            </w:r>
          </w:hyperlink>
        </w:p>
        <w:p w14:paraId="4DC281BA" w14:textId="67585D31" w:rsidR="005A5E65" w:rsidRDefault="005A5E65">
          <w:pPr>
            <w:pStyle w:val="TOC3"/>
            <w:tabs>
              <w:tab w:val="right" w:leader="dot" w:pos="8302"/>
            </w:tabs>
            <w:rPr>
              <w:rFonts w:cstheme="minorBidi"/>
              <w:noProof/>
              <w:lang w:val="en-GB" w:eastAsia="ja-JP"/>
            </w:rPr>
          </w:pPr>
          <w:hyperlink w:anchor="_Toc86417372" w:history="1">
            <w:r w:rsidRPr="00550B49">
              <w:rPr>
                <w:rStyle w:val="Hyperlink"/>
                <w:noProof/>
              </w:rPr>
              <w:t>8.3.3. Emotional rewards</w:t>
            </w:r>
            <w:r>
              <w:rPr>
                <w:noProof/>
                <w:webHidden/>
              </w:rPr>
              <w:tab/>
            </w:r>
            <w:r>
              <w:rPr>
                <w:noProof/>
                <w:webHidden/>
              </w:rPr>
              <w:fldChar w:fldCharType="begin"/>
            </w:r>
            <w:r>
              <w:rPr>
                <w:noProof/>
                <w:webHidden/>
              </w:rPr>
              <w:instrText xml:space="preserve"> PAGEREF _Toc86417372 \h </w:instrText>
            </w:r>
            <w:r>
              <w:rPr>
                <w:noProof/>
                <w:webHidden/>
              </w:rPr>
            </w:r>
            <w:r>
              <w:rPr>
                <w:noProof/>
                <w:webHidden/>
              </w:rPr>
              <w:fldChar w:fldCharType="separate"/>
            </w:r>
            <w:r w:rsidR="00C836FC">
              <w:rPr>
                <w:noProof/>
                <w:webHidden/>
              </w:rPr>
              <w:t>162</w:t>
            </w:r>
            <w:r>
              <w:rPr>
                <w:noProof/>
                <w:webHidden/>
              </w:rPr>
              <w:fldChar w:fldCharType="end"/>
            </w:r>
          </w:hyperlink>
        </w:p>
        <w:p w14:paraId="39F79955" w14:textId="3951A322" w:rsidR="005A5E65" w:rsidRDefault="005A5E65">
          <w:pPr>
            <w:pStyle w:val="TOC3"/>
            <w:tabs>
              <w:tab w:val="right" w:leader="dot" w:pos="8302"/>
            </w:tabs>
            <w:rPr>
              <w:rFonts w:cstheme="minorBidi"/>
              <w:noProof/>
              <w:lang w:val="en-GB" w:eastAsia="ja-JP"/>
            </w:rPr>
          </w:pPr>
          <w:hyperlink w:anchor="_Toc86417373" w:history="1">
            <w:r w:rsidRPr="00550B49">
              <w:rPr>
                <w:rStyle w:val="Hyperlink"/>
                <w:noProof/>
              </w:rPr>
              <w:t>8.3.4. Opportunity to socialise</w:t>
            </w:r>
            <w:r>
              <w:rPr>
                <w:noProof/>
                <w:webHidden/>
              </w:rPr>
              <w:tab/>
            </w:r>
            <w:r>
              <w:rPr>
                <w:noProof/>
                <w:webHidden/>
              </w:rPr>
              <w:fldChar w:fldCharType="begin"/>
            </w:r>
            <w:r>
              <w:rPr>
                <w:noProof/>
                <w:webHidden/>
              </w:rPr>
              <w:instrText xml:space="preserve"> PAGEREF _Toc86417373 \h </w:instrText>
            </w:r>
            <w:r>
              <w:rPr>
                <w:noProof/>
                <w:webHidden/>
              </w:rPr>
            </w:r>
            <w:r>
              <w:rPr>
                <w:noProof/>
                <w:webHidden/>
              </w:rPr>
              <w:fldChar w:fldCharType="separate"/>
            </w:r>
            <w:r w:rsidR="00C836FC">
              <w:rPr>
                <w:noProof/>
                <w:webHidden/>
              </w:rPr>
              <w:t>163</w:t>
            </w:r>
            <w:r>
              <w:rPr>
                <w:noProof/>
                <w:webHidden/>
              </w:rPr>
              <w:fldChar w:fldCharType="end"/>
            </w:r>
          </w:hyperlink>
        </w:p>
        <w:p w14:paraId="6AC226C5" w14:textId="7C378284" w:rsidR="005A5E65" w:rsidRDefault="005A5E65">
          <w:pPr>
            <w:pStyle w:val="TOC2"/>
            <w:tabs>
              <w:tab w:val="right" w:leader="dot" w:pos="8302"/>
            </w:tabs>
            <w:rPr>
              <w:rFonts w:cstheme="minorBidi"/>
              <w:noProof/>
              <w:lang w:val="en-GB" w:eastAsia="ja-JP"/>
            </w:rPr>
          </w:pPr>
          <w:hyperlink w:anchor="_Toc86417374" w:history="1">
            <w:r w:rsidRPr="00550B49">
              <w:rPr>
                <w:rStyle w:val="Hyperlink"/>
                <w:noProof/>
              </w:rPr>
              <w:t>8.4. Discussion</w:t>
            </w:r>
            <w:r>
              <w:rPr>
                <w:noProof/>
                <w:webHidden/>
              </w:rPr>
              <w:tab/>
            </w:r>
            <w:r>
              <w:rPr>
                <w:noProof/>
                <w:webHidden/>
              </w:rPr>
              <w:fldChar w:fldCharType="begin"/>
            </w:r>
            <w:r>
              <w:rPr>
                <w:noProof/>
                <w:webHidden/>
              </w:rPr>
              <w:instrText xml:space="preserve"> PAGEREF _Toc86417374 \h </w:instrText>
            </w:r>
            <w:r>
              <w:rPr>
                <w:noProof/>
                <w:webHidden/>
              </w:rPr>
            </w:r>
            <w:r>
              <w:rPr>
                <w:noProof/>
                <w:webHidden/>
              </w:rPr>
              <w:fldChar w:fldCharType="separate"/>
            </w:r>
            <w:r w:rsidR="00C836FC">
              <w:rPr>
                <w:noProof/>
                <w:webHidden/>
              </w:rPr>
              <w:t>165</w:t>
            </w:r>
            <w:r>
              <w:rPr>
                <w:noProof/>
                <w:webHidden/>
              </w:rPr>
              <w:fldChar w:fldCharType="end"/>
            </w:r>
          </w:hyperlink>
        </w:p>
        <w:p w14:paraId="35564C0D" w14:textId="5226C247" w:rsidR="005A5E65" w:rsidRDefault="005A5E65">
          <w:pPr>
            <w:pStyle w:val="TOC3"/>
            <w:tabs>
              <w:tab w:val="right" w:leader="dot" w:pos="8302"/>
            </w:tabs>
            <w:rPr>
              <w:rFonts w:cstheme="minorBidi"/>
              <w:noProof/>
              <w:lang w:val="en-GB" w:eastAsia="ja-JP"/>
            </w:rPr>
          </w:pPr>
          <w:hyperlink w:anchor="_Toc86417375" w:history="1">
            <w:r w:rsidRPr="00550B49">
              <w:rPr>
                <w:rStyle w:val="Hyperlink"/>
                <w:noProof/>
              </w:rPr>
              <w:t>8.5. Summary</w:t>
            </w:r>
            <w:r>
              <w:rPr>
                <w:noProof/>
                <w:webHidden/>
              </w:rPr>
              <w:tab/>
            </w:r>
            <w:r>
              <w:rPr>
                <w:noProof/>
                <w:webHidden/>
              </w:rPr>
              <w:fldChar w:fldCharType="begin"/>
            </w:r>
            <w:r>
              <w:rPr>
                <w:noProof/>
                <w:webHidden/>
              </w:rPr>
              <w:instrText xml:space="preserve"> PAGEREF _Toc86417375 \h </w:instrText>
            </w:r>
            <w:r>
              <w:rPr>
                <w:noProof/>
                <w:webHidden/>
              </w:rPr>
            </w:r>
            <w:r>
              <w:rPr>
                <w:noProof/>
                <w:webHidden/>
              </w:rPr>
              <w:fldChar w:fldCharType="separate"/>
            </w:r>
            <w:r w:rsidR="00C836FC">
              <w:rPr>
                <w:noProof/>
                <w:webHidden/>
              </w:rPr>
              <w:t>167</w:t>
            </w:r>
            <w:r>
              <w:rPr>
                <w:noProof/>
                <w:webHidden/>
              </w:rPr>
              <w:fldChar w:fldCharType="end"/>
            </w:r>
          </w:hyperlink>
        </w:p>
        <w:p w14:paraId="4AB06B8F" w14:textId="4C314485" w:rsidR="005A5E65" w:rsidRDefault="005A5E65">
          <w:pPr>
            <w:pStyle w:val="TOC1"/>
            <w:tabs>
              <w:tab w:val="right" w:leader="dot" w:pos="8302"/>
            </w:tabs>
            <w:rPr>
              <w:rFonts w:cstheme="minorBidi"/>
              <w:noProof/>
              <w:lang w:val="en-GB" w:eastAsia="ja-JP"/>
            </w:rPr>
          </w:pPr>
          <w:hyperlink w:anchor="_Toc86417376" w:history="1">
            <w:r w:rsidRPr="00550B49">
              <w:rPr>
                <w:rStyle w:val="Hyperlink"/>
                <w:noProof/>
              </w:rPr>
              <w:t>CHAPTER NINE</w:t>
            </w:r>
            <w:r>
              <w:rPr>
                <w:noProof/>
                <w:webHidden/>
              </w:rPr>
              <w:tab/>
            </w:r>
            <w:r>
              <w:rPr>
                <w:noProof/>
                <w:webHidden/>
              </w:rPr>
              <w:fldChar w:fldCharType="begin"/>
            </w:r>
            <w:r>
              <w:rPr>
                <w:noProof/>
                <w:webHidden/>
              </w:rPr>
              <w:instrText xml:space="preserve"> PAGEREF _Toc86417376 \h </w:instrText>
            </w:r>
            <w:r>
              <w:rPr>
                <w:noProof/>
                <w:webHidden/>
              </w:rPr>
            </w:r>
            <w:r>
              <w:rPr>
                <w:noProof/>
                <w:webHidden/>
              </w:rPr>
              <w:fldChar w:fldCharType="separate"/>
            </w:r>
            <w:r w:rsidR="00C836FC">
              <w:rPr>
                <w:noProof/>
                <w:webHidden/>
              </w:rPr>
              <w:t>169</w:t>
            </w:r>
            <w:r>
              <w:rPr>
                <w:noProof/>
                <w:webHidden/>
              </w:rPr>
              <w:fldChar w:fldCharType="end"/>
            </w:r>
          </w:hyperlink>
        </w:p>
        <w:p w14:paraId="6D1B28CF" w14:textId="4495F949" w:rsidR="005A5E65" w:rsidRDefault="005A5E65">
          <w:pPr>
            <w:pStyle w:val="TOC2"/>
            <w:tabs>
              <w:tab w:val="right" w:leader="dot" w:pos="8302"/>
            </w:tabs>
            <w:rPr>
              <w:rFonts w:cstheme="minorBidi"/>
              <w:noProof/>
              <w:lang w:val="en-GB" w:eastAsia="ja-JP"/>
            </w:rPr>
          </w:pPr>
          <w:hyperlink w:anchor="_Toc86417377" w:history="1">
            <w:r w:rsidRPr="00550B49">
              <w:rPr>
                <w:rStyle w:val="Hyperlink"/>
                <w:noProof/>
              </w:rPr>
              <w:t>9.1. Introduction</w:t>
            </w:r>
            <w:r>
              <w:rPr>
                <w:noProof/>
                <w:webHidden/>
              </w:rPr>
              <w:tab/>
            </w:r>
            <w:r>
              <w:rPr>
                <w:noProof/>
                <w:webHidden/>
              </w:rPr>
              <w:fldChar w:fldCharType="begin"/>
            </w:r>
            <w:r>
              <w:rPr>
                <w:noProof/>
                <w:webHidden/>
              </w:rPr>
              <w:instrText xml:space="preserve"> PAGEREF _Toc86417377 \h </w:instrText>
            </w:r>
            <w:r>
              <w:rPr>
                <w:noProof/>
                <w:webHidden/>
              </w:rPr>
            </w:r>
            <w:r>
              <w:rPr>
                <w:noProof/>
                <w:webHidden/>
              </w:rPr>
              <w:fldChar w:fldCharType="separate"/>
            </w:r>
            <w:r w:rsidR="00C836FC">
              <w:rPr>
                <w:noProof/>
                <w:webHidden/>
              </w:rPr>
              <w:t>169</w:t>
            </w:r>
            <w:r>
              <w:rPr>
                <w:noProof/>
                <w:webHidden/>
              </w:rPr>
              <w:fldChar w:fldCharType="end"/>
            </w:r>
          </w:hyperlink>
        </w:p>
        <w:p w14:paraId="45F98190" w14:textId="54397F21" w:rsidR="005A5E65" w:rsidRDefault="005A5E65">
          <w:pPr>
            <w:pStyle w:val="TOC2"/>
            <w:tabs>
              <w:tab w:val="right" w:leader="dot" w:pos="8302"/>
            </w:tabs>
            <w:rPr>
              <w:rFonts w:cstheme="minorBidi"/>
              <w:noProof/>
              <w:lang w:val="en-GB" w:eastAsia="ja-JP"/>
            </w:rPr>
          </w:pPr>
          <w:hyperlink w:anchor="_Toc86417378" w:history="1">
            <w:r w:rsidRPr="00550B49">
              <w:rPr>
                <w:rStyle w:val="Hyperlink"/>
                <w:noProof/>
              </w:rPr>
              <w:t>9.2. Challenges of caring for PLWD</w:t>
            </w:r>
            <w:r>
              <w:rPr>
                <w:noProof/>
                <w:webHidden/>
              </w:rPr>
              <w:tab/>
            </w:r>
            <w:r>
              <w:rPr>
                <w:noProof/>
                <w:webHidden/>
              </w:rPr>
              <w:fldChar w:fldCharType="begin"/>
            </w:r>
            <w:r>
              <w:rPr>
                <w:noProof/>
                <w:webHidden/>
              </w:rPr>
              <w:instrText xml:space="preserve"> PAGEREF _Toc86417378 \h </w:instrText>
            </w:r>
            <w:r>
              <w:rPr>
                <w:noProof/>
                <w:webHidden/>
              </w:rPr>
            </w:r>
            <w:r>
              <w:rPr>
                <w:noProof/>
                <w:webHidden/>
              </w:rPr>
              <w:fldChar w:fldCharType="separate"/>
            </w:r>
            <w:r w:rsidR="00C836FC">
              <w:rPr>
                <w:noProof/>
                <w:webHidden/>
              </w:rPr>
              <w:t>169</w:t>
            </w:r>
            <w:r>
              <w:rPr>
                <w:noProof/>
                <w:webHidden/>
              </w:rPr>
              <w:fldChar w:fldCharType="end"/>
            </w:r>
          </w:hyperlink>
        </w:p>
        <w:p w14:paraId="0FEC4E9A" w14:textId="68CCD6C6" w:rsidR="005A5E65" w:rsidRDefault="005A5E65">
          <w:pPr>
            <w:pStyle w:val="TOC3"/>
            <w:tabs>
              <w:tab w:val="right" w:leader="dot" w:pos="8302"/>
            </w:tabs>
            <w:rPr>
              <w:rFonts w:cstheme="minorBidi"/>
              <w:noProof/>
              <w:lang w:val="en-GB" w:eastAsia="ja-JP"/>
            </w:rPr>
          </w:pPr>
          <w:hyperlink w:anchor="_Toc86417379" w:history="1">
            <w:r w:rsidRPr="00550B49">
              <w:rPr>
                <w:rStyle w:val="Hyperlink"/>
                <w:noProof/>
              </w:rPr>
              <w:t>9.2.1. Introduction</w:t>
            </w:r>
            <w:r>
              <w:rPr>
                <w:noProof/>
                <w:webHidden/>
              </w:rPr>
              <w:tab/>
            </w:r>
            <w:r>
              <w:rPr>
                <w:noProof/>
                <w:webHidden/>
              </w:rPr>
              <w:fldChar w:fldCharType="begin"/>
            </w:r>
            <w:r>
              <w:rPr>
                <w:noProof/>
                <w:webHidden/>
              </w:rPr>
              <w:instrText xml:space="preserve"> PAGEREF _Toc86417379 \h </w:instrText>
            </w:r>
            <w:r>
              <w:rPr>
                <w:noProof/>
                <w:webHidden/>
              </w:rPr>
            </w:r>
            <w:r>
              <w:rPr>
                <w:noProof/>
                <w:webHidden/>
              </w:rPr>
              <w:fldChar w:fldCharType="separate"/>
            </w:r>
            <w:r w:rsidR="00C836FC">
              <w:rPr>
                <w:noProof/>
                <w:webHidden/>
              </w:rPr>
              <w:t>169</w:t>
            </w:r>
            <w:r>
              <w:rPr>
                <w:noProof/>
                <w:webHidden/>
              </w:rPr>
              <w:fldChar w:fldCharType="end"/>
            </w:r>
          </w:hyperlink>
        </w:p>
        <w:p w14:paraId="779022E3" w14:textId="784915EC" w:rsidR="005A5E65" w:rsidRDefault="005A5E65">
          <w:pPr>
            <w:pStyle w:val="TOC3"/>
            <w:tabs>
              <w:tab w:val="right" w:leader="dot" w:pos="8302"/>
            </w:tabs>
            <w:rPr>
              <w:rFonts w:cstheme="minorBidi"/>
              <w:noProof/>
              <w:lang w:val="en-GB" w:eastAsia="ja-JP"/>
            </w:rPr>
          </w:pPr>
          <w:hyperlink w:anchor="_Toc86417380" w:history="1">
            <w:r w:rsidRPr="00550B49">
              <w:rPr>
                <w:rStyle w:val="Hyperlink"/>
                <w:noProof/>
              </w:rPr>
              <w:t>9.2.2. Physically demanding</w:t>
            </w:r>
            <w:r>
              <w:rPr>
                <w:noProof/>
                <w:webHidden/>
              </w:rPr>
              <w:tab/>
            </w:r>
            <w:r>
              <w:rPr>
                <w:noProof/>
                <w:webHidden/>
              </w:rPr>
              <w:fldChar w:fldCharType="begin"/>
            </w:r>
            <w:r>
              <w:rPr>
                <w:noProof/>
                <w:webHidden/>
              </w:rPr>
              <w:instrText xml:space="preserve"> PAGEREF _Toc86417380 \h </w:instrText>
            </w:r>
            <w:r>
              <w:rPr>
                <w:noProof/>
                <w:webHidden/>
              </w:rPr>
            </w:r>
            <w:r>
              <w:rPr>
                <w:noProof/>
                <w:webHidden/>
              </w:rPr>
              <w:fldChar w:fldCharType="separate"/>
            </w:r>
            <w:r w:rsidR="00C836FC">
              <w:rPr>
                <w:noProof/>
                <w:webHidden/>
              </w:rPr>
              <w:t>172</w:t>
            </w:r>
            <w:r>
              <w:rPr>
                <w:noProof/>
                <w:webHidden/>
              </w:rPr>
              <w:fldChar w:fldCharType="end"/>
            </w:r>
          </w:hyperlink>
        </w:p>
        <w:p w14:paraId="6F976076" w14:textId="39425CA5" w:rsidR="005A5E65" w:rsidRDefault="005A5E65">
          <w:pPr>
            <w:pStyle w:val="TOC3"/>
            <w:tabs>
              <w:tab w:val="right" w:leader="dot" w:pos="8302"/>
            </w:tabs>
            <w:rPr>
              <w:rFonts w:cstheme="minorBidi"/>
              <w:noProof/>
              <w:lang w:val="en-GB" w:eastAsia="ja-JP"/>
            </w:rPr>
          </w:pPr>
          <w:hyperlink w:anchor="_Toc86417381" w:history="1">
            <w:r w:rsidRPr="00550B49">
              <w:rPr>
                <w:rStyle w:val="Hyperlink"/>
                <w:noProof/>
                <w:bdr w:val="none" w:sz="0" w:space="0" w:color="auto" w:frame="1"/>
              </w:rPr>
              <w:t>9.2.3. Psychologically/mentally stressful</w:t>
            </w:r>
            <w:r>
              <w:rPr>
                <w:noProof/>
                <w:webHidden/>
              </w:rPr>
              <w:tab/>
            </w:r>
            <w:r>
              <w:rPr>
                <w:noProof/>
                <w:webHidden/>
              </w:rPr>
              <w:fldChar w:fldCharType="begin"/>
            </w:r>
            <w:r>
              <w:rPr>
                <w:noProof/>
                <w:webHidden/>
              </w:rPr>
              <w:instrText xml:space="preserve"> PAGEREF _Toc86417381 \h </w:instrText>
            </w:r>
            <w:r>
              <w:rPr>
                <w:noProof/>
                <w:webHidden/>
              </w:rPr>
            </w:r>
            <w:r>
              <w:rPr>
                <w:noProof/>
                <w:webHidden/>
              </w:rPr>
              <w:fldChar w:fldCharType="separate"/>
            </w:r>
            <w:r w:rsidR="00C836FC">
              <w:rPr>
                <w:noProof/>
                <w:webHidden/>
              </w:rPr>
              <w:t>173</w:t>
            </w:r>
            <w:r>
              <w:rPr>
                <w:noProof/>
                <w:webHidden/>
              </w:rPr>
              <w:fldChar w:fldCharType="end"/>
            </w:r>
          </w:hyperlink>
        </w:p>
        <w:p w14:paraId="1D5C94C4" w14:textId="201CEAB0" w:rsidR="005A5E65" w:rsidRDefault="005A5E65">
          <w:pPr>
            <w:pStyle w:val="TOC3"/>
            <w:tabs>
              <w:tab w:val="right" w:leader="dot" w:pos="8302"/>
            </w:tabs>
            <w:rPr>
              <w:rFonts w:cstheme="minorBidi"/>
              <w:noProof/>
              <w:lang w:val="en-GB" w:eastAsia="ja-JP"/>
            </w:rPr>
          </w:pPr>
          <w:hyperlink w:anchor="_Toc86417382" w:history="1">
            <w:r w:rsidRPr="00550B49">
              <w:rPr>
                <w:rStyle w:val="Hyperlink"/>
                <w:noProof/>
              </w:rPr>
              <w:t>9.2.4. Physically aggression and verbal abuse</w:t>
            </w:r>
            <w:r>
              <w:rPr>
                <w:noProof/>
                <w:webHidden/>
              </w:rPr>
              <w:tab/>
            </w:r>
            <w:r>
              <w:rPr>
                <w:noProof/>
                <w:webHidden/>
              </w:rPr>
              <w:fldChar w:fldCharType="begin"/>
            </w:r>
            <w:r>
              <w:rPr>
                <w:noProof/>
                <w:webHidden/>
              </w:rPr>
              <w:instrText xml:space="preserve"> PAGEREF _Toc86417382 \h </w:instrText>
            </w:r>
            <w:r>
              <w:rPr>
                <w:noProof/>
                <w:webHidden/>
              </w:rPr>
            </w:r>
            <w:r>
              <w:rPr>
                <w:noProof/>
                <w:webHidden/>
              </w:rPr>
              <w:fldChar w:fldCharType="separate"/>
            </w:r>
            <w:r w:rsidR="00C836FC">
              <w:rPr>
                <w:noProof/>
                <w:webHidden/>
              </w:rPr>
              <w:t>175</w:t>
            </w:r>
            <w:r>
              <w:rPr>
                <w:noProof/>
                <w:webHidden/>
              </w:rPr>
              <w:fldChar w:fldCharType="end"/>
            </w:r>
          </w:hyperlink>
        </w:p>
        <w:p w14:paraId="03C3ED76" w14:textId="6CBB5C7A" w:rsidR="005A5E65" w:rsidRDefault="005A5E65">
          <w:pPr>
            <w:pStyle w:val="TOC3"/>
            <w:tabs>
              <w:tab w:val="right" w:leader="dot" w:pos="8302"/>
            </w:tabs>
            <w:rPr>
              <w:rFonts w:cstheme="minorBidi"/>
              <w:noProof/>
              <w:lang w:val="en-GB" w:eastAsia="ja-JP"/>
            </w:rPr>
          </w:pPr>
          <w:hyperlink w:anchor="_Toc86417383" w:history="1">
            <w:r w:rsidRPr="00550B49">
              <w:rPr>
                <w:rStyle w:val="Hyperlink"/>
                <w:noProof/>
              </w:rPr>
              <w:t>9.2.5. Communication difficulties</w:t>
            </w:r>
            <w:r>
              <w:rPr>
                <w:noProof/>
                <w:webHidden/>
              </w:rPr>
              <w:tab/>
            </w:r>
            <w:r>
              <w:rPr>
                <w:noProof/>
                <w:webHidden/>
              </w:rPr>
              <w:fldChar w:fldCharType="begin"/>
            </w:r>
            <w:r>
              <w:rPr>
                <w:noProof/>
                <w:webHidden/>
              </w:rPr>
              <w:instrText xml:space="preserve"> PAGEREF _Toc86417383 \h </w:instrText>
            </w:r>
            <w:r>
              <w:rPr>
                <w:noProof/>
                <w:webHidden/>
              </w:rPr>
            </w:r>
            <w:r>
              <w:rPr>
                <w:noProof/>
                <w:webHidden/>
              </w:rPr>
              <w:fldChar w:fldCharType="separate"/>
            </w:r>
            <w:r w:rsidR="00C836FC">
              <w:rPr>
                <w:noProof/>
                <w:webHidden/>
              </w:rPr>
              <w:t>176</w:t>
            </w:r>
            <w:r>
              <w:rPr>
                <w:noProof/>
                <w:webHidden/>
              </w:rPr>
              <w:fldChar w:fldCharType="end"/>
            </w:r>
          </w:hyperlink>
        </w:p>
        <w:p w14:paraId="0E797B92" w14:textId="6D2A4D65" w:rsidR="005A5E65" w:rsidRDefault="005A5E65">
          <w:pPr>
            <w:pStyle w:val="TOC3"/>
            <w:tabs>
              <w:tab w:val="right" w:leader="dot" w:pos="8302"/>
            </w:tabs>
            <w:rPr>
              <w:rFonts w:cstheme="minorBidi"/>
              <w:noProof/>
              <w:lang w:val="en-GB" w:eastAsia="ja-JP"/>
            </w:rPr>
          </w:pPr>
          <w:hyperlink w:anchor="_Toc86417384" w:history="1">
            <w:r w:rsidRPr="00550B49">
              <w:rPr>
                <w:rStyle w:val="Hyperlink"/>
                <w:noProof/>
              </w:rPr>
              <w:t>9.2.6. Challenges of giving personal care</w:t>
            </w:r>
            <w:r>
              <w:rPr>
                <w:noProof/>
                <w:webHidden/>
              </w:rPr>
              <w:tab/>
            </w:r>
            <w:r>
              <w:rPr>
                <w:noProof/>
                <w:webHidden/>
              </w:rPr>
              <w:fldChar w:fldCharType="begin"/>
            </w:r>
            <w:r>
              <w:rPr>
                <w:noProof/>
                <w:webHidden/>
              </w:rPr>
              <w:instrText xml:space="preserve"> PAGEREF _Toc86417384 \h </w:instrText>
            </w:r>
            <w:r>
              <w:rPr>
                <w:noProof/>
                <w:webHidden/>
              </w:rPr>
            </w:r>
            <w:r>
              <w:rPr>
                <w:noProof/>
                <w:webHidden/>
              </w:rPr>
              <w:fldChar w:fldCharType="separate"/>
            </w:r>
            <w:r w:rsidR="00C836FC">
              <w:rPr>
                <w:noProof/>
                <w:webHidden/>
              </w:rPr>
              <w:t>178</w:t>
            </w:r>
            <w:r>
              <w:rPr>
                <w:noProof/>
                <w:webHidden/>
              </w:rPr>
              <w:fldChar w:fldCharType="end"/>
            </w:r>
          </w:hyperlink>
        </w:p>
        <w:p w14:paraId="65865040" w14:textId="06186B38" w:rsidR="005A5E65" w:rsidRDefault="005A5E65">
          <w:pPr>
            <w:pStyle w:val="TOC3"/>
            <w:tabs>
              <w:tab w:val="right" w:leader="dot" w:pos="8302"/>
            </w:tabs>
            <w:rPr>
              <w:rFonts w:cstheme="minorBidi"/>
              <w:noProof/>
              <w:lang w:val="en-GB" w:eastAsia="ja-JP"/>
            </w:rPr>
          </w:pPr>
          <w:hyperlink w:anchor="_Toc86417385" w:history="1">
            <w:r w:rsidRPr="00550B49">
              <w:rPr>
                <w:rStyle w:val="Hyperlink"/>
                <w:noProof/>
              </w:rPr>
              <w:t>9.2.7. Inadequate staffing level</w:t>
            </w:r>
            <w:r>
              <w:rPr>
                <w:noProof/>
                <w:webHidden/>
              </w:rPr>
              <w:tab/>
            </w:r>
            <w:r>
              <w:rPr>
                <w:noProof/>
                <w:webHidden/>
              </w:rPr>
              <w:fldChar w:fldCharType="begin"/>
            </w:r>
            <w:r>
              <w:rPr>
                <w:noProof/>
                <w:webHidden/>
              </w:rPr>
              <w:instrText xml:space="preserve"> PAGEREF _Toc86417385 \h </w:instrText>
            </w:r>
            <w:r>
              <w:rPr>
                <w:noProof/>
                <w:webHidden/>
              </w:rPr>
            </w:r>
            <w:r>
              <w:rPr>
                <w:noProof/>
                <w:webHidden/>
              </w:rPr>
              <w:fldChar w:fldCharType="separate"/>
            </w:r>
            <w:r w:rsidR="00C836FC">
              <w:rPr>
                <w:noProof/>
                <w:webHidden/>
              </w:rPr>
              <w:t>179</w:t>
            </w:r>
            <w:r>
              <w:rPr>
                <w:noProof/>
                <w:webHidden/>
              </w:rPr>
              <w:fldChar w:fldCharType="end"/>
            </w:r>
          </w:hyperlink>
        </w:p>
        <w:p w14:paraId="6CC19AA3" w14:textId="36066382" w:rsidR="005A5E65" w:rsidRDefault="005A5E65">
          <w:pPr>
            <w:pStyle w:val="TOC3"/>
            <w:tabs>
              <w:tab w:val="right" w:leader="dot" w:pos="8302"/>
            </w:tabs>
            <w:rPr>
              <w:rFonts w:cstheme="minorBidi"/>
              <w:noProof/>
              <w:lang w:val="en-GB" w:eastAsia="ja-JP"/>
            </w:rPr>
          </w:pPr>
          <w:hyperlink w:anchor="_Toc86417386" w:history="1">
            <w:r w:rsidRPr="00550B49">
              <w:rPr>
                <w:rStyle w:val="Hyperlink"/>
                <w:noProof/>
              </w:rPr>
              <w:t>9.2.8. Undesirable length of shift</w:t>
            </w:r>
            <w:r>
              <w:rPr>
                <w:noProof/>
                <w:webHidden/>
              </w:rPr>
              <w:tab/>
            </w:r>
            <w:r>
              <w:rPr>
                <w:noProof/>
                <w:webHidden/>
              </w:rPr>
              <w:fldChar w:fldCharType="begin"/>
            </w:r>
            <w:r>
              <w:rPr>
                <w:noProof/>
                <w:webHidden/>
              </w:rPr>
              <w:instrText xml:space="preserve"> PAGEREF _Toc86417386 \h </w:instrText>
            </w:r>
            <w:r>
              <w:rPr>
                <w:noProof/>
                <w:webHidden/>
              </w:rPr>
            </w:r>
            <w:r>
              <w:rPr>
                <w:noProof/>
                <w:webHidden/>
              </w:rPr>
              <w:fldChar w:fldCharType="separate"/>
            </w:r>
            <w:r w:rsidR="00C836FC">
              <w:rPr>
                <w:noProof/>
                <w:webHidden/>
              </w:rPr>
              <w:t>181</w:t>
            </w:r>
            <w:r>
              <w:rPr>
                <w:noProof/>
                <w:webHidden/>
              </w:rPr>
              <w:fldChar w:fldCharType="end"/>
            </w:r>
          </w:hyperlink>
        </w:p>
        <w:p w14:paraId="5A5654ED" w14:textId="40C94262" w:rsidR="005A5E65" w:rsidRDefault="005A5E65">
          <w:pPr>
            <w:pStyle w:val="TOC3"/>
            <w:tabs>
              <w:tab w:val="right" w:leader="dot" w:pos="8302"/>
            </w:tabs>
            <w:rPr>
              <w:rFonts w:cstheme="minorBidi"/>
              <w:noProof/>
              <w:lang w:val="en-GB" w:eastAsia="ja-JP"/>
            </w:rPr>
          </w:pPr>
          <w:hyperlink w:anchor="_Toc86417387" w:history="1">
            <w:r w:rsidRPr="00550B49">
              <w:rPr>
                <w:rStyle w:val="Hyperlink"/>
                <w:noProof/>
              </w:rPr>
              <w:t>9.2.9. Uncooperative staff</w:t>
            </w:r>
            <w:r>
              <w:rPr>
                <w:noProof/>
                <w:webHidden/>
              </w:rPr>
              <w:tab/>
            </w:r>
            <w:r>
              <w:rPr>
                <w:noProof/>
                <w:webHidden/>
              </w:rPr>
              <w:fldChar w:fldCharType="begin"/>
            </w:r>
            <w:r>
              <w:rPr>
                <w:noProof/>
                <w:webHidden/>
              </w:rPr>
              <w:instrText xml:space="preserve"> PAGEREF _Toc86417387 \h </w:instrText>
            </w:r>
            <w:r>
              <w:rPr>
                <w:noProof/>
                <w:webHidden/>
              </w:rPr>
            </w:r>
            <w:r>
              <w:rPr>
                <w:noProof/>
                <w:webHidden/>
              </w:rPr>
              <w:fldChar w:fldCharType="separate"/>
            </w:r>
            <w:r w:rsidR="00C836FC">
              <w:rPr>
                <w:noProof/>
                <w:webHidden/>
              </w:rPr>
              <w:t>182</w:t>
            </w:r>
            <w:r>
              <w:rPr>
                <w:noProof/>
                <w:webHidden/>
              </w:rPr>
              <w:fldChar w:fldCharType="end"/>
            </w:r>
          </w:hyperlink>
        </w:p>
        <w:p w14:paraId="3D04EFB9" w14:textId="3CA6528D" w:rsidR="005A5E65" w:rsidRDefault="005A5E65">
          <w:pPr>
            <w:pStyle w:val="TOC3"/>
            <w:tabs>
              <w:tab w:val="right" w:leader="dot" w:pos="8302"/>
            </w:tabs>
            <w:rPr>
              <w:rFonts w:cstheme="minorBidi"/>
              <w:noProof/>
              <w:lang w:val="en-GB" w:eastAsia="ja-JP"/>
            </w:rPr>
          </w:pPr>
          <w:hyperlink w:anchor="_Toc86417388" w:history="1">
            <w:r w:rsidRPr="00550B49">
              <w:rPr>
                <w:rStyle w:val="Hyperlink"/>
                <w:noProof/>
              </w:rPr>
              <w:t>9.2.10. Discrimination and racism</w:t>
            </w:r>
            <w:r>
              <w:rPr>
                <w:noProof/>
                <w:webHidden/>
              </w:rPr>
              <w:tab/>
            </w:r>
            <w:r>
              <w:rPr>
                <w:noProof/>
                <w:webHidden/>
              </w:rPr>
              <w:fldChar w:fldCharType="begin"/>
            </w:r>
            <w:r>
              <w:rPr>
                <w:noProof/>
                <w:webHidden/>
              </w:rPr>
              <w:instrText xml:space="preserve"> PAGEREF _Toc86417388 \h </w:instrText>
            </w:r>
            <w:r>
              <w:rPr>
                <w:noProof/>
                <w:webHidden/>
              </w:rPr>
            </w:r>
            <w:r>
              <w:rPr>
                <w:noProof/>
                <w:webHidden/>
              </w:rPr>
              <w:fldChar w:fldCharType="separate"/>
            </w:r>
            <w:r w:rsidR="00C836FC">
              <w:rPr>
                <w:noProof/>
                <w:webHidden/>
              </w:rPr>
              <w:t>182</w:t>
            </w:r>
            <w:r>
              <w:rPr>
                <w:noProof/>
                <w:webHidden/>
              </w:rPr>
              <w:fldChar w:fldCharType="end"/>
            </w:r>
          </w:hyperlink>
        </w:p>
        <w:p w14:paraId="016D6E11" w14:textId="17039CEC" w:rsidR="005A5E65" w:rsidRDefault="005A5E65">
          <w:pPr>
            <w:pStyle w:val="TOC3"/>
            <w:tabs>
              <w:tab w:val="right" w:leader="dot" w:pos="8302"/>
            </w:tabs>
            <w:rPr>
              <w:rFonts w:cstheme="minorBidi"/>
              <w:noProof/>
              <w:lang w:val="en-GB" w:eastAsia="ja-JP"/>
            </w:rPr>
          </w:pPr>
          <w:hyperlink w:anchor="_Toc86417389" w:history="1">
            <w:r w:rsidRPr="00550B49">
              <w:rPr>
                <w:rStyle w:val="Hyperlink"/>
                <w:bCs/>
                <w:noProof/>
              </w:rPr>
              <w:t xml:space="preserve">9.2.11. </w:t>
            </w:r>
            <w:r w:rsidRPr="00550B49">
              <w:rPr>
                <w:rStyle w:val="Hyperlink"/>
                <w:noProof/>
              </w:rPr>
              <w:t>The challenges of working as a nurse caring for PLWD</w:t>
            </w:r>
            <w:r>
              <w:rPr>
                <w:noProof/>
                <w:webHidden/>
              </w:rPr>
              <w:tab/>
            </w:r>
            <w:r>
              <w:rPr>
                <w:noProof/>
                <w:webHidden/>
              </w:rPr>
              <w:fldChar w:fldCharType="begin"/>
            </w:r>
            <w:r>
              <w:rPr>
                <w:noProof/>
                <w:webHidden/>
              </w:rPr>
              <w:instrText xml:space="preserve"> PAGEREF _Toc86417389 \h </w:instrText>
            </w:r>
            <w:r>
              <w:rPr>
                <w:noProof/>
                <w:webHidden/>
              </w:rPr>
            </w:r>
            <w:r>
              <w:rPr>
                <w:noProof/>
                <w:webHidden/>
              </w:rPr>
              <w:fldChar w:fldCharType="separate"/>
            </w:r>
            <w:r w:rsidR="00C836FC">
              <w:rPr>
                <w:noProof/>
                <w:webHidden/>
              </w:rPr>
              <w:t>186</w:t>
            </w:r>
            <w:r>
              <w:rPr>
                <w:noProof/>
                <w:webHidden/>
              </w:rPr>
              <w:fldChar w:fldCharType="end"/>
            </w:r>
          </w:hyperlink>
        </w:p>
        <w:p w14:paraId="5E243E31" w14:textId="3DD914E0" w:rsidR="005A5E65" w:rsidRDefault="005A5E65">
          <w:pPr>
            <w:pStyle w:val="TOC3"/>
            <w:tabs>
              <w:tab w:val="right" w:leader="dot" w:pos="8302"/>
            </w:tabs>
            <w:rPr>
              <w:rFonts w:cstheme="minorBidi"/>
              <w:noProof/>
              <w:lang w:val="en-GB" w:eastAsia="ja-JP"/>
            </w:rPr>
          </w:pPr>
          <w:hyperlink w:anchor="_Toc86417390" w:history="1">
            <w:r w:rsidRPr="00550B49">
              <w:rPr>
                <w:rStyle w:val="Hyperlink"/>
                <w:noProof/>
              </w:rPr>
              <w:t>9.2.12. Comparing paid and unpaid caregiving experiences</w:t>
            </w:r>
            <w:r>
              <w:rPr>
                <w:noProof/>
                <w:webHidden/>
              </w:rPr>
              <w:tab/>
            </w:r>
            <w:r>
              <w:rPr>
                <w:noProof/>
                <w:webHidden/>
              </w:rPr>
              <w:fldChar w:fldCharType="begin"/>
            </w:r>
            <w:r>
              <w:rPr>
                <w:noProof/>
                <w:webHidden/>
              </w:rPr>
              <w:instrText xml:space="preserve"> PAGEREF _Toc86417390 \h </w:instrText>
            </w:r>
            <w:r>
              <w:rPr>
                <w:noProof/>
                <w:webHidden/>
              </w:rPr>
            </w:r>
            <w:r>
              <w:rPr>
                <w:noProof/>
                <w:webHidden/>
              </w:rPr>
              <w:fldChar w:fldCharType="separate"/>
            </w:r>
            <w:r w:rsidR="00C836FC">
              <w:rPr>
                <w:noProof/>
                <w:webHidden/>
              </w:rPr>
              <w:t>187</w:t>
            </w:r>
            <w:r>
              <w:rPr>
                <w:noProof/>
                <w:webHidden/>
              </w:rPr>
              <w:fldChar w:fldCharType="end"/>
            </w:r>
          </w:hyperlink>
        </w:p>
        <w:p w14:paraId="2F72CA99" w14:textId="1ED1E511" w:rsidR="005A5E65" w:rsidRDefault="005A5E65">
          <w:pPr>
            <w:pStyle w:val="TOC2"/>
            <w:tabs>
              <w:tab w:val="right" w:leader="dot" w:pos="8302"/>
            </w:tabs>
            <w:rPr>
              <w:rFonts w:cstheme="minorBidi"/>
              <w:noProof/>
              <w:lang w:val="en-GB" w:eastAsia="ja-JP"/>
            </w:rPr>
          </w:pPr>
          <w:hyperlink w:anchor="_Toc86417391" w:history="1">
            <w:r w:rsidRPr="00550B49">
              <w:rPr>
                <w:rStyle w:val="Hyperlink"/>
                <w:noProof/>
              </w:rPr>
              <w:t>9.3. Coping with the challenges of caring for PLWD</w:t>
            </w:r>
            <w:r>
              <w:rPr>
                <w:noProof/>
                <w:webHidden/>
              </w:rPr>
              <w:tab/>
            </w:r>
            <w:r>
              <w:rPr>
                <w:noProof/>
                <w:webHidden/>
              </w:rPr>
              <w:fldChar w:fldCharType="begin"/>
            </w:r>
            <w:r>
              <w:rPr>
                <w:noProof/>
                <w:webHidden/>
              </w:rPr>
              <w:instrText xml:space="preserve"> PAGEREF _Toc86417391 \h </w:instrText>
            </w:r>
            <w:r>
              <w:rPr>
                <w:noProof/>
                <w:webHidden/>
              </w:rPr>
            </w:r>
            <w:r>
              <w:rPr>
                <w:noProof/>
                <w:webHidden/>
              </w:rPr>
              <w:fldChar w:fldCharType="separate"/>
            </w:r>
            <w:r w:rsidR="00C836FC">
              <w:rPr>
                <w:noProof/>
                <w:webHidden/>
              </w:rPr>
              <w:t>188</w:t>
            </w:r>
            <w:r>
              <w:rPr>
                <w:noProof/>
                <w:webHidden/>
              </w:rPr>
              <w:fldChar w:fldCharType="end"/>
            </w:r>
          </w:hyperlink>
        </w:p>
        <w:p w14:paraId="61D32AFE" w14:textId="3865D724" w:rsidR="005A5E65" w:rsidRDefault="005A5E65">
          <w:pPr>
            <w:pStyle w:val="TOC3"/>
            <w:tabs>
              <w:tab w:val="right" w:leader="dot" w:pos="8302"/>
            </w:tabs>
            <w:rPr>
              <w:rFonts w:cstheme="minorBidi"/>
              <w:noProof/>
              <w:lang w:val="en-GB" w:eastAsia="ja-JP"/>
            </w:rPr>
          </w:pPr>
          <w:hyperlink w:anchor="_Toc86417392" w:history="1">
            <w:r w:rsidRPr="00550B49">
              <w:rPr>
                <w:rStyle w:val="Hyperlink"/>
                <w:noProof/>
              </w:rPr>
              <w:t>9.3.1. Introduction</w:t>
            </w:r>
            <w:r>
              <w:rPr>
                <w:noProof/>
                <w:webHidden/>
              </w:rPr>
              <w:tab/>
            </w:r>
            <w:r>
              <w:rPr>
                <w:noProof/>
                <w:webHidden/>
              </w:rPr>
              <w:fldChar w:fldCharType="begin"/>
            </w:r>
            <w:r>
              <w:rPr>
                <w:noProof/>
                <w:webHidden/>
              </w:rPr>
              <w:instrText xml:space="preserve"> PAGEREF _Toc86417392 \h </w:instrText>
            </w:r>
            <w:r>
              <w:rPr>
                <w:noProof/>
                <w:webHidden/>
              </w:rPr>
            </w:r>
            <w:r>
              <w:rPr>
                <w:noProof/>
                <w:webHidden/>
              </w:rPr>
              <w:fldChar w:fldCharType="separate"/>
            </w:r>
            <w:r w:rsidR="00C836FC">
              <w:rPr>
                <w:noProof/>
                <w:webHidden/>
              </w:rPr>
              <w:t>188</w:t>
            </w:r>
            <w:r>
              <w:rPr>
                <w:noProof/>
                <w:webHidden/>
              </w:rPr>
              <w:fldChar w:fldCharType="end"/>
            </w:r>
          </w:hyperlink>
        </w:p>
        <w:p w14:paraId="7D254330" w14:textId="050071B4" w:rsidR="005A5E65" w:rsidRDefault="005A5E65">
          <w:pPr>
            <w:pStyle w:val="TOC3"/>
            <w:tabs>
              <w:tab w:val="right" w:leader="dot" w:pos="8302"/>
            </w:tabs>
            <w:rPr>
              <w:rFonts w:cstheme="minorBidi"/>
              <w:noProof/>
              <w:lang w:val="en-GB" w:eastAsia="ja-JP"/>
            </w:rPr>
          </w:pPr>
          <w:hyperlink w:anchor="_Toc86417393" w:history="1">
            <w:r w:rsidRPr="00550B49">
              <w:rPr>
                <w:rStyle w:val="Hyperlink"/>
                <w:noProof/>
              </w:rPr>
              <w:t>9.3.2. Types of coping strategies identified</w:t>
            </w:r>
            <w:r>
              <w:rPr>
                <w:noProof/>
                <w:webHidden/>
              </w:rPr>
              <w:tab/>
            </w:r>
            <w:r>
              <w:rPr>
                <w:noProof/>
                <w:webHidden/>
              </w:rPr>
              <w:fldChar w:fldCharType="begin"/>
            </w:r>
            <w:r>
              <w:rPr>
                <w:noProof/>
                <w:webHidden/>
              </w:rPr>
              <w:instrText xml:space="preserve"> PAGEREF _Toc86417393 \h </w:instrText>
            </w:r>
            <w:r>
              <w:rPr>
                <w:noProof/>
                <w:webHidden/>
              </w:rPr>
            </w:r>
            <w:r>
              <w:rPr>
                <w:noProof/>
                <w:webHidden/>
              </w:rPr>
              <w:fldChar w:fldCharType="separate"/>
            </w:r>
            <w:r w:rsidR="00C836FC">
              <w:rPr>
                <w:noProof/>
                <w:webHidden/>
              </w:rPr>
              <w:t>188</w:t>
            </w:r>
            <w:r>
              <w:rPr>
                <w:noProof/>
                <w:webHidden/>
              </w:rPr>
              <w:fldChar w:fldCharType="end"/>
            </w:r>
          </w:hyperlink>
        </w:p>
        <w:p w14:paraId="198F7E61" w14:textId="6DB6F65E" w:rsidR="005A5E65" w:rsidRDefault="005A5E65">
          <w:pPr>
            <w:pStyle w:val="TOC3"/>
            <w:tabs>
              <w:tab w:val="right" w:leader="dot" w:pos="8302"/>
            </w:tabs>
            <w:rPr>
              <w:rFonts w:cstheme="minorBidi"/>
              <w:noProof/>
              <w:lang w:val="en-GB" w:eastAsia="ja-JP"/>
            </w:rPr>
          </w:pPr>
          <w:hyperlink w:anchor="_Toc86417394" w:history="1">
            <w:r w:rsidRPr="00550B49">
              <w:rPr>
                <w:rStyle w:val="Hyperlink"/>
                <w:noProof/>
              </w:rPr>
              <w:t>9.3.3. Problem-focused strategies</w:t>
            </w:r>
            <w:r>
              <w:rPr>
                <w:noProof/>
                <w:webHidden/>
              </w:rPr>
              <w:tab/>
            </w:r>
            <w:r>
              <w:rPr>
                <w:noProof/>
                <w:webHidden/>
              </w:rPr>
              <w:fldChar w:fldCharType="begin"/>
            </w:r>
            <w:r>
              <w:rPr>
                <w:noProof/>
                <w:webHidden/>
              </w:rPr>
              <w:instrText xml:space="preserve"> PAGEREF _Toc86417394 \h </w:instrText>
            </w:r>
            <w:r>
              <w:rPr>
                <w:noProof/>
                <w:webHidden/>
              </w:rPr>
            </w:r>
            <w:r>
              <w:rPr>
                <w:noProof/>
                <w:webHidden/>
              </w:rPr>
              <w:fldChar w:fldCharType="separate"/>
            </w:r>
            <w:r w:rsidR="00C836FC">
              <w:rPr>
                <w:noProof/>
                <w:webHidden/>
              </w:rPr>
              <w:t>188</w:t>
            </w:r>
            <w:r>
              <w:rPr>
                <w:noProof/>
                <w:webHidden/>
              </w:rPr>
              <w:fldChar w:fldCharType="end"/>
            </w:r>
          </w:hyperlink>
        </w:p>
        <w:p w14:paraId="30EFFF1E" w14:textId="39190DDC" w:rsidR="005A5E65" w:rsidRDefault="005A5E65">
          <w:pPr>
            <w:pStyle w:val="TOC3"/>
            <w:tabs>
              <w:tab w:val="right" w:leader="dot" w:pos="8302"/>
            </w:tabs>
            <w:rPr>
              <w:rFonts w:cstheme="minorBidi"/>
              <w:noProof/>
              <w:lang w:val="en-GB" w:eastAsia="ja-JP"/>
            </w:rPr>
          </w:pPr>
          <w:hyperlink w:anchor="_Toc86417395" w:history="1">
            <w:r w:rsidRPr="00550B49">
              <w:rPr>
                <w:rStyle w:val="Hyperlink"/>
                <w:noProof/>
              </w:rPr>
              <w:t>9.3.4. Emotion-focused coping</w:t>
            </w:r>
            <w:r>
              <w:rPr>
                <w:noProof/>
                <w:webHidden/>
              </w:rPr>
              <w:tab/>
            </w:r>
            <w:r>
              <w:rPr>
                <w:noProof/>
                <w:webHidden/>
              </w:rPr>
              <w:fldChar w:fldCharType="begin"/>
            </w:r>
            <w:r>
              <w:rPr>
                <w:noProof/>
                <w:webHidden/>
              </w:rPr>
              <w:instrText xml:space="preserve"> PAGEREF _Toc86417395 \h </w:instrText>
            </w:r>
            <w:r>
              <w:rPr>
                <w:noProof/>
                <w:webHidden/>
              </w:rPr>
            </w:r>
            <w:r>
              <w:rPr>
                <w:noProof/>
                <w:webHidden/>
              </w:rPr>
              <w:fldChar w:fldCharType="separate"/>
            </w:r>
            <w:r w:rsidR="00C836FC">
              <w:rPr>
                <w:noProof/>
                <w:webHidden/>
              </w:rPr>
              <w:t>192</w:t>
            </w:r>
            <w:r>
              <w:rPr>
                <w:noProof/>
                <w:webHidden/>
              </w:rPr>
              <w:fldChar w:fldCharType="end"/>
            </w:r>
          </w:hyperlink>
        </w:p>
        <w:p w14:paraId="021AFE5D" w14:textId="4DC5D043" w:rsidR="005A5E65" w:rsidRDefault="005A5E65">
          <w:pPr>
            <w:pStyle w:val="TOC3"/>
            <w:tabs>
              <w:tab w:val="right" w:leader="dot" w:pos="8302"/>
            </w:tabs>
            <w:rPr>
              <w:rFonts w:cstheme="minorBidi"/>
              <w:noProof/>
              <w:lang w:val="en-GB" w:eastAsia="ja-JP"/>
            </w:rPr>
          </w:pPr>
          <w:hyperlink w:anchor="_Toc86417396" w:history="1">
            <w:r w:rsidRPr="00550B49">
              <w:rPr>
                <w:rStyle w:val="Hyperlink"/>
                <w:noProof/>
              </w:rPr>
              <w:t>9.3.5. Coping in the context of culture</w:t>
            </w:r>
            <w:r>
              <w:rPr>
                <w:noProof/>
                <w:webHidden/>
              </w:rPr>
              <w:tab/>
            </w:r>
            <w:r>
              <w:rPr>
                <w:noProof/>
                <w:webHidden/>
              </w:rPr>
              <w:fldChar w:fldCharType="begin"/>
            </w:r>
            <w:r>
              <w:rPr>
                <w:noProof/>
                <w:webHidden/>
              </w:rPr>
              <w:instrText xml:space="preserve"> PAGEREF _Toc86417396 \h </w:instrText>
            </w:r>
            <w:r>
              <w:rPr>
                <w:noProof/>
                <w:webHidden/>
              </w:rPr>
            </w:r>
            <w:r>
              <w:rPr>
                <w:noProof/>
                <w:webHidden/>
              </w:rPr>
              <w:fldChar w:fldCharType="separate"/>
            </w:r>
            <w:r w:rsidR="00C836FC">
              <w:rPr>
                <w:noProof/>
                <w:webHidden/>
              </w:rPr>
              <w:t>194</w:t>
            </w:r>
            <w:r>
              <w:rPr>
                <w:noProof/>
                <w:webHidden/>
              </w:rPr>
              <w:fldChar w:fldCharType="end"/>
            </w:r>
          </w:hyperlink>
        </w:p>
        <w:p w14:paraId="609CEECE" w14:textId="23B53388" w:rsidR="005A5E65" w:rsidRDefault="005A5E65">
          <w:pPr>
            <w:pStyle w:val="TOC3"/>
            <w:tabs>
              <w:tab w:val="right" w:leader="dot" w:pos="8302"/>
            </w:tabs>
            <w:rPr>
              <w:rFonts w:cstheme="minorBidi"/>
              <w:noProof/>
              <w:lang w:val="en-GB" w:eastAsia="ja-JP"/>
            </w:rPr>
          </w:pPr>
          <w:hyperlink w:anchor="_Toc86417397" w:history="1">
            <w:r w:rsidRPr="00550B49">
              <w:rPr>
                <w:rStyle w:val="Hyperlink"/>
                <w:noProof/>
              </w:rPr>
              <w:t>9.3.6. Availability of support for coping</w:t>
            </w:r>
            <w:r>
              <w:rPr>
                <w:noProof/>
                <w:webHidden/>
              </w:rPr>
              <w:tab/>
            </w:r>
            <w:r>
              <w:rPr>
                <w:noProof/>
                <w:webHidden/>
              </w:rPr>
              <w:fldChar w:fldCharType="begin"/>
            </w:r>
            <w:r>
              <w:rPr>
                <w:noProof/>
                <w:webHidden/>
              </w:rPr>
              <w:instrText xml:space="preserve"> PAGEREF _Toc86417397 \h </w:instrText>
            </w:r>
            <w:r>
              <w:rPr>
                <w:noProof/>
                <w:webHidden/>
              </w:rPr>
            </w:r>
            <w:r>
              <w:rPr>
                <w:noProof/>
                <w:webHidden/>
              </w:rPr>
              <w:fldChar w:fldCharType="separate"/>
            </w:r>
            <w:r w:rsidR="00C836FC">
              <w:rPr>
                <w:noProof/>
                <w:webHidden/>
              </w:rPr>
              <w:t>194</w:t>
            </w:r>
            <w:r>
              <w:rPr>
                <w:noProof/>
                <w:webHidden/>
              </w:rPr>
              <w:fldChar w:fldCharType="end"/>
            </w:r>
          </w:hyperlink>
        </w:p>
        <w:p w14:paraId="7F823771" w14:textId="3DC90B3F" w:rsidR="005A5E65" w:rsidRDefault="005A5E65">
          <w:pPr>
            <w:pStyle w:val="TOC2"/>
            <w:tabs>
              <w:tab w:val="right" w:leader="dot" w:pos="8302"/>
            </w:tabs>
            <w:rPr>
              <w:rFonts w:cstheme="minorBidi"/>
              <w:noProof/>
              <w:lang w:val="en-GB" w:eastAsia="ja-JP"/>
            </w:rPr>
          </w:pPr>
          <w:hyperlink w:anchor="_Toc86417398" w:history="1">
            <w:r w:rsidRPr="00550B49">
              <w:rPr>
                <w:rStyle w:val="Hyperlink"/>
                <w:noProof/>
              </w:rPr>
              <w:t>9.4. Discussion</w:t>
            </w:r>
            <w:r>
              <w:rPr>
                <w:noProof/>
                <w:webHidden/>
              </w:rPr>
              <w:tab/>
            </w:r>
            <w:r>
              <w:rPr>
                <w:noProof/>
                <w:webHidden/>
              </w:rPr>
              <w:fldChar w:fldCharType="begin"/>
            </w:r>
            <w:r>
              <w:rPr>
                <w:noProof/>
                <w:webHidden/>
              </w:rPr>
              <w:instrText xml:space="preserve"> PAGEREF _Toc86417398 \h </w:instrText>
            </w:r>
            <w:r>
              <w:rPr>
                <w:noProof/>
                <w:webHidden/>
              </w:rPr>
            </w:r>
            <w:r>
              <w:rPr>
                <w:noProof/>
                <w:webHidden/>
              </w:rPr>
              <w:fldChar w:fldCharType="separate"/>
            </w:r>
            <w:r w:rsidR="00C836FC">
              <w:rPr>
                <w:noProof/>
                <w:webHidden/>
              </w:rPr>
              <w:t>195</w:t>
            </w:r>
            <w:r>
              <w:rPr>
                <w:noProof/>
                <w:webHidden/>
              </w:rPr>
              <w:fldChar w:fldCharType="end"/>
            </w:r>
          </w:hyperlink>
        </w:p>
        <w:p w14:paraId="4195DC64" w14:textId="64E30580" w:rsidR="005A5E65" w:rsidRDefault="005A5E65">
          <w:pPr>
            <w:pStyle w:val="TOC2"/>
            <w:tabs>
              <w:tab w:val="right" w:leader="dot" w:pos="8302"/>
            </w:tabs>
            <w:rPr>
              <w:rFonts w:cstheme="minorBidi"/>
              <w:noProof/>
              <w:lang w:val="en-GB" w:eastAsia="ja-JP"/>
            </w:rPr>
          </w:pPr>
          <w:hyperlink w:anchor="_Toc86417399" w:history="1">
            <w:r w:rsidRPr="00550B49">
              <w:rPr>
                <w:rStyle w:val="Hyperlink"/>
                <w:noProof/>
              </w:rPr>
              <w:t>9.5. Summary</w:t>
            </w:r>
            <w:r>
              <w:rPr>
                <w:noProof/>
                <w:webHidden/>
              </w:rPr>
              <w:tab/>
            </w:r>
            <w:r>
              <w:rPr>
                <w:noProof/>
                <w:webHidden/>
              </w:rPr>
              <w:fldChar w:fldCharType="begin"/>
            </w:r>
            <w:r>
              <w:rPr>
                <w:noProof/>
                <w:webHidden/>
              </w:rPr>
              <w:instrText xml:space="preserve"> PAGEREF _Toc86417399 \h </w:instrText>
            </w:r>
            <w:r>
              <w:rPr>
                <w:noProof/>
                <w:webHidden/>
              </w:rPr>
            </w:r>
            <w:r>
              <w:rPr>
                <w:noProof/>
                <w:webHidden/>
              </w:rPr>
              <w:fldChar w:fldCharType="separate"/>
            </w:r>
            <w:r w:rsidR="00C836FC">
              <w:rPr>
                <w:noProof/>
                <w:webHidden/>
              </w:rPr>
              <w:t>196</w:t>
            </w:r>
            <w:r>
              <w:rPr>
                <w:noProof/>
                <w:webHidden/>
              </w:rPr>
              <w:fldChar w:fldCharType="end"/>
            </w:r>
          </w:hyperlink>
        </w:p>
        <w:p w14:paraId="2D34C95D" w14:textId="46AE044E" w:rsidR="005A5E65" w:rsidRDefault="005A5E65">
          <w:pPr>
            <w:pStyle w:val="TOC1"/>
            <w:tabs>
              <w:tab w:val="right" w:leader="dot" w:pos="8302"/>
            </w:tabs>
            <w:rPr>
              <w:rFonts w:cstheme="minorBidi"/>
              <w:noProof/>
              <w:lang w:val="en-GB" w:eastAsia="ja-JP"/>
            </w:rPr>
          </w:pPr>
          <w:hyperlink w:anchor="_Toc86417400" w:history="1">
            <w:r w:rsidRPr="00550B49">
              <w:rPr>
                <w:rStyle w:val="Hyperlink"/>
                <w:noProof/>
              </w:rPr>
              <w:t>CHAPTER TEN</w:t>
            </w:r>
            <w:r>
              <w:rPr>
                <w:noProof/>
                <w:webHidden/>
              </w:rPr>
              <w:tab/>
            </w:r>
            <w:r>
              <w:rPr>
                <w:noProof/>
                <w:webHidden/>
              </w:rPr>
              <w:fldChar w:fldCharType="begin"/>
            </w:r>
            <w:r>
              <w:rPr>
                <w:noProof/>
                <w:webHidden/>
              </w:rPr>
              <w:instrText xml:space="preserve"> PAGEREF _Toc86417400 \h </w:instrText>
            </w:r>
            <w:r>
              <w:rPr>
                <w:noProof/>
                <w:webHidden/>
              </w:rPr>
            </w:r>
            <w:r>
              <w:rPr>
                <w:noProof/>
                <w:webHidden/>
              </w:rPr>
              <w:fldChar w:fldCharType="separate"/>
            </w:r>
            <w:r w:rsidR="00C836FC">
              <w:rPr>
                <w:noProof/>
                <w:webHidden/>
              </w:rPr>
              <w:t>197</w:t>
            </w:r>
            <w:r>
              <w:rPr>
                <w:noProof/>
                <w:webHidden/>
              </w:rPr>
              <w:fldChar w:fldCharType="end"/>
            </w:r>
          </w:hyperlink>
        </w:p>
        <w:p w14:paraId="5D1DB0E0" w14:textId="0DC0B6FC" w:rsidR="005A5E65" w:rsidRDefault="005A5E65">
          <w:pPr>
            <w:pStyle w:val="TOC2"/>
            <w:tabs>
              <w:tab w:val="right" w:leader="dot" w:pos="8302"/>
            </w:tabs>
            <w:rPr>
              <w:rFonts w:cstheme="minorBidi"/>
              <w:noProof/>
              <w:lang w:val="en-GB" w:eastAsia="ja-JP"/>
            </w:rPr>
          </w:pPr>
          <w:hyperlink w:anchor="_Toc86417401" w:history="1">
            <w:r w:rsidRPr="00550B49">
              <w:rPr>
                <w:rStyle w:val="Hyperlink"/>
                <w:noProof/>
              </w:rPr>
              <w:t>10.1. Introduction</w:t>
            </w:r>
            <w:r>
              <w:rPr>
                <w:noProof/>
                <w:webHidden/>
              </w:rPr>
              <w:tab/>
            </w:r>
            <w:r>
              <w:rPr>
                <w:noProof/>
                <w:webHidden/>
              </w:rPr>
              <w:fldChar w:fldCharType="begin"/>
            </w:r>
            <w:r>
              <w:rPr>
                <w:noProof/>
                <w:webHidden/>
              </w:rPr>
              <w:instrText xml:space="preserve"> PAGEREF _Toc86417401 \h </w:instrText>
            </w:r>
            <w:r>
              <w:rPr>
                <w:noProof/>
                <w:webHidden/>
              </w:rPr>
            </w:r>
            <w:r>
              <w:rPr>
                <w:noProof/>
                <w:webHidden/>
              </w:rPr>
              <w:fldChar w:fldCharType="separate"/>
            </w:r>
            <w:r w:rsidR="00C836FC">
              <w:rPr>
                <w:noProof/>
                <w:webHidden/>
              </w:rPr>
              <w:t>197</w:t>
            </w:r>
            <w:r>
              <w:rPr>
                <w:noProof/>
                <w:webHidden/>
              </w:rPr>
              <w:fldChar w:fldCharType="end"/>
            </w:r>
          </w:hyperlink>
        </w:p>
        <w:p w14:paraId="57177523" w14:textId="57EA8B24" w:rsidR="005A5E65" w:rsidRDefault="005A5E65">
          <w:pPr>
            <w:pStyle w:val="TOC2"/>
            <w:tabs>
              <w:tab w:val="right" w:leader="dot" w:pos="8302"/>
            </w:tabs>
            <w:rPr>
              <w:rFonts w:cstheme="minorBidi"/>
              <w:noProof/>
              <w:lang w:val="en-GB" w:eastAsia="ja-JP"/>
            </w:rPr>
          </w:pPr>
          <w:hyperlink w:anchor="_Toc86417402" w:history="1">
            <w:r w:rsidRPr="00550B49">
              <w:rPr>
                <w:rStyle w:val="Hyperlink"/>
                <w:noProof/>
              </w:rPr>
              <w:t>10.2. Paid Nigerian migrant HCAs’ and nurses’ cultural beliefs about dementia</w:t>
            </w:r>
            <w:r>
              <w:rPr>
                <w:noProof/>
                <w:webHidden/>
              </w:rPr>
              <w:tab/>
            </w:r>
            <w:r>
              <w:rPr>
                <w:noProof/>
                <w:webHidden/>
              </w:rPr>
              <w:fldChar w:fldCharType="begin"/>
            </w:r>
            <w:r>
              <w:rPr>
                <w:noProof/>
                <w:webHidden/>
              </w:rPr>
              <w:instrText xml:space="preserve"> PAGEREF _Toc86417402 \h </w:instrText>
            </w:r>
            <w:r>
              <w:rPr>
                <w:noProof/>
                <w:webHidden/>
              </w:rPr>
            </w:r>
            <w:r>
              <w:rPr>
                <w:noProof/>
                <w:webHidden/>
              </w:rPr>
              <w:fldChar w:fldCharType="separate"/>
            </w:r>
            <w:r w:rsidR="00C836FC">
              <w:rPr>
                <w:noProof/>
                <w:webHidden/>
              </w:rPr>
              <w:t>197</w:t>
            </w:r>
            <w:r>
              <w:rPr>
                <w:noProof/>
                <w:webHidden/>
              </w:rPr>
              <w:fldChar w:fldCharType="end"/>
            </w:r>
          </w:hyperlink>
        </w:p>
        <w:p w14:paraId="39F5B1E8" w14:textId="0E400A37" w:rsidR="005A5E65" w:rsidRDefault="005A5E65">
          <w:pPr>
            <w:pStyle w:val="TOC3"/>
            <w:tabs>
              <w:tab w:val="right" w:leader="dot" w:pos="8302"/>
            </w:tabs>
            <w:rPr>
              <w:rFonts w:cstheme="minorBidi"/>
              <w:noProof/>
              <w:lang w:val="en-GB" w:eastAsia="ja-JP"/>
            </w:rPr>
          </w:pPr>
          <w:hyperlink w:anchor="_Toc86417403" w:history="1">
            <w:r w:rsidRPr="00550B49">
              <w:rPr>
                <w:rStyle w:val="Hyperlink"/>
                <w:noProof/>
              </w:rPr>
              <w:t>10.2.1. Dementia as a normal ageing</w:t>
            </w:r>
            <w:r>
              <w:rPr>
                <w:noProof/>
                <w:webHidden/>
              </w:rPr>
              <w:tab/>
            </w:r>
            <w:r>
              <w:rPr>
                <w:noProof/>
                <w:webHidden/>
              </w:rPr>
              <w:fldChar w:fldCharType="begin"/>
            </w:r>
            <w:r>
              <w:rPr>
                <w:noProof/>
                <w:webHidden/>
              </w:rPr>
              <w:instrText xml:space="preserve"> PAGEREF _Toc86417403 \h </w:instrText>
            </w:r>
            <w:r>
              <w:rPr>
                <w:noProof/>
                <w:webHidden/>
              </w:rPr>
            </w:r>
            <w:r>
              <w:rPr>
                <w:noProof/>
                <w:webHidden/>
              </w:rPr>
              <w:fldChar w:fldCharType="separate"/>
            </w:r>
            <w:r w:rsidR="00C836FC">
              <w:rPr>
                <w:noProof/>
                <w:webHidden/>
              </w:rPr>
              <w:t>198</w:t>
            </w:r>
            <w:r>
              <w:rPr>
                <w:noProof/>
                <w:webHidden/>
              </w:rPr>
              <w:fldChar w:fldCharType="end"/>
            </w:r>
          </w:hyperlink>
        </w:p>
        <w:p w14:paraId="21B6E43B" w14:textId="7A9A07A4" w:rsidR="005A5E65" w:rsidRDefault="005A5E65">
          <w:pPr>
            <w:pStyle w:val="TOC3"/>
            <w:tabs>
              <w:tab w:val="right" w:leader="dot" w:pos="8302"/>
            </w:tabs>
            <w:rPr>
              <w:rFonts w:cstheme="minorBidi"/>
              <w:noProof/>
              <w:lang w:val="en-GB" w:eastAsia="ja-JP"/>
            </w:rPr>
          </w:pPr>
          <w:hyperlink w:anchor="_Toc86417404" w:history="1">
            <w:r w:rsidRPr="00550B49">
              <w:rPr>
                <w:rStyle w:val="Hyperlink"/>
                <w:noProof/>
              </w:rPr>
              <w:t>10.2.2. Other cultural beliefs about dementia</w:t>
            </w:r>
            <w:r>
              <w:rPr>
                <w:noProof/>
                <w:webHidden/>
              </w:rPr>
              <w:tab/>
            </w:r>
            <w:r>
              <w:rPr>
                <w:noProof/>
                <w:webHidden/>
              </w:rPr>
              <w:fldChar w:fldCharType="begin"/>
            </w:r>
            <w:r>
              <w:rPr>
                <w:noProof/>
                <w:webHidden/>
              </w:rPr>
              <w:instrText xml:space="preserve"> PAGEREF _Toc86417404 \h </w:instrText>
            </w:r>
            <w:r>
              <w:rPr>
                <w:noProof/>
                <w:webHidden/>
              </w:rPr>
            </w:r>
            <w:r>
              <w:rPr>
                <w:noProof/>
                <w:webHidden/>
              </w:rPr>
              <w:fldChar w:fldCharType="separate"/>
            </w:r>
            <w:r w:rsidR="00C836FC">
              <w:rPr>
                <w:noProof/>
                <w:webHidden/>
              </w:rPr>
              <w:t>203</w:t>
            </w:r>
            <w:r>
              <w:rPr>
                <w:noProof/>
                <w:webHidden/>
              </w:rPr>
              <w:fldChar w:fldCharType="end"/>
            </w:r>
          </w:hyperlink>
        </w:p>
        <w:p w14:paraId="005E61D6" w14:textId="3B0EDAD3" w:rsidR="005A5E65" w:rsidRDefault="005A5E65">
          <w:pPr>
            <w:pStyle w:val="TOC2"/>
            <w:tabs>
              <w:tab w:val="right" w:leader="dot" w:pos="8302"/>
            </w:tabs>
            <w:rPr>
              <w:rFonts w:cstheme="minorBidi"/>
              <w:noProof/>
              <w:lang w:val="en-GB" w:eastAsia="ja-JP"/>
            </w:rPr>
          </w:pPr>
          <w:hyperlink w:anchor="_Toc86417405" w:history="1">
            <w:r w:rsidRPr="00550B49">
              <w:rPr>
                <w:rStyle w:val="Hyperlink"/>
                <w:noProof/>
              </w:rPr>
              <w:t>10.3. Current understanding of dementia</w:t>
            </w:r>
            <w:r>
              <w:rPr>
                <w:noProof/>
                <w:webHidden/>
              </w:rPr>
              <w:tab/>
            </w:r>
            <w:r>
              <w:rPr>
                <w:noProof/>
                <w:webHidden/>
              </w:rPr>
              <w:fldChar w:fldCharType="begin"/>
            </w:r>
            <w:r>
              <w:rPr>
                <w:noProof/>
                <w:webHidden/>
              </w:rPr>
              <w:instrText xml:space="preserve"> PAGEREF _Toc86417405 \h </w:instrText>
            </w:r>
            <w:r>
              <w:rPr>
                <w:noProof/>
                <w:webHidden/>
              </w:rPr>
            </w:r>
            <w:r>
              <w:rPr>
                <w:noProof/>
                <w:webHidden/>
              </w:rPr>
              <w:fldChar w:fldCharType="separate"/>
            </w:r>
            <w:r w:rsidR="00C836FC">
              <w:rPr>
                <w:noProof/>
                <w:webHidden/>
              </w:rPr>
              <w:t>210</w:t>
            </w:r>
            <w:r>
              <w:rPr>
                <w:noProof/>
                <w:webHidden/>
              </w:rPr>
              <w:fldChar w:fldCharType="end"/>
            </w:r>
          </w:hyperlink>
        </w:p>
        <w:p w14:paraId="3FDBFD46" w14:textId="0C45D3E5" w:rsidR="005A5E65" w:rsidRDefault="005A5E65">
          <w:pPr>
            <w:pStyle w:val="TOC2"/>
            <w:tabs>
              <w:tab w:val="right" w:leader="dot" w:pos="8302"/>
            </w:tabs>
            <w:rPr>
              <w:rFonts w:cstheme="minorBidi"/>
              <w:noProof/>
              <w:lang w:val="en-GB" w:eastAsia="ja-JP"/>
            </w:rPr>
          </w:pPr>
          <w:hyperlink w:anchor="_Toc86417406" w:history="1">
            <w:r w:rsidRPr="00550B49">
              <w:rPr>
                <w:rStyle w:val="Hyperlink"/>
                <w:noProof/>
              </w:rPr>
              <w:t>10.4. Shift in beliefs</w:t>
            </w:r>
            <w:r>
              <w:rPr>
                <w:noProof/>
                <w:webHidden/>
              </w:rPr>
              <w:tab/>
            </w:r>
            <w:r>
              <w:rPr>
                <w:noProof/>
                <w:webHidden/>
              </w:rPr>
              <w:fldChar w:fldCharType="begin"/>
            </w:r>
            <w:r>
              <w:rPr>
                <w:noProof/>
                <w:webHidden/>
              </w:rPr>
              <w:instrText xml:space="preserve"> PAGEREF _Toc86417406 \h </w:instrText>
            </w:r>
            <w:r>
              <w:rPr>
                <w:noProof/>
                <w:webHidden/>
              </w:rPr>
            </w:r>
            <w:r>
              <w:rPr>
                <w:noProof/>
                <w:webHidden/>
              </w:rPr>
              <w:fldChar w:fldCharType="separate"/>
            </w:r>
            <w:r w:rsidR="00C836FC">
              <w:rPr>
                <w:noProof/>
                <w:webHidden/>
              </w:rPr>
              <w:t>212</w:t>
            </w:r>
            <w:r>
              <w:rPr>
                <w:noProof/>
                <w:webHidden/>
              </w:rPr>
              <w:fldChar w:fldCharType="end"/>
            </w:r>
          </w:hyperlink>
        </w:p>
        <w:p w14:paraId="7590388D" w14:textId="15636EA7" w:rsidR="005A5E65" w:rsidRDefault="005A5E65">
          <w:pPr>
            <w:pStyle w:val="TOC3"/>
            <w:tabs>
              <w:tab w:val="right" w:leader="dot" w:pos="8302"/>
            </w:tabs>
            <w:rPr>
              <w:rFonts w:cstheme="minorBidi"/>
              <w:noProof/>
              <w:lang w:val="en-GB" w:eastAsia="ja-JP"/>
            </w:rPr>
          </w:pPr>
          <w:hyperlink w:anchor="_Toc86417407" w:history="1">
            <w:r w:rsidRPr="00550B49">
              <w:rPr>
                <w:rStyle w:val="Hyperlink"/>
                <w:bCs/>
                <w:noProof/>
              </w:rPr>
              <w:t xml:space="preserve">10.4.1. </w:t>
            </w:r>
            <w:r w:rsidRPr="00550B49">
              <w:rPr>
                <w:rStyle w:val="Hyperlink"/>
                <w:noProof/>
              </w:rPr>
              <w:t>The role of NHS training in changing beliefs</w:t>
            </w:r>
            <w:r>
              <w:rPr>
                <w:noProof/>
                <w:webHidden/>
              </w:rPr>
              <w:tab/>
            </w:r>
            <w:r>
              <w:rPr>
                <w:noProof/>
                <w:webHidden/>
              </w:rPr>
              <w:fldChar w:fldCharType="begin"/>
            </w:r>
            <w:r>
              <w:rPr>
                <w:noProof/>
                <w:webHidden/>
              </w:rPr>
              <w:instrText xml:space="preserve"> PAGEREF _Toc86417407 \h </w:instrText>
            </w:r>
            <w:r>
              <w:rPr>
                <w:noProof/>
                <w:webHidden/>
              </w:rPr>
            </w:r>
            <w:r>
              <w:rPr>
                <w:noProof/>
                <w:webHidden/>
              </w:rPr>
              <w:fldChar w:fldCharType="separate"/>
            </w:r>
            <w:r w:rsidR="00C836FC">
              <w:rPr>
                <w:noProof/>
                <w:webHidden/>
              </w:rPr>
              <w:t>213</w:t>
            </w:r>
            <w:r>
              <w:rPr>
                <w:noProof/>
                <w:webHidden/>
              </w:rPr>
              <w:fldChar w:fldCharType="end"/>
            </w:r>
          </w:hyperlink>
        </w:p>
        <w:p w14:paraId="38D66472" w14:textId="5A4DA336" w:rsidR="005A5E65" w:rsidRDefault="005A5E65">
          <w:pPr>
            <w:pStyle w:val="TOC3"/>
            <w:tabs>
              <w:tab w:val="right" w:leader="dot" w:pos="8302"/>
            </w:tabs>
            <w:rPr>
              <w:rFonts w:cstheme="minorBidi"/>
              <w:noProof/>
              <w:lang w:val="en-GB" w:eastAsia="ja-JP"/>
            </w:rPr>
          </w:pPr>
          <w:hyperlink w:anchor="_Toc86417408" w:history="1">
            <w:r w:rsidRPr="00550B49">
              <w:rPr>
                <w:rStyle w:val="Hyperlink"/>
                <w:bCs/>
                <w:noProof/>
              </w:rPr>
              <w:t xml:space="preserve">10.4.2. </w:t>
            </w:r>
            <w:r w:rsidRPr="00550B49">
              <w:rPr>
                <w:rStyle w:val="Hyperlink"/>
                <w:noProof/>
              </w:rPr>
              <w:t>Benefits of training with the age simulation suit</w:t>
            </w:r>
            <w:r>
              <w:rPr>
                <w:noProof/>
                <w:webHidden/>
              </w:rPr>
              <w:tab/>
            </w:r>
            <w:r>
              <w:rPr>
                <w:noProof/>
                <w:webHidden/>
              </w:rPr>
              <w:fldChar w:fldCharType="begin"/>
            </w:r>
            <w:r>
              <w:rPr>
                <w:noProof/>
                <w:webHidden/>
              </w:rPr>
              <w:instrText xml:space="preserve"> PAGEREF _Toc86417408 \h </w:instrText>
            </w:r>
            <w:r>
              <w:rPr>
                <w:noProof/>
                <w:webHidden/>
              </w:rPr>
            </w:r>
            <w:r>
              <w:rPr>
                <w:noProof/>
                <w:webHidden/>
              </w:rPr>
              <w:fldChar w:fldCharType="separate"/>
            </w:r>
            <w:r w:rsidR="00C836FC">
              <w:rPr>
                <w:noProof/>
                <w:webHidden/>
              </w:rPr>
              <w:t>215</w:t>
            </w:r>
            <w:r>
              <w:rPr>
                <w:noProof/>
                <w:webHidden/>
              </w:rPr>
              <w:fldChar w:fldCharType="end"/>
            </w:r>
          </w:hyperlink>
        </w:p>
        <w:p w14:paraId="13D8408F" w14:textId="63DA1604" w:rsidR="005A5E65" w:rsidRDefault="005A5E65">
          <w:pPr>
            <w:pStyle w:val="TOC2"/>
            <w:tabs>
              <w:tab w:val="right" w:leader="dot" w:pos="8302"/>
            </w:tabs>
            <w:rPr>
              <w:rFonts w:cstheme="minorBidi"/>
              <w:noProof/>
              <w:lang w:val="en-GB" w:eastAsia="ja-JP"/>
            </w:rPr>
          </w:pPr>
          <w:hyperlink w:anchor="_Toc86417409" w:history="1">
            <w:r w:rsidRPr="00550B49">
              <w:rPr>
                <w:rStyle w:val="Hyperlink"/>
                <w:noProof/>
              </w:rPr>
              <w:t>10.5. Influence of cultural beliefs and values on care work</w:t>
            </w:r>
            <w:r>
              <w:rPr>
                <w:noProof/>
                <w:webHidden/>
              </w:rPr>
              <w:tab/>
            </w:r>
            <w:r>
              <w:rPr>
                <w:noProof/>
                <w:webHidden/>
              </w:rPr>
              <w:fldChar w:fldCharType="begin"/>
            </w:r>
            <w:r>
              <w:rPr>
                <w:noProof/>
                <w:webHidden/>
              </w:rPr>
              <w:instrText xml:space="preserve"> PAGEREF _Toc86417409 \h </w:instrText>
            </w:r>
            <w:r>
              <w:rPr>
                <w:noProof/>
                <w:webHidden/>
              </w:rPr>
            </w:r>
            <w:r>
              <w:rPr>
                <w:noProof/>
                <w:webHidden/>
              </w:rPr>
              <w:fldChar w:fldCharType="separate"/>
            </w:r>
            <w:r w:rsidR="00C836FC">
              <w:rPr>
                <w:noProof/>
                <w:webHidden/>
              </w:rPr>
              <w:t>217</w:t>
            </w:r>
            <w:r>
              <w:rPr>
                <w:noProof/>
                <w:webHidden/>
              </w:rPr>
              <w:fldChar w:fldCharType="end"/>
            </w:r>
          </w:hyperlink>
        </w:p>
        <w:p w14:paraId="6A316AF0" w14:textId="45A4E0F2" w:rsidR="005A5E65" w:rsidRDefault="005A5E65">
          <w:pPr>
            <w:pStyle w:val="TOC3"/>
            <w:tabs>
              <w:tab w:val="right" w:leader="dot" w:pos="8302"/>
            </w:tabs>
            <w:rPr>
              <w:rFonts w:cstheme="minorBidi"/>
              <w:noProof/>
              <w:lang w:val="en-GB" w:eastAsia="ja-JP"/>
            </w:rPr>
          </w:pPr>
          <w:hyperlink w:anchor="_Toc86417410" w:history="1">
            <w:r w:rsidRPr="00550B49">
              <w:rPr>
                <w:rStyle w:val="Hyperlink"/>
                <w:noProof/>
              </w:rPr>
              <w:t>10.5.1. Influence of previous beliefs and understanding of dementia on care work</w:t>
            </w:r>
            <w:r>
              <w:rPr>
                <w:noProof/>
                <w:webHidden/>
              </w:rPr>
              <w:tab/>
            </w:r>
            <w:r>
              <w:rPr>
                <w:noProof/>
                <w:webHidden/>
              </w:rPr>
              <w:fldChar w:fldCharType="begin"/>
            </w:r>
            <w:r>
              <w:rPr>
                <w:noProof/>
                <w:webHidden/>
              </w:rPr>
              <w:instrText xml:space="preserve"> PAGEREF _Toc86417410 \h </w:instrText>
            </w:r>
            <w:r>
              <w:rPr>
                <w:noProof/>
                <w:webHidden/>
              </w:rPr>
            </w:r>
            <w:r>
              <w:rPr>
                <w:noProof/>
                <w:webHidden/>
              </w:rPr>
              <w:fldChar w:fldCharType="separate"/>
            </w:r>
            <w:r w:rsidR="00C836FC">
              <w:rPr>
                <w:noProof/>
                <w:webHidden/>
              </w:rPr>
              <w:t>217</w:t>
            </w:r>
            <w:r>
              <w:rPr>
                <w:noProof/>
                <w:webHidden/>
              </w:rPr>
              <w:fldChar w:fldCharType="end"/>
            </w:r>
          </w:hyperlink>
        </w:p>
        <w:p w14:paraId="04E073D9" w14:textId="4E28E687" w:rsidR="005A5E65" w:rsidRDefault="005A5E65">
          <w:pPr>
            <w:pStyle w:val="TOC3"/>
            <w:tabs>
              <w:tab w:val="right" w:leader="dot" w:pos="8302"/>
            </w:tabs>
            <w:rPr>
              <w:rFonts w:cstheme="minorBidi"/>
              <w:noProof/>
              <w:lang w:val="en-GB" w:eastAsia="ja-JP"/>
            </w:rPr>
          </w:pPr>
          <w:hyperlink w:anchor="_Toc86417411" w:history="1">
            <w:r w:rsidRPr="00550B49">
              <w:rPr>
                <w:rStyle w:val="Hyperlink"/>
                <w:noProof/>
              </w:rPr>
              <w:t>10.5.2. Influence of current understanding of dementia on care work</w:t>
            </w:r>
            <w:r>
              <w:rPr>
                <w:noProof/>
                <w:webHidden/>
              </w:rPr>
              <w:tab/>
            </w:r>
            <w:r>
              <w:rPr>
                <w:noProof/>
                <w:webHidden/>
              </w:rPr>
              <w:fldChar w:fldCharType="begin"/>
            </w:r>
            <w:r>
              <w:rPr>
                <w:noProof/>
                <w:webHidden/>
              </w:rPr>
              <w:instrText xml:space="preserve"> PAGEREF _Toc86417411 \h </w:instrText>
            </w:r>
            <w:r>
              <w:rPr>
                <w:noProof/>
                <w:webHidden/>
              </w:rPr>
            </w:r>
            <w:r>
              <w:rPr>
                <w:noProof/>
                <w:webHidden/>
              </w:rPr>
              <w:fldChar w:fldCharType="separate"/>
            </w:r>
            <w:r w:rsidR="00C836FC">
              <w:rPr>
                <w:noProof/>
                <w:webHidden/>
              </w:rPr>
              <w:t>218</w:t>
            </w:r>
            <w:r>
              <w:rPr>
                <w:noProof/>
                <w:webHidden/>
              </w:rPr>
              <w:fldChar w:fldCharType="end"/>
            </w:r>
          </w:hyperlink>
        </w:p>
        <w:p w14:paraId="31C90C92" w14:textId="07C818C7" w:rsidR="005A5E65" w:rsidRDefault="005A5E65">
          <w:pPr>
            <w:pStyle w:val="TOC3"/>
            <w:tabs>
              <w:tab w:val="right" w:leader="dot" w:pos="8302"/>
            </w:tabs>
            <w:rPr>
              <w:rFonts w:cstheme="minorBidi"/>
              <w:noProof/>
              <w:lang w:val="en-GB" w:eastAsia="ja-JP"/>
            </w:rPr>
          </w:pPr>
          <w:hyperlink w:anchor="_Toc86417412" w:history="1">
            <w:r w:rsidRPr="00550B49">
              <w:rPr>
                <w:rStyle w:val="Hyperlink"/>
                <w:noProof/>
              </w:rPr>
              <w:t>10.5.3. Influence of cultural values on care work</w:t>
            </w:r>
            <w:r>
              <w:rPr>
                <w:noProof/>
                <w:webHidden/>
              </w:rPr>
              <w:tab/>
            </w:r>
            <w:r>
              <w:rPr>
                <w:noProof/>
                <w:webHidden/>
              </w:rPr>
              <w:fldChar w:fldCharType="begin"/>
            </w:r>
            <w:r>
              <w:rPr>
                <w:noProof/>
                <w:webHidden/>
              </w:rPr>
              <w:instrText xml:space="preserve"> PAGEREF _Toc86417412 \h </w:instrText>
            </w:r>
            <w:r>
              <w:rPr>
                <w:noProof/>
                <w:webHidden/>
              </w:rPr>
            </w:r>
            <w:r>
              <w:rPr>
                <w:noProof/>
                <w:webHidden/>
              </w:rPr>
              <w:fldChar w:fldCharType="separate"/>
            </w:r>
            <w:r w:rsidR="00C836FC">
              <w:rPr>
                <w:noProof/>
                <w:webHidden/>
              </w:rPr>
              <w:t>220</w:t>
            </w:r>
            <w:r>
              <w:rPr>
                <w:noProof/>
                <w:webHidden/>
              </w:rPr>
              <w:fldChar w:fldCharType="end"/>
            </w:r>
          </w:hyperlink>
        </w:p>
        <w:p w14:paraId="08F4147C" w14:textId="09C2A27F" w:rsidR="005A5E65" w:rsidRDefault="005A5E65">
          <w:pPr>
            <w:pStyle w:val="TOC3"/>
            <w:tabs>
              <w:tab w:val="right" w:leader="dot" w:pos="8302"/>
            </w:tabs>
            <w:rPr>
              <w:rFonts w:cstheme="minorBidi"/>
              <w:noProof/>
              <w:lang w:val="en-GB" w:eastAsia="ja-JP"/>
            </w:rPr>
          </w:pPr>
          <w:hyperlink w:anchor="_Toc86417413" w:history="1">
            <w:r w:rsidRPr="00550B49">
              <w:rPr>
                <w:rStyle w:val="Hyperlink"/>
                <w:bCs/>
                <w:noProof/>
              </w:rPr>
              <w:t xml:space="preserve">10.5.4. </w:t>
            </w:r>
            <w:r w:rsidRPr="00550B49">
              <w:rPr>
                <w:rStyle w:val="Hyperlink"/>
                <w:noProof/>
              </w:rPr>
              <w:t>Cultural attitude to body work taboos</w:t>
            </w:r>
            <w:r>
              <w:rPr>
                <w:noProof/>
                <w:webHidden/>
              </w:rPr>
              <w:tab/>
            </w:r>
            <w:r>
              <w:rPr>
                <w:noProof/>
                <w:webHidden/>
              </w:rPr>
              <w:fldChar w:fldCharType="begin"/>
            </w:r>
            <w:r>
              <w:rPr>
                <w:noProof/>
                <w:webHidden/>
              </w:rPr>
              <w:instrText xml:space="preserve"> PAGEREF _Toc86417413 \h </w:instrText>
            </w:r>
            <w:r>
              <w:rPr>
                <w:noProof/>
                <w:webHidden/>
              </w:rPr>
            </w:r>
            <w:r>
              <w:rPr>
                <w:noProof/>
                <w:webHidden/>
              </w:rPr>
              <w:fldChar w:fldCharType="separate"/>
            </w:r>
            <w:r w:rsidR="00C836FC">
              <w:rPr>
                <w:noProof/>
                <w:webHidden/>
              </w:rPr>
              <w:t>221</w:t>
            </w:r>
            <w:r>
              <w:rPr>
                <w:noProof/>
                <w:webHidden/>
              </w:rPr>
              <w:fldChar w:fldCharType="end"/>
            </w:r>
          </w:hyperlink>
        </w:p>
        <w:p w14:paraId="16C28B8D" w14:textId="66766715" w:rsidR="005A5E65" w:rsidRDefault="005A5E65">
          <w:pPr>
            <w:pStyle w:val="TOC2"/>
            <w:tabs>
              <w:tab w:val="right" w:leader="dot" w:pos="8302"/>
            </w:tabs>
            <w:rPr>
              <w:rFonts w:cstheme="minorBidi"/>
              <w:noProof/>
              <w:lang w:val="en-GB" w:eastAsia="ja-JP"/>
            </w:rPr>
          </w:pPr>
          <w:hyperlink w:anchor="_Toc86417414" w:history="1">
            <w:r w:rsidRPr="00550B49">
              <w:rPr>
                <w:rStyle w:val="Hyperlink"/>
                <w:noProof/>
              </w:rPr>
              <w:t>10.6. Discussion</w:t>
            </w:r>
            <w:r>
              <w:rPr>
                <w:noProof/>
                <w:webHidden/>
              </w:rPr>
              <w:tab/>
            </w:r>
            <w:r>
              <w:rPr>
                <w:noProof/>
                <w:webHidden/>
              </w:rPr>
              <w:fldChar w:fldCharType="begin"/>
            </w:r>
            <w:r>
              <w:rPr>
                <w:noProof/>
                <w:webHidden/>
              </w:rPr>
              <w:instrText xml:space="preserve"> PAGEREF _Toc86417414 \h </w:instrText>
            </w:r>
            <w:r>
              <w:rPr>
                <w:noProof/>
                <w:webHidden/>
              </w:rPr>
            </w:r>
            <w:r>
              <w:rPr>
                <w:noProof/>
                <w:webHidden/>
              </w:rPr>
              <w:fldChar w:fldCharType="separate"/>
            </w:r>
            <w:r w:rsidR="00C836FC">
              <w:rPr>
                <w:noProof/>
                <w:webHidden/>
              </w:rPr>
              <w:t>223</w:t>
            </w:r>
            <w:r>
              <w:rPr>
                <w:noProof/>
                <w:webHidden/>
              </w:rPr>
              <w:fldChar w:fldCharType="end"/>
            </w:r>
          </w:hyperlink>
        </w:p>
        <w:p w14:paraId="40706408" w14:textId="08C6ECDE" w:rsidR="005A5E65" w:rsidRDefault="005A5E65">
          <w:pPr>
            <w:pStyle w:val="TOC2"/>
            <w:tabs>
              <w:tab w:val="right" w:leader="dot" w:pos="8302"/>
            </w:tabs>
            <w:rPr>
              <w:rFonts w:cstheme="minorBidi"/>
              <w:noProof/>
              <w:lang w:val="en-GB" w:eastAsia="ja-JP"/>
            </w:rPr>
          </w:pPr>
          <w:hyperlink w:anchor="_Toc86417415" w:history="1">
            <w:r w:rsidRPr="00550B49">
              <w:rPr>
                <w:rStyle w:val="Hyperlink"/>
                <w:noProof/>
              </w:rPr>
              <w:t>10.7. Summary</w:t>
            </w:r>
            <w:r>
              <w:rPr>
                <w:noProof/>
                <w:webHidden/>
              </w:rPr>
              <w:tab/>
            </w:r>
            <w:r>
              <w:rPr>
                <w:noProof/>
                <w:webHidden/>
              </w:rPr>
              <w:fldChar w:fldCharType="begin"/>
            </w:r>
            <w:r>
              <w:rPr>
                <w:noProof/>
                <w:webHidden/>
              </w:rPr>
              <w:instrText xml:space="preserve"> PAGEREF _Toc86417415 \h </w:instrText>
            </w:r>
            <w:r>
              <w:rPr>
                <w:noProof/>
                <w:webHidden/>
              </w:rPr>
            </w:r>
            <w:r>
              <w:rPr>
                <w:noProof/>
                <w:webHidden/>
              </w:rPr>
              <w:fldChar w:fldCharType="separate"/>
            </w:r>
            <w:r w:rsidR="00C836FC">
              <w:rPr>
                <w:noProof/>
                <w:webHidden/>
              </w:rPr>
              <w:t>230</w:t>
            </w:r>
            <w:r>
              <w:rPr>
                <w:noProof/>
                <w:webHidden/>
              </w:rPr>
              <w:fldChar w:fldCharType="end"/>
            </w:r>
          </w:hyperlink>
        </w:p>
        <w:p w14:paraId="32BA6F82" w14:textId="246165E2" w:rsidR="005A5E65" w:rsidRDefault="005A5E65">
          <w:pPr>
            <w:pStyle w:val="TOC1"/>
            <w:tabs>
              <w:tab w:val="right" w:leader="dot" w:pos="8302"/>
            </w:tabs>
            <w:rPr>
              <w:rFonts w:cstheme="minorBidi"/>
              <w:noProof/>
              <w:lang w:val="en-GB" w:eastAsia="ja-JP"/>
            </w:rPr>
          </w:pPr>
          <w:hyperlink w:anchor="_Toc86417416" w:history="1">
            <w:r w:rsidRPr="00550B49">
              <w:rPr>
                <w:rStyle w:val="Hyperlink"/>
                <w:noProof/>
              </w:rPr>
              <w:t>CHAPTER ELEVEN</w:t>
            </w:r>
            <w:r>
              <w:rPr>
                <w:noProof/>
                <w:webHidden/>
              </w:rPr>
              <w:tab/>
            </w:r>
            <w:r>
              <w:rPr>
                <w:noProof/>
                <w:webHidden/>
              </w:rPr>
              <w:fldChar w:fldCharType="begin"/>
            </w:r>
            <w:r>
              <w:rPr>
                <w:noProof/>
                <w:webHidden/>
              </w:rPr>
              <w:instrText xml:space="preserve"> PAGEREF _Toc86417416 \h </w:instrText>
            </w:r>
            <w:r>
              <w:rPr>
                <w:noProof/>
                <w:webHidden/>
              </w:rPr>
            </w:r>
            <w:r>
              <w:rPr>
                <w:noProof/>
                <w:webHidden/>
              </w:rPr>
              <w:fldChar w:fldCharType="separate"/>
            </w:r>
            <w:r w:rsidR="00C836FC">
              <w:rPr>
                <w:noProof/>
                <w:webHidden/>
              </w:rPr>
              <w:t>231</w:t>
            </w:r>
            <w:r>
              <w:rPr>
                <w:noProof/>
                <w:webHidden/>
              </w:rPr>
              <w:fldChar w:fldCharType="end"/>
            </w:r>
          </w:hyperlink>
        </w:p>
        <w:p w14:paraId="35549795" w14:textId="38D92B36" w:rsidR="005A5E65" w:rsidRDefault="005A5E65">
          <w:pPr>
            <w:pStyle w:val="TOC2"/>
            <w:tabs>
              <w:tab w:val="right" w:leader="dot" w:pos="8302"/>
            </w:tabs>
            <w:rPr>
              <w:rFonts w:cstheme="minorBidi"/>
              <w:noProof/>
              <w:lang w:val="en-GB" w:eastAsia="ja-JP"/>
            </w:rPr>
          </w:pPr>
          <w:hyperlink w:anchor="_Toc86417417" w:history="1">
            <w:r w:rsidRPr="00550B49">
              <w:rPr>
                <w:rStyle w:val="Hyperlink"/>
                <w:noProof/>
              </w:rPr>
              <w:t>11.1. Introduction</w:t>
            </w:r>
            <w:r>
              <w:rPr>
                <w:noProof/>
                <w:webHidden/>
              </w:rPr>
              <w:tab/>
            </w:r>
            <w:r>
              <w:rPr>
                <w:noProof/>
                <w:webHidden/>
              </w:rPr>
              <w:fldChar w:fldCharType="begin"/>
            </w:r>
            <w:r>
              <w:rPr>
                <w:noProof/>
                <w:webHidden/>
              </w:rPr>
              <w:instrText xml:space="preserve"> PAGEREF _Toc86417417 \h </w:instrText>
            </w:r>
            <w:r>
              <w:rPr>
                <w:noProof/>
                <w:webHidden/>
              </w:rPr>
            </w:r>
            <w:r>
              <w:rPr>
                <w:noProof/>
                <w:webHidden/>
              </w:rPr>
              <w:fldChar w:fldCharType="separate"/>
            </w:r>
            <w:r w:rsidR="00C836FC">
              <w:rPr>
                <w:noProof/>
                <w:webHidden/>
              </w:rPr>
              <w:t>231</w:t>
            </w:r>
            <w:r>
              <w:rPr>
                <w:noProof/>
                <w:webHidden/>
              </w:rPr>
              <w:fldChar w:fldCharType="end"/>
            </w:r>
          </w:hyperlink>
        </w:p>
        <w:p w14:paraId="0948024E" w14:textId="1ABE9ECC" w:rsidR="005A5E65" w:rsidRDefault="005A5E65">
          <w:pPr>
            <w:pStyle w:val="TOC2"/>
            <w:tabs>
              <w:tab w:val="right" w:leader="dot" w:pos="8302"/>
            </w:tabs>
            <w:rPr>
              <w:rFonts w:cstheme="minorBidi"/>
              <w:noProof/>
              <w:lang w:val="en-GB" w:eastAsia="ja-JP"/>
            </w:rPr>
          </w:pPr>
          <w:hyperlink w:anchor="_Toc86417418" w:history="1">
            <w:r w:rsidRPr="00550B49">
              <w:rPr>
                <w:rStyle w:val="Hyperlink"/>
                <w:noProof/>
              </w:rPr>
              <w:t>11.2. Aim of the research</w:t>
            </w:r>
            <w:r>
              <w:rPr>
                <w:noProof/>
                <w:webHidden/>
              </w:rPr>
              <w:tab/>
            </w:r>
            <w:r>
              <w:rPr>
                <w:noProof/>
                <w:webHidden/>
              </w:rPr>
              <w:fldChar w:fldCharType="begin"/>
            </w:r>
            <w:r>
              <w:rPr>
                <w:noProof/>
                <w:webHidden/>
              </w:rPr>
              <w:instrText xml:space="preserve"> PAGEREF _Toc86417418 \h </w:instrText>
            </w:r>
            <w:r>
              <w:rPr>
                <w:noProof/>
                <w:webHidden/>
              </w:rPr>
            </w:r>
            <w:r>
              <w:rPr>
                <w:noProof/>
                <w:webHidden/>
              </w:rPr>
              <w:fldChar w:fldCharType="separate"/>
            </w:r>
            <w:r w:rsidR="00C836FC">
              <w:rPr>
                <w:noProof/>
                <w:webHidden/>
              </w:rPr>
              <w:t>231</w:t>
            </w:r>
            <w:r>
              <w:rPr>
                <w:noProof/>
                <w:webHidden/>
              </w:rPr>
              <w:fldChar w:fldCharType="end"/>
            </w:r>
          </w:hyperlink>
        </w:p>
        <w:p w14:paraId="2A8D0F47" w14:textId="0582C779" w:rsidR="005A5E65" w:rsidRDefault="005A5E65">
          <w:pPr>
            <w:pStyle w:val="TOC2"/>
            <w:tabs>
              <w:tab w:val="right" w:leader="dot" w:pos="8302"/>
            </w:tabs>
            <w:rPr>
              <w:rFonts w:cstheme="minorBidi"/>
              <w:noProof/>
              <w:lang w:val="en-GB" w:eastAsia="ja-JP"/>
            </w:rPr>
          </w:pPr>
          <w:hyperlink w:anchor="_Toc86417419" w:history="1">
            <w:r w:rsidRPr="00550B49">
              <w:rPr>
                <w:rStyle w:val="Hyperlink"/>
                <w:noProof/>
              </w:rPr>
              <w:t>11.3. Objectives of the research and key contributions to knowledge</w:t>
            </w:r>
            <w:r>
              <w:rPr>
                <w:noProof/>
                <w:webHidden/>
              </w:rPr>
              <w:tab/>
            </w:r>
            <w:r>
              <w:rPr>
                <w:noProof/>
                <w:webHidden/>
              </w:rPr>
              <w:fldChar w:fldCharType="begin"/>
            </w:r>
            <w:r>
              <w:rPr>
                <w:noProof/>
                <w:webHidden/>
              </w:rPr>
              <w:instrText xml:space="preserve"> PAGEREF _Toc86417419 \h </w:instrText>
            </w:r>
            <w:r>
              <w:rPr>
                <w:noProof/>
                <w:webHidden/>
              </w:rPr>
            </w:r>
            <w:r>
              <w:rPr>
                <w:noProof/>
                <w:webHidden/>
              </w:rPr>
              <w:fldChar w:fldCharType="separate"/>
            </w:r>
            <w:r w:rsidR="00C836FC">
              <w:rPr>
                <w:noProof/>
                <w:webHidden/>
              </w:rPr>
              <w:t>231</w:t>
            </w:r>
            <w:r>
              <w:rPr>
                <w:noProof/>
                <w:webHidden/>
              </w:rPr>
              <w:fldChar w:fldCharType="end"/>
            </w:r>
          </w:hyperlink>
        </w:p>
        <w:p w14:paraId="008FDF54" w14:textId="647C3D7E" w:rsidR="005A5E65" w:rsidRDefault="005A5E65">
          <w:pPr>
            <w:pStyle w:val="TOC3"/>
            <w:tabs>
              <w:tab w:val="right" w:leader="dot" w:pos="8302"/>
            </w:tabs>
            <w:rPr>
              <w:rFonts w:cstheme="minorBidi"/>
              <w:noProof/>
              <w:lang w:val="en-GB" w:eastAsia="ja-JP"/>
            </w:rPr>
          </w:pPr>
          <w:hyperlink w:anchor="_Toc86417420" w:history="1">
            <w:r w:rsidRPr="00550B49">
              <w:rPr>
                <w:rStyle w:val="Hyperlink"/>
                <w:noProof/>
              </w:rPr>
              <w:t>(a) Examine what motivates Nigerian migrant nurses and HCA to assume and remain in their role of caring for PLWD.</w:t>
            </w:r>
            <w:r>
              <w:rPr>
                <w:noProof/>
                <w:webHidden/>
              </w:rPr>
              <w:tab/>
            </w:r>
            <w:r>
              <w:rPr>
                <w:noProof/>
                <w:webHidden/>
              </w:rPr>
              <w:fldChar w:fldCharType="begin"/>
            </w:r>
            <w:r>
              <w:rPr>
                <w:noProof/>
                <w:webHidden/>
              </w:rPr>
              <w:instrText xml:space="preserve"> PAGEREF _Toc86417420 \h </w:instrText>
            </w:r>
            <w:r>
              <w:rPr>
                <w:noProof/>
                <w:webHidden/>
              </w:rPr>
            </w:r>
            <w:r>
              <w:rPr>
                <w:noProof/>
                <w:webHidden/>
              </w:rPr>
              <w:fldChar w:fldCharType="separate"/>
            </w:r>
            <w:r w:rsidR="00C836FC">
              <w:rPr>
                <w:noProof/>
                <w:webHidden/>
              </w:rPr>
              <w:t>231</w:t>
            </w:r>
            <w:r>
              <w:rPr>
                <w:noProof/>
                <w:webHidden/>
              </w:rPr>
              <w:fldChar w:fldCharType="end"/>
            </w:r>
          </w:hyperlink>
        </w:p>
        <w:p w14:paraId="2A774666" w14:textId="4EB7190D" w:rsidR="005A5E65" w:rsidRDefault="005A5E65">
          <w:pPr>
            <w:pStyle w:val="TOC3"/>
            <w:tabs>
              <w:tab w:val="right" w:leader="dot" w:pos="8302"/>
            </w:tabs>
            <w:rPr>
              <w:rFonts w:cstheme="minorBidi"/>
              <w:noProof/>
              <w:lang w:val="en-GB" w:eastAsia="ja-JP"/>
            </w:rPr>
          </w:pPr>
          <w:hyperlink w:anchor="_Toc86417421" w:history="1">
            <w:r w:rsidRPr="00550B49">
              <w:rPr>
                <w:rStyle w:val="Hyperlink"/>
                <w:noProof/>
              </w:rPr>
              <w:t>(b) Understand how Nigerian migrant HCAs and nurses embrace or adapt to the challenges associated with caring for PLWD and the coping strategies they employ.</w:t>
            </w:r>
            <w:r>
              <w:rPr>
                <w:noProof/>
                <w:webHidden/>
              </w:rPr>
              <w:tab/>
            </w:r>
            <w:r>
              <w:rPr>
                <w:noProof/>
                <w:webHidden/>
              </w:rPr>
              <w:fldChar w:fldCharType="begin"/>
            </w:r>
            <w:r>
              <w:rPr>
                <w:noProof/>
                <w:webHidden/>
              </w:rPr>
              <w:instrText xml:space="preserve"> PAGEREF _Toc86417421 \h </w:instrText>
            </w:r>
            <w:r>
              <w:rPr>
                <w:noProof/>
                <w:webHidden/>
              </w:rPr>
            </w:r>
            <w:r>
              <w:rPr>
                <w:noProof/>
                <w:webHidden/>
              </w:rPr>
              <w:fldChar w:fldCharType="separate"/>
            </w:r>
            <w:r w:rsidR="00C836FC">
              <w:rPr>
                <w:noProof/>
                <w:webHidden/>
              </w:rPr>
              <w:t>237</w:t>
            </w:r>
            <w:r>
              <w:rPr>
                <w:noProof/>
                <w:webHidden/>
              </w:rPr>
              <w:fldChar w:fldCharType="end"/>
            </w:r>
          </w:hyperlink>
        </w:p>
        <w:p w14:paraId="3CD48954" w14:textId="420DF97D" w:rsidR="005A5E65" w:rsidRDefault="005A5E65">
          <w:pPr>
            <w:pStyle w:val="TOC3"/>
            <w:tabs>
              <w:tab w:val="right" w:leader="dot" w:pos="8302"/>
            </w:tabs>
            <w:rPr>
              <w:rFonts w:cstheme="minorBidi"/>
              <w:noProof/>
              <w:lang w:val="en-GB" w:eastAsia="ja-JP"/>
            </w:rPr>
          </w:pPr>
          <w:hyperlink w:anchor="_Toc86417422" w:history="1">
            <w:r w:rsidRPr="00550B49">
              <w:rPr>
                <w:rStyle w:val="Hyperlink"/>
                <w:noProof/>
              </w:rPr>
              <w:t>(c) Identify what common cultural beliefs about dementia are held by Nigerian migrant HCAs and nurses and examine how the identified cultural beliefs influence their care for PLWD.</w:t>
            </w:r>
            <w:r>
              <w:rPr>
                <w:noProof/>
                <w:webHidden/>
              </w:rPr>
              <w:tab/>
            </w:r>
            <w:r>
              <w:rPr>
                <w:noProof/>
                <w:webHidden/>
              </w:rPr>
              <w:fldChar w:fldCharType="begin"/>
            </w:r>
            <w:r>
              <w:rPr>
                <w:noProof/>
                <w:webHidden/>
              </w:rPr>
              <w:instrText xml:space="preserve"> PAGEREF _Toc86417422 \h </w:instrText>
            </w:r>
            <w:r>
              <w:rPr>
                <w:noProof/>
                <w:webHidden/>
              </w:rPr>
            </w:r>
            <w:r>
              <w:rPr>
                <w:noProof/>
                <w:webHidden/>
              </w:rPr>
              <w:fldChar w:fldCharType="separate"/>
            </w:r>
            <w:r w:rsidR="00C836FC">
              <w:rPr>
                <w:noProof/>
                <w:webHidden/>
              </w:rPr>
              <w:t>243</w:t>
            </w:r>
            <w:r>
              <w:rPr>
                <w:noProof/>
                <w:webHidden/>
              </w:rPr>
              <w:fldChar w:fldCharType="end"/>
            </w:r>
          </w:hyperlink>
        </w:p>
        <w:p w14:paraId="40A52B6D" w14:textId="18A3A022" w:rsidR="005A5E65" w:rsidRDefault="005A5E65">
          <w:pPr>
            <w:pStyle w:val="TOC3"/>
            <w:tabs>
              <w:tab w:val="right" w:leader="dot" w:pos="8302"/>
            </w:tabs>
            <w:rPr>
              <w:rFonts w:cstheme="minorBidi"/>
              <w:noProof/>
              <w:lang w:val="en-GB" w:eastAsia="ja-JP"/>
            </w:rPr>
          </w:pPr>
          <w:hyperlink w:anchor="_Toc86417423" w:history="1">
            <w:r w:rsidRPr="00550B49">
              <w:rPr>
                <w:rStyle w:val="Hyperlink"/>
                <w:noProof/>
              </w:rPr>
              <w:t>(d) Explore how the participants’ cultural beliefs and values shape their overall experience of dementia caregiving.</w:t>
            </w:r>
            <w:r>
              <w:rPr>
                <w:noProof/>
                <w:webHidden/>
              </w:rPr>
              <w:tab/>
            </w:r>
            <w:r>
              <w:rPr>
                <w:noProof/>
                <w:webHidden/>
              </w:rPr>
              <w:fldChar w:fldCharType="begin"/>
            </w:r>
            <w:r>
              <w:rPr>
                <w:noProof/>
                <w:webHidden/>
              </w:rPr>
              <w:instrText xml:space="preserve"> PAGEREF _Toc86417423 \h </w:instrText>
            </w:r>
            <w:r>
              <w:rPr>
                <w:noProof/>
                <w:webHidden/>
              </w:rPr>
            </w:r>
            <w:r>
              <w:rPr>
                <w:noProof/>
                <w:webHidden/>
              </w:rPr>
              <w:fldChar w:fldCharType="separate"/>
            </w:r>
            <w:r w:rsidR="00C836FC">
              <w:rPr>
                <w:noProof/>
                <w:webHidden/>
              </w:rPr>
              <w:t>245</w:t>
            </w:r>
            <w:r>
              <w:rPr>
                <w:noProof/>
                <w:webHidden/>
              </w:rPr>
              <w:fldChar w:fldCharType="end"/>
            </w:r>
          </w:hyperlink>
        </w:p>
        <w:p w14:paraId="1B7FD6E8" w14:textId="1DD90D99" w:rsidR="005A5E65" w:rsidRDefault="005A5E65">
          <w:pPr>
            <w:pStyle w:val="TOC2"/>
            <w:tabs>
              <w:tab w:val="right" w:leader="dot" w:pos="8302"/>
            </w:tabs>
            <w:rPr>
              <w:rFonts w:cstheme="minorBidi"/>
              <w:noProof/>
              <w:lang w:val="en-GB" w:eastAsia="ja-JP"/>
            </w:rPr>
          </w:pPr>
          <w:hyperlink w:anchor="_Toc86417424" w:history="1">
            <w:r w:rsidRPr="00550B49">
              <w:rPr>
                <w:rStyle w:val="Hyperlink"/>
                <w:noProof/>
              </w:rPr>
              <w:t>11.4. Summary contribution</w:t>
            </w:r>
            <w:r>
              <w:rPr>
                <w:noProof/>
                <w:webHidden/>
              </w:rPr>
              <w:tab/>
            </w:r>
            <w:r>
              <w:rPr>
                <w:noProof/>
                <w:webHidden/>
              </w:rPr>
              <w:fldChar w:fldCharType="begin"/>
            </w:r>
            <w:r>
              <w:rPr>
                <w:noProof/>
                <w:webHidden/>
              </w:rPr>
              <w:instrText xml:space="preserve"> PAGEREF _Toc86417424 \h </w:instrText>
            </w:r>
            <w:r>
              <w:rPr>
                <w:noProof/>
                <w:webHidden/>
              </w:rPr>
            </w:r>
            <w:r>
              <w:rPr>
                <w:noProof/>
                <w:webHidden/>
              </w:rPr>
              <w:fldChar w:fldCharType="separate"/>
            </w:r>
            <w:r w:rsidR="00C836FC">
              <w:rPr>
                <w:noProof/>
                <w:webHidden/>
              </w:rPr>
              <w:t>247</w:t>
            </w:r>
            <w:r>
              <w:rPr>
                <w:noProof/>
                <w:webHidden/>
              </w:rPr>
              <w:fldChar w:fldCharType="end"/>
            </w:r>
          </w:hyperlink>
        </w:p>
        <w:p w14:paraId="126441C0" w14:textId="25DE959A" w:rsidR="005A5E65" w:rsidRDefault="005A5E65">
          <w:pPr>
            <w:pStyle w:val="TOC2"/>
            <w:tabs>
              <w:tab w:val="right" w:leader="dot" w:pos="8302"/>
            </w:tabs>
            <w:rPr>
              <w:rFonts w:cstheme="minorBidi"/>
              <w:noProof/>
              <w:lang w:val="en-GB" w:eastAsia="ja-JP"/>
            </w:rPr>
          </w:pPr>
          <w:hyperlink w:anchor="_Toc86417425" w:history="1">
            <w:r w:rsidRPr="00550B49">
              <w:rPr>
                <w:rStyle w:val="Hyperlink"/>
                <w:noProof/>
              </w:rPr>
              <w:t>11.5. Limitations, implications for practice, recommendations, and conclusion</w:t>
            </w:r>
            <w:r>
              <w:rPr>
                <w:noProof/>
                <w:webHidden/>
              </w:rPr>
              <w:tab/>
            </w:r>
            <w:r>
              <w:rPr>
                <w:noProof/>
                <w:webHidden/>
              </w:rPr>
              <w:fldChar w:fldCharType="begin"/>
            </w:r>
            <w:r>
              <w:rPr>
                <w:noProof/>
                <w:webHidden/>
              </w:rPr>
              <w:instrText xml:space="preserve"> PAGEREF _Toc86417425 \h </w:instrText>
            </w:r>
            <w:r>
              <w:rPr>
                <w:noProof/>
                <w:webHidden/>
              </w:rPr>
            </w:r>
            <w:r>
              <w:rPr>
                <w:noProof/>
                <w:webHidden/>
              </w:rPr>
              <w:fldChar w:fldCharType="separate"/>
            </w:r>
            <w:r w:rsidR="00C836FC">
              <w:rPr>
                <w:noProof/>
                <w:webHidden/>
              </w:rPr>
              <w:t>248</w:t>
            </w:r>
            <w:r>
              <w:rPr>
                <w:noProof/>
                <w:webHidden/>
              </w:rPr>
              <w:fldChar w:fldCharType="end"/>
            </w:r>
          </w:hyperlink>
        </w:p>
        <w:p w14:paraId="2B3B1075" w14:textId="026CFD45" w:rsidR="005A5E65" w:rsidRDefault="005A5E65">
          <w:pPr>
            <w:pStyle w:val="TOC3"/>
            <w:tabs>
              <w:tab w:val="right" w:leader="dot" w:pos="8302"/>
            </w:tabs>
            <w:rPr>
              <w:rFonts w:cstheme="minorBidi"/>
              <w:noProof/>
              <w:lang w:val="en-GB" w:eastAsia="ja-JP"/>
            </w:rPr>
          </w:pPr>
          <w:hyperlink w:anchor="_Toc86417426" w:history="1">
            <w:r w:rsidRPr="00550B49">
              <w:rPr>
                <w:rStyle w:val="Hyperlink"/>
                <w:noProof/>
              </w:rPr>
              <w:t>11.5.1. Limitations</w:t>
            </w:r>
            <w:r>
              <w:rPr>
                <w:noProof/>
                <w:webHidden/>
              </w:rPr>
              <w:tab/>
            </w:r>
            <w:r>
              <w:rPr>
                <w:noProof/>
                <w:webHidden/>
              </w:rPr>
              <w:fldChar w:fldCharType="begin"/>
            </w:r>
            <w:r>
              <w:rPr>
                <w:noProof/>
                <w:webHidden/>
              </w:rPr>
              <w:instrText xml:space="preserve"> PAGEREF _Toc86417426 \h </w:instrText>
            </w:r>
            <w:r>
              <w:rPr>
                <w:noProof/>
                <w:webHidden/>
              </w:rPr>
            </w:r>
            <w:r>
              <w:rPr>
                <w:noProof/>
                <w:webHidden/>
              </w:rPr>
              <w:fldChar w:fldCharType="separate"/>
            </w:r>
            <w:r w:rsidR="00C836FC">
              <w:rPr>
                <w:noProof/>
                <w:webHidden/>
              </w:rPr>
              <w:t>248</w:t>
            </w:r>
            <w:r>
              <w:rPr>
                <w:noProof/>
                <w:webHidden/>
              </w:rPr>
              <w:fldChar w:fldCharType="end"/>
            </w:r>
          </w:hyperlink>
        </w:p>
        <w:p w14:paraId="13F32AB4" w14:textId="012F57F7" w:rsidR="005A5E65" w:rsidRDefault="005A5E65">
          <w:pPr>
            <w:pStyle w:val="TOC3"/>
            <w:tabs>
              <w:tab w:val="right" w:leader="dot" w:pos="8302"/>
            </w:tabs>
            <w:rPr>
              <w:rFonts w:cstheme="minorBidi"/>
              <w:noProof/>
              <w:lang w:val="en-GB" w:eastAsia="ja-JP"/>
            </w:rPr>
          </w:pPr>
          <w:hyperlink w:anchor="_Toc86417427" w:history="1">
            <w:r w:rsidRPr="00550B49">
              <w:rPr>
                <w:rStyle w:val="Hyperlink"/>
                <w:noProof/>
              </w:rPr>
              <w:t>11.5.2. Implications for practice</w:t>
            </w:r>
            <w:r>
              <w:rPr>
                <w:noProof/>
                <w:webHidden/>
              </w:rPr>
              <w:tab/>
            </w:r>
            <w:r>
              <w:rPr>
                <w:noProof/>
                <w:webHidden/>
              </w:rPr>
              <w:fldChar w:fldCharType="begin"/>
            </w:r>
            <w:r>
              <w:rPr>
                <w:noProof/>
                <w:webHidden/>
              </w:rPr>
              <w:instrText xml:space="preserve"> PAGEREF _Toc86417427 \h </w:instrText>
            </w:r>
            <w:r>
              <w:rPr>
                <w:noProof/>
                <w:webHidden/>
              </w:rPr>
            </w:r>
            <w:r>
              <w:rPr>
                <w:noProof/>
                <w:webHidden/>
              </w:rPr>
              <w:fldChar w:fldCharType="separate"/>
            </w:r>
            <w:r w:rsidR="00C836FC">
              <w:rPr>
                <w:noProof/>
                <w:webHidden/>
              </w:rPr>
              <w:t>250</w:t>
            </w:r>
            <w:r>
              <w:rPr>
                <w:noProof/>
                <w:webHidden/>
              </w:rPr>
              <w:fldChar w:fldCharType="end"/>
            </w:r>
          </w:hyperlink>
        </w:p>
        <w:p w14:paraId="72B9F8D4" w14:textId="27896EDE" w:rsidR="005A5E65" w:rsidRDefault="005A5E65">
          <w:pPr>
            <w:pStyle w:val="TOC3"/>
            <w:tabs>
              <w:tab w:val="right" w:leader="dot" w:pos="8302"/>
            </w:tabs>
            <w:rPr>
              <w:rFonts w:cstheme="minorBidi"/>
              <w:noProof/>
              <w:lang w:val="en-GB" w:eastAsia="ja-JP"/>
            </w:rPr>
          </w:pPr>
          <w:hyperlink w:anchor="_Toc86417428" w:history="1">
            <w:r w:rsidRPr="00550B49">
              <w:rPr>
                <w:rStyle w:val="Hyperlink"/>
                <w:noProof/>
              </w:rPr>
              <w:t>11.5.3. Recommendations for future research</w:t>
            </w:r>
            <w:r>
              <w:rPr>
                <w:noProof/>
                <w:webHidden/>
              </w:rPr>
              <w:tab/>
            </w:r>
            <w:r>
              <w:rPr>
                <w:noProof/>
                <w:webHidden/>
              </w:rPr>
              <w:fldChar w:fldCharType="begin"/>
            </w:r>
            <w:r>
              <w:rPr>
                <w:noProof/>
                <w:webHidden/>
              </w:rPr>
              <w:instrText xml:space="preserve"> PAGEREF _Toc86417428 \h </w:instrText>
            </w:r>
            <w:r>
              <w:rPr>
                <w:noProof/>
                <w:webHidden/>
              </w:rPr>
            </w:r>
            <w:r>
              <w:rPr>
                <w:noProof/>
                <w:webHidden/>
              </w:rPr>
              <w:fldChar w:fldCharType="separate"/>
            </w:r>
            <w:r w:rsidR="00C836FC">
              <w:rPr>
                <w:noProof/>
                <w:webHidden/>
              </w:rPr>
              <w:t>251</w:t>
            </w:r>
            <w:r>
              <w:rPr>
                <w:noProof/>
                <w:webHidden/>
              </w:rPr>
              <w:fldChar w:fldCharType="end"/>
            </w:r>
          </w:hyperlink>
        </w:p>
        <w:p w14:paraId="638BDB1E" w14:textId="65DDC7BE" w:rsidR="005A5E65" w:rsidRDefault="005A5E65">
          <w:pPr>
            <w:pStyle w:val="TOC3"/>
            <w:tabs>
              <w:tab w:val="right" w:leader="dot" w:pos="8302"/>
            </w:tabs>
            <w:rPr>
              <w:rFonts w:cstheme="minorBidi"/>
              <w:noProof/>
              <w:lang w:val="en-GB" w:eastAsia="ja-JP"/>
            </w:rPr>
          </w:pPr>
          <w:hyperlink w:anchor="_Toc86417429" w:history="1">
            <w:r w:rsidRPr="00550B49">
              <w:rPr>
                <w:rStyle w:val="Hyperlink"/>
                <w:noProof/>
              </w:rPr>
              <w:t>11.5.4. Conclusion</w:t>
            </w:r>
            <w:r>
              <w:rPr>
                <w:noProof/>
                <w:webHidden/>
              </w:rPr>
              <w:tab/>
            </w:r>
            <w:r>
              <w:rPr>
                <w:noProof/>
                <w:webHidden/>
              </w:rPr>
              <w:fldChar w:fldCharType="begin"/>
            </w:r>
            <w:r>
              <w:rPr>
                <w:noProof/>
                <w:webHidden/>
              </w:rPr>
              <w:instrText xml:space="preserve"> PAGEREF _Toc86417429 \h </w:instrText>
            </w:r>
            <w:r>
              <w:rPr>
                <w:noProof/>
                <w:webHidden/>
              </w:rPr>
            </w:r>
            <w:r>
              <w:rPr>
                <w:noProof/>
                <w:webHidden/>
              </w:rPr>
              <w:fldChar w:fldCharType="separate"/>
            </w:r>
            <w:r w:rsidR="00C836FC">
              <w:rPr>
                <w:noProof/>
                <w:webHidden/>
              </w:rPr>
              <w:t>251</w:t>
            </w:r>
            <w:r>
              <w:rPr>
                <w:noProof/>
                <w:webHidden/>
              </w:rPr>
              <w:fldChar w:fldCharType="end"/>
            </w:r>
          </w:hyperlink>
        </w:p>
        <w:p w14:paraId="076202B7" w14:textId="4B889789" w:rsidR="005A5E65" w:rsidRDefault="005A5E65">
          <w:pPr>
            <w:pStyle w:val="TOC1"/>
            <w:tabs>
              <w:tab w:val="right" w:leader="dot" w:pos="8302"/>
            </w:tabs>
            <w:rPr>
              <w:rFonts w:cstheme="minorBidi"/>
              <w:noProof/>
              <w:lang w:val="en-GB" w:eastAsia="ja-JP"/>
            </w:rPr>
          </w:pPr>
          <w:hyperlink w:anchor="_Toc86417430" w:history="1">
            <w:r w:rsidRPr="00550B49">
              <w:rPr>
                <w:rStyle w:val="Hyperlink"/>
                <w:noProof/>
              </w:rPr>
              <w:t>REFERENCES</w:t>
            </w:r>
            <w:r>
              <w:rPr>
                <w:noProof/>
                <w:webHidden/>
              </w:rPr>
              <w:tab/>
            </w:r>
            <w:r>
              <w:rPr>
                <w:noProof/>
                <w:webHidden/>
              </w:rPr>
              <w:fldChar w:fldCharType="begin"/>
            </w:r>
            <w:r>
              <w:rPr>
                <w:noProof/>
                <w:webHidden/>
              </w:rPr>
              <w:instrText xml:space="preserve"> PAGEREF _Toc86417430 \h </w:instrText>
            </w:r>
            <w:r>
              <w:rPr>
                <w:noProof/>
                <w:webHidden/>
              </w:rPr>
            </w:r>
            <w:r>
              <w:rPr>
                <w:noProof/>
                <w:webHidden/>
              </w:rPr>
              <w:fldChar w:fldCharType="separate"/>
            </w:r>
            <w:r w:rsidR="00C836FC">
              <w:rPr>
                <w:noProof/>
                <w:webHidden/>
              </w:rPr>
              <w:t>253</w:t>
            </w:r>
            <w:r>
              <w:rPr>
                <w:noProof/>
                <w:webHidden/>
              </w:rPr>
              <w:fldChar w:fldCharType="end"/>
            </w:r>
          </w:hyperlink>
        </w:p>
        <w:p w14:paraId="560EE0C6" w14:textId="38476B26" w:rsidR="005A5E65" w:rsidRDefault="005A5E65">
          <w:pPr>
            <w:pStyle w:val="TOC1"/>
            <w:tabs>
              <w:tab w:val="right" w:leader="dot" w:pos="8302"/>
            </w:tabs>
            <w:rPr>
              <w:rFonts w:cstheme="minorBidi"/>
              <w:noProof/>
              <w:lang w:val="en-GB" w:eastAsia="ja-JP"/>
            </w:rPr>
          </w:pPr>
          <w:hyperlink w:anchor="_Toc86417431" w:history="1">
            <w:r w:rsidRPr="00550B49">
              <w:rPr>
                <w:rStyle w:val="Hyperlink"/>
                <w:noProof/>
              </w:rPr>
              <w:t>APPENDICES</w:t>
            </w:r>
            <w:r>
              <w:rPr>
                <w:noProof/>
                <w:webHidden/>
              </w:rPr>
              <w:tab/>
            </w:r>
            <w:r>
              <w:rPr>
                <w:noProof/>
                <w:webHidden/>
              </w:rPr>
              <w:fldChar w:fldCharType="begin"/>
            </w:r>
            <w:r>
              <w:rPr>
                <w:noProof/>
                <w:webHidden/>
              </w:rPr>
              <w:instrText xml:space="preserve"> PAGEREF _Toc86417431 \h </w:instrText>
            </w:r>
            <w:r>
              <w:rPr>
                <w:noProof/>
                <w:webHidden/>
              </w:rPr>
            </w:r>
            <w:r>
              <w:rPr>
                <w:noProof/>
                <w:webHidden/>
              </w:rPr>
              <w:fldChar w:fldCharType="separate"/>
            </w:r>
            <w:r w:rsidR="00C836FC">
              <w:rPr>
                <w:noProof/>
                <w:webHidden/>
              </w:rPr>
              <w:t>363</w:t>
            </w:r>
            <w:r>
              <w:rPr>
                <w:noProof/>
                <w:webHidden/>
              </w:rPr>
              <w:fldChar w:fldCharType="end"/>
            </w:r>
          </w:hyperlink>
        </w:p>
        <w:p w14:paraId="13D1F1E9" w14:textId="6E6B4692" w:rsidR="005A5E65" w:rsidRDefault="005A5E65">
          <w:pPr>
            <w:pStyle w:val="TOC2"/>
            <w:tabs>
              <w:tab w:val="right" w:leader="dot" w:pos="8302"/>
            </w:tabs>
            <w:rPr>
              <w:rFonts w:cstheme="minorBidi"/>
              <w:noProof/>
              <w:lang w:val="en-GB" w:eastAsia="ja-JP"/>
            </w:rPr>
          </w:pPr>
          <w:hyperlink w:anchor="_Toc86417432" w:history="1">
            <w:r w:rsidRPr="00550B49">
              <w:rPr>
                <w:rStyle w:val="Hyperlink"/>
                <w:bCs/>
                <w:noProof/>
              </w:rPr>
              <w:t xml:space="preserve">APPENDIX 2.1: </w:t>
            </w:r>
            <w:r w:rsidRPr="00550B49">
              <w:rPr>
                <w:rStyle w:val="Hyperlink"/>
                <w:noProof/>
              </w:rPr>
              <w:t>LITERATURE REVIEW PROCESS AND SCOPE</w:t>
            </w:r>
            <w:r>
              <w:rPr>
                <w:noProof/>
                <w:webHidden/>
              </w:rPr>
              <w:tab/>
            </w:r>
            <w:r>
              <w:rPr>
                <w:noProof/>
                <w:webHidden/>
              </w:rPr>
              <w:fldChar w:fldCharType="begin"/>
            </w:r>
            <w:r>
              <w:rPr>
                <w:noProof/>
                <w:webHidden/>
              </w:rPr>
              <w:instrText xml:space="preserve"> PAGEREF _Toc86417432 \h </w:instrText>
            </w:r>
            <w:r>
              <w:rPr>
                <w:noProof/>
                <w:webHidden/>
              </w:rPr>
            </w:r>
            <w:r>
              <w:rPr>
                <w:noProof/>
                <w:webHidden/>
              </w:rPr>
              <w:fldChar w:fldCharType="separate"/>
            </w:r>
            <w:r w:rsidR="00C836FC">
              <w:rPr>
                <w:noProof/>
                <w:webHidden/>
              </w:rPr>
              <w:t>363</w:t>
            </w:r>
            <w:r>
              <w:rPr>
                <w:noProof/>
                <w:webHidden/>
              </w:rPr>
              <w:fldChar w:fldCharType="end"/>
            </w:r>
          </w:hyperlink>
        </w:p>
        <w:p w14:paraId="783A3349" w14:textId="4174C1B0" w:rsidR="005A5E65" w:rsidRDefault="005A5E65">
          <w:pPr>
            <w:pStyle w:val="TOC2"/>
            <w:tabs>
              <w:tab w:val="right" w:leader="dot" w:pos="8302"/>
            </w:tabs>
            <w:rPr>
              <w:rFonts w:cstheme="minorBidi"/>
              <w:noProof/>
              <w:lang w:val="en-GB" w:eastAsia="ja-JP"/>
            </w:rPr>
          </w:pPr>
          <w:hyperlink w:anchor="_Toc86417433" w:history="1">
            <w:r w:rsidRPr="00550B49">
              <w:rPr>
                <w:rStyle w:val="Hyperlink"/>
                <w:noProof/>
              </w:rPr>
              <w:t>APPENDIX 6.1(A-D): LETTERS OF PERMISSION FROM CHURCHES</w:t>
            </w:r>
            <w:r>
              <w:rPr>
                <w:noProof/>
                <w:webHidden/>
              </w:rPr>
              <w:tab/>
            </w:r>
            <w:r>
              <w:rPr>
                <w:noProof/>
                <w:webHidden/>
              </w:rPr>
              <w:fldChar w:fldCharType="begin"/>
            </w:r>
            <w:r>
              <w:rPr>
                <w:noProof/>
                <w:webHidden/>
              </w:rPr>
              <w:instrText xml:space="preserve"> PAGEREF _Toc86417433 \h </w:instrText>
            </w:r>
            <w:r>
              <w:rPr>
                <w:noProof/>
                <w:webHidden/>
              </w:rPr>
            </w:r>
            <w:r>
              <w:rPr>
                <w:noProof/>
                <w:webHidden/>
              </w:rPr>
              <w:fldChar w:fldCharType="separate"/>
            </w:r>
            <w:r w:rsidR="00C836FC">
              <w:rPr>
                <w:noProof/>
                <w:webHidden/>
              </w:rPr>
              <w:t>364</w:t>
            </w:r>
            <w:r>
              <w:rPr>
                <w:noProof/>
                <w:webHidden/>
              </w:rPr>
              <w:fldChar w:fldCharType="end"/>
            </w:r>
          </w:hyperlink>
        </w:p>
        <w:p w14:paraId="6BCE67D6" w14:textId="630B6AD0" w:rsidR="005A5E65" w:rsidRDefault="005A5E65">
          <w:pPr>
            <w:pStyle w:val="TOC2"/>
            <w:tabs>
              <w:tab w:val="right" w:leader="dot" w:pos="8302"/>
            </w:tabs>
            <w:rPr>
              <w:rFonts w:cstheme="minorBidi"/>
              <w:noProof/>
              <w:lang w:val="en-GB" w:eastAsia="ja-JP"/>
            </w:rPr>
          </w:pPr>
          <w:hyperlink w:anchor="_Toc86417434" w:history="1">
            <w:r w:rsidRPr="00550B49">
              <w:rPr>
                <w:rStyle w:val="Hyperlink"/>
                <w:rFonts w:eastAsia="Arial"/>
                <w:noProof/>
              </w:rPr>
              <w:t xml:space="preserve">APPENDIX 6.2(A-C): EVIDENCE OF </w:t>
            </w:r>
            <w:r w:rsidRPr="00550B49">
              <w:rPr>
                <w:rStyle w:val="Hyperlink"/>
                <w:noProof/>
              </w:rPr>
              <w:t>HRA AND NHS R&amp;D APPROVAL</w:t>
            </w:r>
            <w:r>
              <w:rPr>
                <w:noProof/>
                <w:webHidden/>
              </w:rPr>
              <w:tab/>
            </w:r>
            <w:r>
              <w:rPr>
                <w:noProof/>
                <w:webHidden/>
              </w:rPr>
              <w:fldChar w:fldCharType="begin"/>
            </w:r>
            <w:r>
              <w:rPr>
                <w:noProof/>
                <w:webHidden/>
              </w:rPr>
              <w:instrText xml:space="preserve"> PAGEREF _Toc86417434 \h </w:instrText>
            </w:r>
            <w:r>
              <w:rPr>
                <w:noProof/>
                <w:webHidden/>
              </w:rPr>
            </w:r>
            <w:r>
              <w:rPr>
                <w:noProof/>
                <w:webHidden/>
              </w:rPr>
              <w:fldChar w:fldCharType="separate"/>
            </w:r>
            <w:r w:rsidR="00C836FC">
              <w:rPr>
                <w:noProof/>
                <w:webHidden/>
              </w:rPr>
              <w:t>368</w:t>
            </w:r>
            <w:r>
              <w:rPr>
                <w:noProof/>
                <w:webHidden/>
              </w:rPr>
              <w:fldChar w:fldCharType="end"/>
            </w:r>
          </w:hyperlink>
        </w:p>
        <w:p w14:paraId="6872615E" w14:textId="4E6E79C8" w:rsidR="005A5E65" w:rsidRDefault="005A5E65">
          <w:pPr>
            <w:pStyle w:val="TOC2"/>
            <w:tabs>
              <w:tab w:val="right" w:leader="dot" w:pos="8302"/>
            </w:tabs>
            <w:rPr>
              <w:rFonts w:cstheme="minorBidi"/>
              <w:noProof/>
              <w:lang w:val="en-GB" w:eastAsia="ja-JP"/>
            </w:rPr>
          </w:pPr>
          <w:hyperlink w:anchor="_Toc86417435" w:history="1">
            <w:r w:rsidRPr="00550B49">
              <w:rPr>
                <w:rStyle w:val="Hyperlink"/>
                <w:noProof/>
              </w:rPr>
              <w:t>APPENDIX 6.3</w:t>
            </w:r>
            <w:r w:rsidRPr="00550B49">
              <w:rPr>
                <w:rStyle w:val="Hyperlink"/>
                <w:rFonts w:eastAsia="Arial"/>
                <w:bCs/>
                <w:noProof/>
              </w:rPr>
              <w:t xml:space="preserve">: INSTITUTIONAL ETHICS </w:t>
            </w:r>
            <w:r w:rsidRPr="00550B49">
              <w:rPr>
                <w:rStyle w:val="Hyperlink"/>
                <w:noProof/>
              </w:rPr>
              <w:t>APPROVAL LETTER</w:t>
            </w:r>
            <w:r>
              <w:rPr>
                <w:noProof/>
                <w:webHidden/>
              </w:rPr>
              <w:tab/>
            </w:r>
            <w:r>
              <w:rPr>
                <w:noProof/>
                <w:webHidden/>
              </w:rPr>
              <w:fldChar w:fldCharType="begin"/>
            </w:r>
            <w:r>
              <w:rPr>
                <w:noProof/>
                <w:webHidden/>
              </w:rPr>
              <w:instrText xml:space="preserve"> PAGEREF _Toc86417435 \h </w:instrText>
            </w:r>
            <w:r>
              <w:rPr>
                <w:noProof/>
                <w:webHidden/>
              </w:rPr>
            </w:r>
            <w:r>
              <w:rPr>
                <w:noProof/>
                <w:webHidden/>
              </w:rPr>
              <w:fldChar w:fldCharType="separate"/>
            </w:r>
            <w:r w:rsidR="00C836FC">
              <w:rPr>
                <w:noProof/>
                <w:webHidden/>
              </w:rPr>
              <w:t>377</w:t>
            </w:r>
            <w:r>
              <w:rPr>
                <w:noProof/>
                <w:webHidden/>
              </w:rPr>
              <w:fldChar w:fldCharType="end"/>
            </w:r>
          </w:hyperlink>
        </w:p>
        <w:p w14:paraId="070E5142" w14:textId="4114377D" w:rsidR="005A5E65" w:rsidRDefault="005A5E65">
          <w:pPr>
            <w:pStyle w:val="TOC2"/>
            <w:tabs>
              <w:tab w:val="right" w:leader="dot" w:pos="8302"/>
            </w:tabs>
            <w:rPr>
              <w:rFonts w:cstheme="minorBidi"/>
              <w:noProof/>
              <w:lang w:val="en-GB" w:eastAsia="ja-JP"/>
            </w:rPr>
          </w:pPr>
          <w:hyperlink w:anchor="_Toc86417436" w:history="1">
            <w:r w:rsidRPr="00550B49">
              <w:rPr>
                <w:rStyle w:val="Hyperlink"/>
                <w:noProof/>
              </w:rPr>
              <w:t>APPENDIX 6.4</w:t>
            </w:r>
            <w:r w:rsidRPr="00550B49">
              <w:rPr>
                <w:rStyle w:val="Hyperlink"/>
                <w:rFonts w:eastAsia="Arial"/>
                <w:noProof/>
              </w:rPr>
              <w:t>: INVITATION LEAFLET</w:t>
            </w:r>
            <w:r>
              <w:rPr>
                <w:noProof/>
                <w:webHidden/>
              </w:rPr>
              <w:tab/>
            </w:r>
            <w:r>
              <w:rPr>
                <w:noProof/>
                <w:webHidden/>
              </w:rPr>
              <w:fldChar w:fldCharType="begin"/>
            </w:r>
            <w:r>
              <w:rPr>
                <w:noProof/>
                <w:webHidden/>
              </w:rPr>
              <w:instrText xml:space="preserve"> PAGEREF _Toc86417436 \h </w:instrText>
            </w:r>
            <w:r>
              <w:rPr>
                <w:noProof/>
                <w:webHidden/>
              </w:rPr>
            </w:r>
            <w:r>
              <w:rPr>
                <w:noProof/>
                <w:webHidden/>
              </w:rPr>
              <w:fldChar w:fldCharType="separate"/>
            </w:r>
            <w:r w:rsidR="00C836FC">
              <w:rPr>
                <w:noProof/>
                <w:webHidden/>
              </w:rPr>
              <w:t>379</w:t>
            </w:r>
            <w:r>
              <w:rPr>
                <w:noProof/>
                <w:webHidden/>
              </w:rPr>
              <w:fldChar w:fldCharType="end"/>
            </w:r>
          </w:hyperlink>
        </w:p>
        <w:p w14:paraId="4B4FF8FD" w14:textId="33BA7DD6" w:rsidR="005A5E65" w:rsidRDefault="005A5E65">
          <w:pPr>
            <w:pStyle w:val="TOC2"/>
            <w:tabs>
              <w:tab w:val="right" w:leader="dot" w:pos="8302"/>
            </w:tabs>
            <w:rPr>
              <w:rFonts w:cstheme="minorBidi"/>
              <w:noProof/>
              <w:lang w:val="en-GB" w:eastAsia="ja-JP"/>
            </w:rPr>
          </w:pPr>
          <w:hyperlink w:anchor="_Toc86417437" w:history="1">
            <w:r w:rsidRPr="00550B49">
              <w:rPr>
                <w:rStyle w:val="Hyperlink"/>
                <w:noProof/>
              </w:rPr>
              <w:t>APPENDIX 6.5</w:t>
            </w:r>
            <w:r w:rsidRPr="00550B49">
              <w:rPr>
                <w:rStyle w:val="Hyperlink"/>
                <w:rFonts w:eastAsia="Arial"/>
                <w:noProof/>
              </w:rPr>
              <w:t>: FULL UNIVERSITY INDEMNITY LETTER</w:t>
            </w:r>
            <w:r>
              <w:rPr>
                <w:noProof/>
                <w:webHidden/>
              </w:rPr>
              <w:tab/>
            </w:r>
            <w:r>
              <w:rPr>
                <w:noProof/>
                <w:webHidden/>
              </w:rPr>
              <w:fldChar w:fldCharType="begin"/>
            </w:r>
            <w:r>
              <w:rPr>
                <w:noProof/>
                <w:webHidden/>
              </w:rPr>
              <w:instrText xml:space="preserve"> PAGEREF _Toc86417437 \h </w:instrText>
            </w:r>
            <w:r>
              <w:rPr>
                <w:noProof/>
                <w:webHidden/>
              </w:rPr>
            </w:r>
            <w:r>
              <w:rPr>
                <w:noProof/>
                <w:webHidden/>
              </w:rPr>
              <w:fldChar w:fldCharType="separate"/>
            </w:r>
            <w:r w:rsidR="00C836FC">
              <w:rPr>
                <w:noProof/>
                <w:webHidden/>
              </w:rPr>
              <w:t>380</w:t>
            </w:r>
            <w:r>
              <w:rPr>
                <w:noProof/>
                <w:webHidden/>
              </w:rPr>
              <w:fldChar w:fldCharType="end"/>
            </w:r>
          </w:hyperlink>
        </w:p>
        <w:p w14:paraId="560FDB99" w14:textId="34732525" w:rsidR="005A5E65" w:rsidRDefault="005A5E65">
          <w:pPr>
            <w:pStyle w:val="TOC2"/>
            <w:tabs>
              <w:tab w:val="right" w:leader="dot" w:pos="8302"/>
            </w:tabs>
            <w:rPr>
              <w:rFonts w:cstheme="minorBidi"/>
              <w:noProof/>
              <w:lang w:val="en-GB" w:eastAsia="ja-JP"/>
            </w:rPr>
          </w:pPr>
          <w:hyperlink w:anchor="_Toc86417438" w:history="1">
            <w:r w:rsidRPr="00550B49">
              <w:rPr>
                <w:rStyle w:val="Hyperlink"/>
                <w:noProof/>
              </w:rPr>
              <w:t>APPENDIX 6.6</w:t>
            </w:r>
            <w:r w:rsidRPr="00550B49">
              <w:rPr>
                <w:rStyle w:val="Hyperlink"/>
                <w:rFonts w:eastAsia="Arial"/>
                <w:noProof/>
              </w:rPr>
              <w:t>: INTERVIEW GUIDE</w:t>
            </w:r>
            <w:r>
              <w:rPr>
                <w:noProof/>
                <w:webHidden/>
              </w:rPr>
              <w:tab/>
            </w:r>
            <w:r>
              <w:rPr>
                <w:noProof/>
                <w:webHidden/>
              </w:rPr>
              <w:fldChar w:fldCharType="begin"/>
            </w:r>
            <w:r>
              <w:rPr>
                <w:noProof/>
                <w:webHidden/>
              </w:rPr>
              <w:instrText xml:space="preserve"> PAGEREF _Toc86417438 \h </w:instrText>
            </w:r>
            <w:r>
              <w:rPr>
                <w:noProof/>
                <w:webHidden/>
              </w:rPr>
            </w:r>
            <w:r>
              <w:rPr>
                <w:noProof/>
                <w:webHidden/>
              </w:rPr>
              <w:fldChar w:fldCharType="separate"/>
            </w:r>
            <w:r w:rsidR="00C836FC">
              <w:rPr>
                <w:noProof/>
                <w:webHidden/>
              </w:rPr>
              <w:t>381</w:t>
            </w:r>
            <w:r>
              <w:rPr>
                <w:noProof/>
                <w:webHidden/>
              </w:rPr>
              <w:fldChar w:fldCharType="end"/>
            </w:r>
          </w:hyperlink>
        </w:p>
        <w:p w14:paraId="396866AE" w14:textId="782F91CF" w:rsidR="005A5E65" w:rsidRDefault="005A5E65">
          <w:pPr>
            <w:pStyle w:val="TOC2"/>
            <w:tabs>
              <w:tab w:val="right" w:leader="dot" w:pos="8302"/>
            </w:tabs>
            <w:rPr>
              <w:rFonts w:cstheme="minorBidi"/>
              <w:noProof/>
              <w:lang w:val="en-GB" w:eastAsia="ja-JP"/>
            </w:rPr>
          </w:pPr>
          <w:hyperlink w:anchor="_Toc86417439" w:history="1">
            <w:r w:rsidRPr="00550B49">
              <w:rPr>
                <w:rStyle w:val="Hyperlink"/>
                <w:bCs/>
                <w:noProof/>
              </w:rPr>
              <w:t xml:space="preserve">APPENDIX 6.7: </w:t>
            </w:r>
            <w:r w:rsidRPr="00550B49">
              <w:rPr>
                <w:rStyle w:val="Hyperlink"/>
                <w:noProof/>
              </w:rPr>
              <w:t>IRAS APPLICATION FORM (FRONT PAGE)</w:t>
            </w:r>
            <w:r>
              <w:rPr>
                <w:noProof/>
                <w:webHidden/>
              </w:rPr>
              <w:tab/>
            </w:r>
            <w:r>
              <w:rPr>
                <w:noProof/>
                <w:webHidden/>
              </w:rPr>
              <w:fldChar w:fldCharType="begin"/>
            </w:r>
            <w:r>
              <w:rPr>
                <w:noProof/>
                <w:webHidden/>
              </w:rPr>
              <w:instrText xml:space="preserve"> PAGEREF _Toc86417439 \h </w:instrText>
            </w:r>
            <w:r>
              <w:rPr>
                <w:noProof/>
                <w:webHidden/>
              </w:rPr>
            </w:r>
            <w:r>
              <w:rPr>
                <w:noProof/>
                <w:webHidden/>
              </w:rPr>
              <w:fldChar w:fldCharType="separate"/>
            </w:r>
            <w:r w:rsidR="00C836FC">
              <w:rPr>
                <w:noProof/>
                <w:webHidden/>
              </w:rPr>
              <w:t>383</w:t>
            </w:r>
            <w:r>
              <w:rPr>
                <w:noProof/>
                <w:webHidden/>
              </w:rPr>
              <w:fldChar w:fldCharType="end"/>
            </w:r>
          </w:hyperlink>
        </w:p>
        <w:p w14:paraId="753802D7" w14:textId="296117A8" w:rsidR="005A5E65" w:rsidRDefault="005A5E65">
          <w:pPr>
            <w:pStyle w:val="TOC2"/>
            <w:tabs>
              <w:tab w:val="right" w:leader="dot" w:pos="8302"/>
            </w:tabs>
            <w:rPr>
              <w:rFonts w:cstheme="minorBidi"/>
              <w:noProof/>
              <w:lang w:val="en-GB" w:eastAsia="ja-JP"/>
            </w:rPr>
          </w:pPr>
          <w:hyperlink w:anchor="_Toc86417440" w:history="1">
            <w:r w:rsidRPr="00550B49">
              <w:rPr>
                <w:rStyle w:val="Hyperlink"/>
                <w:noProof/>
              </w:rPr>
              <w:t>APPENDIX 6.8</w:t>
            </w:r>
            <w:r w:rsidRPr="00550B49">
              <w:rPr>
                <w:rStyle w:val="Hyperlink"/>
                <w:rFonts w:eastAsia="Arial"/>
                <w:noProof/>
              </w:rPr>
              <w:t>: LETTER OF INVITATION</w:t>
            </w:r>
            <w:r>
              <w:rPr>
                <w:noProof/>
                <w:webHidden/>
              </w:rPr>
              <w:tab/>
            </w:r>
            <w:r>
              <w:rPr>
                <w:noProof/>
                <w:webHidden/>
              </w:rPr>
              <w:fldChar w:fldCharType="begin"/>
            </w:r>
            <w:r>
              <w:rPr>
                <w:noProof/>
                <w:webHidden/>
              </w:rPr>
              <w:instrText xml:space="preserve"> PAGEREF _Toc86417440 \h </w:instrText>
            </w:r>
            <w:r>
              <w:rPr>
                <w:noProof/>
                <w:webHidden/>
              </w:rPr>
            </w:r>
            <w:r>
              <w:rPr>
                <w:noProof/>
                <w:webHidden/>
              </w:rPr>
              <w:fldChar w:fldCharType="separate"/>
            </w:r>
            <w:r w:rsidR="00C836FC">
              <w:rPr>
                <w:noProof/>
                <w:webHidden/>
              </w:rPr>
              <w:t>384</w:t>
            </w:r>
            <w:r>
              <w:rPr>
                <w:noProof/>
                <w:webHidden/>
              </w:rPr>
              <w:fldChar w:fldCharType="end"/>
            </w:r>
          </w:hyperlink>
        </w:p>
        <w:p w14:paraId="00D1E5F3" w14:textId="6C0DD3C0" w:rsidR="005A5E65" w:rsidRDefault="005A5E65">
          <w:pPr>
            <w:pStyle w:val="TOC2"/>
            <w:tabs>
              <w:tab w:val="right" w:leader="dot" w:pos="8302"/>
            </w:tabs>
            <w:rPr>
              <w:rFonts w:cstheme="minorBidi"/>
              <w:noProof/>
              <w:lang w:val="en-GB" w:eastAsia="ja-JP"/>
            </w:rPr>
          </w:pPr>
          <w:hyperlink w:anchor="_Toc86417441" w:history="1">
            <w:r w:rsidRPr="00550B49">
              <w:rPr>
                <w:rStyle w:val="Hyperlink"/>
                <w:bCs/>
                <w:noProof/>
              </w:rPr>
              <w:t xml:space="preserve">APPENDIX 6.9: </w:t>
            </w:r>
            <w:r w:rsidRPr="00550B49">
              <w:rPr>
                <w:rStyle w:val="Hyperlink"/>
                <w:noProof/>
              </w:rPr>
              <w:t>PARTICIPANT CONSENT FORM</w:t>
            </w:r>
            <w:r>
              <w:rPr>
                <w:noProof/>
                <w:webHidden/>
              </w:rPr>
              <w:tab/>
            </w:r>
            <w:r>
              <w:rPr>
                <w:noProof/>
                <w:webHidden/>
              </w:rPr>
              <w:fldChar w:fldCharType="begin"/>
            </w:r>
            <w:r>
              <w:rPr>
                <w:noProof/>
                <w:webHidden/>
              </w:rPr>
              <w:instrText xml:space="preserve"> PAGEREF _Toc86417441 \h </w:instrText>
            </w:r>
            <w:r>
              <w:rPr>
                <w:noProof/>
                <w:webHidden/>
              </w:rPr>
            </w:r>
            <w:r>
              <w:rPr>
                <w:noProof/>
                <w:webHidden/>
              </w:rPr>
              <w:fldChar w:fldCharType="separate"/>
            </w:r>
            <w:r w:rsidR="00C836FC">
              <w:rPr>
                <w:noProof/>
                <w:webHidden/>
              </w:rPr>
              <w:t>386</w:t>
            </w:r>
            <w:r>
              <w:rPr>
                <w:noProof/>
                <w:webHidden/>
              </w:rPr>
              <w:fldChar w:fldCharType="end"/>
            </w:r>
          </w:hyperlink>
        </w:p>
        <w:p w14:paraId="0F6F47DD" w14:textId="20C2B1EA" w:rsidR="005A5E65" w:rsidRDefault="005A5E65">
          <w:pPr>
            <w:pStyle w:val="TOC2"/>
            <w:tabs>
              <w:tab w:val="right" w:leader="dot" w:pos="8302"/>
            </w:tabs>
            <w:rPr>
              <w:rFonts w:cstheme="minorBidi"/>
              <w:noProof/>
              <w:lang w:val="en-GB" w:eastAsia="ja-JP"/>
            </w:rPr>
          </w:pPr>
          <w:hyperlink w:anchor="_Toc86417442" w:history="1">
            <w:r w:rsidRPr="00550B49">
              <w:rPr>
                <w:rStyle w:val="Hyperlink"/>
                <w:noProof/>
              </w:rPr>
              <w:t>APPENDIX 6.10</w:t>
            </w:r>
            <w:r w:rsidRPr="00550B49">
              <w:rPr>
                <w:rStyle w:val="Hyperlink"/>
                <w:rFonts w:eastAsia="Arial"/>
                <w:bCs/>
                <w:noProof/>
              </w:rPr>
              <w:t xml:space="preserve">: </w:t>
            </w:r>
            <w:r w:rsidRPr="00550B49">
              <w:rPr>
                <w:rStyle w:val="Hyperlink"/>
                <w:noProof/>
              </w:rPr>
              <w:t>PARTICIPANT INFORMATION SHEET</w:t>
            </w:r>
            <w:r>
              <w:rPr>
                <w:noProof/>
                <w:webHidden/>
              </w:rPr>
              <w:tab/>
            </w:r>
            <w:r>
              <w:rPr>
                <w:noProof/>
                <w:webHidden/>
              </w:rPr>
              <w:fldChar w:fldCharType="begin"/>
            </w:r>
            <w:r>
              <w:rPr>
                <w:noProof/>
                <w:webHidden/>
              </w:rPr>
              <w:instrText xml:space="preserve"> PAGEREF _Toc86417442 \h </w:instrText>
            </w:r>
            <w:r>
              <w:rPr>
                <w:noProof/>
                <w:webHidden/>
              </w:rPr>
            </w:r>
            <w:r>
              <w:rPr>
                <w:noProof/>
                <w:webHidden/>
              </w:rPr>
              <w:fldChar w:fldCharType="separate"/>
            </w:r>
            <w:r w:rsidR="00C836FC">
              <w:rPr>
                <w:noProof/>
                <w:webHidden/>
              </w:rPr>
              <w:t>389</w:t>
            </w:r>
            <w:r>
              <w:rPr>
                <w:noProof/>
                <w:webHidden/>
              </w:rPr>
              <w:fldChar w:fldCharType="end"/>
            </w:r>
          </w:hyperlink>
        </w:p>
        <w:p w14:paraId="3B249FAF" w14:textId="1BFDFB77" w:rsidR="005A5E65" w:rsidRDefault="005A5E65">
          <w:pPr>
            <w:pStyle w:val="TOC2"/>
            <w:tabs>
              <w:tab w:val="right" w:leader="dot" w:pos="8302"/>
            </w:tabs>
            <w:rPr>
              <w:rFonts w:cstheme="minorBidi"/>
              <w:noProof/>
              <w:lang w:val="en-GB" w:eastAsia="ja-JP"/>
            </w:rPr>
          </w:pPr>
          <w:hyperlink w:anchor="_Toc86417443" w:history="1">
            <w:r w:rsidRPr="00550B49">
              <w:rPr>
                <w:rStyle w:val="Hyperlink"/>
                <w:noProof/>
              </w:rPr>
              <w:t>APPENDIX 6.11: RESEARCH PROTOCOL</w:t>
            </w:r>
            <w:r>
              <w:rPr>
                <w:noProof/>
                <w:webHidden/>
              </w:rPr>
              <w:tab/>
            </w:r>
            <w:r>
              <w:rPr>
                <w:noProof/>
                <w:webHidden/>
              </w:rPr>
              <w:fldChar w:fldCharType="begin"/>
            </w:r>
            <w:r>
              <w:rPr>
                <w:noProof/>
                <w:webHidden/>
              </w:rPr>
              <w:instrText xml:space="preserve"> PAGEREF _Toc86417443 \h </w:instrText>
            </w:r>
            <w:r>
              <w:rPr>
                <w:noProof/>
                <w:webHidden/>
              </w:rPr>
            </w:r>
            <w:r>
              <w:rPr>
                <w:noProof/>
                <w:webHidden/>
              </w:rPr>
              <w:fldChar w:fldCharType="separate"/>
            </w:r>
            <w:r w:rsidR="00C836FC">
              <w:rPr>
                <w:noProof/>
                <w:webHidden/>
              </w:rPr>
              <w:t>394</w:t>
            </w:r>
            <w:r>
              <w:rPr>
                <w:noProof/>
                <w:webHidden/>
              </w:rPr>
              <w:fldChar w:fldCharType="end"/>
            </w:r>
          </w:hyperlink>
        </w:p>
        <w:p w14:paraId="070EDCF9" w14:textId="40A6BB3A" w:rsidR="005A5E65" w:rsidRDefault="005A5E65">
          <w:pPr>
            <w:pStyle w:val="TOC2"/>
            <w:tabs>
              <w:tab w:val="right" w:leader="dot" w:pos="8302"/>
            </w:tabs>
            <w:rPr>
              <w:rFonts w:cstheme="minorBidi"/>
              <w:noProof/>
              <w:lang w:val="en-GB" w:eastAsia="ja-JP"/>
            </w:rPr>
          </w:pPr>
          <w:hyperlink w:anchor="_Toc86417444" w:history="1">
            <w:r w:rsidRPr="00550B49">
              <w:rPr>
                <w:rStyle w:val="Hyperlink"/>
                <w:bCs/>
                <w:noProof/>
              </w:rPr>
              <w:t xml:space="preserve">APPENDIX 6.12: </w:t>
            </w:r>
            <w:r w:rsidRPr="00550B49">
              <w:rPr>
                <w:rStyle w:val="Hyperlink"/>
                <w:noProof/>
              </w:rPr>
              <w:t>RESEARCHER’S CURRICULUM VITAE</w:t>
            </w:r>
            <w:r>
              <w:rPr>
                <w:noProof/>
                <w:webHidden/>
              </w:rPr>
              <w:tab/>
            </w:r>
            <w:r>
              <w:rPr>
                <w:noProof/>
                <w:webHidden/>
              </w:rPr>
              <w:fldChar w:fldCharType="begin"/>
            </w:r>
            <w:r>
              <w:rPr>
                <w:noProof/>
                <w:webHidden/>
              </w:rPr>
              <w:instrText xml:space="preserve"> PAGEREF _Toc86417444 \h </w:instrText>
            </w:r>
            <w:r>
              <w:rPr>
                <w:noProof/>
                <w:webHidden/>
              </w:rPr>
            </w:r>
            <w:r>
              <w:rPr>
                <w:noProof/>
                <w:webHidden/>
              </w:rPr>
              <w:fldChar w:fldCharType="separate"/>
            </w:r>
            <w:r w:rsidR="00C836FC">
              <w:rPr>
                <w:noProof/>
                <w:webHidden/>
              </w:rPr>
              <w:t>403</w:t>
            </w:r>
            <w:r>
              <w:rPr>
                <w:noProof/>
                <w:webHidden/>
              </w:rPr>
              <w:fldChar w:fldCharType="end"/>
            </w:r>
          </w:hyperlink>
        </w:p>
        <w:p w14:paraId="603FF6E6" w14:textId="02C1C4FA" w:rsidR="005A5E65" w:rsidRDefault="005A5E65">
          <w:pPr>
            <w:pStyle w:val="TOC2"/>
            <w:tabs>
              <w:tab w:val="right" w:leader="dot" w:pos="8302"/>
            </w:tabs>
            <w:rPr>
              <w:rFonts w:cstheme="minorBidi"/>
              <w:noProof/>
              <w:lang w:val="en-GB" w:eastAsia="ja-JP"/>
            </w:rPr>
          </w:pPr>
          <w:hyperlink w:anchor="_Toc86417445" w:history="1">
            <w:r w:rsidRPr="00550B49">
              <w:rPr>
                <w:rStyle w:val="Hyperlink"/>
                <w:noProof/>
              </w:rPr>
              <w:t>APPENDIX 6.13</w:t>
            </w:r>
            <w:r w:rsidRPr="00550B49">
              <w:rPr>
                <w:rStyle w:val="Hyperlink"/>
                <w:rFonts w:eastAsia="Arial"/>
                <w:noProof/>
              </w:rPr>
              <w:t>: POSTER PRESENTATION AT THE 2016 FACULTY OF MEDICAL SCIENCE INTERDISCIPLINARY STUDENT CONFERENCE</w:t>
            </w:r>
            <w:r>
              <w:rPr>
                <w:noProof/>
                <w:webHidden/>
              </w:rPr>
              <w:tab/>
            </w:r>
            <w:r>
              <w:rPr>
                <w:noProof/>
                <w:webHidden/>
              </w:rPr>
              <w:fldChar w:fldCharType="begin"/>
            </w:r>
            <w:r>
              <w:rPr>
                <w:noProof/>
                <w:webHidden/>
              </w:rPr>
              <w:instrText xml:space="preserve"> PAGEREF _Toc86417445 \h </w:instrText>
            </w:r>
            <w:r>
              <w:rPr>
                <w:noProof/>
                <w:webHidden/>
              </w:rPr>
            </w:r>
            <w:r>
              <w:rPr>
                <w:noProof/>
                <w:webHidden/>
              </w:rPr>
              <w:fldChar w:fldCharType="separate"/>
            </w:r>
            <w:r w:rsidR="00C836FC">
              <w:rPr>
                <w:noProof/>
                <w:webHidden/>
              </w:rPr>
              <w:t>404</w:t>
            </w:r>
            <w:r>
              <w:rPr>
                <w:noProof/>
                <w:webHidden/>
              </w:rPr>
              <w:fldChar w:fldCharType="end"/>
            </w:r>
          </w:hyperlink>
        </w:p>
        <w:p w14:paraId="10EFC979" w14:textId="64360655" w:rsidR="005A5E65" w:rsidRDefault="005A5E65">
          <w:pPr>
            <w:pStyle w:val="TOC2"/>
            <w:tabs>
              <w:tab w:val="right" w:leader="dot" w:pos="8302"/>
            </w:tabs>
            <w:rPr>
              <w:rFonts w:cstheme="minorBidi"/>
              <w:noProof/>
              <w:lang w:val="en-GB" w:eastAsia="ja-JP"/>
            </w:rPr>
          </w:pPr>
          <w:hyperlink w:anchor="_Toc86417446" w:history="1">
            <w:r w:rsidRPr="00550B49">
              <w:rPr>
                <w:rStyle w:val="Hyperlink"/>
                <w:noProof/>
              </w:rPr>
              <w:t>APPENDIX 6.14</w:t>
            </w:r>
            <w:r w:rsidRPr="00550B49">
              <w:rPr>
                <w:rStyle w:val="Hyperlink"/>
                <w:rFonts w:eastAsia="Arial"/>
                <w:noProof/>
              </w:rPr>
              <w:t>: ABSTRACT AT THE 2017 ANGLIA RUSKIN ANNUAL RESEARCH STUDENT CONFERENCE</w:t>
            </w:r>
            <w:r>
              <w:rPr>
                <w:noProof/>
                <w:webHidden/>
              </w:rPr>
              <w:tab/>
            </w:r>
            <w:r>
              <w:rPr>
                <w:noProof/>
                <w:webHidden/>
              </w:rPr>
              <w:fldChar w:fldCharType="begin"/>
            </w:r>
            <w:r>
              <w:rPr>
                <w:noProof/>
                <w:webHidden/>
              </w:rPr>
              <w:instrText xml:space="preserve"> PAGEREF _Toc86417446 \h </w:instrText>
            </w:r>
            <w:r>
              <w:rPr>
                <w:noProof/>
                <w:webHidden/>
              </w:rPr>
            </w:r>
            <w:r>
              <w:rPr>
                <w:noProof/>
                <w:webHidden/>
              </w:rPr>
              <w:fldChar w:fldCharType="separate"/>
            </w:r>
            <w:r w:rsidR="00C836FC">
              <w:rPr>
                <w:noProof/>
                <w:webHidden/>
              </w:rPr>
              <w:t>405</w:t>
            </w:r>
            <w:r>
              <w:rPr>
                <w:noProof/>
                <w:webHidden/>
              </w:rPr>
              <w:fldChar w:fldCharType="end"/>
            </w:r>
          </w:hyperlink>
        </w:p>
        <w:p w14:paraId="5A10DA5B" w14:textId="4BA1AC3B" w:rsidR="005A5E65" w:rsidRDefault="005A5E65">
          <w:pPr>
            <w:pStyle w:val="TOC2"/>
            <w:tabs>
              <w:tab w:val="right" w:leader="dot" w:pos="8302"/>
            </w:tabs>
            <w:rPr>
              <w:rFonts w:cstheme="minorBidi"/>
              <w:noProof/>
              <w:lang w:val="en-GB" w:eastAsia="ja-JP"/>
            </w:rPr>
          </w:pPr>
          <w:hyperlink w:anchor="_Toc86417447" w:history="1">
            <w:r w:rsidRPr="00550B49">
              <w:rPr>
                <w:rStyle w:val="Hyperlink"/>
                <w:noProof/>
              </w:rPr>
              <w:t>APPENDIX 6.15</w:t>
            </w:r>
            <w:r w:rsidRPr="00550B49">
              <w:rPr>
                <w:rStyle w:val="Hyperlink"/>
                <w:rFonts w:eastAsia="Arial"/>
                <w:noProof/>
              </w:rPr>
              <w:t>: ORAL PRESENTATION ABSTRACT AT THE 2018 ANGLIA RUSKIN UNIVERSITY ANNUAL RESEARCH STUDENT CONFERENCE</w:t>
            </w:r>
            <w:r>
              <w:rPr>
                <w:noProof/>
                <w:webHidden/>
              </w:rPr>
              <w:tab/>
            </w:r>
            <w:r>
              <w:rPr>
                <w:noProof/>
                <w:webHidden/>
              </w:rPr>
              <w:fldChar w:fldCharType="begin"/>
            </w:r>
            <w:r>
              <w:rPr>
                <w:noProof/>
                <w:webHidden/>
              </w:rPr>
              <w:instrText xml:space="preserve"> PAGEREF _Toc86417447 \h </w:instrText>
            </w:r>
            <w:r>
              <w:rPr>
                <w:noProof/>
                <w:webHidden/>
              </w:rPr>
            </w:r>
            <w:r>
              <w:rPr>
                <w:noProof/>
                <w:webHidden/>
              </w:rPr>
              <w:fldChar w:fldCharType="separate"/>
            </w:r>
            <w:r w:rsidR="00C836FC">
              <w:rPr>
                <w:noProof/>
                <w:webHidden/>
              </w:rPr>
              <w:t>406</w:t>
            </w:r>
            <w:r>
              <w:rPr>
                <w:noProof/>
                <w:webHidden/>
              </w:rPr>
              <w:fldChar w:fldCharType="end"/>
            </w:r>
          </w:hyperlink>
        </w:p>
        <w:p w14:paraId="5395C620" w14:textId="3AEB9675" w:rsidR="005A5E65" w:rsidRDefault="005A5E65">
          <w:pPr>
            <w:pStyle w:val="TOC2"/>
            <w:tabs>
              <w:tab w:val="right" w:leader="dot" w:pos="8302"/>
            </w:tabs>
            <w:rPr>
              <w:rFonts w:cstheme="minorBidi"/>
              <w:noProof/>
              <w:lang w:val="en-GB" w:eastAsia="ja-JP"/>
            </w:rPr>
          </w:pPr>
          <w:hyperlink w:anchor="_Toc86417448" w:history="1">
            <w:r w:rsidRPr="00550B49">
              <w:rPr>
                <w:rStyle w:val="Hyperlink"/>
                <w:noProof/>
              </w:rPr>
              <w:t>APPENDIX 7.1: SAMPLE FORM USED TO EXTRACT PARTICIPANT’S SELF-REPORTED DATA AS OBTAINED FROM THE INTERVIEW</w:t>
            </w:r>
            <w:r>
              <w:rPr>
                <w:noProof/>
                <w:webHidden/>
              </w:rPr>
              <w:tab/>
            </w:r>
            <w:r>
              <w:rPr>
                <w:noProof/>
                <w:webHidden/>
              </w:rPr>
              <w:fldChar w:fldCharType="begin"/>
            </w:r>
            <w:r>
              <w:rPr>
                <w:noProof/>
                <w:webHidden/>
              </w:rPr>
              <w:instrText xml:space="preserve"> PAGEREF _Toc86417448 \h </w:instrText>
            </w:r>
            <w:r>
              <w:rPr>
                <w:noProof/>
                <w:webHidden/>
              </w:rPr>
            </w:r>
            <w:r>
              <w:rPr>
                <w:noProof/>
                <w:webHidden/>
              </w:rPr>
              <w:fldChar w:fldCharType="separate"/>
            </w:r>
            <w:r w:rsidR="00C836FC">
              <w:rPr>
                <w:noProof/>
                <w:webHidden/>
              </w:rPr>
              <w:t>407</w:t>
            </w:r>
            <w:r>
              <w:rPr>
                <w:noProof/>
                <w:webHidden/>
              </w:rPr>
              <w:fldChar w:fldCharType="end"/>
            </w:r>
          </w:hyperlink>
        </w:p>
        <w:p w14:paraId="5EC99BC9" w14:textId="20AAA09F" w:rsidR="005A5E65" w:rsidRDefault="005A5E65">
          <w:r>
            <w:rPr>
              <w:b/>
              <w:bCs/>
              <w:noProof/>
            </w:rPr>
            <w:fldChar w:fldCharType="end"/>
          </w:r>
        </w:p>
      </w:sdtContent>
    </w:sdt>
    <w:p w14:paraId="227FC6ED" w14:textId="77777777" w:rsidR="00EF5F4A" w:rsidRDefault="00EF5F4A">
      <w:pPr>
        <w:spacing w:after="0" w:line="240" w:lineRule="auto"/>
        <w:rPr>
          <w:rFonts w:ascii="Times New Roman" w:eastAsia="MS Mincho" w:hAnsi="Times New Roman"/>
          <w:b/>
          <w:bCs/>
          <w:szCs w:val="24"/>
        </w:rPr>
      </w:pPr>
      <w:r>
        <w:rPr>
          <w:rFonts w:eastAsia="MS Mincho"/>
        </w:rPr>
        <w:br w:type="page"/>
      </w:r>
    </w:p>
    <w:p w14:paraId="2DB9E304" w14:textId="7A72D5C4" w:rsidR="00FA4841" w:rsidRPr="00FA4841" w:rsidRDefault="00FA4841" w:rsidP="006869A3">
      <w:pPr>
        <w:pStyle w:val="Heading1"/>
        <w:rPr>
          <w:rFonts w:eastAsia="MS Mincho"/>
        </w:rPr>
      </w:pPr>
      <w:bookmarkStart w:id="4" w:name="_Toc86417208"/>
      <w:r w:rsidRPr="00FA4841">
        <w:rPr>
          <w:rFonts w:eastAsia="MS Mincho"/>
        </w:rPr>
        <w:lastRenderedPageBreak/>
        <w:t>LIST OF FIGURES</w:t>
      </w:r>
      <w:bookmarkEnd w:id="4"/>
    </w:p>
    <w:p w14:paraId="5C18863F" w14:textId="742E9D48" w:rsidR="005130AA" w:rsidRPr="004C4470" w:rsidRDefault="005130AA" w:rsidP="00FA4841">
      <w:pPr>
        <w:spacing w:after="200" w:line="276" w:lineRule="auto"/>
        <w:rPr>
          <w:rFonts w:ascii="Times New Roman" w:eastAsia="MS Mincho" w:hAnsi="Times New Roman"/>
          <w:szCs w:val="24"/>
        </w:rPr>
      </w:pPr>
      <w:r w:rsidRPr="004C4470">
        <w:rPr>
          <w:rFonts w:ascii="Times New Roman" w:hAnsi="Times New Roman"/>
          <w:szCs w:val="24"/>
        </w:rPr>
        <w:t>Figure 2.1: Explanatory model for the dual labour market theory</w:t>
      </w:r>
      <w:r w:rsidR="00E356CD" w:rsidRPr="004C4470">
        <w:rPr>
          <w:rFonts w:ascii="Times New Roman" w:eastAsia="MS Mincho" w:hAnsi="Times New Roman"/>
          <w:szCs w:val="24"/>
        </w:rPr>
        <w:t>...........................</w:t>
      </w:r>
      <w:r w:rsidR="00DF3A52">
        <w:rPr>
          <w:rFonts w:ascii="Times New Roman" w:eastAsia="MS Mincho" w:hAnsi="Times New Roman"/>
          <w:szCs w:val="24"/>
        </w:rPr>
        <w:t>...</w:t>
      </w:r>
      <w:r w:rsidR="00E356CD" w:rsidRPr="004C4470">
        <w:rPr>
          <w:rFonts w:ascii="Times New Roman" w:eastAsia="MS Mincho" w:hAnsi="Times New Roman"/>
          <w:szCs w:val="24"/>
        </w:rPr>
        <w:t>.</w:t>
      </w:r>
      <w:r w:rsidR="00DF3A52">
        <w:rPr>
          <w:rFonts w:ascii="Times New Roman" w:eastAsia="MS Mincho" w:hAnsi="Times New Roman"/>
          <w:szCs w:val="24"/>
        </w:rPr>
        <w:t>27</w:t>
      </w:r>
    </w:p>
    <w:p w14:paraId="4F46D5E9" w14:textId="412EB74E" w:rsidR="00FA4841" w:rsidRPr="004C4470" w:rsidRDefault="004C4470" w:rsidP="00FA4841">
      <w:pPr>
        <w:spacing w:after="200" w:line="276" w:lineRule="auto"/>
        <w:rPr>
          <w:rFonts w:ascii="Times New Roman" w:eastAsia="MS Mincho" w:hAnsi="Times New Roman"/>
          <w:szCs w:val="24"/>
        </w:rPr>
      </w:pPr>
      <w:r w:rsidRPr="004C4470">
        <w:rPr>
          <w:rFonts w:ascii="Times New Roman" w:hAnsi="Times New Roman"/>
          <w:szCs w:val="24"/>
        </w:rPr>
        <w:t>Figure 3.1: Maslow’s Hierarchy of Needs</w:t>
      </w:r>
      <w:r w:rsidR="00FA4841" w:rsidRPr="004C4470">
        <w:rPr>
          <w:rFonts w:ascii="Times New Roman" w:eastAsia="MS Mincho" w:hAnsi="Times New Roman"/>
          <w:szCs w:val="24"/>
        </w:rPr>
        <w:t>.......................</w:t>
      </w:r>
      <w:r w:rsidR="002B5147" w:rsidRPr="004C4470">
        <w:rPr>
          <w:rFonts w:ascii="Times New Roman" w:eastAsia="MS Mincho" w:hAnsi="Times New Roman"/>
          <w:szCs w:val="24"/>
        </w:rPr>
        <w:t>........................................</w:t>
      </w:r>
      <w:r w:rsidR="00DF3A52">
        <w:rPr>
          <w:rFonts w:ascii="Times New Roman" w:eastAsia="MS Mincho" w:hAnsi="Times New Roman"/>
          <w:szCs w:val="24"/>
        </w:rPr>
        <w:t>...</w:t>
      </w:r>
      <w:r w:rsidR="00FA4841" w:rsidRPr="004C4470">
        <w:rPr>
          <w:rFonts w:ascii="Times New Roman" w:eastAsia="MS Mincho" w:hAnsi="Times New Roman"/>
          <w:szCs w:val="24"/>
        </w:rPr>
        <w:t>.4</w:t>
      </w:r>
      <w:r w:rsidR="00DF3A52">
        <w:rPr>
          <w:rFonts w:ascii="Times New Roman" w:eastAsia="MS Mincho" w:hAnsi="Times New Roman"/>
          <w:szCs w:val="24"/>
        </w:rPr>
        <w:t>4</w:t>
      </w:r>
    </w:p>
    <w:p w14:paraId="04407B10" w14:textId="4C19F752" w:rsidR="005130AA" w:rsidRPr="00FA4841" w:rsidRDefault="005130AA" w:rsidP="00FA4841">
      <w:pPr>
        <w:spacing w:after="200" w:line="276" w:lineRule="auto"/>
        <w:rPr>
          <w:rFonts w:ascii="Times New Roman" w:eastAsia="MS Mincho" w:hAnsi="Times New Roman"/>
          <w:szCs w:val="24"/>
        </w:rPr>
      </w:pPr>
      <w:r w:rsidRPr="004C4470">
        <w:rPr>
          <w:rFonts w:ascii="Times New Roman" w:hAnsi="Times New Roman"/>
          <w:szCs w:val="24"/>
        </w:rPr>
        <w:t xml:space="preserve">Figure 3.2: The self-determination continuum showing the three main types of </w:t>
      </w:r>
      <w:r w:rsidRPr="001331D3">
        <w:rPr>
          <w:rFonts w:ascii="Times New Roman" w:hAnsi="Times New Roman"/>
          <w:szCs w:val="24"/>
        </w:rPr>
        <w:t>motivation</w:t>
      </w:r>
      <w:r w:rsidR="00E356CD" w:rsidRPr="004C4470">
        <w:rPr>
          <w:rFonts w:ascii="Times New Roman" w:eastAsia="MS Mincho" w:hAnsi="Times New Roman"/>
          <w:szCs w:val="24"/>
        </w:rPr>
        <w:t>.........................................................................</w:t>
      </w:r>
      <w:r w:rsidR="00B333AE">
        <w:rPr>
          <w:rFonts w:ascii="Times New Roman" w:eastAsia="MS Mincho" w:hAnsi="Times New Roman"/>
          <w:szCs w:val="24"/>
        </w:rPr>
        <w:t>.</w:t>
      </w:r>
      <w:r w:rsidR="00E356CD" w:rsidRPr="004C4470">
        <w:rPr>
          <w:rFonts w:ascii="Times New Roman" w:eastAsia="MS Mincho" w:hAnsi="Times New Roman"/>
          <w:szCs w:val="24"/>
        </w:rPr>
        <w:t>...........................................4</w:t>
      </w:r>
      <w:r w:rsidR="00DF3A52">
        <w:rPr>
          <w:rFonts w:ascii="Times New Roman" w:eastAsia="MS Mincho" w:hAnsi="Times New Roman"/>
          <w:szCs w:val="24"/>
        </w:rPr>
        <w:t>8</w:t>
      </w:r>
    </w:p>
    <w:p w14:paraId="32632134" w14:textId="62D1FCAF" w:rsidR="00D14F30" w:rsidRPr="00D14F30" w:rsidRDefault="00FA4841" w:rsidP="00D14F30">
      <w:pPr>
        <w:spacing w:after="200" w:line="276" w:lineRule="auto"/>
        <w:rPr>
          <w:rFonts w:ascii="Times New Roman" w:eastAsia="MS Mincho" w:hAnsi="Times New Roman"/>
          <w:szCs w:val="24"/>
        </w:rPr>
      </w:pPr>
      <w:r w:rsidRPr="00D14F30">
        <w:rPr>
          <w:rFonts w:ascii="Times New Roman" w:eastAsia="MS Mincho" w:hAnsi="Times New Roman"/>
          <w:szCs w:val="24"/>
        </w:rPr>
        <w:t>Figure 4.</w:t>
      </w:r>
      <w:r w:rsidR="00D14F30" w:rsidRPr="00D14F30">
        <w:rPr>
          <w:rFonts w:ascii="Times New Roman" w:eastAsia="MS Mincho" w:hAnsi="Times New Roman"/>
          <w:szCs w:val="24"/>
        </w:rPr>
        <w:t>1</w:t>
      </w:r>
      <w:r w:rsidRPr="00D14F30">
        <w:rPr>
          <w:rFonts w:ascii="Times New Roman" w:eastAsia="MS Mincho" w:hAnsi="Times New Roman"/>
          <w:szCs w:val="24"/>
        </w:rPr>
        <w:t>:</w:t>
      </w:r>
      <w:r w:rsidR="00D14F30" w:rsidRPr="00D14F30">
        <w:rPr>
          <w:rFonts w:ascii="Times New Roman" w:eastAsia="MS Mincho" w:hAnsi="Times New Roman"/>
          <w:szCs w:val="24"/>
        </w:rPr>
        <w:t xml:space="preserve"> Proposed </w:t>
      </w:r>
      <w:r w:rsidR="00274186" w:rsidRPr="00D14F30">
        <w:rPr>
          <w:rFonts w:ascii="Times New Roman" w:eastAsia="MS Mincho" w:hAnsi="Times New Roman"/>
          <w:szCs w:val="24"/>
        </w:rPr>
        <w:t xml:space="preserve">conceptual framework </w:t>
      </w:r>
      <w:r w:rsidR="00D14F30" w:rsidRPr="00D14F30">
        <w:rPr>
          <w:rFonts w:ascii="Times New Roman" w:eastAsia="MS Mincho" w:hAnsi="Times New Roman"/>
          <w:szCs w:val="24"/>
        </w:rPr>
        <w:t>for the current study</w:t>
      </w:r>
      <w:r w:rsidR="00D14F30">
        <w:rPr>
          <w:rFonts w:ascii="Times New Roman" w:eastAsia="MS Mincho" w:hAnsi="Times New Roman"/>
          <w:szCs w:val="24"/>
        </w:rPr>
        <w:t>.......................</w:t>
      </w:r>
      <w:r w:rsidR="00D14F30" w:rsidRPr="00FA4841">
        <w:rPr>
          <w:rFonts w:ascii="Times New Roman" w:eastAsia="MS Mincho" w:hAnsi="Times New Roman"/>
          <w:szCs w:val="24"/>
        </w:rPr>
        <w:t>..</w:t>
      </w:r>
      <w:r w:rsidR="00D14F30">
        <w:rPr>
          <w:rFonts w:ascii="Times New Roman" w:eastAsia="MS Mincho" w:hAnsi="Times New Roman"/>
          <w:szCs w:val="24"/>
        </w:rPr>
        <w:t>.</w:t>
      </w:r>
      <w:r w:rsidR="00D14F30" w:rsidRPr="00FA4841">
        <w:rPr>
          <w:rFonts w:ascii="Times New Roman" w:eastAsia="MS Mincho" w:hAnsi="Times New Roman"/>
          <w:szCs w:val="24"/>
        </w:rPr>
        <w:t>..</w:t>
      </w:r>
      <w:r w:rsidR="0076615E">
        <w:rPr>
          <w:rFonts w:ascii="Times New Roman" w:eastAsia="MS Mincho" w:hAnsi="Times New Roman"/>
          <w:szCs w:val="24"/>
        </w:rPr>
        <w:t>..7</w:t>
      </w:r>
      <w:r w:rsidR="00D14F30" w:rsidRPr="00FA4841">
        <w:rPr>
          <w:rFonts w:ascii="Times New Roman" w:eastAsia="MS Mincho" w:hAnsi="Times New Roman"/>
          <w:szCs w:val="24"/>
        </w:rPr>
        <w:t>4</w:t>
      </w:r>
    </w:p>
    <w:p w14:paraId="4253FFC3" w14:textId="6B5865A5" w:rsidR="00FA4841" w:rsidRPr="00FA4841" w:rsidRDefault="00FA4841" w:rsidP="00FA4841">
      <w:pPr>
        <w:spacing w:after="200" w:line="276" w:lineRule="auto"/>
        <w:rPr>
          <w:rFonts w:ascii="Times New Roman" w:eastAsia="MS Mincho" w:hAnsi="Times New Roman"/>
          <w:szCs w:val="24"/>
        </w:rPr>
      </w:pPr>
      <w:r w:rsidRPr="00407EF0">
        <w:rPr>
          <w:rFonts w:ascii="Times New Roman" w:eastAsia="MS Mincho" w:hAnsi="Times New Roman"/>
          <w:szCs w:val="24"/>
        </w:rPr>
        <w:t xml:space="preserve">Figure </w:t>
      </w:r>
      <w:r w:rsidR="00D14F30" w:rsidRPr="00407EF0">
        <w:rPr>
          <w:rFonts w:ascii="Times New Roman" w:eastAsia="MS Mincho" w:hAnsi="Times New Roman"/>
          <w:szCs w:val="24"/>
        </w:rPr>
        <w:t>6</w:t>
      </w:r>
      <w:r w:rsidRPr="00407EF0">
        <w:rPr>
          <w:rFonts w:ascii="Times New Roman" w:eastAsia="MS Mincho" w:hAnsi="Times New Roman"/>
          <w:szCs w:val="24"/>
        </w:rPr>
        <w:t>.1:</w:t>
      </w:r>
      <w:r w:rsidR="00407EF0" w:rsidRPr="00407EF0">
        <w:rPr>
          <w:rFonts w:ascii="Times New Roman" w:eastAsia="MS Mincho" w:hAnsi="Times New Roman"/>
          <w:szCs w:val="24"/>
        </w:rPr>
        <w:t xml:space="preserve"> </w:t>
      </w:r>
      <w:r w:rsidR="00407EF0" w:rsidRPr="00407EF0">
        <w:rPr>
          <w:rFonts w:ascii="Times New Roman" w:hAnsi="Times New Roman"/>
          <w:color w:val="000000"/>
          <w:szCs w:val="24"/>
        </w:rPr>
        <w:t>A working example of the data analysis process</w:t>
      </w:r>
      <w:r w:rsidR="00096168">
        <w:rPr>
          <w:rFonts w:ascii="Times New Roman" w:eastAsia="MS Mincho" w:hAnsi="Times New Roman"/>
          <w:szCs w:val="24"/>
        </w:rPr>
        <w:t>........................</w:t>
      </w:r>
      <w:r w:rsidR="002B5147">
        <w:rPr>
          <w:rFonts w:ascii="Times New Roman" w:eastAsia="MS Mincho" w:hAnsi="Times New Roman"/>
          <w:szCs w:val="24"/>
        </w:rPr>
        <w:t>.............</w:t>
      </w:r>
      <w:r w:rsidR="0076615E">
        <w:rPr>
          <w:rFonts w:ascii="Times New Roman" w:eastAsia="MS Mincho" w:hAnsi="Times New Roman"/>
          <w:szCs w:val="24"/>
        </w:rPr>
        <w:t>113</w:t>
      </w:r>
    </w:p>
    <w:p w14:paraId="2B87A6D8" w14:textId="76782654"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Figure 7.1.: Framework to understand my participants motivation to migrate…</w:t>
      </w:r>
      <w:r w:rsidR="00DF3A52">
        <w:rPr>
          <w:rFonts w:ascii="Times New Roman" w:eastAsia="MS Mincho" w:hAnsi="Times New Roman"/>
          <w:szCs w:val="24"/>
        </w:rPr>
        <w:t>..</w:t>
      </w:r>
      <w:r w:rsidRPr="00FA4841">
        <w:rPr>
          <w:rFonts w:ascii="Times New Roman" w:eastAsia="MS Mincho" w:hAnsi="Times New Roman"/>
          <w:szCs w:val="24"/>
        </w:rPr>
        <w:t>…</w:t>
      </w:r>
      <w:r w:rsidR="0076615E">
        <w:rPr>
          <w:rFonts w:ascii="Times New Roman" w:eastAsia="MS Mincho" w:hAnsi="Times New Roman"/>
          <w:szCs w:val="24"/>
        </w:rPr>
        <w:t>143</w:t>
      </w:r>
    </w:p>
    <w:p w14:paraId="0E187F7E" w14:textId="4F167B74"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Calibri" w:hAnsi="Times New Roman"/>
          <w:szCs w:val="24"/>
          <w:lang w:eastAsia="en-US"/>
        </w:rPr>
        <w:t>Figure 8.1.: Framework for participants motivations and reward of caring for PLWD</w:t>
      </w:r>
      <w:r w:rsidRPr="00FA4841">
        <w:rPr>
          <w:rFonts w:ascii="Times New Roman" w:eastAsia="MS Mincho" w:hAnsi="Times New Roman"/>
          <w:szCs w:val="24"/>
        </w:rPr>
        <w:t>................................................................................</w:t>
      </w:r>
      <w:r w:rsidR="00B333AE">
        <w:rPr>
          <w:rFonts w:ascii="Times New Roman" w:eastAsia="MS Mincho" w:hAnsi="Times New Roman"/>
          <w:szCs w:val="24"/>
        </w:rPr>
        <w:t>.....................</w:t>
      </w:r>
      <w:r w:rsidRPr="00FA4841">
        <w:rPr>
          <w:rFonts w:ascii="Times New Roman" w:eastAsia="MS Mincho" w:hAnsi="Times New Roman"/>
          <w:szCs w:val="24"/>
        </w:rPr>
        <w:t>...........</w:t>
      </w:r>
      <w:r w:rsidR="00DF3A52">
        <w:rPr>
          <w:rFonts w:ascii="Times New Roman" w:eastAsia="MS Mincho" w:hAnsi="Times New Roman"/>
          <w:szCs w:val="24"/>
        </w:rPr>
        <w:t>..</w:t>
      </w:r>
      <w:r w:rsidRPr="00FA4841">
        <w:rPr>
          <w:rFonts w:ascii="Times New Roman" w:eastAsia="MS Mincho" w:hAnsi="Times New Roman"/>
          <w:szCs w:val="24"/>
        </w:rPr>
        <w:t>....</w:t>
      </w:r>
      <w:r w:rsidR="0076615E">
        <w:rPr>
          <w:rFonts w:ascii="Times New Roman" w:eastAsia="MS Mincho" w:hAnsi="Times New Roman"/>
          <w:szCs w:val="24"/>
        </w:rPr>
        <w:t>.</w:t>
      </w:r>
      <w:r w:rsidRPr="00FA4841">
        <w:rPr>
          <w:rFonts w:ascii="Times New Roman" w:eastAsia="MS Mincho" w:hAnsi="Times New Roman"/>
          <w:szCs w:val="24"/>
        </w:rPr>
        <w:t>..</w:t>
      </w:r>
      <w:r w:rsidR="0076615E">
        <w:rPr>
          <w:rFonts w:ascii="Times New Roman" w:eastAsia="Calibri" w:hAnsi="Times New Roman"/>
          <w:szCs w:val="24"/>
          <w:lang w:eastAsia="en-US"/>
        </w:rPr>
        <w:t>16</w:t>
      </w:r>
      <w:r w:rsidRPr="00FA4841">
        <w:rPr>
          <w:rFonts w:ascii="Times New Roman" w:eastAsia="Calibri" w:hAnsi="Times New Roman"/>
          <w:szCs w:val="24"/>
          <w:lang w:eastAsia="en-US"/>
        </w:rPr>
        <w:t>9</w:t>
      </w:r>
    </w:p>
    <w:p w14:paraId="5CDFC223" w14:textId="69D5604D"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Figure 10.1: Framework showing the influence of training on cultural beliefs about dementia..................</w:t>
      </w:r>
      <w:r w:rsidR="00DF3A52">
        <w:rPr>
          <w:rFonts w:ascii="Times New Roman" w:eastAsia="MS Mincho" w:hAnsi="Times New Roman"/>
          <w:szCs w:val="24"/>
        </w:rPr>
        <w:t>.</w:t>
      </w:r>
      <w:r w:rsidRPr="00FA4841">
        <w:rPr>
          <w:rFonts w:ascii="Times New Roman" w:eastAsia="MS Mincho" w:hAnsi="Times New Roman"/>
          <w:szCs w:val="24"/>
        </w:rPr>
        <w:t>......................</w:t>
      </w:r>
      <w:r w:rsidR="00DF3A52">
        <w:rPr>
          <w:rFonts w:ascii="Times New Roman" w:eastAsia="MS Mincho" w:hAnsi="Times New Roman"/>
          <w:szCs w:val="24"/>
        </w:rPr>
        <w:t>.</w:t>
      </w:r>
      <w:r w:rsidRPr="00FA4841">
        <w:rPr>
          <w:rFonts w:ascii="Times New Roman" w:eastAsia="MS Mincho" w:hAnsi="Times New Roman"/>
          <w:szCs w:val="24"/>
        </w:rPr>
        <w:t>......................</w:t>
      </w:r>
      <w:r w:rsidR="00DF3A52">
        <w:rPr>
          <w:rFonts w:ascii="Times New Roman" w:eastAsia="MS Mincho" w:hAnsi="Times New Roman"/>
          <w:szCs w:val="24"/>
        </w:rPr>
        <w:t>.</w:t>
      </w:r>
      <w:r w:rsidRPr="00FA4841">
        <w:rPr>
          <w:rFonts w:ascii="Times New Roman" w:eastAsia="MS Mincho" w:hAnsi="Times New Roman"/>
          <w:szCs w:val="24"/>
        </w:rPr>
        <w:t>.....................</w:t>
      </w:r>
      <w:r w:rsidR="00DF3A52">
        <w:rPr>
          <w:rFonts w:ascii="Times New Roman" w:eastAsia="MS Mincho" w:hAnsi="Times New Roman"/>
          <w:szCs w:val="24"/>
        </w:rPr>
        <w:t>.............</w:t>
      </w:r>
      <w:r w:rsidRPr="00FA4841">
        <w:rPr>
          <w:rFonts w:ascii="Times New Roman" w:eastAsia="MS Mincho" w:hAnsi="Times New Roman"/>
          <w:szCs w:val="24"/>
        </w:rPr>
        <w:t>..................</w:t>
      </w:r>
      <w:r w:rsidR="0076615E">
        <w:rPr>
          <w:rFonts w:ascii="Times New Roman" w:eastAsia="Calibri" w:hAnsi="Times New Roman"/>
          <w:szCs w:val="24"/>
          <w:lang w:eastAsia="en-US"/>
        </w:rPr>
        <w:t>228</w:t>
      </w:r>
    </w:p>
    <w:p w14:paraId="0F27AFDB" w14:textId="53810475"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Figure 10.2: Influence of cultural values on Nigerian migrant care workers</w:t>
      </w:r>
      <w:r w:rsidR="00DF3A52">
        <w:rPr>
          <w:rFonts w:ascii="Times New Roman" w:eastAsia="MS Mincho" w:hAnsi="Times New Roman"/>
          <w:szCs w:val="24"/>
        </w:rPr>
        <w:t>…</w:t>
      </w:r>
      <w:r w:rsidRPr="00FA4841">
        <w:rPr>
          <w:rFonts w:ascii="Times New Roman" w:eastAsia="MS Mincho" w:hAnsi="Times New Roman"/>
          <w:szCs w:val="24"/>
        </w:rPr>
        <w:t>.........</w:t>
      </w:r>
      <w:r w:rsidR="0076615E">
        <w:rPr>
          <w:rFonts w:ascii="Times New Roman" w:eastAsia="Calibri" w:hAnsi="Times New Roman"/>
          <w:szCs w:val="24"/>
          <w:lang w:eastAsia="en-US"/>
        </w:rPr>
        <w:t>22</w:t>
      </w:r>
      <w:r w:rsidRPr="00FA4841">
        <w:rPr>
          <w:rFonts w:ascii="Times New Roman" w:eastAsia="Calibri" w:hAnsi="Times New Roman"/>
          <w:szCs w:val="24"/>
          <w:lang w:eastAsia="en-US"/>
        </w:rPr>
        <w:t>9</w:t>
      </w:r>
    </w:p>
    <w:p w14:paraId="0AFBB43C" w14:textId="77777777" w:rsidR="006D63AB" w:rsidRPr="00FA4841" w:rsidRDefault="006D63AB" w:rsidP="00FA4841">
      <w:pPr>
        <w:spacing w:after="200" w:line="276" w:lineRule="auto"/>
        <w:rPr>
          <w:rFonts w:ascii="Times New Roman" w:eastAsia="MS Mincho" w:hAnsi="Times New Roman"/>
          <w:szCs w:val="24"/>
        </w:rPr>
      </w:pPr>
    </w:p>
    <w:p w14:paraId="764DA68E" w14:textId="77777777" w:rsidR="006869A3" w:rsidRDefault="006869A3">
      <w:pPr>
        <w:spacing w:after="0" w:line="240" w:lineRule="auto"/>
        <w:rPr>
          <w:rFonts w:ascii="Times New Roman" w:eastAsia="MS Mincho" w:hAnsi="Times New Roman"/>
          <w:b/>
          <w:szCs w:val="24"/>
        </w:rPr>
      </w:pPr>
      <w:r>
        <w:rPr>
          <w:rFonts w:ascii="Times New Roman" w:eastAsia="MS Mincho" w:hAnsi="Times New Roman"/>
          <w:b/>
          <w:szCs w:val="24"/>
        </w:rPr>
        <w:br w:type="page"/>
      </w:r>
    </w:p>
    <w:p w14:paraId="065A831A" w14:textId="464F9681" w:rsidR="00FA4841" w:rsidRPr="00FA4841" w:rsidRDefault="00FA4841" w:rsidP="006869A3">
      <w:pPr>
        <w:pStyle w:val="Heading1"/>
        <w:rPr>
          <w:rFonts w:eastAsia="MS Mincho"/>
        </w:rPr>
      </w:pPr>
      <w:bookmarkStart w:id="5" w:name="_Toc86417209"/>
      <w:r w:rsidRPr="00FA4841">
        <w:rPr>
          <w:rFonts w:eastAsia="MS Mincho"/>
        </w:rPr>
        <w:lastRenderedPageBreak/>
        <w:t>LIST OF TABLES</w:t>
      </w:r>
      <w:bookmarkEnd w:id="5"/>
    </w:p>
    <w:p w14:paraId="40C2D7A1" w14:textId="2293A717" w:rsidR="002D29B3" w:rsidRPr="003323FF" w:rsidRDefault="002D29B3"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Table </w:t>
      </w:r>
      <w:r>
        <w:rPr>
          <w:rFonts w:ascii="Times New Roman" w:eastAsia="MS Mincho" w:hAnsi="Times New Roman"/>
          <w:szCs w:val="24"/>
        </w:rPr>
        <w:t>6</w:t>
      </w:r>
      <w:r w:rsidRPr="00FA4841">
        <w:rPr>
          <w:rFonts w:ascii="Times New Roman" w:eastAsia="MS Mincho" w:hAnsi="Times New Roman"/>
          <w:szCs w:val="24"/>
        </w:rPr>
        <w:t>.1</w:t>
      </w:r>
      <w:r w:rsidRPr="003323FF">
        <w:rPr>
          <w:rFonts w:ascii="Times New Roman" w:eastAsia="MS Mincho" w:hAnsi="Times New Roman"/>
          <w:szCs w:val="24"/>
        </w:rPr>
        <w:t xml:space="preserve">: </w:t>
      </w:r>
      <w:r w:rsidR="003323FF" w:rsidRPr="003323FF">
        <w:rPr>
          <w:rFonts w:ascii="Times New Roman" w:hAnsi="Times New Roman"/>
          <w:szCs w:val="24"/>
        </w:rPr>
        <w:t>Worked example of data analysis</w:t>
      </w:r>
      <w:r w:rsidR="00207149">
        <w:rPr>
          <w:rFonts w:ascii="Times New Roman" w:eastAsia="MS Mincho" w:hAnsi="Times New Roman"/>
          <w:szCs w:val="24"/>
        </w:rPr>
        <w:t>.</w:t>
      </w:r>
      <w:r w:rsidRPr="003323FF">
        <w:rPr>
          <w:rFonts w:ascii="Times New Roman" w:eastAsia="MS Mincho" w:hAnsi="Times New Roman"/>
          <w:szCs w:val="24"/>
        </w:rPr>
        <w:t>..…..…………………</w:t>
      </w:r>
      <w:r w:rsidR="003323FF">
        <w:rPr>
          <w:rFonts w:ascii="Times New Roman" w:eastAsia="MS Mincho" w:hAnsi="Times New Roman"/>
          <w:szCs w:val="24"/>
        </w:rPr>
        <w:t>……….</w:t>
      </w:r>
      <w:r w:rsidRPr="003323FF">
        <w:rPr>
          <w:rFonts w:ascii="Times New Roman" w:eastAsia="MS Mincho" w:hAnsi="Times New Roman"/>
          <w:szCs w:val="24"/>
        </w:rPr>
        <w:t>………1</w:t>
      </w:r>
      <w:r w:rsidR="00614D87">
        <w:rPr>
          <w:rFonts w:ascii="Times New Roman" w:eastAsia="MS Mincho" w:hAnsi="Times New Roman"/>
          <w:szCs w:val="24"/>
        </w:rPr>
        <w:t>14</w:t>
      </w:r>
    </w:p>
    <w:p w14:paraId="59643D7B" w14:textId="4746F967" w:rsidR="00FA4841" w:rsidRPr="00FA4841" w:rsidRDefault="00FA4841" w:rsidP="00FA4841">
      <w:pPr>
        <w:spacing w:after="200" w:line="276" w:lineRule="auto"/>
        <w:rPr>
          <w:rFonts w:ascii="Times New Roman" w:eastAsia="MS Mincho" w:hAnsi="Times New Roman"/>
          <w:szCs w:val="24"/>
        </w:rPr>
      </w:pPr>
      <w:r w:rsidRPr="003323FF">
        <w:rPr>
          <w:rFonts w:ascii="Times New Roman" w:eastAsia="MS Mincho" w:hAnsi="Times New Roman"/>
          <w:szCs w:val="24"/>
        </w:rPr>
        <w:t>Table</w:t>
      </w:r>
      <w:r w:rsidRPr="00FA4841">
        <w:rPr>
          <w:rFonts w:ascii="Times New Roman" w:eastAsia="MS Mincho" w:hAnsi="Times New Roman"/>
          <w:szCs w:val="24"/>
        </w:rPr>
        <w:t xml:space="preserve"> 7.1: Participants’ gender, age and current role</w:t>
      </w:r>
      <w:r w:rsidR="00207149">
        <w:rPr>
          <w:rFonts w:ascii="Times New Roman" w:eastAsia="MS Mincho" w:hAnsi="Times New Roman"/>
          <w:szCs w:val="24"/>
        </w:rPr>
        <w:t>.</w:t>
      </w:r>
      <w:r w:rsidRPr="00FA4841">
        <w:rPr>
          <w:rFonts w:ascii="Times New Roman" w:eastAsia="MS Mincho" w:hAnsi="Times New Roman"/>
          <w:szCs w:val="24"/>
        </w:rPr>
        <w:t>..…..……………………</w:t>
      </w:r>
      <w:r w:rsidR="003B5CB2">
        <w:rPr>
          <w:rFonts w:ascii="Times New Roman" w:eastAsia="MS Mincho" w:hAnsi="Times New Roman"/>
          <w:szCs w:val="24"/>
        </w:rPr>
        <w:t>……120</w:t>
      </w:r>
    </w:p>
    <w:p w14:paraId="75978AFF" w14:textId="48B9730E"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Table 7.2: Table showing the participants place of origin, place of birth and place of residence before coming to the UK…..……………………………………………..</w:t>
      </w:r>
      <w:r w:rsidR="003B5CB2">
        <w:rPr>
          <w:rFonts w:ascii="Times New Roman" w:eastAsia="MS Mincho" w:hAnsi="Times New Roman"/>
          <w:szCs w:val="24"/>
        </w:rPr>
        <w:t>123</w:t>
      </w:r>
    </w:p>
    <w:p w14:paraId="51BC4761" w14:textId="7A87CE2F"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Table 7.3: </w:t>
      </w:r>
      <w:r w:rsidR="003B5CB2" w:rsidRPr="003B5CB2">
        <w:rPr>
          <w:rFonts w:ascii="Times New Roman" w:hAnsi="Times New Roman"/>
          <w:bCs/>
          <w:szCs w:val="24"/>
        </w:rPr>
        <w:t>Table showing the academic qualifications and of the participants and their work experience prior to migrating.</w:t>
      </w:r>
      <w:r w:rsidRPr="00FA4841">
        <w:rPr>
          <w:rFonts w:ascii="Times New Roman" w:eastAsia="MS Mincho" w:hAnsi="Times New Roman"/>
          <w:szCs w:val="24"/>
        </w:rPr>
        <w:t>…………</w:t>
      </w:r>
      <w:r w:rsidR="003B5CB2" w:rsidRPr="003B5CB2">
        <w:rPr>
          <w:rFonts w:ascii="Times New Roman" w:eastAsia="MS Mincho" w:hAnsi="Times New Roman"/>
          <w:szCs w:val="24"/>
        </w:rPr>
        <w:t xml:space="preserve"> </w:t>
      </w:r>
      <w:r w:rsidR="003B5CB2" w:rsidRPr="00FA4841">
        <w:rPr>
          <w:rFonts w:ascii="Times New Roman" w:eastAsia="MS Mincho" w:hAnsi="Times New Roman"/>
          <w:szCs w:val="24"/>
        </w:rPr>
        <w:t>…………………………………</w:t>
      </w:r>
      <w:r w:rsidR="003B5CB2">
        <w:rPr>
          <w:rFonts w:ascii="Times New Roman" w:eastAsia="MS Mincho" w:hAnsi="Times New Roman"/>
          <w:szCs w:val="24"/>
        </w:rPr>
        <w:t>…</w:t>
      </w:r>
      <w:r w:rsidR="00AD3DE8">
        <w:rPr>
          <w:rFonts w:ascii="Times New Roman" w:eastAsia="MS Mincho" w:hAnsi="Times New Roman"/>
          <w:szCs w:val="24"/>
        </w:rPr>
        <w:t>..</w:t>
      </w:r>
      <w:r w:rsidR="003B5CB2">
        <w:rPr>
          <w:rFonts w:ascii="Times New Roman" w:eastAsia="MS Mincho" w:hAnsi="Times New Roman"/>
          <w:szCs w:val="24"/>
        </w:rPr>
        <w:t>12</w:t>
      </w:r>
      <w:r w:rsidR="00207149">
        <w:rPr>
          <w:rFonts w:ascii="Times New Roman" w:eastAsia="MS Mincho" w:hAnsi="Times New Roman"/>
          <w:szCs w:val="24"/>
        </w:rPr>
        <w:t>6</w:t>
      </w:r>
    </w:p>
    <w:p w14:paraId="3F0B400F" w14:textId="13CD7C00"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Table 7.4: Participants’ route of migrating to the UK..….………………………</w:t>
      </w:r>
      <w:r w:rsidR="00AD3DE8">
        <w:rPr>
          <w:rFonts w:ascii="Times New Roman" w:eastAsia="MS Mincho" w:hAnsi="Times New Roman"/>
          <w:szCs w:val="24"/>
        </w:rPr>
        <w:t>….131</w:t>
      </w:r>
    </w:p>
    <w:p w14:paraId="2DA567E7" w14:textId="183025FA" w:rsidR="00FA4841" w:rsidRPr="00EF18EC"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Table 8.1: Table showing my participants motivation for caring, rewards they derive fr</w:t>
      </w:r>
      <w:r w:rsidRPr="00EF18EC">
        <w:rPr>
          <w:rFonts w:ascii="Times New Roman" w:eastAsia="MS Mincho" w:hAnsi="Times New Roman"/>
          <w:szCs w:val="24"/>
        </w:rPr>
        <w:t>om caring and their previous care experiences….………………………………</w:t>
      </w:r>
      <w:r w:rsidR="00AD3DE8" w:rsidRPr="00EF18EC">
        <w:rPr>
          <w:rFonts w:ascii="Times New Roman" w:eastAsia="MS Mincho" w:hAnsi="Times New Roman"/>
          <w:szCs w:val="24"/>
        </w:rPr>
        <w:t>..</w:t>
      </w:r>
      <w:r w:rsidRPr="00EF18EC">
        <w:rPr>
          <w:rFonts w:ascii="Times New Roman" w:eastAsia="MS Mincho" w:hAnsi="Times New Roman"/>
          <w:szCs w:val="24"/>
        </w:rPr>
        <w:t>.</w:t>
      </w:r>
      <w:r w:rsidR="00AD3DE8" w:rsidRPr="00EF18EC">
        <w:rPr>
          <w:rFonts w:ascii="Times New Roman" w:eastAsia="MS Mincho" w:hAnsi="Times New Roman"/>
          <w:szCs w:val="24"/>
        </w:rPr>
        <w:t>146</w:t>
      </w:r>
    </w:p>
    <w:p w14:paraId="426E8235" w14:textId="59C3564C" w:rsidR="00730F74" w:rsidRPr="00EF18EC" w:rsidRDefault="00730F74" w:rsidP="00FA4841">
      <w:pPr>
        <w:spacing w:after="200" w:line="276" w:lineRule="auto"/>
        <w:rPr>
          <w:rFonts w:ascii="Times New Roman" w:eastAsia="MS Mincho" w:hAnsi="Times New Roman"/>
          <w:szCs w:val="24"/>
        </w:rPr>
      </w:pPr>
      <w:r w:rsidRPr="00EF18EC">
        <w:rPr>
          <w:rFonts w:ascii="Times New Roman" w:eastAsia="MS Mincho" w:hAnsi="Times New Roman"/>
          <w:szCs w:val="24"/>
        </w:rPr>
        <w:t xml:space="preserve">Table 9.1: </w:t>
      </w:r>
      <w:r w:rsidR="00EF18EC">
        <w:rPr>
          <w:rFonts w:ascii="Times New Roman" w:eastAsia="Calibri" w:hAnsi="Times New Roman"/>
          <w:szCs w:val="24"/>
          <w:lang w:eastAsia="en-US"/>
        </w:rPr>
        <w:t>The c</w:t>
      </w:r>
      <w:r w:rsidR="00EF18EC" w:rsidRPr="00EF18EC">
        <w:rPr>
          <w:rFonts w:ascii="Times New Roman" w:eastAsia="Calibri" w:hAnsi="Times New Roman"/>
          <w:szCs w:val="24"/>
          <w:lang w:eastAsia="en-US"/>
        </w:rPr>
        <w:t>hallenges faced by HCA and nurses caring for PLWD in the NHS</w:t>
      </w:r>
      <w:r w:rsidRPr="00EF18EC">
        <w:rPr>
          <w:rFonts w:ascii="Times New Roman" w:eastAsia="MS Mincho" w:hAnsi="Times New Roman"/>
          <w:szCs w:val="24"/>
        </w:rPr>
        <w:t>...</w:t>
      </w:r>
      <w:r w:rsidR="00AD3DE8" w:rsidRPr="00EF18EC">
        <w:rPr>
          <w:rFonts w:ascii="Times New Roman" w:eastAsia="MS Mincho" w:hAnsi="Times New Roman"/>
          <w:szCs w:val="24"/>
        </w:rPr>
        <w:t>...............</w:t>
      </w:r>
      <w:r w:rsidR="00EF18EC">
        <w:rPr>
          <w:rFonts w:ascii="Times New Roman" w:eastAsia="MS Mincho" w:hAnsi="Times New Roman"/>
          <w:szCs w:val="24"/>
        </w:rPr>
        <w:t>......................</w:t>
      </w:r>
      <w:r w:rsidR="00AD3DE8" w:rsidRPr="00EF18EC">
        <w:rPr>
          <w:rFonts w:ascii="Times New Roman" w:eastAsia="MS Mincho" w:hAnsi="Times New Roman"/>
          <w:szCs w:val="24"/>
        </w:rPr>
        <w:t>....................................</w:t>
      </w:r>
      <w:r w:rsidR="00207149">
        <w:rPr>
          <w:rFonts w:ascii="Times New Roman" w:eastAsia="MS Mincho" w:hAnsi="Times New Roman"/>
          <w:szCs w:val="24"/>
        </w:rPr>
        <w:t>.</w:t>
      </w:r>
      <w:r w:rsidR="00AD3DE8" w:rsidRPr="00EF18EC">
        <w:rPr>
          <w:rFonts w:ascii="Times New Roman" w:eastAsia="MS Mincho" w:hAnsi="Times New Roman"/>
          <w:szCs w:val="24"/>
        </w:rPr>
        <w:t>.........................................…..173</w:t>
      </w:r>
    </w:p>
    <w:p w14:paraId="3D8FC456" w14:textId="24706FDF" w:rsidR="00FA4841" w:rsidRPr="00FA4841" w:rsidRDefault="00FA4841" w:rsidP="00FA4841">
      <w:pPr>
        <w:spacing w:after="200" w:line="276" w:lineRule="auto"/>
        <w:rPr>
          <w:rFonts w:ascii="Times New Roman" w:eastAsia="MS Mincho" w:hAnsi="Times New Roman"/>
          <w:szCs w:val="24"/>
        </w:rPr>
      </w:pPr>
      <w:r w:rsidRPr="00EF18EC">
        <w:rPr>
          <w:rFonts w:ascii="Times New Roman" w:eastAsia="MS Mincho" w:hAnsi="Times New Roman"/>
          <w:szCs w:val="24"/>
        </w:rPr>
        <w:t>T</w:t>
      </w:r>
      <w:r w:rsidRPr="00FA4841">
        <w:rPr>
          <w:rFonts w:ascii="Times New Roman" w:eastAsia="MS Mincho" w:hAnsi="Times New Roman"/>
          <w:szCs w:val="24"/>
        </w:rPr>
        <w:t xml:space="preserve">able 10.1: </w:t>
      </w:r>
      <w:r w:rsidR="00AF6415" w:rsidRPr="00AF6415">
        <w:rPr>
          <w:rFonts w:ascii="Times New Roman" w:hAnsi="Times New Roman"/>
          <w:szCs w:val="24"/>
        </w:rPr>
        <w:t>Cultural</w:t>
      </w:r>
      <w:r w:rsidR="00AF6415" w:rsidRPr="00FA4841">
        <w:rPr>
          <w:rFonts w:ascii="Times New Roman" w:eastAsia="MS Mincho" w:hAnsi="Times New Roman"/>
          <w:szCs w:val="24"/>
        </w:rPr>
        <w:t xml:space="preserve"> </w:t>
      </w:r>
      <w:r w:rsidR="00AF6415">
        <w:rPr>
          <w:rFonts w:ascii="Times New Roman" w:eastAsia="MS Mincho" w:hAnsi="Times New Roman"/>
          <w:szCs w:val="24"/>
        </w:rPr>
        <w:t>b</w:t>
      </w:r>
      <w:r w:rsidRPr="00FA4841">
        <w:rPr>
          <w:rFonts w:ascii="Times New Roman" w:eastAsia="MS Mincho" w:hAnsi="Times New Roman"/>
          <w:szCs w:val="24"/>
        </w:rPr>
        <w:t>eliefs concerning dementia held by the participants prior to training</w:t>
      </w:r>
      <w:r w:rsidR="00AD3DE8">
        <w:rPr>
          <w:rFonts w:ascii="Times New Roman" w:eastAsia="MS Mincho" w:hAnsi="Times New Roman"/>
          <w:szCs w:val="24"/>
        </w:rPr>
        <w:t>........................................................................</w:t>
      </w:r>
      <w:r w:rsidR="00207149">
        <w:rPr>
          <w:rFonts w:ascii="Times New Roman" w:eastAsia="MS Mincho" w:hAnsi="Times New Roman"/>
          <w:szCs w:val="24"/>
        </w:rPr>
        <w:t>.</w:t>
      </w:r>
      <w:r w:rsidR="00AD3DE8">
        <w:rPr>
          <w:rFonts w:ascii="Times New Roman" w:eastAsia="MS Mincho" w:hAnsi="Times New Roman"/>
          <w:szCs w:val="24"/>
        </w:rPr>
        <w:t>...............................</w:t>
      </w:r>
      <w:r w:rsidR="00AD3DE8" w:rsidRPr="00FA4841">
        <w:rPr>
          <w:rFonts w:ascii="Times New Roman" w:eastAsia="MS Mincho" w:hAnsi="Times New Roman"/>
          <w:szCs w:val="24"/>
        </w:rPr>
        <w:t>…</w:t>
      </w:r>
      <w:r w:rsidR="00AD3DE8">
        <w:rPr>
          <w:rFonts w:ascii="Times New Roman" w:eastAsia="MS Mincho" w:hAnsi="Times New Roman"/>
          <w:szCs w:val="24"/>
        </w:rPr>
        <w:t>………207</w:t>
      </w:r>
    </w:p>
    <w:p w14:paraId="4F6BF2A7" w14:textId="77777777" w:rsidR="00FA4841" w:rsidRPr="00FA4841" w:rsidRDefault="00FA4841" w:rsidP="00FA4841">
      <w:pPr>
        <w:spacing w:after="200" w:line="276" w:lineRule="auto"/>
        <w:rPr>
          <w:rFonts w:ascii="Times New Roman" w:eastAsia="MS Mincho" w:hAnsi="Times New Roman"/>
          <w:szCs w:val="24"/>
        </w:rPr>
      </w:pPr>
    </w:p>
    <w:p w14:paraId="0709BE25" w14:textId="77777777" w:rsidR="006869A3" w:rsidRDefault="006869A3">
      <w:pPr>
        <w:spacing w:after="0" w:line="240" w:lineRule="auto"/>
        <w:rPr>
          <w:rFonts w:ascii="Times New Roman" w:eastAsia="MS Mincho" w:hAnsi="Times New Roman"/>
          <w:szCs w:val="24"/>
        </w:rPr>
      </w:pPr>
      <w:r>
        <w:rPr>
          <w:rFonts w:ascii="Times New Roman" w:eastAsia="MS Mincho" w:hAnsi="Times New Roman"/>
          <w:szCs w:val="24"/>
        </w:rPr>
        <w:br w:type="page"/>
      </w:r>
    </w:p>
    <w:p w14:paraId="5E0E412E" w14:textId="6E7B30BD" w:rsidR="00FA4841" w:rsidRPr="00FA4841" w:rsidRDefault="00FA4841" w:rsidP="006869A3">
      <w:pPr>
        <w:pStyle w:val="Heading1"/>
        <w:rPr>
          <w:rFonts w:eastAsia="MS Mincho"/>
        </w:rPr>
      </w:pPr>
      <w:bookmarkStart w:id="6" w:name="_Toc86417210"/>
      <w:r w:rsidRPr="00FA4841">
        <w:rPr>
          <w:rFonts w:eastAsia="MS Mincho"/>
        </w:rPr>
        <w:lastRenderedPageBreak/>
        <w:t>TRANSCRIPTION CONVENTIONS</w:t>
      </w:r>
      <w:bookmarkEnd w:id="6"/>
    </w:p>
    <w:p w14:paraId="63E775B3" w14:textId="77777777" w:rsidR="00FA4841" w:rsidRPr="00FA4841" w:rsidRDefault="00FA4841" w:rsidP="00FA4841">
      <w:pPr>
        <w:spacing w:after="200" w:line="276" w:lineRule="auto"/>
        <w:jc w:val="center"/>
        <w:rPr>
          <w:rFonts w:ascii="Times New Roman" w:eastAsia="MS Mincho" w:hAnsi="Times New Roman"/>
          <w:szCs w:val="24"/>
        </w:rPr>
      </w:pPr>
    </w:p>
    <w:p w14:paraId="419B34C3" w14:textId="77777777"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Indented extracts in italic font indicate interview transcripts or direct reference to another author unless otherwise stated.</w:t>
      </w:r>
    </w:p>
    <w:p w14:paraId="7A43E36B" w14:textId="77777777"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All interviews were transcribed verbatim. </w:t>
      </w:r>
    </w:p>
    <w:p w14:paraId="1978841F" w14:textId="77777777"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 means that words, phrases or sentence of the extract omitted. </w:t>
      </w:r>
    </w:p>
    <w:p w14:paraId="3F7163AA" w14:textId="77777777"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[Descriptive material added to make the context clear and/or meaning clear] </w:t>
      </w:r>
    </w:p>
    <w:p w14:paraId="7C0958C1" w14:textId="77777777" w:rsidR="00FA4841" w:rsidRPr="00FA4841" w:rsidRDefault="00FA4841" w:rsidP="00FA4841">
      <w:pPr>
        <w:spacing w:after="200" w:line="276" w:lineRule="auto"/>
        <w:rPr>
          <w:rFonts w:ascii="Times New Roman" w:eastAsia="MS Mincho" w:hAnsi="Times New Roman"/>
          <w:szCs w:val="24"/>
        </w:rPr>
      </w:pPr>
      <w:r w:rsidRPr="00FA4841">
        <w:rPr>
          <w:rFonts w:ascii="Times New Roman" w:eastAsia="MS Mincho" w:hAnsi="Times New Roman"/>
          <w:szCs w:val="24"/>
        </w:rPr>
        <w:t xml:space="preserve">Data have been edited to preserve anonymity. </w:t>
      </w:r>
    </w:p>
    <w:p w14:paraId="676B2B65" w14:textId="60172FA1" w:rsidR="00EE5ED0" w:rsidRDefault="00FA4841" w:rsidP="006869A3">
      <w:pPr>
        <w:spacing w:after="200" w:line="276" w:lineRule="auto"/>
        <w:rPr>
          <w:rFonts w:ascii="Times New Roman" w:eastAsia="MS Mincho" w:hAnsi="Times New Roman"/>
          <w:szCs w:val="24"/>
        </w:rPr>
      </w:pPr>
      <w:r w:rsidRPr="00FA4841">
        <w:rPr>
          <w:rFonts w:ascii="Times New Roman" w:eastAsia="MS Mincho" w:hAnsi="Times New Roman"/>
          <w:szCs w:val="24"/>
        </w:rPr>
        <w:t>All names of people are pseudonyms.</w:t>
      </w:r>
    </w:p>
    <w:p w14:paraId="15A7DFE6" w14:textId="77777777" w:rsidR="006869A3" w:rsidRDefault="006869A3">
      <w:pPr>
        <w:spacing w:after="0" w:line="240" w:lineRule="auto"/>
        <w:rPr>
          <w:rFonts w:ascii="Times New Roman" w:eastAsia="MS Mincho" w:hAnsi="Times New Roman"/>
          <w:b/>
          <w:bCs/>
        </w:rPr>
      </w:pPr>
      <w:r>
        <w:rPr>
          <w:rFonts w:ascii="Times New Roman" w:eastAsia="MS Mincho" w:hAnsi="Times New Roman"/>
          <w:b/>
          <w:bCs/>
        </w:rPr>
        <w:br w:type="page"/>
      </w:r>
    </w:p>
    <w:p w14:paraId="5683B936" w14:textId="748B0E13" w:rsidR="00FA4841" w:rsidRPr="004E64DF" w:rsidRDefault="00FA4841" w:rsidP="006869A3">
      <w:pPr>
        <w:pStyle w:val="Heading1"/>
        <w:rPr>
          <w:rFonts w:eastAsia="MS Mincho"/>
        </w:rPr>
      </w:pPr>
      <w:bookmarkStart w:id="7" w:name="_Toc86417211"/>
      <w:r w:rsidRPr="004E64DF">
        <w:rPr>
          <w:rFonts w:eastAsia="MS Mincho"/>
        </w:rPr>
        <w:lastRenderedPageBreak/>
        <w:t>LIST OF ABBREVIATION</w:t>
      </w:r>
      <w:r w:rsidR="00B072BA" w:rsidRPr="004E64DF">
        <w:rPr>
          <w:rFonts w:eastAsia="MS Mincho"/>
        </w:rPr>
        <w:t>/NOTATION</w:t>
      </w:r>
      <w:bookmarkEnd w:id="7"/>
    </w:p>
    <w:p w14:paraId="0AFAD917"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AARP – American Association of Retire Persons</w:t>
      </w:r>
    </w:p>
    <w:p w14:paraId="54670C83"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ADL – Activities of daily living</w:t>
      </w:r>
    </w:p>
    <w:p w14:paraId="1057F088"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DLMT - Dual Labour Market Theory</w:t>
      </w:r>
    </w:p>
    <w:p w14:paraId="33C3B6D9" w14:textId="1AFFA9B9" w:rsidR="001E7E7B"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EM – Extrinsic motivation</w:t>
      </w:r>
    </w:p>
    <w:p w14:paraId="340F799D"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 w:val="22"/>
          <w:szCs w:val="24"/>
        </w:rPr>
        <w:t>GDP - Gross Domestic Product</w:t>
      </w:r>
    </w:p>
    <w:p w14:paraId="50B954AD" w14:textId="30BD8120" w:rsidR="001D74AE"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HCA – Health Care Assistant</w:t>
      </w:r>
    </w:p>
    <w:p w14:paraId="710F8502" w14:textId="76172F60" w:rsidR="001E7E7B" w:rsidRPr="00FA4841" w:rsidRDefault="001E7E7B" w:rsidP="009736EE">
      <w:pPr>
        <w:spacing w:after="200" w:line="240" w:lineRule="auto"/>
        <w:rPr>
          <w:rFonts w:ascii="Times New Roman" w:eastAsia="MS Mincho" w:hAnsi="Times New Roman"/>
          <w:szCs w:val="24"/>
        </w:rPr>
      </w:pPr>
      <w:r>
        <w:rPr>
          <w:rFonts w:ascii="Times New Roman" w:eastAsia="MS Mincho" w:hAnsi="Times New Roman"/>
          <w:szCs w:val="24"/>
        </w:rPr>
        <w:t>HTFT – Herzberg Two Factor Theory</w:t>
      </w:r>
    </w:p>
    <w:p w14:paraId="70F2461D"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IM – Intrinsic motivation</w:t>
      </w:r>
    </w:p>
    <w:p w14:paraId="1978BB80"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IRAS – Integrated Research Application System</w:t>
      </w:r>
    </w:p>
    <w:p w14:paraId="5B25F48A"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i/>
          <w:iCs/>
          <w:szCs w:val="24"/>
        </w:rPr>
        <w:t>n</w:t>
      </w:r>
      <w:r w:rsidRPr="00FA4841">
        <w:rPr>
          <w:rFonts w:ascii="Times New Roman" w:eastAsia="MS Mincho" w:hAnsi="Times New Roman"/>
          <w:szCs w:val="24"/>
        </w:rPr>
        <w:t xml:space="preserve"> – Number of participants</w:t>
      </w:r>
    </w:p>
    <w:p w14:paraId="5A2330C4"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NAC – National Alliance for Caregiving</w:t>
      </w:r>
    </w:p>
    <w:p w14:paraId="1312B8DB"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NCOA – National Council on Aging</w:t>
      </w:r>
    </w:p>
    <w:p w14:paraId="504A6161" w14:textId="731677CE" w:rsidR="001D74AE"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NHS – National Health Service</w:t>
      </w:r>
    </w:p>
    <w:p w14:paraId="3FFF1984" w14:textId="4AEA200E" w:rsidR="001E7E7B" w:rsidRDefault="001E7E7B" w:rsidP="009736EE">
      <w:pPr>
        <w:spacing w:after="200" w:line="240" w:lineRule="auto"/>
        <w:rPr>
          <w:rFonts w:ascii="Times New Roman" w:eastAsia="MS Mincho" w:hAnsi="Times New Roman"/>
          <w:szCs w:val="24"/>
        </w:rPr>
      </w:pPr>
      <w:r>
        <w:rPr>
          <w:rFonts w:ascii="Times New Roman" w:eastAsia="MS Mincho" w:hAnsi="Times New Roman"/>
          <w:szCs w:val="24"/>
        </w:rPr>
        <w:t>ONS – Office for National Statistics</w:t>
      </w:r>
    </w:p>
    <w:p w14:paraId="4A9791E9" w14:textId="143510B9" w:rsidR="001E7E7B" w:rsidRDefault="001E7E7B" w:rsidP="009736EE">
      <w:pPr>
        <w:spacing w:after="200" w:line="240" w:lineRule="auto"/>
        <w:rPr>
          <w:rFonts w:ascii="Times New Roman" w:eastAsia="MS Mincho" w:hAnsi="Times New Roman"/>
          <w:szCs w:val="24"/>
        </w:rPr>
      </w:pPr>
      <w:r>
        <w:rPr>
          <w:rFonts w:ascii="Times New Roman" w:eastAsia="MS Mincho" w:hAnsi="Times New Roman"/>
          <w:szCs w:val="24"/>
        </w:rPr>
        <w:t>PCF – Participant Consent Form</w:t>
      </w:r>
    </w:p>
    <w:p w14:paraId="52CF375D" w14:textId="50414590" w:rsidR="001E7E7B" w:rsidRPr="00FA4841" w:rsidRDefault="001E7E7B" w:rsidP="009736EE">
      <w:pPr>
        <w:spacing w:after="200" w:line="240" w:lineRule="auto"/>
        <w:rPr>
          <w:rFonts w:ascii="Times New Roman" w:eastAsia="MS Mincho" w:hAnsi="Times New Roman"/>
          <w:szCs w:val="24"/>
        </w:rPr>
      </w:pPr>
      <w:r>
        <w:rPr>
          <w:rFonts w:ascii="Times New Roman" w:eastAsia="MS Mincho" w:hAnsi="Times New Roman"/>
          <w:szCs w:val="24"/>
        </w:rPr>
        <w:t>PIS – Participant Information Sheet</w:t>
      </w:r>
    </w:p>
    <w:p w14:paraId="5086AC71"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PLWD – People living with dementia</w:t>
      </w:r>
    </w:p>
    <w:p w14:paraId="59923B99" w14:textId="732C9501" w:rsidR="001D74AE"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R&amp;D – Research and Development</w:t>
      </w:r>
    </w:p>
    <w:p w14:paraId="105D459F" w14:textId="0D85104D" w:rsidR="00F83F2D" w:rsidRPr="00FA4841" w:rsidRDefault="00F83F2D" w:rsidP="009736EE">
      <w:pPr>
        <w:spacing w:after="200" w:line="240" w:lineRule="auto"/>
        <w:rPr>
          <w:rFonts w:ascii="Times New Roman" w:eastAsia="MS Mincho" w:hAnsi="Times New Roman"/>
          <w:szCs w:val="24"/>
        </w:rPr>
      </w:pPr>
      <w:r>
        <w:rPr>
          <w:rFonts w:ascii="Times New Roman" w:eastAsia="MS Mincho" w:hAnsi="Times New Roman"/>
          <w:szCs w:val="24"/>
        </w:rPr>
        <w:t>RCCG – Redeemed Christian Church of God</w:t>
      </w:r>
    </w:p>
    <w:p w14:paraId="5A054089"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REC – Research and Ethics Committee</w:t>
      </w:r>
    </w:p>
    <w:p w14:paraId="1689AD73"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RMN – Registered Mental-Health Nurse</w:t>
      </w:r>
    </w:p>
    <w:p w14:paraId="06BD25F1" w14:textId="1910B35C" w:rsidR="001E7E7B" w:rsidRDefault="001E7E7B" w:rsidP="009736EE">
      <w:pPr>
        <w:spacing w:after="200" w:line="240" w:lineRule="auto"/>
        <w:rPr>
          <w:rFonts w:ascii="Times New Roman" w:eastAsia="MS Mincho" w:hAnsi="Times New Roman"/>
          <w:szCs w:val="24"/>
        </w:rPr>
      </w:pPr>
      <w:r>
        <w:rPr>
          <w:rFonts w:ascii="Times New Roman" w:eastAsia="MS Mincho" w:hAnsi="Times New Roman"/>
          <w:szCs w:val="24"/>
        </w:rPr>
        <w:t>SDT – Self Determination Theory</w:t>
      </w:r>
    </w:p>
    <w:p w14:paraId="3ACFDAE9" w14:textId="5D1EEED4"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SLMT - Segmented Labour Market Theory</w:t>
      </w:r>
    </w:p>
    <w:p w14:paraId="530DF715"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UK – United Kingdom</w:t>
      </w:r>
    </w:p>
    <w:p w14:paraId="59CCC3AF" w14:textId="77777777" w:rsidR="001D74AE" w:rsidRPr="00FA4841" w:rsidRDefault="001D74AE" w:rsidP="009736EE">
      <w:pPr>
        <w:spacing w:after="200" w:line="240" w:lineRule="auto"/>
        <w:rPr>
          <w:rFonts w:ascii="Times New Roman" w:eastAsia="MS Mincho" w:hAnsi="Times New Roman"/>
          <w:szCs w:val="24"/>
        </w:rPr>
      </w:pPr>
      <w:r w:rsidRPr="00FA4841">
        <w:rPr>
          <w:rFonts w:ascii="Times New Roman" w:eastAsia="MS Mincho" w:hAnsi="Times New Roman"/>
          <w:szCs w:val="24"/>
        </w:rPr>
        <w:t>US or USA – United States of America</w:t>
      </w:r>
    </w:p>
    <w:p w14:paraId="1F7BEF5C" w14:textId="1D90B6B1" w:rsidR="001D74AE" w:rsidRDefault="001D74AE" w:rsidP="009736EE">
      <w:pPr>
        <w:spacing w:after="200" w:line="240" w:lineRule="auto"/>
        <w:rPr>
          <w:rFonts w:ascii="Times New Roman" w:eastAsia="MS Mincho" w:hAnsi="Times New Roman"/>
          <w:sz w:val="22"/>
          <w:szCs w:val="24"/>
        </w:rPr>
      </w:pPr>
      <w:r>
        <w:rPr>
          <w:rFonts w:ascii="Times New Roman" w:eastAsia="MS Mincho" w:hAnsi="Times New Roman"/>
          <w:sz w:val="22"/>
          <w:szCs w:val="24"/>
        </w:rPr>
        <w:t>WHO – World Health Organisation</w:t>
      </w:r>
    </w:p>
    <w:p w14:paraId="53BD6B7B" w14:textId="77777777" w:rsidR="00B171E4" w:rsidRDefault="00B171E4" w:rsidP="00FA4841">
      <w:pPr>
        <w:spacing w:after="200" w:line="276" w:lineRule="auto"/>
        <w:rPr>
          <w:rFonts w:ascii="Times New Roman" w:eastAsia="MS Mincho" w:hAnsi="Times New Roman"/>
          <w:sz w:val="22"/>
          <w:szCs w:val="24"/>
        </w:rPr>
      </w:pPr>
    </w:p>
    <w:p w14:paraId="6AE88EB1" w14:textId="77777777" w:rsidR="00BB6082" w:rsidRDefault="00BB6082" w:rsidP="006869A3">
      <w:pPr>
        <w:pStyle w:val="Heading1"/>
      </w:pPr>
      <w:bookmarkStart w:id="8" w:name="page1"/>
      <w:bookmarkStart w:id="9" w:name="_Hlk84868569"/>
      <w:bookmarkStart w:id="10" w:name="_Toc86417212"/>
      <w:bookmarkEnd w:id="8"/>
      <w:r>
        <w:lastRenderedPageBreak/>
        <w:t>COPYRIGHT DECLARATION</w:t>
      </w:r>
      <w:bookmarkEnd w:id="10"/>
    </w:p>
    <w:p w14:paraId="76B71528" w14:textId="77777777" w:rsidR="00BB6082" w:rsidRDefault="00BB6082" w:rsidP="00BB6082">
      <w:pPr>
        <w:spacing w:line="254" w:lineRule="exact"/>
        <w:rPr>
          <w:rFonts w:ascii="Times New Roman" w:hAnsi="Times New Roman"/>
        </w:rPr>
      </w:pPr>
    </w:p>
    <w:p w14:paraId="68B39F48" w14:textId="77777777" w:rsidR="00BB6082" w:rsidRDefault="00BB6082" w:rsidP="00BB6082">
      <w:pPr>
        <w:spacing w:line="273" w:lineRule="auto"/>
        <w:ind w:right="6"/>
        <w:jc w:val="both"/>
        <w:rPr>
          <w:rFonts w:ascii="Times New Roman" w:hAnsi="Times New Roman"/>
        </w:rPr>
      </w:pPr>
      <w:r>
        <w:rPr>
          <w:rFonts w:ascii="Times New Roman" w:hAnsi="Times New Roman"/>
        </w:rPr>
        <w:t>I declare that this thesis was composed by myself and that all data were collected and analysed by me, with supervision from academic staff. The work presented in this thesis was done in accordance with the Regulations of Anglia Ruskin University. It is original except where it is indicated by special references in the text. Neither this thesis nor the original work therein has been submitted to this or any other institution for a higher degree either in the United Kingdom or overseas. Any views expressed in this thesis are those of the author and not those of Anglia Ruskin University.</w:t>
      </w:r>
    </w:p>
    <w:p w14:paraId="31459F3F" w14:textId="7A35DC47" w:rsidR="00BB6082" w:rsidRDefault="00BB6082" w:rsidP="00BB6082">
      <w:pPr>
        <w:spacing w:line="340" w:lineRule="exact"/>
        <w:rPr>
          <w:rFonts w:ascii="Times New Roman" w:hAnsi="Times New Roman"/>
        </w:rPr>
      </w:pPr>
    </w:p>
    <w:p w14:paraId="56FB0BDA" w14:textId="6D518F47" w:rsidR="00BB6082" w:rsidRDefault="00BB6082" w:rsidP="00BB6082">
      <w:pPr>
        <w:spacing w:line="0" w:lineRule="atLeast"/>
        <w:rPr>
          <w:rFonts w:ascii="Times New Roman" w:hAnsi="Times New Roman"/>
        </w:rPr>
      </w:pPr>
      <w:r>
        <w:rPr>
          <w:rFonts w:ascii="Times New Roman" w:hAnsi="Times New Roman"/>
          <w:noProof/>
        </w:rPr>
        <w:drawing>
          <wp:anchor distT="0" distB="0" distL="114300" distR="114300" simplePos="0" relativeHeight="251657216" behindDoc="1" locked="0" layoutInCell="1" allowOverlap="1" wp14:anchorId="10AD7EDD" wp14:editId="142C89DD">
            <wp:simplePos x="0" y="0"/>
            <wp:positionH relativeFrom="column">
              <wp:posOffset>919480</wp:posOffset>
            </wp:positionH>
            <wp:positionV relativeFrom="paragraph">
              <wp:posOffset>18415</wp:posOffset>
            </wp:positionV>
            <wp:extent cx="824230" cy="548005"/>
            <wp:effectExtent l="0" t="0" r="0" b="0"/>
            <wp:wrapNone/>
            <wp:docPr id="224" name="Picture 224" descr="P39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P399#y1">
                      <a:extLst>
                        <a:ext uri="{C183D7F6-B498-43B3-948B-1728B52AA6E4}">
                          <adec:decorative xmlns:adec="http://schemas.microsoft.com/office/drawing/2017/decorative" val="1"/>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4230" cy="548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rPr>
        <w:t>Signature:</w:t>
      </w:r>
    </w:p>
    <w:p w14:paraId="78028D79" w14:textId="77777777" w:rsidR="00BB6082" w:rsidRDefault="00BB6082" w:rsidP="00BB6082">
      <w:pPr>
        <w:spacing w:line="200" w:lineRule="exact"/>
        <w:rPr>
          <w:rFonts w:ascii="Times New Roman" w:hAnsi="Times New Roman"/>
        </w:rPr>
      </w:pPr>
    </w:p>
    <w:p w14:paraId="61A7FB29" w14:textId="77777777" w:rsidR="00BB6082" w:rsidRDefault="00BB6082" w:rsidP="00BB6082">
      <w:pPr>
        <w:spacing w:line="0" w:lineRule="atLeast"/>
        <w:rPr>
          <w:rFonts w:ascii="Times New Roman" w:hAnsi="Times New Roman"/>
        </w:rPr>
      </w:pPr>
      <w:r>
        <w:rPr>
          <w:rFonts w:ascii="Times New Roman" w:hAnsi="Times New Roman"/>
        </w:rPr>
        <w:t>Ojeiu J. Ejere</w:t>
      </w:r>
    </w:p>
    <w:p w14:paraId="045B5154" w14:textId="77777777" w:rsidR="00BB6082" w:rsidRDefault="00BB6082" w:rsidP="00BB6082">
      <w:pPr>
        <w:spacing w:line="285" w:lineRule="exact"/>
        <w:rPr>
          <w:rFonts w:ascii="Times New Roman" w:hAnsi="Times New Roman"/>
        </w:rPr>
      </w:pPr>
    </w:p>
    <w:p w14:paraId="3E4BB98A" w14:textId="77777777" w:rsidR="00BB6082" w:rsidRDefault="00BB6082" w:rsidP="00BB6082">
      <w:pPr>
        <w:spacing w:line="0" w:lineRule="atLeast"/>
        <w:rPr>
          <w:rFonts w:ascii="Times New Roman" w:hAnsi="Times New Roman"/>
        </w:rPr>
      </w:pPr>
      <w:r>
        <w:rPr>
          <w:rFonts w:ascii="Times New Roman" w:hAnsi="Times New Roman"/>
        </w:rPr>
        <w:t>Date: 8</w:t>
      </w:r>
      <w:r>
        <w:rPr>
          <w:rFonts w:ascii="Times New Roman" w:hAnsi="Times New Roman"/>
          <w:sz w:val="28"/>
          <w:vertAlign w:val="superscript"/>
        </w:rPr>
        <w:t>th</w:t>
      </w:r>
      <w:r>
        <w:rPr>
          <w:rFonts w:ascii="Times New Roman" w:hAnsi="Times New Roman"/>
        </w:rPr>
        <w:t xml:space="preserve"> of December 2020.</w:t>
      </w:r>
    </w:p>
    <w:p w14:paraId="7A19BB8C" w14:textId="77777777" w:rsidR="00BB6082" w:rsidRDefault="00BB6082" w:rsidP="00BB6082">
      <w:pPr>
        <w:spacing w:line="200" w:lineRule="exact"/>
        <w:rPr>
          <w:rFonts w:ascii="Times New Roman" w:hAnsi="Times New Roman"/>
        </w:rPr>
      </w:pPr>
    </w:p>
    <w:p w14:paraId="483CD096" w14:textId="77777777" w:rsidR="00BB6082" w:rsidRDefault="00BB6082" w:rsidP="00BB6082">
      <w:pPr>
        <w:spacing w:line="200" w:lineRule="exact"/>
        <w:rPr>
          <w:rFonts w:ascii="Times New Roman" w:hAnsi="Times New Roman"/>
        </w:rPr>
      </w:pPr>
    </w:p>
    <w:p w14:paraId="601AE587" w14:textId="77777777" w:rsidR="00BB6082" w:rsidRDefault="00BB6082" w:rsidP="00BB6082">
      <w:pPr>
        <w:spacing w:line="200" w:lineRule="exact"/>
        <w:rPr>
          <w:rFonts w:ascii="Times New Roman" w:hAnsi="Times New Roman"/>
        </w:rPr>
      </w:pPr>
    </w:p>
    <w:p w14:paraId="02E4607C" w14:textId="77777777" w:rsidR="00BB6082" w:rsidRDefault="00BB6082" w:rsidP="00BB6082">
      <w:pPr>
        <w:spacing w:line="391" w:lineRule="exact"/>
        <w:rPr>
          <w:rFonts w:ascii="Times New Roman" w:hAnsi="Times New Roman"/>
        </w:rPr>
      </w:pPr>
    </w:p>
    <w:p w14:paraId="0E5632DE" w14:textId="77777777" w:rsidR="00BB6082" w:rsidRDefault="00BB6082" w:rsidP="00BB6082">
      <w:pPr>
        <w:spacing w:line="270" w:lineRule="auto"/>
        <w:ind w:right="6"/>
        <w:jc w:val="both"/>
        <w:rPr>
          <w:rFonts w:ascii="Times New Roman" w:hAnsi="Times New Roman"/>
        </w:rPr>
      </w:pPr>
      <w:r>
        <w:rPr>
          <w:rFonts w:ascii="Times New Roman" w:hAnsi="Times New Roman"/>
        </w:rPr>
        <w:t>“The copyright of this thesis belongs to the author, under the terms of the United Kingdom Copyright Act, as qualified by Anglia Ruskin University. Due acknowledgement must always be made to the use of any material contained in, or derived from this thesis”</w:t>
      </w:r>
    </w:p>
    <w:p w14:paraId="34810B53" w14:textId="77777777" w:rsidR="00B171E4" w:rsidRPr="00FA4841" w:rsidRDefault="00B171E4" w:rsidP="00B171E4">
      <w:pPr>
        <w:spacing w:after="200" w:line="276" w:lineRule="auto"/>
        <w:jc w:val="center"/>
        <w:rPr>
          <w:rFonts w:ascii="Times New Roman" w:eastAsia="MS Mincho" w:hAnsi="Times New Roman"/>
          <w:szCs w:val="24"/>
        </w:rPr>
      </w:pPr>
    </w:p>
    <w:bookmarkEnd w:id="9"/>
    <w:p w14:paraId="559C3B94" w14:textId="77777777" w:rsidR="00B171E4" w:rsidRPr="00FA4841" w:rsidRDefault="00B171E4" w:rsidP="00B171E4">
      <w:pPr>
        <w:spacing w:after="200" w:line="276" w:lineRule="auto"/>
        <w:jc w:val="center"/>
        <w:rPr>
          <w:rFonts w:ascii="Times New Roman" w:eastAsia="MS Mincho" w:hAnsi="Times New Roman"/>
          <w:szCs w:val="24"/>
        </w:rPr>
      </w:pPr>
    </w:p>
    <w:p w14:paraId="41354C82" w14:textId="52E757D5" w:rsidR="009E33DB" w:rsidRPr="009E33DB" w:rsidRDefault="009E33DB" w:rsidP="009E33DB">
      <w:pPr>
        <w:spacing w:after="0" w:line="240" w:lineRule="auto"/>
        <w:jc w:val="both"/>
        <w:rPr>
          <w:rFonts w:ascii="Times New Roman" w:hAnsi="Times New Roman"/>
          <w:b/>
          <w:sz w:val="20"/>
          <w:szCs w:val="24"/>
          <w:lang w:eastAsia="en-US"/>
        </w:rPr>
      </w:pPr>
    </w:p>
    <w:p w14:paraId="34C4FBDB" w14:textId="77777777" w:rsidR="009E33DB" w:rsidRPr="009E33DB" w:rsidRDefault="009E33DB" w:rsidP="009E33DB">
      <w:pPr>
        <w:rPr>
          <w:rFonts w:ascii="Times New Roman" w:hAnsi="Times New Roman"/>
          <w:b/>
          <w:szCs w:val="24"/>
        </w:rPr>
        <w:sectPr w:rsidR="009E33DB" w:rsidRPr="009E33DB" w:rsidSect="009E33DB">
          <w:headerReference w:type="even" r:id="rId9"/>
          <w:headerReference w:type="default" r:id="rId10"/>
          <w:footerReference w:type="even" r:id="rId11"/>
          <w:footerReference w:type="default" r:id="rId12"/>
          <w:headerReference w:type="first" r:id="rId13"/>
          <w:footerReference w:type="first" r:id="rId14"/>
          <w:pgSz w:w="11906" w:h="16838"/>
          <w:pgMar w:top="1440" w:right="1797" w:bottom="1440" w:left="1797" w:header="709" w:footer="709" w:gutter="0"/>
          <w:pgNumType w:fmt="lowerRoman" w:start="1"/>
          <w:cols w:space="708"/>
          <w:docGrid w:linePitch="360"/>
        </w:sectPr>
      </w:pPr>
    </w:p>
    <w:p w14:paraId="52DF4923" w14:textId="77777777" w:rsidR="00592FF6" w:rsidRPr="00EA7713" w:rsidRDefault="00592FF6" w:rsidP="006869A3">
      <w:pPr>
        <w:pStyle w:val="Heading1"/>
      </w:pPr>
      <w:bookmarkStart w:id="11" w:name="_Toc86417213"/>
      <w:r w:rsidRPr="00EA7713">
        <w:lastRenderedPageBreak/>
        <w:t>CHAPTER ONE</w:t>
      </w:r>
      <w:bookmarkEnd w:id="11"/>
    </w:p>
    <w:p w14:paraId="5B05B0BC" w14:textId="77777777" w:rsidR="00592FF6" w:rsidRPr="00EA7713" w:rsidRDefault="00592FF6" w:rsidP="00592FF6">
      <w:pPr>
        <w:jc w:val="center"/>
        <w:rPr>
          <w:rFonts w:ascii="Times New Roman" w:hAnsi="Times New Roman"/>
          <w:b/>
          <w:szCs w:val="24"/>
        </w:rPr>
      </w:pPr>
      <w:r w:rsidRPr="00EA7713">
        <w:rPr>
          <w:rFonts w:ascii="Times New Roman" w:hAnsi="Times New Roman"/>
          <w:b/>
          <w:szCs w:val="24"/>
        </w:rPr>
        <w:t>INTRODUCTION AND BACKGROUND</w:t>
      </w:r>
    </w:p>
    <w:p w14:paraId="045A0128" w14:textId="77777777" w:rsidR="00592FF6" w:rsidRPr="006869A3" w:rsidRDefault="00592FF6" w:rsidP="006869A3">
      <w:pPr>
        <w:pStyle w:val="Heading2"/>
      </w:pPr>
      <w:bookmarkStart w:id="12" w:name="_Toc86417214"/>
      <w:r w:rsidRPr="006869A3">
        <w:t>1.1. Introduction</w:t>
      </w:r>
      <w:bookmarkEnd w:id="12"/>
    </w:p>
    <w:p w14:paraId="0BEAFB61"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This</w:t>
      </w:r>
      <w:r w:rsidRPr="00EA7713">
        <w:rPr>
          <w:rFonts w:ascii="Times New Roman" w:hAnsi="Times New Roman"/>
          <w:szCs w:val="24"/>
        </w:rPr>
        <w:t xml:space="preserve"> is a qualitative study exploring the lived experiences of Nigerian migrant care workers (nurses and health care assistants, HCAs) caring for people living with dementia (PLWD) within the National Health Service (NHS) in the United Kingdom (UK). The research </w:t>
      </w:r>
      <w:r w:rsidRPr="00EA7713">
        <w:rPr>
          <w:rFonts w:ascii="Times New Roman" w:hAnsi="Times New Roman"/>
          <w:noProof/>
          <w:szCs w:val="24"/>
        </w:rPr>
        <w:t>aims</w:t>
      </w:r>
      <w:r>
        <w:rPr>
          <w:rFonts w:ascii="Times New Roman" w:hAnsi="Times New Roman"/>
          <w:szCs w:val="24"/>
        </w:rPr>
        <w:t xml:space="preserve"> to understand</w:t>
      </w:r>
      <w:r w:rsidRPr="00EA7713">
        <w:rPr>
          <w:rFonts w:ascii="Times New Roman" w:hAnsi="Times New Roman"/>
          <w:szCs w:val="24"/>
        </w:rPr>
        <w:t xml:space="preserve"> the experiences of migrant care workers by examining their motivation to care for PLWD. </w:t>
      </w:r>
      <w:r>
        <w:rPr>
          <w:rFonts w:ascii="Times New Roman" w:hAnsi="Times New Roman"/>
          <w:szCs w:val="24"/>
        </w:rPr>
        <w:t>It</w:t>
      </w:r>
      <w:r w:rsidRPr="00EA7713">
        <w:rPr>
          <w:rFonts w:ascii="Times New Roman" w:hAnsi="Times New Roman"/>
          <w:szCs w:val="24"/>
        </w:rPr>
        <w:t xml:space="preserve"> also aim</w:t>
      </w:r>
      <w:r>
        <w:rPr>
          <w:rFonts w:ascii="Times New Roman" w:hAnsi="Times New Roman"/>
          <w:szCs w:val="24"/>
        </w:rPr>
        <w:t>s</w:t>
      </w:r>
      <w:r w:rsidRPr="00EA7713">
        <w:rPr>
          <w:rFonts w:ascii="Times New Roman" w:hAnsi="Times New Roman"/>
          <w:szCs w:val="24"/>
        </w:rPr>
        <w:t xml:space="preserve"> to </w:t>
      </w:r>
      <w:r>
        <w:rPr>
          <w:rFonts w:ascii="Times New Roman" w:hAnsi="Times New Roman"/>
          <w:szCs w:val="24"/>
        </w:rPr>
        <w:t>explore</w:t>
      </w:r>
      <w:r w:rsidRPr="00EA7713">
        <w:rPr>
          <w:rFonts w:ascii="Times New Roman" w:hAnsi="Times New Roman"/>
          <w:szCs w:val="24"/>
        </w:rPr>
        <w:t xml:space="preserve"> their cultural beliefs and perceptions about dementia and whether the identified beliefs or values influenced how they deliver care. This is an essential aspect of the study</w:t>
      </w:r>
      <w:r>
        <w:rPr>
          <w:rFonts w:ascii="Times New Roman" w:hAnsi="Times New Roman"/>
          <w:szCs w:val="24"/>
        </w:rPr>
        <w:t xml:space="preserve"> because</w:t>
      </w:r>
      <w:r w:rsidRPr="00EA7713">
        <w:rPr>
          <w:rFonts w:ascii="Times New Roman" w:hAnsi="Times New Roman"/>
          <w:szCs w:val="24"/>
        </w:rPr>
        <w:t xml:space="preserve"> all the nurses and HCAs originated from a country where there is limited awareness about dementia (Ferri, Ames and Prince, 2004).</w:t>
      </w:r>
    </w:p>
    <w:p w14:paraId="50BA7348"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This introductory chapter provides a brief overview of the thesis and begins with a personal reflection of </w:t>
      </w:r>
      <w:r w:rsidRPr="00EA7713">
        <w:rPr>
          <w:rFonts w:ascii="Times New Roman" w:hAnsi="Times New Roman"/>
          <w:noProof/>
          <w:szCs w:val="24"/>
        </w:rPr>
        <w:t>my</w:t>
      </w:r>
      <w:r w:rsidRPr="00EA7713">
        <w:rPr>
          <w:rFonts w:ascii="Times New Roman" w:hAnsi="Times New Roman"/>
          <w:szCs w:val="24"/>
        </w:rPr>
        <w:t xml:space="preserve"> underlying motivation to undertake this research. The fact that </w:t>
      </w:r>
      <w:r w:rsidRPr="00EA7713">
        <w:rPr>
          <w:rFonts w:ascii="Times New Roman" w:hAnsi="Times New Roman"/>
          <w:noProof/>
          <w:szCs w:val="24"/>
        </w:rPr>
        <w:t>I</w:t>
      </w:r>
      <w:r w:rsidRPr="00EA7713">
        <w:rPr>
          <w:rFonts w:ascii="Times New Roman" w:hAnsi="Times New Roman"/>
          <w:szCs w:val="24"/>
        </w:rPr>
        <w:t xml:space="preserve"> am Nigerian, and currently work </w:t>
      </w:r>
      <w:r w:rsidRPr="00EA7713">
        <w:rPr>
          <w:rFonts w:ascii="Times New Roman" w:hAnsi="Times New Roman"/>
          <w:noProof/>
          <w:szCs w:val="24"/>
        </w:rPr>
        <w:t>part-time</w:t>
      </w:r>
      <w:r w:rsidRPr="00EA7713">
        <w:rPr>
          <w:rFonts w:ascii="Times New Roman" w:hAnsi="Times New Roman"/>
          <w:szCs w:val="24"/>
        </w:rPr>
        <w:t xml:space="preserve"> as an </w:t>
      </w:r>
      <w:r w:rsidRPr="00EA7713">
        <w:rPr>
          <w:rFonts w:ascii="Times New Roman" w:hAnsi="Times New Roman"/>
          <w:noProof/>
          <w:szCs w:val="24"/>
        </w:rPr>
        <w:t>HCA</w:t>
      </w:r>
      <w:r w:rsidRPr="00EA7713">
        <w:rPr>
          <w:rFonts w:ascii="Times New Roman" w:hAnsi="Times New Roman"/>
          <w:szCs w:val="24"/>
        </w:rPr>
        <w:t xml:space="preserve"> for </w:t>
      </w:r>
      <w:r>
        <w:rPr>
          <w:rFonts w:ascii="Times New Roman" w:hAnsi="Times New Roman"/>
          <w:szCs w:val="24"/>
        </w:rPr>
        <w:t>PLWD</w:t>
      </w:r>
      <w:r w:rsidRPr="00EA7713">
        <w:rPr>
          <w:rFonts w:ascii="Times New Roman" w:hAnsi="Times New Roman"/>
          <w:szCs w:val="24"/>
        </w:rPr>
        <w:t xml:space="preserve"> played a </w:t>
      </w:r>
      <w:r w:rsidRPr="00EA7713">
        <w:rPr>
          <w:rFonts w:ascii="Times New Roman" w:hAnsi="Times New Roman"/>
          <w:noProof/>
          <w:szCs w:val="24"/>
        </w:rPr>
        <w:t>major</w:t>
      </w:r>
      <w:r w:rsidRPr="00EA7713">
        <w:rPr>
          <w:rFonts w:ascii="Times New Roman" w:hAnsi="Times New Roman"/>
          <w:szCs w:val="24"/>
        </w:rPr>
        <w:t xml:space="preserve"> part in </w:t>
      </w:r>
      <w:r w:rsidRPr="00EA7713">
        <w:rPr>
          <w:rFonts w:ascii="Times New Roman" w:hAnsi="Times New Roman"/>
          <w:noProof/>
          <w:szCs w:val="24"/>
        </w:rPr>
        <w:t>my</w:t>
      </w:r>
      <w:r w:rsidRPr="00EA7713">
        <w:rPr>
          <w:rFonts w:ascii="Times New Roman" w:hAnsi="Times New Roman"/>
          <w:szCs w:val="24"/>
        </w:rPr>
        <w:t xml:space="preserve"> decision to undertake this research. </w:t>
      </w:r>
      <w:r w:rsidRPr="00EA7713">
        <w:rPr>
          <w:rFonts w:ascii="Times New Roman" w:hAnsi="Times New Roman"/>
          <w:noProof/>
          <w:szCs w:val="24"/>
        </w:rPr>
        <w:t xml:space="preserve">However, the overarching reasons for conducting this research was the fact that across the UK, health and social care services are reaching a crisis in the recruitment of care workers (Crawford and Read, 2015; UNISON, 2016; Skills for Care, 2018; Dayan </w:t>
      </w:r>
      <w:r w:rsidRPr="00F8382E">
        <w:rPr>
          <w:rFonts w:ascii="Times New Roman" w:hAnsi="Times New Roman"/>
          <w:i/>
          <w:iCs/>
          <w:noProof/>
          <w:szCs w:val="24"/>
        </w:rPr>
        <w:t>et al.</w:t>
      </w:r>
      <w:r w:rsidRPr="00EA7713">
        <w:rPr>
          <w:rFonts w:ascii="Times New Roman" w:hAnsi="Times New Roman"/>
          <w:noProof/>
          <w:szCs w:val="24"/>
        </w:rPr>
        <w:t xml:space="preserve">, 2018). Therefore, understanding cultures of care and experiences of </w:t>
      </w:r>
      <w:r>
        <w:rPr>
          <w:rFonts w:ascii="Times New Roman" w:hAnsi="Times New Roman"/>
          <w:noProof/>
          <w:szCs w:val="24"/>
        </w:rPr>
        <w:t>care workers</w:t>
      </w:r>
      <w:r w:rsidRPr="00EA7713">
        <w:rPr>
          <w:rFonts w:ascii="Times New Roman" w:hAnsi="Times New Roman"/>
          <w:noProof/>
          <w:szCs w:val="24"/>
        </w:rPr>
        <w:t xml:space="preserve"> are significant, as migrant care workers are frequently recruited to fill the care support needs across the country.</w:t>
      </w:r>
    </w:p>
    <w:p w14:paraId="1BE57018" w14:textId="3E42C2B9" w:rsidR="00592FF6" w:rsidRDefault="00592FF6" w:rsidP="00592FF6">
      <w:pPr>
        <w:jc w:val="both"/>
        <w:rPr>
          <w:rFonts w:ascii="Times New Roman" w:hAnsi="Times New Roman"/>
          <w:szCs w:val="24"/>
        </w:rPr>
      </w:pPr>
      <w:r w:rsidRPr="00EA7713">
        <w:rPr>
          <w:rFonts w:ascii="Times New Roman" w:hAnsi="Times New Roman"/>
          <w:szCs w:val="24"/>
        </w:rPr>
        <w:t xml:space="preserve">I begin this </w:t>
      </w:r>
      <w:r w:rsidRPr="00EA7713">
        <w:rPr>
          <w:rFonts w:ascii="Times New Roman" w:hAnsi="Times New Roman"/>
          <w:noProof/>
          <w:szCs w:val="24"/>
        </w:rPr>
        <w:t>chapter</w:t>
      </w:r>
      <w:r w:rsidRPr="00EA7713">
        <w:rPr>
          <w:rFonts w:ascii="Times New Roman" w:hAnsi="Times New Roman"/>
          <w:szCs w:val="24"/>
        </w:rPr>
        <w:t xml:space="preserve"> with a </w:t>
      </w:r>
      <w:r w:rsidRPr="00EA7713">
        <w:rPr>
          <w:rFonts w:ascii="Times New Roman" w:hAnsi="Times New Roman"/>
          <w:noProof/>
          <w:szCs w:val="24"/>
        </w:rPr>
        <w:t>personal</w:t>
      </w:r>
      <w:r w:rsidRPr="00EA7713">
        <w:rPr>
          <w:rFonts w:ascii="Times New Roman" w:hAnsi="Times New Roman"/>
          <w:szCs w:val="24"/>
        </w:rPr>
        <w:t xml:space="preserve"> reflection on the dual roles of researcher and care worker and </w:t>
      </w:r>
      <w:r w:rsidRPr="00EA7713">
        <w:rPr>
          <w:rFonts w:ascii="Times New Roman" w:hAnsi="Times New Roman"/>
          <w:noProof/>
          <w:szCs w:val="24"/>
        </w:rPr>
        <w:t>the contextual</w:t>
      </w:r>
      <w:r w:rsidRPr="00EA7713">
        <w:rPr>
          <w:rFonts w:ascii="Times New Roman" w:hAnsi="Times New Roman"/>
          <w:szCs w:val="24"/>
        </w:rPr>
        <w:t xml:space="preserve"> background to the study relating to dementia and caregiving (</w:t>
      </w:r>
      <w:r w:rsidRPr="00EA7713">
        <w:rPr>
          <w:rFonts w:ascii="Times New Roman" w:hAnsi="Times New Roman"/>
          <w:noProof/>
          <w:szCs w:val="24"/>
        </w:rPr>
        <w:t>discussed in more detail in Sections 1.3)</w:t>
      </w:r>
      <w:r>
        <w:rPr>
          <w:rFonts w:ascii="Times New Roman" w:hAnsi="Times New Roman"/>
          <w:noProof/>
          <w:szCs w:val="24"/>
        </w:rPr>
        <w:t>.</w:t>
      </w:r>
      <w:r w:rsidRPr="00EA7713">
        <w:rPr>
          <w:rFonts w:ascii="Times New Roman" w:hAnsi="Times New Roman"/>
          <w:noProof/>
          <w:szCs w:val="24"/>
        </w:rPr>
        <w:t xml:space="preserve"> This</w:t>
      </w:r>
      <w:r w:rsidRPr="00EA7713">
        <w:rPr>
          <w:rFonts w:ascii="Times New Roman" w:hAnsi="Times New Roman"/>
          <w:szCs w:val="24"/>
        </w:rPr>
        <w:t xml:space="preserve"> is </w:t>
      </w:r>
      <w:r w:rsidRPr="00EA7713">
        <w:rPr>
          <w:rFonts w:ascii="Times New Roman" w:hAnsi="Times New Roman"/>
          <w:noProof/>
          <w:szCs w:val="24"/>
        </w:rPr>
        <w:t>followed</w:t>
      </w:r>
      <w:r w:rsidRPr="00EA7713">
        <w:rPr>
          <w:rFonts w:ascii="Times New Roman" w:hAnsi="Times New Roman"/>
          <w:szCs w:val="24"/>
        </w:rPr>
        <w:t xml:space="preserve"> by an outline of the study and my aims and objectives and finally, an overview of the structure of this thesis</w:t>
      </w:r>
      <w:r w:rsidRPr="00EA7713">
        <w:rPr>
          <w:rFonts w:ascii="Times New Roman" w:hAnsi="Times New Roman"/>
          <w:noProof/>
          <w:szCs w:val="24"/>
        </w:rPr>
        <w:t xml:space="preserve">, </w:t>
      </w:r>
      <w:r w:rsidRPr="00EA7713">
        <w:rPr>
          <w:rFonts w:ascii="Times New Roman" w:hAnsi="Times New Roman"/>
          <w:szCs w:val="24"/>
        </w:rPr>
        <w:t>with a summary of each chapter.</w:t>
      </w:r>
    </w:p>
    <w:p w14:paraId="2235051B" w14:textId="77777777" w:rsidR="006269D7" w:rsidRPr="00EA7713" w:rsidRDefault="006269D7" w:rsidP="00592FF6">
      <w:pPr>
        <w:jc w:val="both"/>
        <w:rPr>
          <w:rFonts w:ascii="Times New Roman" w:hAnsi="Times New Roman"/>
          <w:szCs w:val="24"/>
        </w:rPr>
      </w:pPr>
    </w:p>
    <w:p w14:paraId="4C0A0184" w14:textId="77777777" w:rsidR="00592FF6" w:rsidRPr="00EA7713" w:rsidRDefault="00592FF6" w:rsidP="006869A3">
      <w:pPr>
        <w:pStyle w:val="Heading2"/>
      </w:pPr>
      <w:bookmarkStart w:id="13" w:name="_Toc86417215"/>
      <w:r w:rsidRPr="00EA7713">
        <w:lastRenderedPageBreak/>
        <w:t xml:space="preserve">1.2. Reflection: </w:t>
      </w:r>
      <w:r w:rsidRPr="00EA7713">
        <w:rPr>
          <w:noProof/>
        </w:rPr>
        <w:t>my</w:t>
      </w:r>
      <w:r w:rsidRPr="00EA7713">
        <w:t xml:space="preserve"> gaze into the study of paid Nigerian migrant nurses and health care assistants in the UK</w:t>
      </w:r>
      <w:bookmarkEnd w:id="13"/>
    </w:p>
    <w:p w14:paraId="36E8F2A8"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The research topic and </w:t>
      </w:r>
      <w:r w:rsidRPr="00EA7713">
        <w:rPr>
          <w:rFonts w:ascii="Times New Roman" w:hAnsi="Times New Roman"/>
          <w:noProof/>
          <w:szCs w:val="24"/>
        </w:rPr>
        <w:t>my</w:t>
      </w:r>
      <w:r w:rsidRPr="00EA7713">
        <w:rPr>
          <w:rFonts w:ascii="Times New Roman" w:hAnsi="Times New Roman"/>
          <w:szCs w:val="24"/>
        </w:rPr>
        <w:t xml:space="preserve"> choice of methodology were informed by </w:t>
      </w:r>
      <w:r w:rsidRPr="00EA7713">
        <w:rPr>
          <w:rFonts w:ascii="Times New Roman" w:hAnsi="Times New Roman"/>
          <w:noProof/>
          <w:szCs w:val="24"/>
        </w:rPr>
        <w:t>my</w:t>
      </w:r>
      <w:r w:rsidRPr="00EA7713">
        <w:rPr>
          <w:rFonts w:ascii="Times New Roman" w:hAnsi="Times New Roman"/>
          <w:szCs w:val="24"/>
        </w:rPr>
        <w:t xml:space="preserve"> professional background and personal experiences. </w:t>
      </w:r>
      <w:r w:rsidRPr="00EA7713">
        <w:rPr>
          <w:rFonts w:ascii="Times New Roman" w:hAnsi="Times New Roman"/>
          <w:noProof/>
          <w:szCs w:val="24"/>
        </w:rPr>
        <w:t>I</w:t>
      </w:r>
      <w:r w:rsidRPr="00EA7713">
        <w:rPr>
          <w:rFonts w:ascii="Times New Roman" w:hAnsi="Times New Roman"/>
          <w:szCs w:val="24"/>
        </w:rPr>
        <w:t xml:space="preserve"> originally migrated to the UK to pursue a master's degree</w:t>
      </w:r>
      <w:r w:rsidRPr="00EA7713">
        <w:rPr>
          <w:rFonts w:ascii="Times New Roman" w:hAnsi="Times New Roman"/>
          <w:noProof/>
          <w:szCs w:val="24"/>
        </w:rPr>
        <w:t>.</w:t>
      </w:r>
      <w:r w:rsidRPr="00EA7713">
        <w:rPr>
          <w:rFonts w:ascii="Times New Roman" w:hAnsi="Times New Roman"/>
          <w:szCs w:val="24"/>
        </w:rPr>
        <w:t xml:space="preserve"> While </w:t>
      </w:r>
      <w:r w:rsidRPr="00EA7713">
        <w:rPr>
          <w:rFonts w:ascii="Times New Roman" w:hAnsi="Times New Roman"/>
          <w:noProof/>
          <w:szCs w:val="24"/>
        </w:rPr>
        <w:t>I</w:t>
      </w:r>
      <w:r w:rsidRPr="00EA7713">
        <w:rPr>
          <w:rFonts w:ascii="Times New Roman" w:hAnsi="Times New Roman"/>
          <w:szCs w:val="24"/>
        </w:rPr>
        <w:t xml:space="preserve"> was undertaking </w:t>
      </w:r>
      <w:r w:rsidRPr="00EA7713">
        <w:rPr>
          <w:rFonts w:ascii="Times New Roman" w:hAnsi="Times New Roman"/>
          <w:noProof/>
          <w:szCs w:val="24"/>
        </w:rPr>
        <w:t>my</w:t>
      </w:r>
      <w:r w:rsidRPr="00EA7713">
        <w:rPr>
          <w:rFonts w:ascii="Times New Roman" w:hAnsi="Times New Roman"/>
          <w:szCs w:val="24"/>
        </w:rPr>
        <w:t xml:space="preserve"> studies, </w:t>
      </w:r>
      <w:r w:rsidRPr="00EA7713">
        <w:rPr>
          <w:rFonts w:ascii="Times New Roman" w:hAnsi="Times New Roman"/>
          <w:noProof/>
          <w:szCs w:val="24"/>
        </w:rPr>
        <w:t>I</w:t>
      </w:r>
      <w:r w:rsidRPr="00EA7713">
        <w:rPr>
          <w:rFonts w:ascii="Times New Roman" w:hAnsi="Times New Roman"/>
          <w:szCs w:val="24"/>
        </w:rPr>
        <w:t xml:space="preserve"> also engaged in part-time jobs through a temporary employment agency which supplied workers to companies in industrial settings. </w:t>
      </w:r>
      <w:r w:rsidRPr="00EA7713">
        <w:rPr>
          <w:rFonts w:ascii="Times New Roman" w:hAnsi="Times New Roman"/>
          <w:noProof/>
          <w:szCs w:val="24"/>
        </w:rPr>
        <w:t>I</w:t>
      </w:r>
      <w:r w:rsidRPr="00EA7713">
        <w:rPr>
          <w:rFonts w:ascii="Times New Roman" w:hAnsi="Times New Roman"/>
          <w:szCs w:val="24"/>
        </w:rPr>
        <w:t xml:space="preserve"> continued this work until some of </w:t>
      </w:r>
      <w:r w:rsidRPr="00EA7713">
        <w:rPr>
          <w:rFonts w:ascii="Times New Roman" w:hAnsi="Times New Roman"/>
          <w:noProof/>
          <w:szCs w:val="24"/>
        </w:rPr>
        <w:t>my</w:t>
      </w:r>
      <w:r w:rsidRPr="00EA7713">
        <w:rPr>
          <w:rFonts w:ascii="Times New Roman" w:hAnsi="Times New Roman"/>
          <w:szCs w:val="24"/>
        </w:rPr>
        <w:t xml:space="preserve"> co-students told </w:t>
      </w:r>
      <w:r w:rsidRPr="00EA7713">
        <w:rPr>
          <w:rFonts w:ascii="Times New Roman" w:hAnsi="Times New Roman"/>
          <w:noProof/>
          <w:szCs w:val="24"/>
        </w:rPr>
        <w:t>me</w:t>
      </w:r>
      <w:r w:rsidRPr="00EA7713">
        <w:rPr>
          <w:rFonts w:ascii="Times New Roman" w:hAnsi="Times New Roman"/>
          <w:szCs w:val="24"/>
        </w:rPr>
        <w:t xml:space="preserve"> about their experiences of working in care homes and they suggested that this work offered great</w:t>
      </w:r>
      <w:r>
        <w:rPr>
          <w:rFonts w:ascii="Times New Roman" w:hAnsi="Times New Roman"/>
          <w:szCs w:val="24"/>
        </w:rPr>
        <w:t>er</w:t>
      </w:r>
      <w:r w:rsidRPr="00EA7713">
        <w:rPr>
          <w:rFonts w:ascii="Times New Roman" w:hAnsi="Times New Roman"/>
          <w:szCs w:val="24"/>
        </w:rPr>
        <w:t xml:space="preserve"> flexibility that might suit my needs as</w:t>
      </w:r>
      <w:r>
        <w:rPr>
          <w:rFonts w:ascii="Times New Roman" w:hAnsi="Times New Roman"/>
          <w:szCs w:val="24"/>
        </w:rPr>
        <w:t xml:space="preserve"> a</w:t>
      </w:r>
      <w:r w:rsidRPr="00EA7713">
        <w:rPr>
          <w:rFonts w:ascii="Times New Roman" w:hAnsi="Times New Roman"/>
          <w:szCs w:val="24"/>
        </w:rPr>
        <w:t xml:space="preserve"> student</w:t>
      </w:r>
      <w:r w:rsidRPr="00EA7713">
        <w:rPr>
          <w:rFonts w:ascii="Times New Roman" w:hAnsi="Times New Roman"/>
          <w:noProof/>
          <w:szCs w:val="24"/>
        </w:rPr>
        <w:t>. Although my initial reaction was to dismiss this</w:t>
      </w:r>
      <w:r w:rsidRPr="00EA7713">
        <w:rPr>
          <w:rFonts w:ascii="Times New Roman" w:hAnsi="Times New Roman"/>
          <w:szCs w:val="24"/>
        </w:rPr>
        <w:t>, after some months, influenced by the lack of regular working hours in the industrial sector</w:t>
      </w:r>
      <w:r w:rsidRPr="00EA7713">
        <w:rPr>
          <w:rFonts w:ascii="Times New Roman" w:hAnsi="Times New Roman"/>
          <w:noProof/>
          <w:szCs w:val="24"/>
        </w:rPr>
        <w:t>, I</w:t>
      </w:r>
      <w:r w:rsidRPr="00EA7713">
        <w:rPr>
          <w:rFonts w:ascii="Times New Roman" w:hAnsi="Times New Roman"/>
          <w:szCs w:val="24"/>
        </w:rPr>
        <w:t xml:space="preserve"> joined a care agency so </w:t>
      </w:r>
      <w:r w:rsidRPr="00EA7713">
        <w:rPr>
          <w:rFonts w:ascii="Times New Roman" w:hAnsi="Times New Roman"/>
          <w:noProof/>
          <w:szCs w:val="24"/>
        </w:rPr>
        <w:t>I</w:t>
      </w:r>
      <w:r w:rsidRPr="00EA7713">
        <w:rPr>
          <w:rFonts w:ascii="Times New Roman" w:hAnsi="Times New Roman"/>
          <w:szCs w:val="24"/>
        </w:rPr>
        <w:t xml:space="preserve"> could work as health care assistant (HCA).</w:t>
      </w:r>
      <w:r w:rsidRPr="00EA7713">
        <w:rPr>
          <w:rFonts w:ascii="Times New Roman" w:hAnsi="Times New Roman"/>
          <w:noProof/>
          <w:szCs w:val="24"/>
        </w:rPr>
        <w:t xml:space="preserve"> I</w:t>
      </w:r>
      <w:r w:rsidRPr="00EA7713">
        <w:rPr>
          <w:rFonts w:ascii="Times New Roman" w:hAnsi="Times New Roman"/>
          <w:szCs w:val="24"/>
        </w:rPr>
        <w:t xml:space="preserve"> began working in care with </w:t>
      </w:r>
      <w:r>
        <w:rPr>
          <w:rFonts w:ascii="Times New Roman" w:hAnsi="Times New Roman"/>
          <w:szCs w:val="24"/>
        </w:rPr>
        <w:t>little</w:t>
      </w:r>
      <w:r w:rsidRPr="00EA7713">
        <w:rPr>
          <w:rFonts w:ascii="Times New Roman" w:hAnsi="Times New Roman"/>
          <w:szCs w:val="24"/>
        </w:rPr>
        <w:t xml:space="preserve"> awareness of what it meant for someone to </w:t>
      </w:r>
      <w:r>
        <w:rPr>
          <w:rFonts w:ascii="Times New Roman" w:hAnsi="Times New Roman"/>
          <w:szCs w:val="24"/>
        </w:rPr>
        <w:t>live with</w:t>
      </w:r>
      <w:r w:rsidRPr="00EA7713">
        <w:rPr>
          <w:rFonts w:ascii="Times New Roman" w:hAnsi="Times New Roman"/>
          <w:szCs w:val="24"/>
        </w:rPr>
        <w:t xml:space="preserve"> dementia</w:t>
      </w:r>
      <w:r>
        <w:rPr>
          <w:rFonts w:ascii="Times New Roman" w:hAnsi="Times New Roman"/>
          <w:szCs w:val="24"/>
        </w:rPr>
        <w:t>.</w:t>
      </w:r>
      <w:r w:rsidRPr="00EA7713">
        <w:rPr>
          <w:rFonts w:ascii="Times New Roman" w:hAnsi="Times New Roman"/>
          <w:szCs w:val="24"/>
        </w:rPr>
        <w:t xml:space="preserve"> A</w:t>
      </w:r>
      <w:r>
        <w:rPr>
          <w:rFonts w:ascii="Times New Roman" w:hAnsi="Times New Roman"/>
          <w:szCs w:val="24"/>
        </w:rPr>
        <w:t>l</w:t>
      </w:r>
      <w:r w:rsidRPr="00EA7713">
        <w:rPr>
          <w:rFonts w:ascii="Times New Roman" w:hAnsi="Times New Roman"/>
          <w:szCs w:val="24"/>
        </w:rPr>
        <w:t xml:space="preserve">though </w:t>
      </w:r>
      <w:r w:rsidRPr="00EA7713">
        <w:rPr>
          <w:rFonts w:ascii="Times New Roman" w:hAnsi="Times New Roman"/>
          <w:noProof/>
          <w:szCs w:val="24"/>
        </w:rPr>
        <w:t>I</w:t>
      </w:r>
      <w:r w:rsidRPr="00EA7713">
        <w:rPr>
          <w:rFonts w:ascii="Times New Roman" w:hAnsi="Times New Roman"/>
          <w:szCs w:val="24"/>
        </w:rPr>
        <w:t xml:space="preserve"> had a basic understanding of the pathology-physiology of dementia due to </w:t>
      </w:r>
      <w:r w:rsidRPr="00EA7713">
        <w:rPr>
          <w:rFonts w:ascii="Times New Roman" w:hAnsi="Times New Roman"/>
          <w:noProof/>
          <w:szCs w:val="24"/>
        </w:rPr>
        <w:t>my</w:t>
      </w:r>
      <w:r w:rsidRPr="00EA7713">
        <w:rPr>
          <w:rFonts w:ascii="Times New Roman" w:hAnsi="Times New Roman"/>
          <w:szCs w:val="24"/>
        </w:rPr>
        <w:t xml:space="preserve"> background in the medical sciences</w:t>
      </w:r>
      <w:r>
        <w:rPr>
          <w:rFonts w:ascii="Times New Roman" w:hAnsi="Times New Roman"/>
          <w:szCs w:val="24"/>
        </w:rPr>
        <w:t xml:space="preserve"> having </w:t>
      </w:r>
      <w:r w:rsidRPr="00EA7713">
        <w:rPr>
          <w:rFonts w:ascii="Times New Roman" w:hAnsi="Times New Roman"/>
          <w:szCs w:val="24"/>
        </w:rPr>
        <w:t>a Bachelor of Science degree in Human Physiology and a Master's in Public Health.</w:t>
      </w:r>
    </w:p>
    <w:p w14:paraId="21B1D85F"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I</w:t>
      </w:r>
      <w:r w:rsidRPr="00EA7713">
        <w:rPr>
          <w:rFonts w:ascii="Times New Roman" w:hAnsi="Times New Roman"/>
          <w:szCs w:val="24"/>
        </w:rPr>
        <w:t xml:space="preserve"> initially considered dementia as a condition that only affected people in Europe and North America. However, when </w:t>
      </w:r>
      <w:r w:rsidRPr="00EA7713">
        <w:rPr>
          <w:rFonts w:ascii="Times New Roman" w:hAnsi="Times New Roman"/>
          <w:noProof/>
          <w:szCs w:val="24"/>
        </w:rPr>
        <w:t>I</w:t>
      </w:r>
      <w:r w:rsidRPr="00EA7713">
        <w:rPr>
          <w:rFonts w:ascii="Times New Roman" w:hAnsi="Times New Roman"/>
          <w:szCs w:val="24"/>
        </w:rPr>
        <w:t xml:space="preserve"> began work as a </w:t>
      </w:r>
      <w:r w:rsidRPr="00EA7713">
        <w:rPr>
          <w:rFonts w:ascii="Times New Roman" w:hAnsi="Times New Roman"/>
          <w:noProof/>
          <w:szCs w:val="24"/>
        </w:rPr>
        <w:t>carer,</w:t>
      </w:r>
      <w:r w:rsidRPr="00EA7713">
        <w:rPr>
          <w:rFonts w:ascii="Times New Roman" w:hAnsi="Times New Roman"/>
          <w:szCs w:val="24"/>
        </w:rPr>
        <w:t xml:space="preserve"> </w:t>
      </w:r>
      <w:r w:rsidRPr="00EA7713">
        <w:rPr>
          <w:rFonts w:ascii="Times New Roman" w:hAnsi="Times New Roman"/>
          <w:noProof/>
          <w:szCs w:val="24"/>
        </w:rPr>
        <w:t>I</w:t>
      </w:r>
      <w:r w:rsidRPr="00EA7713">
        <w:rPr>
          <w:rFonts w:ascii="Times New Roman" w:hAnsi="Times New Roman"/>
          <w:szCs w:val="24"/>
        </w:rPr>
        <w:t xml:space="preserve"> noticed that most of </w:t>
      </w:r>
      <w:r w:rsidRPr="00EA7713">
        <w:rPr>
          <w:rFonts w:ascii="Times New Roman" w:hAnsi="Times New Roman"/>
          <w:noProof/>
          <w:szCs w:val="24"/>
        </w:rPr>
        <w:t>my</w:t>
      </w:r>
      <w:r w:rsidRPr="00EA7713">
        <w:rPr>
          <w:rFonts w:ascii="Times New Roman" w:hAnsi="Times New Roman"/>
          <w:szCs w:val="24"/>
        </w:rPr>
        <w:t xml:space="preserve"> care recipients </w:t>
      </w:r>
      <w:r w:rsidRPr="00EA7713">
        <w:rPr>
          <w:rFonts w:ascii="Times New Roman" w:hAnsi="Times New Roman"/>
          <w:noProof/>
          <w:szCs w:val="24"/>
        </w:rPr>
        <w:t>diagnosed</w:t>
      </w:r>
      <w:r w:rsidRPr="00EA7713">
        <w:rPr>
          <w:rFonts w:ascii="Times New Roman" w:hAnsi="Times New Roman"/>
          <w:szCs w:val="24"/>
        </w:rPr>
        <w:t xml:space="preserve"> with dementia were not different from some of the older adults that </w:t>
      </w:r>
      <w:r w:rsidRPr="00EA7713">
        <w:rPr>
          <w:rFonts w:ascii="Times New Roman" w:hAnsi="Times New Roman"/>
          <w:noProof/>
          <w:szCs w:val="24"/>
        </w:rPr>
        <w:t>I</w:t>
      </w:r>
      <w:r w:rsidRPr="00EA7713">
        <w:rPr>
          <w:rFonts w:ascii="Times New Roman" w:hAnsi="Times New Roman"/>
          <w:szCs w:val="24"/>
        </w:rPr>
        <w:t xml:space="preserve"> knew back in Nigeria. </w:t>
      </w:r>
      <w:r w:rsidRPr="00EA7713">
        <w:rPr>
          <w:rFonts w:ascii="Times New Roman" w:hAnsi="Times New Roman"/>
          <w:noProof/>
          <w:szCs w:val="24"/>
        </w:rPr>
        <w:t>Over time, it dawned on me, that</w:t>
      </w:r>
      <w:r w:rsidRPr="00EA7713">
        <w:rPr>
          <w:rFonts w:ascii="Times New Roman" w:hAnsi="Times New Roman"/>
          <w:szCs w:val="24"/>
        </w:rPr>
        <w:t xml:space="preserve"> dementia was not what </w:t>
      </w:r>
      <w:r w:rsidRPr="00EA7713">
        <w:rPr>
          <w:rFonts w:ascii="Times New Roman" w:hAnsi="Times New Roman"/>
          <w:noProof/>
          <w:szCs w:val="24"/>
        </w:rPr>
        <w:t>I</w:t>
      </w:r>
      <w:r w:rsidRPr="00EA7713">
        <w:rPr>
          <w:rFonts w:ascii="Times New Roman" w:hAnsi="Times New Roman"/>
          <w:szCs w:val="24"/>
        </w:rPr>
        <w:t xml:space="preserve"> thought it was and that </w:t>
      </w:r>
      <w:r w:rsidRPr="00EA7713">
        <w:rPr>
          <w:rFonts w:ascii="Times New Roman" w:hAnsi="Times New Roman"/>
          <w:noProof/>
          <w:szCs w:val="24"/>
        </w:rPr>
        <w:t>my</w:t>
      </w:r>
      <w:r w:rsidRPr="00EA7713">
        <w:rPr>
          <w:rFonts w:ascii="Times New Roman" w:hAnsi="Times New Roman"/>
          <w:szCs w:val="24"/>
        </w:rPr>
        <w:t xml:space="preserve"> understanding of the condition might be incorrect. </w:t>
      </w:r>
      <w:r w:rsidRPr="00EA7713">
        <w:rPr>
          <w:rFonts w:ascii="Times New Roman" w:hAnsi="Times New Roman"/>
          <w:noProof/>
          <w:szCs w:val="24"/>
        </w:rPr>
        <w:t>This</w:t>
      </w:r>
      <w:r w:rsidRPr="00EA7713">
        <w:rPr>
          <w:rFonts w:ascii="Times New Roman" w:hAnsi="Times New Roman"/>
          <w:szCs w:val="24"/>
        </w:rPr>
        <w:t xml:space="preserve"> realisation was the first thing that ignited </w:t>
      </w:r>
      <w:r w:rsidRPr="00EA7713">
        <w:rPr>
          <w:rFonts w:ascii="Times New Roman" w:hAnsi="Times New Roman"/>
          <w:noProof/>
          <w:szCs w:val="24"/>
        </w:rPr>
        <w:t>my</w:t>
      </w:r>
      <w:r w:rsidRPr="00EA7713">
        <w:rPr>
          <w:rFonts w:ascii="Times New Roman" w:hAnsi="Times New Roman"/>
          <w:szCs w:val="24"/>
        </w:rPr>
        <w:t xml:space="preserve"> interest in dementia as a research area.</w:t>
      </w:r>
    </w:p>
    <w:p w14:paraId="3EC676F9" w14:textId="6C84FE6D" w:rsidR="00592FF6" w:rsidRPr="00EA7713" w:rsidRDefault="00592FF6" w:rsidP="00592FF6">
      <w:pPr>
        <w:jc w:val="both"/>
        <w:rPr>
          <w:rFonts w:ascii="Times New Roman" w:hAnsi="Times New Roman"/>
          <w:noProof/>
          <w:szCs w:val="24"/>
        </w:rPr>
      </w:pPr>
      <w:r w:rsidRPr="00EA7713">
        <w:rPr>
          <w:rFonts w:ascii="Times New Roman" w:hAnsi="Times New Roman"/>
          <w:szCs w:val="24"/>
        </w:rPr>
        <w:t xml:space="preserve">A further factor that drew </w:t>
      </w:r>
      <w:r w:rsidRPr="00EA7713">
        <w:rPr>
          <w:rFonts w:ascii="Times New Roman" w:hAnsi="Times New Roman"/>
          <w:noProof/>
          <w:szCs w:val="24"/>
        </w:rPr>
        <w:t>my</w:t>
      </w:r>
      <w:r w:rsidRPr="00EA7713">
        <w:rPr>
          <w:rFonts w:ascii="Times New Roman" w:hAnsi="Times New Roman"/>
          <w:szCs w:val="24"/>
        </w:rPr>
        <w:t xml:space="preserve"> attention to dementia was the level of publicity the condition received in the UK between 2012 and 2014. </w:t>
      </w:r>
      <w:r w:rsidRPr="00EA7713">
        <w:rPr>
          <w:rFonts w:ascii="Times New Roman" w:hAnsi="Times New Roman"/>
          <w:noProof/>
          <w:szCs w:val="24"/>
        </w:rPr>
        <w:t>During this time</w:t>
      </w:r>
      <w:r>
        <w:rPr>
          <w:rFonts w:ascii="Times New Roman" w:hAnsi="Times New Roman"/>
          <w:noProof/>
          <w:szCs w:val="24"/>
        </w:rPr>
        <w:t>,</w:t>
      </w:r>
      <w:r w:rsidRPr="00EA7713">
        <w:rPr>
          <w:rFonts w:ascii="Times New Roman" w:hAnsi="Times New Roman"/>
          <w:szCs w:val="24"/>
        </w:rPr>
        <w:t xml:space="preserve"> the then UK Prime Minister, David Cameron, launched the Prime Minister's Challenge on Dementia (Department of Health, </w:t>
      </w:r>
      <w:r w:rsidR="007916CC">
        <w:rPr>
          <w:rFonts w:ascii="Times New Roman" w:hAnsi="Times New Roman"/>
          <w:szCs w:val="24"/>
        </w:rPr>
        <w:t xml:space="preserve">DoH, </w:t>
      </w:r>
      <w:r w:rsidRPr="00EA7713">
        <w:rPr>
          <w:rFonts w:ascii="Times New Roman" w:hAnsi="Times New Roman"/>
          <w:szCs w:val="24"/>
        </w:rPr>
        <w:t>2012) as a follow up to the UK National Dementia Strategy developed in 2009 (D</w:t>
      </w:r>
      <w:r w:rsidR="00BF5FA9">
        <w:rPr>
          <w:rFonts w:ascii="Times New Roman" w:hAnsi="Times New Roman"/>
          <w:szCs w:val="24"/>
        </w:rPr>
        <w:t>o</w:t>
      </w:r>
      <w:r w:rsidRPr="00EA7713">
        <w:rPr>
          <w:rFonts w:ascii="Times New Roman" w:hAnsi="Times New Roman"/>
          <w:szCs w:val="24"/>
        </w:rPr>
        <w:t>H, 2009</w:t>
      </w:r>
      <w:r w:rsidR="007916CC">
        <w:rPr>
          <w:rFonts w:ascii="Times New Roman" w:hAnsi="Times New Roman"/>
          <w:szCs w:val="24"/>
        </w:rPr>
        <w:t>a</w:t>
      </w:r>
      <w:r w:rsidRPr="00EA7713">
        <w:rPr>
          <w:rFonts w:ascii="Times New Roman" w:hAnsi="Times New Roman"/>
          <w:szCs w:val="24"/>
        </w:rPr>
        <w:t xml:space="preserve">). Not only was the media coverage of dementia extensive, but also more money was pledged to tackle its increasing prevalence in addition to what was already being spent to care for </w:t>
      </w:r>
      <w:r>
        <w:rPr>
          <w:rFonts w:ascii="Times New Roman" w:hAnsi="Times New Roman"/>
          <w:szCs w:val="24"/>
        </w:rPr>
        <w:t>PLWD</w:t>
      </w:r>
      <w:r w:rsidRPr="00EA7713">
        <w:rPr>
          <w:rFonts w:ascii="Times New Roman" w:hAnsi="Times New Roman"/>
          <w:szCs w:val="24"/>
        </w:rPr>
        <w:t xml:space="preserve">. </w:t>
      </w:r>
      <w:r w:rsidRPr="00EA7713">
        <w:rPr>
          <w:rFonts w:ascii="Times New Roman" w:hAnsi="Times New Roman"/>
          <w:noProof/>
          <w:szCs w:val="24"/>
        </w:rPr>
        <w:t xml:space="preserve">This was surprising to me as an African because having lived in Nigeria, West Africa,  it was somewhat unthinkable that such attention was given to what I thought was 'a natural </w:t>
      </w:r>
      <w:r w:rsidRPr="00EA7713">
        <w:rPr>
          <w:rFonts w:ascii="Times New Roman" w:hAnsi="Times New Roman"/>
          <w:noProof/>
          <w:szCs w:val="24"/>
        </w:rPr>
        <w:lastRenderedPageBreak/>
        <w:t>state' in the human life-course. I recollected how my paternal grandmother who passed at the age of 99 showed signs of mental decline in her later years and how her children often joked that their mother was beginning to behave like a child. I reflected that this was part of a wider cultural belief that child-like behaviour was considered as a natural part of growing old.</w:t>
      </w:r>
      <w:r w:rsidRPr="00EA7713">
        <w:rPr>
          <w:rFonts w:ascii="Times New Roman" w:hAnsi="Times New Roman"/>
          <w:szCs w:val="24"/>
        </w:rPr>
        <w:t xml:space="preserve"> </w:t>
      </w:r>
      <w:r w:rsidRPr="00EA7713">
        <w:rPr>
          <w:rFonts w:ascii="Times New Roman" w:hAnsi="Times New Roman"/>
          <w:noProof/>
          <w:szCs w:val="24"/>
        </w:rPr>
        <w:t>In contrast</w:t>
      </w:r>
      <w:r w:rsidRPr="00EA7713">
        <w:rPr>
          <w:rFonts w:ascii="Times New Roman" w:hAnsi="Times New Roman"/>
          <w:szCs w:val="24"/>
        </w:rPr>
        <w:t xml:space="preserve">, </w:t>
      </w:r>
      <w:r w:rsidRPr="00EA7713">
        <w:rPr>
          <w:rFonts w:ascii="Times New Roman" w:hAnsi="Times New Roman"/>
          <w:noProof/>
          <w:szCs w:val="24"/>
        </w:rPr>
        <w:t>my great maternal</w:t>
      </w:r>
      <w:r w:rsidRPr="00EA7713">
        <w:rPr>
          <w:rFonts w:ascii="Times New Roman" w:hAnsi="Times New Roman"/>
          <w:szCs w:val="24"/>
        </w:rPr>
        <w:t xml:space="preserve"> grandmother who lived for </w:t>
      </w:r>
      <w:r w:rsidRPr="00EA7713">
        <w:rPr>
          <w:rFonts w:ascii="Times New Roman" w:hAnsi="Times New Roman"/>
          <w:noProof/>
          <w:szCs w:val="24"/>
        </w:rPr>
        <w:t>longer</w:t>
      </w:r>
      <w:r w:rsidRPr="00EA7713">
        <w:rPr>
          <w:rFonts w:ascii="Times New Roman" w:hAnsi="Times New Roman"/>
          <w:szCs w:val="24"/>
        </w:rPr>
        <w:t xml:space="preserve"> did not experience the same level of cognitive decline as </w:t>
      </w:r>
      <w:r w:rsidRPr="00EA7713">
        <w:rPr>
          <w:rFonts w:ascii="Times New Roman" w:hAnsi="Times New Roman"/>
          <w:noProof/>
          <w:szCs w:val="24"/>
        </w:rPr>
        <w:t>my</w:t>
      </w:r>
      <w:r w:rsidRPr="00EA7713">
        <w:rPr>
          <w:rFonts w:ascii="Times New Roman" w:hAnsi="Times New Roman"/>
          <w:szCs w:val="24"/>
        </w:rPr>
        <w:t xml:space="preserve"> paternal grandmother and was still able to engage in a coherent conversation with her family </w:t>
      </w:r>
      <w:r w:rsidRPr="00EA7713">
        <w:rPr>
          <w:rFonts w:ascii="Times New Roman" w:hAnsi="Times New Roman"/>
          <w:noProof/>
          <w:szCs w:val="24"/>
        </w:rPr>
        <w:t>before she died in 2002 at the age of</w:t>
      </w:r>
      <w:r w:rsidRPr="00EA7713">
        <w:rPr>
          <w:rFonts w:ascii="Times New Roman" w:hAnsi="Times New Roman"/>
          <w:szCs w:val="24"/>
        </w:rPr>
        <w:t xml:space="preserve"> 115.</w:t>
      </w:r>
    </w:p>
    <w:p w14:paraId="5ECF0CB7"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Moreover, it was through my own experiences, combined with my training in public health</w:t>
      </w:r>
      <w:r w:rsidRPr="00EA7713">
        <w:rPr>
          <w:rFonts w:ascii="Times New Roman" w:hAnsi="Times New Roman"/>
          <w:szCs w:val="24"/>
        </w:rPr>
        <w:t xml:space="preserve"> that I could see that it was </w:t>
      </w:r>
      <w:r w:rsidRPr="00EA7713">
        <w:rPr>
          <w:rFonts w:ascii="Times New Roman" w:hAnsi="Times New Roman"/>
          <w:noProof/>
          <w:szCs w:val="24"/>
        </w:rPr>
        <w:t>vital</w:t>
      </w:r>
      <w:r w:rsidRPr="00EA7713">
        <w:rPr>
          <w:rFonts w:ascii="Times New Roman" w:hAnsi="Times New Roman"/>
          <w:szCs w:val="24"/>
        </w:rPr>
        <w:t xml:space="preserve"> to explore the experiences and cultural perception of other care workers.  I observed that increasing number of Africans (many of them Nigerians) were taking jobs in health and social care, and </w:t>
      </w:r>
      <w:r>
        <w:rPr>
          <w:rFonts w:ascii="Times New Roman" w:hAnsi="Times New Roman"/>
          <w:szCs w:val="24"/>
        </w:rPr>
        <w:t xml:space="preserve">it became apparent to me that </w:t>
      </w:r>
      <w:r w:rsidRPr="00EA7713">
        <w:rPr>
          <w:rFonts w:ascii="Times New Roman" w:hAnsi="Times New Roman"/>
          <w:szCs w:val="24"/>
        </w:rPr>
        <w:t>there might be an issue with how they coped with the role (which I personally found demanding). I felt that their willingness to seek help for stress associated with care work might somehow be influenced by their perception of the disease, and so I decided to focus on Nigerian care</w:t>
      </w:r>
      <w:r>
        <w:rPr>
          <w:rFonts w:ascii="Times New Roman" w:hAnsi="Times New Roman"/>
          <w:szCs w:val="24"/>
        </w:rPr>
        <w:t xml:space="preserve"> workers</w:t>
      </w:r>
      <w:r w:rsidRPr="00EA7713">
        <w:rPr>
          <w:rFonts w:ascii="Times New Roman" w:hAnsi="Times New Roman"/>
          <w:szCs w:val="24"/>
        </w:rPr>
        <w:t xml:space="preserve"> working with </w:t>
      </w:r>
      <w:r>
        <w:rPr>
          <w:rFonts w:ascii="Times New Roman" w:hAnsi="Times New Roman"/>
          <w:szCs w:val="24"/>
        </w:rPr>
        <w:t>PLWD</w:t>
      </w:r>
      <w:r w:rsidRPr="00EA7713">
        <w:rPr>
          <w:rFonts w:ascii="Times New Roman" w:hAnsi="Times New Roman"/>
          <w:szCs w:val="24"/>
        </w:rPr>
        <w:t>.</w:t>
      </w:r>
    </w:p>
    <w:p w14:paraId="4827B5A7" w14:textId="77777777" w:rsidR="00592FF6" w:rsidRPr="00EA7713" w:rsidRDefault="00592FF6" w:rsidP="00592FF6">
      <w:pPr>
        <w:jc w:val="both"/>
        <w:rPr>
          <w:rFonts w:ascii="Times New Roman" w:hAnsi="Times New Roman"/>
          <w:szCs w:val="24"/>
        </w:rPr>
      </w:pPr>
      <w:r>
        <w:rPr>
          <w:rFonts w:ascii="Times New Roman" w:hAnsi="Times New Roman"/>
          <w:szCs w:val="24"/>
        </w:rPr>
        <w:t>B</w:t>
      </w:r>
      <w:r w:rsidRPr="00EA7713">
        <w:rPr>
          <w:rFonts w:ascii="Times New Roman" w:hAnsi="Times New Roman"/>
          <w:szCs w:val="24"/>
        </w:rPr>
        <w:t xml:space="preserve">efore </w:t>
      </w:r>
      <w:r w:rsidRPr="00EA7713">
        <w:rPr>
          <w:rFonts w:ascii="Times New Roman" w:hAnsi="Times New Roman"/>
          <w:noProof/>
          <w:szCs w:val="24"/>
        </w:rPr>
        <w:t>I</w:t>
      </w:r>
      <w:r w:rsidRPr="00EA7713">
        <w:rPr>
          <w:rFonts w:ascii="Times New Roman" w:hAnsi="Times New Roman"/>
          <w:szCs w:val="24"/>
        </w:rPr>
        <w:t xml:space="preserve"> </w:t>
      </w:r>
      <w:r w:rsidRPr="00EA7713">
        <w:rPr>
          <w:rFonts w:ascii="Times New Roman" w:hAnsi="Times New Roman"/>
          <w:noProof/>
          <w:szCs w:val="24"/>
        </w:rPr>
        <w:t>decided</w:t>
      </w:r>
      <w:r w:rsidRPr="00EA7713">
        <w:rPr>
          <w:rFonts w:ascii="Times New Roman" w:hAnsi="Times New Roman"/>
          <w:szCs w:val="24"/>
        </w:rPr>
        <w:t xml:space="preserve"> </w:t>
      </w:r>
      <w:r w:rsidRPr="00EA7713">
        <w:rPr>
          <w:rFonts w:ascii="Times New Roman" w:hAnsi="Times New Roman"/>
          <w:noProof/>
          <w:szCs w:val="24"/>
        </w:rPr>
        <w:t>to study paid Nigerian migrant nurses and health care assistants specifically</w:t>
      </w:r>
      <w:r w:rsidRPr="00EA7713">
        <w:rPr>
          <w:rFonts w:ascii="Times New Roman" w:hAnsi="Times New Roman"/>
          <w:szCs w:val="24"/>
        </w:rPr>
        <w:t xml:space="preserve">, </w:t>
      </w:r>
      <w:r w:rsidRPr="00EA7713">
        <w:rPr>
          <w:rFonts w:ascii="Times New Roman" w:hAnsi="Times New Roman"/>
          <w:noProof/>
          <w:szCs w:val="24"/>
        </w:rPr>
        <w:t>I</w:t>
      </w:r>
      <w:r w:rsidRPr="00EA7713">
        <w:rPr>
          <w:rFonts w:ascii="Times New Roman" w:hAnsi="Times New Roman"/>
          <w:szCs w:val="24"/>
        </w:rPr>
        <w:t xml:space="preserve"> originally planned to conduct a wider study on 'Black African migrants' who were working as </w:t>
      </w:r>
      <w:r>
        <w:rPr>
          <w:rFonts w:ascii="Times New Roman" w:hAnsi="Times New Roman"/>
          <w:szCs w:val="24"/>
        </w:rPr>
        <w:t>family carers</w:t>
      </w:r>
      <w:r w:rsidRPr="00EA7713">
        <w:rPr>
          <w:rFonts w:ascii="Times New Roman" w:hAnsi="Times New Roman"/>
          <w:szCs w:val="24"/>
        </w:rPr>
        <w:t xml:space="preserve">. This proposal though met resistance from some cultural groups who were unwilling to lend their support and assist </w:t>
      </w:r>
      <w:r w:rsidRPr="00EA7713">
        <w:rPr>
          <w:rFonts w:ascii="Times New Roman" w:hAnsi="Times New Roman"/>
          <w:noProof/>
          <w:szCs w:val="24"/>
        </w:rPr>
        <w:t>me</w:t>
      </w:r>
      <w:r w:rsidRPr="00EA7713">
        <w:rPr>
          <w:rFonts w:ascii="Times New Roman" w:hAnsi="Times New Roman"/>
          <w:szCs w:val="24"/>
        </w:rPr>
        <w:t xml:space="preserve"> in recruiting study participants. Many were even upset that I had singled out the Black African community as the subject of my research, while others reminded me of why it would be difficult to recruit participants, considering that, as one gatekeeper puts it, "</w:t>
      </w:r>
      <w:r w:rsidRPr="00EA7713">
        <w:rPr>
          <w:rFonts w:ascii="Times New Roman" w:hAnsi="Times New Roman"/>
          <w:i/>
          <w:szCs w:val="24"/>
        </w:rPr>
        <w:t>most of our African brothers do not consider dementia as a thing common amongst Africans</w:t>
      </w:r>
      <w:r w:rsidRPr="00EA7713">
        <w:rPr>
          <w:rFonts w:ascii="Times New Roman" w:hAnsi="Times New Roman"/>
          <w:szCs w:val="24"/>
        </w:rPr>
        <w:t>". "</w:t>
      </w:r>
      <w:r w:rsidRPr="00EA7713">
        <w:rPr>
          <w:rFonts w:ascii="Times New Roman" w:hAnsi="Times New Roman"/>
          <w:i/>
          <w:szCs w:val="24"/>
        </w:rPr>
        <w:t>They</w:t>
      </w:r>
      <w:r w:rsidRPr="00EA7713">
        <w:rPr>
          <w:rFonts w:ascii="Times New Roman" w:hAnsi="Times New Roman"/>
          <w:szCs w:val="24"/>
        </w:rPr>
        <w:t>", she continued, "</w:t>
      </w:r>
      <w:r w:rsidRPr="00EA7713">
        <w:rPr>
          <w:rFonts w:ascii="Times New Roman" w:hAnsi="Times New Roman"/>
          <w:i/>
          <w:szCs w:val="24"/>
        </w:rPr>
        <w:t>view it as an illness common with the Whites</w:t>
      </w:r>
      <w:r w:rsidRPr="00EA7713">
        <w:rPr>
          <w:rFonts w:ascii="Times New Roman" w:hAnsi="Times New Roman"/>
          <w:szCs w:val="24"/>
        </w:rPr>
        <w:t xml:space="preserve">". In an attempt to overcome the discouragements, </w:t>
      </w:r>
      <w:r w:rsidRPr="00EA7713">
        <w:rPr>
          <w:rFonts w:ascii="Times New Roman" w:hAnsi="Times New Roman"/>
          <w:noProof/>
          <w:szCs w:val="24"/>
        </w:rPr>
        <w:t>I</w:t>
      </w:r>
      <w:r w:rsidRPr="00EA7713">
        <w:rPr>
          <w:rFonts w:ascii="Times New Roman" w:hAnsi="Times New Roman"/>
          <w:szCs w:val="24"/>
        </w:rPr>
        <w:t xml:space="preserve"> decided to try snowball sampling, </w:t>
      </w:r>
      <w:r w:rsidRPr="00EA7713">
        <w:rPr>
          <w:rFonts w:ascii="Times New Roman" w:hAnsi="Times New Roman"/>
          <w:noProof/>
          <w:szCs w:val="24"/>
        </w:rPr>
        <w:t>but</w:t>
      </w:r>
      <w:r w:rsidRPr="00EA7713">
        <w:rPr>
          <w:rFonts w:ascii="Times New Roman" w:hAnsi="Times New Roman"/>
          <w:szCs w:val="24"/>
        </w:rPr>
        <w:t xml:space="preserve"> after trying for over two months to recruit people to my study, </w:t>
      </w:r>
      <w:r w:rsidRPr="00EA7713">
        <w:rPr>
          <w:rFonts w:ascii="Times New Roman" w:hAnsi="Times New Roman"/>
          <w:noProof/>
          <w:szCs w:val="24"/>
        </w:rPr>
        <w:t>I</w:t>
      </w:r>
      <w:r w:rsidRPr="00EA7713">
        <w:rPr>
          <w:rFonts w:ascii="Times New Roman" w:hAnsi="Times New Roman"/>
          <w:szCs w:val="24"/>
        </w:rPr>
        <w:t xml:space="preserve"> concluded it was necessary to switch focus to paid Nigerian care workers because </w:t>
      </w:r>
      <w:r w:rsidRPr="00EA7713">
        <w:rPr>
          <w:rFonts w:ascii="Times New Roman" w:hAnsi="Times New Roman"/>
          <w:noProof/>
          <w:szCs w:val="24"/>
        </w:rPr>
        <w:t>I</w:t>
      </w:r>
      <w:r w:rsidRPr="00EA7713">
        <w:rPr>
          <w:rFonts w:ascii="Times New Roman" w:hAnsi="Times New Roman"/>
          <w:szCs w:val="24"/>
        </w:rPr>
        <w:t xml:space="preserve"> already had contact with many.</w:t>
      </w:r>
    </w:p>
    <w:p w14:paraId="36709419"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I</w:t>
      </w:r>
      <w:r w:rsidRPr="00EA7713">
        <w:rPr>
          <w:rFonts w:ascii="Times New Roman" w:hAnsi="Times New Roman"/>
          <w:szCs w:val="24"/>
        </w:rPr>
        <w:t xml:space="preserve"> conducted a literature search to identify and document gaps in the paid migrant caregiving literature. </w:t>
      </w:r>
      <w:r w:rsidRPr="00EA7713">
        <w:rPr>
          <w:rFonts w:ascii="Times New Roman" w:hAnsi="Times New Roman"/>
          <w:noProof/>
          <w:szCs w:val="24"/>
        </w:rPr>
        <w:t>I</w:t>
      </w:r>
      <w:r w:rsidRPr="00EA7713">
        <w:rPr>
          <w:rFonts w:ascii="Times New Roman" w:hAnsi="Times New Roman"/>
          <w:szCs w:val="24"/>
        </w:rPr>
        <w:t xml:space="preserve"> discovered that most studies on paid migrant caregiving for </w:t>
      </w:r>
      <w:r w:rsidRPr="00EA7713">
        <w:rPr>
          <w:rFonts w:ascii="Times New Roman" w:hAnsi="Times New Roman"/>
          <w:szCs w:val="24"/>
        </w:rPr>
        <w:lastRenderedPageBreak/>
        <w:t xml:space="preserve">PLWD focused on the experiences of nurses, with little consideration for care workers. </w:t>
      </w:r>
      <w:r w:rsidRPr="00EA7713">
        <w:rPr>
          <w:rFonts w:ascii="Times New Roman" w:hAnsi="Times New Roman"/>
          <w:noProof/>
          <w:szCs w:val="24"/>
        </w:rPr>
        <w:t>This</w:t>
      </w:r>
      <w:r w:rsidRPr="00EA7713">
        <w:rPr>
          <w:rFonts w:ascii="Times New Roman" w:hAnsi="Times New Roman"/>
          <w:szCs w:val="24"/>
        </w:rPr>
        <w:t xml:space="preserve"> may be because we are often considered to hold a low status within the health care system, even though we are often the frontline staff who maintains constant contact with the people in our care.</w:t>
      </w:r>
    </w:p>
    <w:p w14:paraId="17EE410D"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 Most importantly for </w:t>
      </w:r>
      <w:r w:rsidRPr="00EA7713">
        <w:rPr>
          <w:rFonts w:ascii="Times New Roman" w:hAnsi="Times New Roman"/>
          <w:noProof/>
          <w:szCs w:val="24"/>
        </w:rPr>
        <w:t>my</w:t>
      </w:r>
      <w:r w:rsidRPr="00EA7713">
        <w:rPr>
          <w:rFonts w:ascii="Times New Roman" w:hAnsi="Times New Roman"/>
          <w:szCs w:val="24"/>
        </w:rPr>
        <w:t xml:space="preserve"> doctoral studies, </w:t>
      </w:r>
      <w:r w:rsidRPr="00EA7713">
        <w:rPr>
          <w:rFonts w:ascii="Times New Roman" w:hAnsi="Times New Roman"/>
          <w:noProof/>
          <w:szCs w:val="24"/>
        </w:rPr>
        <w:t>I</w:t>
      </w:r>
      <w:r w:rsidRPr="00EA7713">
        <w:rPr>
          <w:rFonts w:ascii="Times New Roman" w:hAnsi="Times New Roman"/>
          <w:szCs w:val="24"/>
        </w:rPr>
        <w:t xml:space="preserve"> found that </w:t>
      </w:r>
      <w:r w:rsidRPr="00EA7713">
        <w:rPr>
          <w:rFonts w:ascii="Times New Roman" w:hAnsi="Times New Roman"/>
          <w:noProof/>
          <w:szCs w:val="24"/>
        </w:rPr>
        <w:t>there was no research that had</w:t>
      </w:r>
      <w:r w:rsidRPr="00EA7713">
        <w:rPr>
          <w:rFonts w:ascii="Times New Roman" w:hAnsi="Times New Roman"/>
          <w:szCs w:val="24"/>
        </w:rPr>
        <w:t xml:space="preserve"> examined the lived experiences of paid Nigerian migrant nurses and health care assistants caring for </w:t>
      </w:r>
      <w:r w:rsidRPr="00EC30CD">
        <w:rPr>
          <w:rFonts w:ascii="Times New Roman" w:hAnsi="Times New Roman"/>
          <w:szCs w:val="24"/>
        </w:rPr>
        <w:t>PLWD</w:t>
      </w:r>
      <w:r w:rsidRPr="00EA7713">
        <w:rPr>
          <w:rFonts w:ascii="Times New Roman" w:hAnsi="Times New Roman"/>
          <w:szCs w:val="24"/>
        </w:rPr>
        <w:t xml:space="preserve">. Thus, this phenomenological research on paid Nigerian migrant nurses and health care assistants emerged out of </w:t>
      </w:r>
      <w:r w:rsidRPr="00EA7713">
        <w:rPr>
          <w:rFonts w:ascii="Times New Roman" w:hAnsi="Times New Roman"/>
          <w:noProof/>
          <w:szCs w:val="24"/>
        </w:rPr>
        <w:t>my</w:t>
      </w:r>
      <w:r w:rsidRPr="00EA7713">
        <w:rPr>
          <w:rFonts w:ascii="Times New Roman" w:hAnsi="Times New Roman"/>
          <w:szCs w:val="24"/>
        </w:rPr>
        <w:t xml:space="preserve"> personal experience and the need to extend the caregiving research relating to paid care workers.</w:t>
      </w:r>
    </w:p>
    <w:p w14:paraId="2A424B84"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Consequently, </w:t>
      </w:r>
      <w:r w:rsidRPr="00EA7713">
        <w:rPr>
          <w:rFonts w:ascii="Times New Roman" w:hAnsi="Times New Roman"/>
          <w:noProof/>
          <w:szCs w:val="24"/>
        </w:rPr>
        <w:t>I</w:t>
      </w:r>
      <w:r w:rsidRPr="00EA7713">
        <w:rPr>
          <w:rFonts w:ascii="Times New Roman" w:hAnsi="Times New Roman"/>
          <w:szCs w:val="24"/>
        </w:rPr>
        <w:t xml:space="preserve"> did not enter the research field as an outsider. Instead, </w:t>
      </w:r>
      <w:r w:rsidRPr="00EA7713">
        <w:rPr>
          <w:rFonts w:ascii="Times New Roman" w:hAnsi="Times New Roman"/>
          <w:noProof/>
          <w:szCs w:val="24"/>
        </w:rPr>
        <w:t>I</w:t>
      </w:r>
      <w:r w:rsidRPr="00EA7713">
        <w:rPr>
          <w:rFonts w:ascii="Times New Roman" w:hAnsi="Times New Roman"/>
          <w:szCs w:val="24"/>
        </w:rPr>
        <w:t xml:space="preserve"> entered as an insider </w:t>
      </w:r>
      <w:r w:rsidRPr="00EA7713">
        <w:rPr>
          <w:rFonts w:ascii="Times New Roman" w:hAnsi="Times New Roman"/>
          <w:noProof/>
          <w:szCs w:val="24"/>
        </w:rPr>
        <w:t>and</w:t>
      </w:r>
      <w:r w:rsidRPr="00EA7713">
        <w:rPr>
          <w:rFonts w:ascii="Times New Roman" w:hAnsi="Times New Roman"/>
          <w:szCs w:val="24"/>
        </w:rPr>
        <w:t xml:space="preserve"> approached the study with an 'emic' view. Hence, both the research topic and the way the research </w:t>
      </w:r>
      <w:r w:rsidRPr="00EA7713">
        <w:rPr>
          <w:rFonts w:ascii="Times New Roman" w:hAnsi="Times New Roman"/>
          <w:noProof/>
          <w:szCs w:val="24"/>
        </w:rPr>
        <w:t>was conducted</w:t>
      </w:r>
      <w:r w:rsidRPr="00EA7713">
        <w:rPr>
          <w:rFonts w:ascii="Times New Roman" w:hAnsi="Times New Roman"/>
          <w:szCs w:val="24"/>
        </w:rPr>
        <w:t xml:space="preserve"> </w:t>
      </w:r>
      <w:r w:rsidRPr="00EA7713">
        <w:rPr>
          <w:rFonts w:ascii="Times New Roman" w:hAnsi="Times New Roman"/>
          <w:noProof/>
          <w:szCs w:val="24"/>
        </w:rPr>
        <w:t>was informed</w:t>
      </w:r>
      <w:r w:rsidRPr="00EA7713">
        <w:rPr>
          <w:rFonts w:ascii="Times New Roman" w:hAnsi="Times New Roman"/>
          <w:szCs w:val="24"/>
        </w:rPr>
        <w:t xml:space="preserve"> by </w:t>
      </w:r>
      <w:r w:rsidRPr="00EA7713">
        <w:rPr>
          <w:rFonts w:ascii="Times New Roman" w:hAnsi="Times New Roman"/>
          <w:noProof/>
          <w:szCs w:val="24"/>
        </w:rPr>
        <w:t>my</w:t>
      </w:r>
      <w:r w:rsidRPr="00EA7713">
        <w:rPr>
          <w:rFonts w:ascii="Times New Roman" w:hAnsi="Times New Roman"/>
          <w:szCs w:val="24"/>
        </w:rPr>
        <w:t xml:space="preserve"> background and experience as a Nigerian migrant care worker in the UK. </w:t>
      </w:r>
      <w:r w:rsidRPr="00EA7713">
        <w:rPr>
          <w:rFonts w:ascii="Times New Roman" w:hAnsi="Times New Roman"/>
          <w:noProof/>
          <w:szCs w:val="24"/>
        </w:rPr>
        <w:t>In addition</w:t>
      </w:r>
      <w:r w:rsidRPr="00EA7713">
        <w:rPr>
          <w:rFonts w:ascii="Times New Roman" w:hAnsi="Times New Roman"/>
          <w:szCs w:val="24"/>
        </w:rPr>
        <w:t xml:space="preserve">, my choice of interpretive phenomenology used for this study demanded that </w:t>
      </w:r>
      <w:r w:rsidRPr="00EA7713">
        <w:rPr>
          <w:rFonts w:ascii="Times New Roman" w:hAnsi="Times New Roman"/>
          <w:noProof/>
          <w:szCs w:val="24"/>
        </w:rPr>
        <w:t>I</w:t>
      </w:r>
      <w:r w:rsidRPr="00EA7713">
        <w:rPr>
          <w:rFonts w:ascii="Times New Roman" w:hAnsi="Times New Roman"/>
          <w:szCs w:val="24"/>
        </w:rPr>
        <w:t xml:space="preserve"> would be a part of the process of data generation, and it was clear from reading the literature that </w:t>
      </w:r>
      <w:r w:rsidRPr="00EA7713">
        <w:rPr>
          <w:rFonts w:ascii="Times New Roman" w:hAnsi="Times New Roman"/>
          <w:noProof/>
          <w:szCs w:val="24"/>
        </w:rPr>
        <w:t>my</w:t>
      </w:r>
      <w:r w:rsidRPr="00EA7713">
        <w:rPr>
          <w:rFonts w:ascii="Times New Roman" w:hAnsi="Times New Roman"/>
          <w:szCs w:val="24"/>
        </w:rPr>
        <w:t xml:space="preserve"> positionality would influence how the data </w:t>
      </w:r>
      <w:r w:rsidRPr="00EA7713">
        <w:rPr>
          <w:rFonts w:ascii="Times New Roman" w:hAnsi="Times New Roman"/>
          <w:noProof/>
          <w:szCs w:val="24"/>
        </w:rPr>
        <w:t>was interpreted</w:t>
      </w:r>
      <w:r w:rsidRPr="00EA7713">
        <w:rPr>
          <w:rFonts w:ascii="Times New Roman" w:hAnsi="Times New Roman"/>
          <w:szCs w:val="24"/>
        </w:rPr>
        <w:t>.</w:t>
      </w:r>
    </w:p>
    <w:p w14:paraId="04D27AA2" w14:textId="416E8B5E" w:rsidR="006869A3" w:rsidRPr="006869A3" w:rsidRDefault="00592FF6" w:rsidP="00592FF6">
      <w:pPr>
        <w:jc w:val="both"/>
        <w:rPr>
          <w:rFonts w:ascii="Times New Roman" w:hAnsi="Times New Roman"/>
          <w:szCs w:val="24"/>
        </w:rPr>
      </w:pPr>
      <w:r w:rsidRPr="00EA7713">
        <w:rPr>
          <w:rFonts w:ascii="Times New Roman" w:hAnsi="Times New Roman"/>
          <w:noProof/>
          <w:szCs w:val="24"/>
        </w:rPr>
        <w:t>Prior to</w:t>
      </w:r>
      <w:r w:rsidRPr="00EA7713">
        <w:rPr>
          <w:rFonts w:ascii="Times New Roman" w:hAnsi="Times New Roman"/>
          <w:szCs w:val="24"/>
        </w:rPr>
        <w:t xml:space="preserve"> recruiting study participants, </w:t>
      </w:r>
      <w:r w:rsidRPr="00EA7713">
        <w:rPr>
          <w:rFonts w:ascii="Times New Roman" w:hAnsi="Times New Roman"/>
          <w:noProof/>
          <w:szCs w:val="24"/>
        </w:rPr>
        <w:t>I</w:t>
      </w:r>
      <w:r w:rsidRPr="00EA7713">
        <w:rPr>
          <w:rFonts w:ascii="Times New Roman" w:hAnsi="Times New Roman"/>
          <w:szCs w:val="24"/>
        </w:rPr>
        <w:t xml:space="preserve"> had acquaintance with most of the participants in this research, having worked together previously. Clearly, this raised a number of issues in the research process that needed to be addressed (and this is discussed in some detail in the methods section of this thesis (see chapter 6), which also resulted in some rich findings. Because the thesis focuses on care work for PLWD, I thought it would be useful to offer a brief overview of dementia and some of the specific care issues relating to PLWD as this tends to differ from many other forms of care giving (Twigg, 2000a</w:t>
      </w:r>
      <w:r>
        <w:rPr>
          <w:rFonts w:ascii="Times New Roman" w:hAnsi="Times New Roman"/>
          <w:szCs w:val="24"/>
        </w:rPr>
        <w:t>, 2000b</w:t>
      </w:r>
      <w:r w:rsidRPr="00EA7713">
        <w:rPr>
          <w:rFonts w:ascii="Times New Roman" w:hAnsi="Times New Roman"/>
          <w:szCs w:val="24"/>
        </w:rPr>
        <w:t>).</w:t>
      </w:r>
    </w:p>
    <w:p w14:paraId="620CE0C7" w14:textId="0E197FA9" w:rsidR="00592FF6" w:rsidRPr="00EA7713" w:rsidRDefault="00592FF6" w:rsidP="006869A3">
      <w:pPr>
        <w:pStyle w:val="Heading2"/>
        <w:rPr>
          <w:bCs/>
        </w:rPr>
      </w:pPr>
      <w:bookmarkStart w:id="14" w:name="_Toc86417216"/>
      <w:r w:rsidRPr="00EA7713">
        <w:rPr>
          <w:bCs/>
        </w:rPr>
        <w:t xml:space="preserve">1.3. Dementia: </w:t>
      </w:r>
      <w:r w:rsidRPr="00EA7713">
        <w:t>meaning, risk factors, trends and care needs</w:t>
      </w:r>
      <w:bookmarkEnd w:id="14"/>
    </w:p>
    <w:p w14:paraId="23182A1B" w14:textId="77777777" w:rsidR="00592FF6" w:rsidRPr="006869A3" w:rsidRDefault="00592FF6" w:rsidP="006869A3">
      <w:pPr>
        <w:pStyle w:val="Heading3"/>
      </w:pPr>
      <w:bookmarkStart w:id="15" w:name="_Toc86417217"/>
      <w:r w:rsidRPr="006869A3">
        <w:t>1.3.1. Meaning and types of dementia</w:t>
      </w:r>
      <w:bookmarkEnd w:id="15"/>
    </w:p>
    <w:p w14:paraId="7114124A" w14:textId="77777777" w:rsidR="00592FF6" w:rsidRPr="00EA7713" w:rsidRDefault="00592FF6" w:rsidP="00592FF6">
      <w:pPr>
        <w:tabs>
          <w:tab w:val="left" w:pos="5445"/>
        </w:tabs>
        <w:jc w:val="both"/>
        <w:rPr>
          <w:rFonts w:ascii="Times New Roman" w:hAnsi="Times New Roman"/>
          <w:szCs w:val="24"/>
          <w:lang w:val="en-US"/>
        </w:rPr>
      </w:pPr>
      <w:r w:rsidRPr="00EA7713">
        <w:rPr>
          <w:rFonts w:ascii="Times New Roman" w:hAnsi="Times New Roman"/>
          <w:szCs w:val="24"/>
        </w:rPr>
        <w:t>Dementia refers to a syndrome of cognitive impairment that causes a decline in memory, cognitive abilities and behaviour of an individual, which interferes with their ability to carry out normal daily activities (W</w:t>
      </w:r>
      <w:r>
        <w:rPr>
          <w:rFonts w:ascii="Times New Roman" w:hAnsi="Times New Roman"/>
          <w:szCs w:val="24"/>
        </w:rPr>
        <w:t xml:space="preserve">orld </w:t>
      </w:r>
      <w:r w:rsidRPr="00EA7713">
        <w:rPr>
          <w:rFonts w:ascii="Times New Roman" w:hAnsi="Times New Roman"/>
          <w:szCs w:val="24"/>
        </w:rPr>
        <w:t>H</w:t>
      </w:r>
      <w:r>
        <w:rPr>
          <w:rFonts w:ascii="Times New Roman" w:hAnsi="Times New Roman"/>
          <w:szCs w:val="24"/>
        </w:rPr>
        <w:t xml:space="preserve">ealth </w:t>
      </w:r>
      <w:r w:rsidRPr="00EA7713">
        <w:rPr>
          <w:rFonts w:ascii="Times New Roman" w:hAnsi="Times New Roman"/>
          <w:szCs w:val="24"/>
        </w:rPr>
        <w:t>O</w:t>
      </w:r>
      <w:r>
        <w:rPr>
          <w:rFonts w:ascii="Times New Roman" w:hAnsi="Times New Roman"/>
          <w:szCs w:val="24"/>
        </w:rPr>
        <w:t>rganisation</w:t>
      </w:r>
      <w:r w:rsidRPr="00EA7713">
        <w:rPr>
          <w:rFonts w:ascii="Times New Roman" w:hAnsi="Times New Roman"/>
          <w:szCs w:val="24"/>
        </w:rPr>
        <w:t xml:space="preserve">, </w:t>
      </w:r>
      <w:r>
        <w:rPr>
          <w:rFonts w:ascii="Times New Roman" w:hAnsi="Times New Roman"/>
          <w:szCs w:val="24"/>
        </w:rPr>
        <w:t xml:space="preserve">WHO, </w:t>
      </w:r>
      <w:r w:rsidRPr="00EA7713">
        <w:rPr>
          <w:rFonts w:ascii="Times New Roman" w:hAnsi="Times New Roman"/>
          <w:szCs w:val="24"/>
        </w:rPr>
        <w:t xml:space="preserve">2018). </w:t>
      </w:r>
      <w:r w:rsidRPr="00EA7713">
        <w:rPr>
          <w:rFonts w:ascii="Times New Roman" w:hAnsi="Times New Roman"/>
          <w:szCs w:val="24"/>
        </w:rPr>
        <w:lastRenderedPageBreak/>
        <w:t xml:space="preserve">This is often ascribed to a range of symptoms </w:t>
      </w:r>
      <w:r>
        <w:rPr>
          <w:rFonts w:ascii="Times New Roman" w:hAnsi="Times New Roman"/>
          <w:szCs w:val="24"/>
        </w:rPr>
        <w:t>including</w:t>
      </w:r>
      <w:r w:rsidRPr="00EA7713">
        <w:rPr>
          <w:rFonts w:ascii="Times New Roman" w:hAnsi="Times New Roman"/>
          <w:szCs w:val="24"/>
        </w:rPr>
        <w:t xml:space="preserve"> progressive decline of memory, judgement, thinking, emotional control, social behaviour, relationships as well as motivation, which is associated with gradual brain cell death (Vallet </w:t>
      </w:r>
      <w:r w:rsidRPr="00F8382E">
        <w:rPr>
          <w:rFonts w:ascii="Times New Roman" w:hAnsi="Times New Roman"/>
          <w:i/>
          <w:iCs/>
          <w:szCs w:val="24"/>
        </w:rPr>
        <w:t>et al.</w:t>
      </w:r>
      <w:r w:rsidRPr="00EA7713">
        <w:rPr>
          <w:rFonts w:ascii="Times New Roman" w:hAnsi="Times New Roman"/>
          <w:szCs w:val="24"/>
        </w:rPr>
        <w:t>, 2016</w:t>
      </w:r>
      <w:r>
        <w:rPr>
          <w:rFonts w:ascii="Times New Roman" w:hAnsi="Times New Roman"/>
          <w:szCs w:val="24"/>
        </w:rPr>
        <w:t>; WHO, 2019</w:t>
      </w:r>
      <w:r w:rsidRPr="00EA7713">
        <w:rPr>
          <w:rFonts w:ascii="Times New Roman" w:hAnsi="Times New Roman"/>
          <w:szCs w:val="24"/>
        </w:rPr>
        <w:t>). However, people living with dementia may also present with an increase in non-cognitive symptoms, such as aggression, agitation, wandering behaviour and depression (Alzheimer's Association, 2014).</w:t>
      </w:r>
      <w:r w:rsidRPr="00EA7713">
        <w:rPr>
          <w:rFonts w:ascii="Times New Roman" w:hAnsi="Times New Roman"/>
          <w:szCs w:val="24"/>
          <w:lang w:val="en-US"/>
        </w:rPr>
        <w:t xml:space="preserve"> </w:t>
      </w:r>
    </w:p>
    <w:p w14:paraId="2A0EA1D6"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There are many different forms of dementia including Alzheimer's disease, dementia with Lewy bodies, vascular dementia, fronto-temporal dementia, Parkinson's dementia, and many others. Alzheimer's disease is the most common, accounting for about two-thirds of dementia diagnoses </w:t>
      </w:r>
      <w:bookmarkStart w:id="16" w:name="bbib36"/>
      <w:r w:rsidRPr="00EA7713">
        <w:rPr>
          <w:rFonts w:ascii="Times New Roman" w:hAnsi="Times New Roman"/>
          <w:szCs w:val="24"/>
        </w:rPr>
        <w:t>(WH</w:t>
      </w:r>
      <w:r>
        <w:rPr>
          <w:rFonts w:ascii="Times New Roman" w:hAnsi="Times New Roman"/>
          <w:szCs w:val="24"/>
        </w:rPr>
        <w:t>O</w:t>
      </w:r>
      <w:r w:rsidRPr="00EA7713">
        <w:rPr>
          <w:rFonts w:ascii="Times New Roman" w:hAnsi="Times New Roman"/>
          <w:szCs w:val="24"/>
        </w:rPr>
        <w:t>, 201</w:t>
      </w:r>
      <w:bookmarkEnd w:id="16"/>
      <w:r>
        <w:rPr>
          <w:rFonts w:ascii="Times New Roman" w:hAnsi="Times New Roman"/>
          <w:szCs w:val="24"/>
        </w:rPr>
        <w:t>9</w:t>
      </w:r>
      <w:r w:rsidRPr="00EA7713">
        <w:rPr>
          <w:rFonts w:ascii="Times New Roman" w:hAnsi="Times New Roman"/>
          <w:szCs w:val="24"/>
        </w:rPr>
        <w:t>). In this study of the lived experience of Nigerian migrant nurses and health care assistants caring for PLWD, dementia is used broadly to refer to all kinds of diseases and conditions that develop as a result of the death or dysfunction of nerve cells in the brain, leading to increased need for long-term by care workers.</w:t>
      </w:r>
    </w:p>
    <w:p w14:paraId="0E635973"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Although the course and progression of dementia varies widely within and across the different types and there is presently no cure for the condition, current interventions centres on its management, which promotes slowing down the disease progression as well as helping PLWD have good quality of life (Frankish and Horton, 2017; Blank, 2019).</w:t>
      </w:r>
    </w:p>
    <w:p w14:paraId="146B47ED" w14:textId="77777777" w:rsidR="00592FF6" w:rsidRPr="00EA7713" w:rsidRDefault="00592FF6" w:rsidP="006869A3">
      <w:pPr>
        <w:pStyle w:val="Heading3"/>
        <w:rPr>
          <w:lang w:val="en-US"/>
        </w:rPr>
      </w:pPr>
      <w:bookmarkStart w:id="17" w:name="_Toc86417218"/>
      <w:r w:rsidRPr="00EA7713">
        <w:rPr>
          <w:bCs/>
        </w:rPr>
        <w:t xml:space="preserve">1.3.2. </w:t>
      </w:r>
      <w:r w:rsidRPr="00EA7713">
        <w:t>Risk factors for dementia</w:t>
      </w:r>
      <w:bookmarkEnd w:id="17"/>
    </w:p>
    <w:p w14:paraId="72B31CF2"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One of the risk factors in the aetiology of dementia is ageing, but researchers suggest that the risk of developing dementia increases with age, although it does not exclusively affect older adults and it is not an inevitable part of the ageing process (Ganguli </w:t>
      </w:r>
      <w:r w:rsidRPr="00F8382E">
        <w:rPr>
          <w:rFonts w:ascii="Times New Roman" w:hAnsi="Times New Roman"/>
          <w:i/>
          <w:iCs/>
          <w:szCs w:val="24"/>
        </w:rPr>
        <w:t>et al.</w:t>
      </w:r>
      <w:r w:rsidRPr="00EA7713">
        <w:rPr>
          <w:rFonts w:ascii="Times New Roman" w:hAnsi="Times New Roman"/>
          <w:szCs w:val="24"/>
        </w:rPr>
        <w:t xml:space="preserve">, 2004; Lopez </w:t>
      </w:r>
      <w:r w:rsidRPr="00F8382E">
        <w:rPr>
          <w:rFonts w:ascii="Times New Roman" w:hAnsi="Times New Roman"/>
          <w:i/>
          <w:iCs/>
          <w:szCs w:val="24"/>
        </w:rPr>
        <w:t>et al.</w:t>
      </w:r>
      <w:r w:rsidRPr="00EA7713">
        <w:rPr>
          <w:rFonts w:ascii="Times New Roman" w:hAnsi="Times New Roman"/>
          <w:szCs w:val="24"/>
        </w:rPr>
        <w:t xml:space="preserve">, 2007; Livingston </w:t>
      </w:r>
      <w:r w:rsidRPr="00F8382E">
        <w:rPr>
          <w:rFonts w:ascii="Times New Roman" w:hAnsi="Times New Roman"/>
          <w:i/>
          <w:iCs/>
          <w:szCs w:val="24"/>
        </w:rPr>
        <w:t>et al.</w:t>
      </w:r>
      <w:r w:rsidRPr="00EA7713">
        <w:rPr>
          <w:rFonts w:ascii="Times New Roman" w:hAnsi="Times New Roman"/>
          <w:szCs w:val="24"/>
        </w:rPr>
        <w:t>, 2017). Other risk factors include mid-life hypertension, cognitive inactivity; diabetes mellitus, physical inactivity, obesity, unbalanced diets, tobacco, and alcohol use as well as social issues, such as mid-life depression, low educational attainment and social isolation (Alzheimer's Association, 2013).</w:t>
      </w:r>
    </w:p>
    <w:p w14:paraId="5C6A658D" w14:textId="77777777" w:rsidR="00592FF6" w:rsidRPr="00EA7713" w:rsidRDefault="00592FF6" w:rsidP="006869A3">
      <w:pPr>
        <w:pStyle w:val="Heading3"/>
        <w:rPr>
          <w:lang w:val="en-US"/>
        </w:rPr>
      </w:pPr>
      <w:bookmarkStart w:id="18" w:name="_Toc86417219"/>
      <w:r w:rsidRPr="00EA7713">
        <w:lastRenderedPageBreak/>
        <w:t>1.3.3. Trends: the social and economic impact of dementia prevalence/incidence in the UK</w:t>
      </w:r>
      <w:bookmarkEnd w:id="18"/>
    </w:p>
    <w:p w14:paraId="78C6B2F4" w14:textId="5FC16720"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Globally, the economic cost directly related to dementia is estimated at US$ 818 billion, which represents 1.1% of global GDP (WHO, </w:t>
      </w:r>
      <w:r>
        <w:rPr>
          <w:rFonts w:ascii="Times New Roman" w:hAnsi="Times New Roman"/>
          <w:szCs w:val="24"/>
        </w:rPr>
        <w:t>2015</w:t>
      </w:r>
      <w:r w:rsidR="006941A1">
        <w:rPr>
          <w:rFonts w:ascii="Times New Roman" w:hAnsi="Times New Roman"/>
          <w:szCs w:val="24"/>
        </w:rPr>
        <w:t>a</w:t>
      </w:r>
      <w:r>
        <w:rPr>
          <w:rFonts w:ascii="Times New Roman" w:hAnsi="Times New Roman"/>
          <w:szCs w:val="24"/>
        </w:rPr>
        <w:t xml:space="preserve">; 2017a; </w:t>
      </w:r>
      <w:r w:rsidRPr="00EA7713">
        <w:rPr>
          <w:rFonts w:ascii="Times New Roman" w:hAnsi="Times New Roman"/>
          <w:szCs w:val="24"/>
        </w:rPr>
        <w:t>2017b). Dementia is one of the major public health challenges of the 21</w:t>
      </w:r>
      <w:r w:rsidRPr="00EA7713">
        <w:rPr>
          <w:rFonts w:ascii="Times New Roman" w:hAnsi="Times New Roman"/>
          <w:szCs w:val="24"/>
          <w:vertAlign w:val="superscript"/>
        </w:rPr>
        <w:t>st</w:t>
      </w:r>
      <w:r w:rsidRPr="00EA7713">
        <w:rPr>
          <w:rFonts w:ascii="Times New Roman" w:hAnsi="Times New Roman"/>
          <w:szCs w:val="24"/>
        </w:rPr>
        <w:t xml:space="preserve"> century and in the future, it may have an impact on national economies, causing significant barriers to international economic development (Alzheimer's Disease International, ADI, 2015). In 2018, it was estimated that globally, 50 million people were living with dementia and that figure is projected to reach an approximated 82 million people by 2030 and 152 million people by 2050 (WHO, 2017a; 2017b; 2018). Currently, dementia is estimated to be the second biggest cause of disability for people who are aged 70 years and older, making it the seventh leading cause of death (WHO, 2017b; 2018).</w:t>
      </w:r>
    </w:p>
    <w:p w14:paraId="79CC2795"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In the UK, about 850,000 people are currently estimated to be living with dementia, costing about £26.3b annually (</w:t>
      </w:r>
      <w:r>
        <w:rPr>
          <w:rFonts w:ascii="Times New Roman" w:hAnsi="Times New Roman"/>
          <w:szCs w:val="24"/>
        </w:rPr>
        <w:t xml:space="preserve">Prince </w:t>
      </w:r>
      <w:r w:rsidRPr="00F8382E">
        <w:rPr>
          <w:rFonts w:ascii="Times New Roman" w:hAnsi="Times New Roman"/>
          <w:i/>
          <w:iCs/>
          <w:szCs w:val="24"/>
        </w:rPr>
        <w:t>et al.</w:t>
      </w:r>
      <w:r w:rsidRPr="00EA7713">
        <w:rPr>
          <w:rFonts w:ascii="Times New Roman" w:hAnsi="Times New Roman"/>
          <w:szCs w:val="24"/>
        </w:rPr>
        <w:t>, 2014) and it has been suggested that the number of PLWD would double for each five years increase in age (Brodaty</w:t>
      </w:r>
      <w:r w:rsidRPr="00D527D8">
        <w:rPr>
          <w:rFonts w:ascii="Times New Roman" w:hAnsi="Times New Roman"/>
          <w:szCs w:val="24"/>
        </w:rPr>
        <w:t xml:space="preserve"> and Donkin</w:t>
      </w:r>
      <w:r w:rsidRPr="00EA7713">
        <w:rPr>
          <w:rFonts w:ascii="Times New Roman" w:hAnsi="Times New Roman"/>
          <w:szCs w:val="24"/>
        </w:rPr>
        <w:t xml:space="preserve">, 2009; Jagger </w:t>
      </w:r>
      <w:r w:rsidRPr="00F8382E">
        <w:rPr>
          <w:rFonts w:ascii="Times New Roman" w:hAnsi="Times New Roman"/>
          <w:i/>
          <w:iCs/>
          <w:szCs w:val="24"/>
        </w:rPr>
        <w:t>et al.</w:t>
      </w:r>
      <w:r w:rsidRPr="00EA7713">
        <w:rPr>
          <w:rFonts w:ascii="Times New Roman" w:hAnsi="Times New Roman"/>
          <w:szCs w:val="24"/>
        </w:rPr>
        <w:t>, 2009)</w:t>
      </w:r>
      <w:r>
        <w:rPr>
          <w:rFonts w:ascii="Times New Roman" w:hAnsi="Times New Roman"/>
          <w:szCs w:val="24"/>
        </w:rPr>
        <w:t>. T</w:t>
      </w:r>
      <w:r w:rsidRPr="00EA7713">
        <w:rPr>
          <w:rFonts w:ascii="Times New Roman" w:hAnsi="Times New Roman"/>
          <w:szCs w:val="24"/>
        </w:rPr>
        <w:t xml:space="preserve">he prevalence and incidence of dementia in people over the age of 65 years </w:t>
      </w:r>
      <w:r>
        <w:rPr>
          <w:rFonts w:ascii="Times New Roman" w:hAnsi="Times New Roman"/>
          <w:szCs w:val="24"/>
        </w:rPr>
        <w:t>i</w:t>
      </w:r>
      <w:r w:rsidRPr="00EA7713">
        <w:rPr>
          <w:rFonts w:ascii="Times New Roman" w:hAnsi="Times New Roman"/>
          <w:szCs w:val="24"/>
        </w:rPr>
        <w:t xml:space="preserve">s </w:t>
      </w:r>
      <w:r>
        <w:rPr>
          <w:rFonts w:ascii="Times New Roman" w:hAnsi="Times New Roman"/>
          <w:szCs w:val="24"/>
        </w:rPr>
        <w:t xml:space="preserve">also </w:t>
      </w:r>
      <w:r w:rsidRPr="00EA7713">
        <w:rPr>
          <w:rFonts w:ascii="Times New Roman" w:hAnsi="Times New Roman"/>
          <w:szCs w:val="24"/>
        </w:rPr>
        <w:t>predicted to rise in the coming decades (ADI, 201</w:t>
      </w:r>
      <w:r>
        <w:rPr>
          <w:rFonts w:ascii="Times New Roman" w:hAnsi="Times New Roman"/>
          <w:szCs w:val="24"/>
        </w:rPr>
        <w:t>5</w:t>
      </w:r>
      <w:r w:rsidRPr="00EA7713">
        <w:rPr>
          <w:rFonts w:ascii="Times New Roman" w:hAnsi="Times New Roman"/>
          <w:szCs w:val="24"/>
        </w:rPr>
        <w:t xml:space="preserve">). This prediction was made based on two main factors; increased life expectancy and the measures initiated by the government to improve diagnosis, which means more people live long enough to develop dementia and many more are diagnosed with the disease (Tom </w:t>
      </w:r>
      <w:r w:rsidRPr="00F8382E">
        <w:rPr>
          <w:rFonts w:ascii="Times New Roman" w:hAnsi="Times New Roman"/>
          <w:i/>
          <w:iCs/>
          <w:szCs w:val="24"/>
        </w:rPr>
        <w:t>et al.</w:t>
      </w:r>
      <w:r w:rsidRPr="00EA7713">
        <w:rPr>
          <w:rFonts w:ascii="Times New Roman" w:hAnsi="Times New Roman"/>
          <w:szCs w:val="24"/>
        </w:rPr>
        <w:t xml:space="preserve">, 2015). However, according to recent studies, the prevalence and incidence of the disease have seen a decline overall (Matthews </w:t>
      </w:r>
      <w:r w:rsidRPr="00F8382E">
        <w:rPr>
          <w:rFonts w:ascii="Times New Roman" w:hAnsi="Times New Roman"/>
          <w:i/>
          <w:iCs/>
          <w:szCs w:val="24"/>
        </w:rPr>
        <w:t>et al.</w:t>
      </w:r>
      <w:r w:rsidRPr="00EA7713">
        <w:rPr>
          <w:rFonts w:ascii="Times New Roman" w:hAnsi="Times New Roman"/>
          <w:szCs w:val="24"/>
        </w:rPr>
        <w:t xml:space="preserve">, 2013; Langa, 2015). Matthews </w:t>
      </w:r>
      <w:r w:rsidRPr="00F8382E">
        <w:rPr>
          <w:rFonts w:ascii="Times New Roman" w:hAnsi="Times New Roman"/>
          <w:i/>
          <w:iCs/>
          <w:szCs w:val="24"/>
        </w:rPr>
        <w:t>et al.</w:t>
      </w:r>
      <w:r w:rsidRPr="00EA7713">
        <w:rPr>
          <w:rFonts w:ascii="Times New Roman" w:hAnsi="Times New Roman"/>
          <w:szCs w:val="24"/>
        </w:rPr>
        <w:t xml:space="preserve"> (2013) studied dementia prevalence in three geographical areas of England and found there was a decline in the prevalence and incidence in those areas. The decrease in prevalence follows the improvement in the prevention and treatment of heart diseases and an increase in early life education, which has both been shown to reduce the risk of dementia.  However, it is notable that Matthews </w:t>
      </w:r>
      <w:r w:rsidRPr="00F8382E">
        <w:rPr>
          <w:rFonts w:ascii="Times New Roman" w:hAnsi="Times New Roman"/>
          <w:i/>
          <w:iCs/>
          <w:szCs w:val="24"/>
        </w:rPr>
        <w:t>et al.</w:t>
      </w:r>
      <w:r w:rsidRPr="00EA7713">
        <w:rPr>
          <w:rFonts w:ascii="Times New Roman" w:hAnsi="Times New Roman"/>
          <w:szCs w:val="24"/>
        </w:rPr>
        <w:t xml:space="preserve"> (2013) reported a 24% increase of dementia prevalence within care settings (from 56% to 70%), despite the decline in prevalence in the community. This may imply that more people are being taken into formal care setting in the last couple of years and it may also have severe </w:t>
      </w:r>
      <w:r w:rsidRPr="00EA7713">
        <w:rPr>
          <w:rFonts w:ascii="Times New Roman" w:hAnsi="Times New Roman"/>
          <w:szCs w:val="24"/>
        </w:rPr>
        <w:lastRenderedPageBreak/>
        <w:t>implications for formal caregiving services, whose workload increases as more people are admitted.</w:t>
      </w:r>
    </w:p>
    <w:p w14:paraId="28178387" w14:textId="77777777" w:rsidR="00592FF6" w:rsidRPr="00EA7713" w:rsidRDefault="00592FF6" w:rsidP="00592FF6">
      <w:pPr>
        <w:tabs>
          <w:tab w:val="left" w:pos="5445"/>
        </w:tabs>
        <w:spacing w:before="240"/>
        <w:jc w:val="both"/>
        <w:rPr>
          <w:rFonts w:ascii="Times New Roman" w:hAnsi="Times New Roman"/>
          <w:szCs w:val="24"/>
        </w:rPr>
      </w:pPr>
      <w:r w:rsidRPr="00EA7713">
        <w:rPr>
          <w:rFonts w:ascii="Times New Roman" w:hAnsi="Times New Roman"/>
          <w:szCs w:val="24"/>
        </w:rPr>
        <w:t xml:space="preserve">The rise in the number of people taken into care maybe due to the increase in the number of people presenting with early onset dementia (Alzheimer's Association, 2013). Early onset dementia accounts for at least 10% of all cases of dementia (Alzheimer's Association, 2013). Whether dementia occurs in people who are older than 65 years of age or younger (as in early-onset dementia), the symptoms are the same. They may include behaviours such as aggression, restlessness, agitation, wandering, etc. (Turner, 2005), and other personal care needs </w:t>
      </w:r>
      <w:r>
        <w:rPr>
          <w:rFonts w:ascii="Times New Roman" w:hAnsi="Times New Roman"/>
          <w:szCs w:val="24"/>
        </w:rPr>
        <w:t xml:space="preserve">which </w:t>
      </w:r>
      <w:r w:rsidRPr="00EA7713">
        <w:rPr>
          <w:rFonts w:ascii="Times New Roman" w:hAnsi="Times New Roman"/>
          <w:szCs w:val="24"/>
        </w:rPr>
        <w:t xml:space="preserve">make the caregiving process very demanding (Tadros </w:t>
      </w:r>
      <w:r w:rsidRPr="00F8382E">
        <w:rPr>
          <w:rFonts w:ascii="Times New Roman" w:hAnsi="Times New Roman"/>
          <w:i/>
          <w:iCs/>
          <w:szCs w:val="24"/>
        </w:rPr>
        <w:t>et al.</w:t>
      </w:r>
      <w:r w:rsidRPr="00EA7713">
        <w:rPr>
          <w:rFonts w:ascii="Times New Roman" w:hAnsi="Times New Roman"/>
          <w:szCs w:val="24"/>
        </w:rPr>
        <w:t>, 201</w:t>
      </w:r>
      <w:r>
        <w:rPr>
          <w:rFonts w:ascii="Times New Roman" w:hAnsi="Times New Roman"/>
          <w:szCs w:val="24"/>
        </w:rPr>
        <w:t>3</w:t>
      </w:r>
      <w:r w:rsidRPr="00EA7713">
        <w:rPr>
          <w:rFonts w:ascii="Times New Roman" w:hAnsi="Times New Roman"/>
          <w:szCs w:val="24"/>
        </w:rPr>
        <w:t>).</w:t>
      </w:r>
    </w:p>
    <w:p w14:paraId="291DAA63" w14:textId="77777777" w:rsidR="00592FF6" w:rsidRPr="00EA7713" w:rsidRDefault="00592FF6" w:rsidP="006869A3">
      <w:pPr>
        <w:pStyle w:val="Heading2"/>
        <w:rPr>
          <w:lang w:val="en-US"/>
        </w:rPr>
      </w:pPr>
      <w:bookmarkStart w:id="19" w:name="_Toc86417220"/>
      <w:r w:rsidRPr="00EA7713">
        <w:t>1.4. Dementia caregiving and trends</w:t>
      </w:r>
      <w:bookmarkEnd w:id="19"/>
    </w:p>
    <w:p w14:paraId="721E515B" w14:textId="77777777" w:rsidR="00592FF6" w:rsidRPr="00EA7713" w:rsidRDefault="00592FF6" w:rsidP="006869A3">
      <w:pPr>
        <w:pStyle w:val="Heading3"/>
      </w:pPr>
      <w:bookmarkStart w:id="20" w:name="_Toc86417221"/>
      <w:r w:rsidRPr="00EA7713">
        <w:t xml:space="preserve">1.4.1. </w:t>
      </w:r>
      <w:r w:rsidRPr="000D1BB1">
        <w:t>Dementia caregiving</w:t>
      </w:r>
      <w:bookmarkEnd w:id="20"/>
    </w:p>
    <w:p w14:paraId="10241582"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Much of the literature on caregiving tends to focus on unpaid or voluntary care provided by family members or friends. Drentea (2007) described it as the act of supporting family and friends who have physical, psychological, or developmental needs without being paid to do so, however, this description excludes the support provided by parents caring for their children (i.e. parenting) and the care offered by paid care workers. Although Drentea (2007) observed that a parent providing care for an adult child who is sick or terminally ill is caregiving rather than parenting. Meanwhile, some have discussed caregiving considering familial duties or a duty of commitment to an existing relationship. For example, Pearlin </w:t>
      </w:r>
      <w:r w:rsidRPr="00F8382E">
        <w:rPr>
          <w:rFonts w:ascii="Times New Roman" w:hAnsi="Times New Roman"/>
          <w:i/>
          <w:iCs/>
          <w:szCs w:val="24"/>
        </w:rPr>
        <w:t>et al.</w:t>
      </w:r>
      <w:r w:rsidRPr="00EA7713">
        <w:rPr>
          <w:rFonts w:ascii="Times New Roman" w:hAnsi="Times New Roman"/>
          <w:szCs w:val="24"/>
        </w:rPr>
        <w:t xml:space="preserve"> (1990, p.583), describes caregiving as the behavioural "</w:t>
      </w:r>
      <w:r w:rsidRPr="00EA7713">
        <w:rPr>
          <w:rFonts w:ascii="Times New Roman" w:hAnsi="Times New Roman"/>
          <w:i/>
          <w:szCs w:val="24"/>
        </w:rPr>
        <w:t>expression of one’s commitment to the well-being or protection of another person</w:t>
      </w:r>
      <w:r w:rsidRPr="00EA7713">
        <w:rPr>
          <w:rFonts w:ascii="Times New Roman" w:hAnsi="Times New Roman"/>
          <w:szCs w:val="24"/>
        </w:rPr>
        <w:t xml:space="preserve">" and others have highlighted the role of emotion in caring (Romero-Monero </w:t>
      </w:r>
      <w:r w:rsidRPr="00F8382E">
        <w:rPr>
          <w:rFonts w:ascii="Times New Roman" w:hAnsi="Times New Roman"/>
          <w:i/>
          <w:iCs/>
          <w:szCs w:val="24"/>
        </w:rPr>
        <w:t>et al.</w:t>
      </w:r>
      <w:r w:rsidRPr="00EA7713">
        <w:rPr>
          <w:rFonts w:ascii="Times New Roman" w:hAnsi="Times New Roman"/>
          <w:szCs w:val="24"/>
        </w:rPr>
        <w:t xml:space="preserve">, 2011). Conversely, other authors suggested that apart from emotional attachment to their relatives, some carers may have different motives for caring (Wallhagen and Yamamoto-Mitani, 2006), and for many women, there is often a cultural expectation that they will undertake the caring role within the family (Chao and Roth, 2000). </w:t>
      </w:r>
    </w:p>
    <w:p w14:paraId="5359E308"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Regardless of motivations for caregiving, Twigg (2000</w:t>
      </w:r>
      <w:r>
        <w:rPr>
          <w:rFonts w:ascii="Times New Roman" w:hAnsi="Times New Roman"/>
          <w:szCs w:val="24"/>
        </w:rPr>
        <w:t>a</w:t>
      </w:r>
      <w:r w:rsidRPr="00EA7713">
        <w:rPr>
          <w:rFonts w:ascii="Times New Roman" w:hAnsi="Times New Roman"/>
          <w:szCs w:val="24"/>
        </w:rPr>
        <w:t xml:space="preserve">, p.160) suggests that dementia caregiving involves different dynamics from other forms of caregiving as the emotional </w:t>
      </w:r>
      <w:r w:rsidRPr="00EA7713">
        <w:rPr>
          <w:rFonts w:ascii="Times New Roman" w:hAnsi="Times New Roman"/>
          <w:szCs w:val="24"/>
        </w:rPr>
        <w:lastRenderedPageBreak/>
        <w:t xml:space="preserve">work experienced by many dementia </w:t>
      </w:r>
      <w:r>
        <w:rPr>
          <w:rFonts w:ascii="Times New Roman" w:hAnsi="Times New Roman"/>
          <w:szCs w:val="24"/>
        </w:rPr>
        <w:t>carers</w:t>
      </w:r>
      <w:r w:rsidRPr="00EA7713">
        <w:rPr>
          <w:rFonts w:ascii="Times New Roman" w:hAnsi="Times New Roman"/>
          <w:szCs w:val="24"/>
        </w:rPr>
        <w:t xml:space="preserve"> involve</w:t>
      </w:r>
      <w:r>
        <w:rPr>
          <w:rFonts w:ascii="Times New Roman" w:hAnsi="Times New Roman"/>
          <w:szCs w:val="24"/>
        </w:rPr>
        <w:t>d</w:t>
      </w:r>
      <w:r w:rsidRPr="00EA7713">
        <w:rPr>
          <w:rFonts w:ascii="Times New Roman" w:hAnsi="Times New Roman"/>
          <w:szCs w:val="24"/>
        </w:rPr>
        <w:t xml:space="preserve"> "</w:t>
      </w:r>
      <w:r w:rsidRPr="00EA7713">
        <w:rPr>
          <w:rFonts w:ascii="Times New Roman" w:hAnsi="Times New Roman"/>
          <w:i/>
          <w:szCs w:val="24"/>
        </w:rPr>
        <w:t>both working on and through the feelings of others, with the aim of producing an effect on their emotional state</w:t>
      </w:r>
      <w:r w:rsidRPr="00EA7713">
        <w:rPr>
          <w:rFonts w:ascii="Times New Roman" w:hAnsi="Times New Roman"/>
          <w:szCs w:val="24"/>
        </w:rPr>
        <w:t>". Moreover, Twigg (2000</w:t>
      </w:r>
      <w:r>
        <w:rPr>
          <w:rFonts w:ascii="Times New Roman" w:hAnsi="Times New Roman"/>
          <w:szCs w:val="24"/>
        </w:rPr>
        <w:t>a</w:t>
      </w:r>
      <w:r w:rsidRPr="00EA7713">
        <w:rPr>
          <w:rFonts w:ascii="Times New Roman" w:hAnsi="Times New Roman"/>
          <w:szCs w:val="24"/>
        </w:rPr>
        <w:t xml:space="preserve">) suggests that caring for </w:t>
      </w:r>
      <w:r>
        <w:rPr>
          <w:rFonts w:ascii="Times New Roman" w:hAnsi="Times New Roman"/>
          <w:szCs w:val="24"/>
        </w:rPr>
        <w:t>PLWD</w:t>
      </w:r>
      <w:r w:rsidRPr="00EA7713">
        <w:rPr>
          <w:rFonts w:ascii="Times New Roman" w:hAnsi="Times New Roman"/>
          <w:szCs w:val="24"/>
        </w:rPr>
        <w:t xml:space="preserve"> requires one to interact with the person who is often emotionally distressed, and this results in the caregiver becoming emotionally distressed. Later work by Twigg (2010) highlights the significance of 'bodywork' in dementia care</w:t>
      </w:r>
      <w:r>
        <w:rPr>
          <w:rFonts w:ascii="Times New Roman" w:hAnsi="Times New Roman"/>
          <w:szCs w:val="24"/>
        </w:rPr>
        <w:t>,</w:t>
      </w:r>
      <w:r w:rsidRPr="00EA7713">
        <w:rPr>
          <w:rFonts w:ascii="Times New Roman" w:hAnsi="Times New Roman"/>
          <w:szCs w:val="24"/>
        </w:rPr>
        <w:t xml:space="preserve"> i.e., personal care, and the role of carers in maintaining the personhood of the person living with dementia. </w:t>
      </w:r>
    </w:p>
    <w:p w14:paraId="3A679CB2"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While the lack of an acceptable working definition for caregiving makes it difficult to assess </w:t>
      </w:r>
      <w:r>
        <w:rPr>
          <w:rFonts w:ascii="Times New Roman" w:hAnsi="Times New Roman"/>
          <w:szCs w:val="24"/>
        </w:rPr>
        <w:t>its</w:t>
      </w:r>
      <w:r w:rsidRPr="00EA7713">
        <w:rPr>
          <w:rFonts w:ascii="Times New Roman" w:hAnsi="Times New Roman"/>
          <w:szCs w:val="24"/>
        </w:rPr>
        <w:t xml:space="preserve"> impact or compare findings from research studies</w:t>
      </w:r>
      <w:r>
        <w:rPr>
          <w:rFonts w:ascii="Times New Roman" w:hAnsi="Times New Roman"/>
          <w:szCs w:val="24"/>
        </w:rPr>
        <w:t>,</w:t>
      </w:r>
      <w:r w:rsidRPr="00EA7713">
        <w:rPr>
          <w:rFonts w:ascii="Times New Roman" w:hAnsi="Times New Roman"/>
          <w:szCs w:val="24"/>
        </w:rPr>
        <w:t xml:space="preserve"> Hermanns and Mastel-Smith (2012) suggests that caregiving may be simply defined as an act done to support those who cannot do it themselves.</w:t>
      </w:r>
    </w:p>
    <w:p w14:paraId="33F33CFE" w14:textId="77777777" w:rsidR="00592FF6" w:rsidRPr="00EA7713" w:rsidRDefault="00592FF6" w:rsidP="006869A3">
      <w:pPr>
        <w:pStyle w:val="Heading3"/>
        <w:rPr>
          <w:lang w:val="en-US"/>
        </w:rPr>
      </w:pPr>
      <w:bookmarkStart w:id="21" w:name="_Hlk53187623"/>
      <w:bookmarkStart w:id="22" w:name="_Toc86417222"/>
      <w:r w:rsidRPr="00EA7713">
        <w:rPr>
          <w:bCs/>
        </w:rPr>
        <w:t xml:space="preserve">1.4.2. </w:t>
      </w:r>
      <w:r w:rsidRPr="000D1BB1">
        <w:t>Trends in dementia caregiving in the UK</w:t>
      </w:r>
      <w:bookmarkEnd w:id="21"/>
      <w:bookmarkEnd w:id="22"/>
    </w:p>
    <w:p w14:paraId="1577BE6F"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In the UK, there are estimated to be around 550,000 people in England acting as the primary, family, or informal care</w:t>
      </w:r>
      <w:r>
        <w:rPr>
          <w:rFonts w:ascii="Times New Roman" w:hAnsi="Times New Roman"/>
          <w:szCs w:val="24"/>
        </w:rPr>
        <w:t>r</w:t>
      </w:r>
      <w:r w:rsidRPr="00EA7713">
        <w:rPr>
          <w:rFonts w:ascii="Times New Roman" w:hAnsi="Times New Roman"/>
          <w:szCs w:val="24"/>
        </w:rPr>
        <w:t xml:space="preserve">s for people with dementia- saving the nation nearly £11 billion every year (Alzheimer's Society, 2014). Managing a chronic condition such as dementia relies on the ability of family members to assume, master, and maintain their caregiving role and they often need to act as an advocate for the person they are caring for, and work with different professionals during the care recipient's journey with the disease.  However, as suggested above, caregiving can come at a personal cost to the </w:t>
      </w:r>
      <w:r>
        <w:rPr>
          <w:rFonts w:ascii="Times New Roman" w:hAnsi="Times New Roman"/>
          <w:szCs w:val="24"/>
        </w:rPr>
        <w:t>carers</w:t>
      </w:r>
      <w:r w:rsidRPr="00EA7713">
        <w:rPr>
          <w:rFonts w:ascii="Times New Roman" w:hAnsi="Times New Roman"/>
          <w:szCs w:val="24"/>
        </w:rPr>
        <w:t xml:space="preserve">, affecting their physical and mental health which may lead to additional stress on the family and risking social isolation (Langa </w:t>
      </w:r>
      <w:r w:rsidRPr="00F8382E">
        <w:rPr>
          <w:rFonts w:ascii="Times New Roman" w:hAnsi="Times New Roman"/>
          <w:i/>
          <w:iCs/>
          <w:szCs w:val="24"/>
        </w:rPr>
        <w:t>et al.</w:t>
      </w:r>
      <w:r w:rsidRPr="00EA7713">
        <w:rPr>
          <w:rFonts w:ascii="Times New Roman" w:hAnsi="Times New Roman"/>
          <w:szCs w:val="24"/>
        </w:rPr>
        <w:t>, 2001;</w:t>
      </w:r>
      <w:r>
        <w:rPr>
          <w:rFonts w:ascii="Times New Roman" w:hAnsi="Times New Roman"/>
          <w:szCs w:val="24"/>
        </w:rPr>
        <w:t xml:space="preserve"> </w:t>
      </w:r>
      <w:r w:rsidRPr="00EA7713">
        <w:rPr>
          <w:rFonts w:ascii="Times New Roman" w:hAnsi="Times New Roman"/>
          <w:szCs w:val="24"/>
        </w:rPr>
        <w:t xml:space="preserve">Boerner, Schulz </w:t>
      </w:r>
      <w:r>
        <w:rPr>
          <w:rFonts w:ascii="Times New Roman" w:hAnsi="Times New Roman"/>
          <w:szCs w:val="24"/>
        </w:rPr>
        <w:t>and</w:t>
      </w:r>
      <w:r w:rsidRPr="00EA7713">
        <w:rPr>
          <w:rFonts w:ascii="Times New Roman" w:hAnsi="Times New Roman"/>
          <w:szCs w:val="24"/>
        </w:rPr>
        <w:t xml:space="preserve"> Horowitz, 2004). In addition to the cost on their health, </w:t>
      </w:r>
      <w:r>
        <w:rPr>
          <w:rFonts w:ascii="Times New Roman" w:hAnsi="Times New Roman"/>
          <w:szCs w:val="24"/>
        </w:rPr>
        <w:t>family carers</w:t>
      </w:r>
      <w:r w:rsidRPr="00EA7713">
        <w:rPr>
          <w:rFonts w:ascii="Times New Roman" w:hAnsi="Times New Roman"/>
          <w:szCs w:val="24"/>
        </w:rPr>
        <w:t xml:space="preserve"> usually bear most of the financial costs of care, especially community care, either through out-of-pocket expenditures or the direct provision of care (Department of Health, 2012). Whilst the prevalence and incidence of the disease have seen a decline overall, there remains a need for institutionalised care, as families can become overwhelmed by the challenges of caring as the condition deteriorates (Matthews </w:t>
      </w:r>
      <w:r w:rsidRPr="00F8382E">
        <w:rPr>
          <w:rFonts w:ascii="Times New Roman" w:hAnsi="Times New Roman"/>
          <w:i/>
          <w:iCs/>
          <w:szCs w:val="24"/>
        </w:rPr>
        <w:t>et al.</w:t>
      </w:r>
      <w:r w:rsidRPr="00EA7713">
        <w:rPr>
          <w:rFonts w:ascii="Times New Roman" w:hAnsi="Times New Roman"/>
          <w:szCs w:val="24"/>
        </w:rPr>
        <w:t>, 2013).</w:t>
      </w:r>
    </w:p>
    <w:p w14:paraId="2DD159DA" w14:textId="77777777" w:rsidR="00592FF6" w:rsidRPr="00EA7713" w:rsidRDefault="00592FF6" w:rsidP="006869A3">
      <w:pPr>
        <w:pStyle w:val="Heading3"/>
        <w:rPr>
          <w:lang w:val="en-US"/>
        </w:rPr>
      </w:pPr>
      <w:bookmarkStart w:id="23" w:name="_Hlk53187676"/>
      <w:bookmarkStart w:id="24" w:name="_Toc86417223"/>
      <w:r w:rsidRPr="00EA7713">
        <w:rPr>
          <w:bCs/>
        </w:rPr>
        <w:t xml:space="preserve">1.4.3. </w:t>
      </w:r>
      <w:r w:rsidRPr="000D1BB1">
        <w:t>The profile of a family caregiver</w:t>
      </w:r>
      <w:bookmarkEnd w:id="23"/>
      <w:bookmarkEnd w:id="24"/>
    </w:p>
    <w:p w14:paraId="5370DC82"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lastRenderedPageBreak/>
        <w:t xml:space="preserve">A family caregiver </w:t>
      </w:r>
      <w:r>
        <w:rPr>
          <w:rFonts w:ascii="Times New Roman" w:hAnsi="Times New Roman"/>
          <w:szCs w:val="24"/>
        </w:rPr>
        <w:t xml:space="preserve">(or simply a carer) </w:t>
      </w:r>
      <w:r w:rsidRPr="00EA7713">
        <w:rPr>
          <w:rFonts w:ascii="Times New Roman" w:hAnsi="Times New Roman"/>
          <w:szCs w:val="24"/>
        </w:rPr>
        <w:t xml:space="preserve">maybe under an obligation to care because of the close kinship or emotional bond to the care recipient. </w:t>
      </w:r>
      <w:r>
        <w:rPr>
          <w:rFonts w:ascii="Times New Roman" w:hAnsi="Times New Roman"/>
          <w:szCs w:val="24"/>
        </w:rPr>
        <w:t>They</w:t>
      </w:r>
      <w:r w:rsidRPr="00EA7713">
        <w:rPr>
          <w:rFonts w:ascii="Times New Roman" w:hAnsi="Times New Roman"/>
          <w:szCs w:val="24"/>
        </w:rPr>
        <w:t xml:space="preserve"> can also by extension include neighbours and friends who are close to the care recipient. Most carers are unpaid and hence are described a</w:t>
      </w:r>
      <w:r w:rsidRPr="00EA572F">
        <w:rPr>
          <w:rFonts w:ascii="Times New Roman" w:hAnsi="Times New Roman"/>
          <w:szCs w:val="24"/>
        </w:rPr>
        <w:t xml:space="preserve">s unpaid caregivers. Some people in the UK can access the carer's allowance, but </w:t>
      </w:r>
      <w:r w:rsidRPr="00EA7713">
        <w:rPr>
          <w:rFonts w:ascii="Times New Roman" w:hAnsi="Times New Roman"/>
          <w:szCs w:val="24"/>
        </w:rPr>
        <w:t>older carers may not receive the full carer's allowance and a state pension simultaneously (</w:t>
      </w:r>
      <w:r w:rsidRPr="00944A32">
        <w:rPr>
          <w:rFonts w:ascii="Times New Roman" w:hAnsi="Times New Roman"/>
          <w:szCs w:val="24"/>
        </w:rPr>
        <w:t>Her Majesty’s</w:t>
      </w:r>
      <w:r w:rsidRPr="00EA7713">
        <w:rPr>
          <w:rFonts w:ascii="Times New Roman" w:hAnsi="Times New Roman"/>
          <w:szCs w:val="24"/>
        </w:rPr>
        <w:t xml:space="preserve"> Government, 2008; 2010; 2012; Department of Work and Pensions, 2014).</w:t>
      </w:r>
    </w:p>
    <w:p w14:paraId="2BC838AD"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In the literature, family carers are described by several terms including non-professionals or informal </w:t>
      </w:r>
      <w:r>
        <w:rPr>
          <w:rFonts w:ascii="Times New Roman" w:hAnsi="Times New Roman"/>
          <w:szCs w:val="24"/>
        </w:rPr>
        <w:t>carers</w:t>
      </w:r>
      <w:r w:rsidRPr="00EA7713">
        <w:rPr>
          <w:rFonts w:ascii="Times New Roman" w:hAnsi="Times New Roman"/>
          <w:szCs w:val="24"/>
        </w:rPr>
        <w:t xml:space="preserve"> (Harris, 2010; Kemp </w:t>
      </w:r>
      <w:r w:rsidRPr="00F8382E">
        <w:rPr>
          <w:rFonts w:ascii="Times New Roman" w:hAnsi="Times New Roman"/>
          <w:i/>
          <w:iCs/>
          <w:szCs w:val="24"/>
        </w:rPr>
        <w:t>et al.</w:t>
      </w:r>
      <w:r w:rsidRPr="00EA7713">
        <w:rPr>
          <w:rFonts w:ascii="Times New Roman" w:hAnsi="Times New Roman"/>
          <w:szCs w:val="24"/>
        </w:rPr>
        <w:t>, 2009). However, Hughes, Locock and Ziebland (2013) suggest that many informal carers do not identify with the term 'carer', as they see their role as a continuation of family relationships while others reject the term and do not see caring as part of their identity.</w:t>
      </w:r>
    </w:p>
    <w:p w14:paraId="4937E833" w14:textId="4E34EF54" w:rsidR="006269D7"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Consequently, although it is convenient to describe close relatives and friends as a family or informal caregiver providing care for people with dementia, the nature of a typical family caregiver is more complex.</w:t>
      </w:r>
      <w:r w:rsidRPr="00EA7713">
        <w:rPr>
          <w:rFonts w:ascii="Times New Roman" w:hAnsi="Times New Roman"/>
          <w:szCs w:val="24"/>
          <w:lang w:val="en-US"/>
        </w:rPr>
        <w:t xml:space="preserve"> </w:t>
      </w:r>
      <w:r w:rsidRPr="00EA7713">
        <w:rPr>
          <w:rFonts w:ascii="Times New Roman" w:hAnsi="Times New Roman"/>
          <w:szCs w:val="24"/>
        </w:rPr>
        <w:t>For instance, Walker, Pratt and Eddy (1995, p. 402) described the act of caring as one which demands, "</w:t>
      </w:r>
      <w:r w:rsidRPr="00EA7713">
        <w:rPr>
          <w:rFonts w:ascii="Times New Roman" w:hAnsi="Times New Roman"/>
          <w:i/>
          <w:iCs/>
          <w:szCs w:val="24"/>
        </w:rPr>
        <w:t>one or more family members [to] give aid or assistance to other family members beyond that required of normal everyday life</w:t>
      </w:r>
      <w:r w:rsidRPr="00EA7713">
        <w:rPr>
          <w:rFonts w:ascii="Times New Roman" w:hAnsi="Times New Roman"/>
          <w:szCs w:val="24"/>
        </w:rPr>
        <w:t>", which makes caregiving different from the act of friendship. Research into 'family caregiving' has covered a wide range of issues, for example, Essex and Hong's (2005) work on caregiving burden, Bernard and Guarbaccia (2003) work on strain, Pinquart and Sörensen (2005) on stress, Shaffer, Dooley and Williamson (2007) on aggression, Gallagher-Thompson and Coon (2007) on carer</w:t>
      </w:r>
      <w:r>
        <w:rPr>
          <w:rFonts w:ascii="Times New Roman" w:hAnsi="Times New Roman"/>
          <w:szCs w:val="24"/>
        </w:rPr>
        <w:t>’s</w:t>
      </w:r>
      <w:r w:rsidRPr="00EA7713">
        <w:rPr>
          <w:rFonts w:ascii="Times New Roman" w:hAnsi="Times New Roman"/>
          <w:szCs w:val="24"/>
        </w:rPr>
        <w:t xml:space="preserve"> distress, Cic</w:t>
      </w:r>
      <w:r>
        <w:rPr>
          <w:rFonts w:ascii="Times New Roman" w:hAnsi="Times New Roman"/>
          <w:szCs w:val="24"/>
        </w:rPr>
        <w:t>i</w:t>
      </w:r>
      <w:r w:rsidRPr="00EA7713">
        <w:rPr>
          <w:rFonts w:ascii="Times New Roman" w:hAnsi="Times New Roman"/>
          <w:szCs w:val="24"/>
        </w:rPr>
        <w:t>relli (1995) on emotional attachment in caregiving, and Pinquart and Sörensen (2005, 2006) on the gender differences in caregiving.</w:t>
      </w:r>
    </w:p>
    <w:p w14:paraId="2FF9DC78" w14:textId="77777777" w:rsidR="00592FF6" w:rsidRPr="000D1BB1" w:rsidRDefault="00592FF6" w:rsidP="006869A3">
      <w:pPr>
        <w:pStyle w:val="Heading3"/>
        <w:rPr>
          <w:lang w:val="en-US"/>
        </w:rPr>
      </w:pPr>
      <w:bookmarkStart w:id="25" w:name="_Toc86417224"/>
      <w:r w:rsidRPr="000D1BB1">
        <w:t>1.4.4. The profile of a formal caregiver</w:t>
      </w:r>
      <w:bookmarkEnd w:id="25"/>
    </w:p>
    <w:p w14:paraId="1F8BB23A"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The term 'formal caregivers' includes a wide range of professionals including HCAs or support workers, nurses, social workers, occupational therapist, and doctors, etc.), all of whom provide varying levels of support for PLWD. Of these groups of caregivers, HCAs and nurses are regarded as front</w:t>
      </w:r>
      <w:r>
        <w:rPr>
          <w:rFonts w:ascii="Times New Roman" w:hAnsi="Times New Roman"/>
          <w:szCs w:val="24"/>
        </w:rPr>
        <w:t>-</w:t>
      </w:r>
      <w:r w:rsidRPr="00EA7713">
        <w:rPr>
          <w:rFonts w:ascii="Times New Roman" w:hAnsi="Times New Roman"/>
          <w:szCs w:val="24"/>
        </w:rPr>
        <w:t xml:space="preserve">line staff because they are most involved in care for PLWD and form the main body of workers in care homes, residential homes and </w:t>
      </w:r>
      <w:r w:rsidRPr="00EA7713">
        <w:rPr>
          <w:rFonts w:ascii="Times New Roman" w:hAnsi="Times New Roman"/>
          <w:szCs w:val="24"/>
        </w:rPr>
        <w:lastRenderedPageBreak/>
        <w:t>specialist acute mental health unit for PLWD (Ball and Pike, 2009). HCAs who are entry-level employees with minimal job qualifications have more direct personal contact with the patients more than nurses (Spilsbury and Meyer, 2004).</w:t>
      </w:r>
    </w:p>
    <w:p w14:paraId="4D410B40"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Even though the number of HCAs is on </w:t>
      </w:r>
      <w:r>
        <w:rPr>
          <w:rFonts w:ascii="Times New Roman" w:hAnsi="Times New Roman"/>
          <w:szCs w:val="24"/>
        </w:rPr>
        <w:t xml:space="preserve">the </w:t>
      </w:r>
      <w:r w:rsidRPr="00EA7713">
        <w:rPr>
          <w:rFonts w:ascii="Times New Roman" w:hAnsi="Times New Roman"/>
          <w:szCs w:val="24"/>
        </w:rPr>
        <w:t xml:space="preserve">rise, there is little known </w:t>
      </w:r>
      <w:r>
        <w:rPr>
          <w:rFonts w:ascii="Times New Roman" w:hAnsi="Times New Roman"/>
          <w:szCs w:val="24"/>
        </w:rPr>
        <w:t>about</w:t>
      </w:r>
      <w:r w:rsidRPr="00EA7713">
        <w:rPr>
          <w:rFonts w:ascii="Times New Roman" w:hAnsi="Times New Roman"/>
          <w:szCs w:val="24"/>
        </w:rPr>
        <w:t xml:space="preserve"> the specific number in the workforce</w:t>
      </w:r>
      <w:r>
        <w:rPr>
          <w:rFonts w:ascii="Times New Roman" w:hAnsi="Times New Roman"/>
          <w:szCs w:val="24"/>
        </w:rPr>
        <w:t>,</w:t>
      </w:r>
      <w:r w:rsidRPr="00EA7713">
        <w:rPr>
          <w:rFonts w:ascii="Times New Roman" w:hAnsi="Times New Roman"/>
          <w:szCs w:val="24"/>
        </w:rPr>
        <w:t xml:space="preserve"> with minimal statistics on how many are car</w:t>
      </w:r>
      <w:r>
        <w:rPr>
          <w:rFonts w:ascii="Times New Roman" w:hAnsi="Times New Roman"/>
          <w:szCs w:val="24"/>
        </w:rPr>
        <w:t>ing</w:t>
      </w:r>
      <w:r w:rsidRPr="00EA7713">
        <w:rPr>
          <w:rFonts w:ascii="Times New Roman" w:hAnsi="Times New Roman"/>
          <w:szCs w:val="24"/>
        </w:rPr>
        <w:t xml:space="preserve"> for PLWD. Johnson </w:t>
      </w:r>
      <w:r w:rsidRPr="00F8382E">
        <w:rPr>
          <w:rFonts w:ascii="Times New Roman" w:hAnsi="Times New Roman"/>
          <w:i/>
          <w:iCs/>
          <w:szCs w:val="24"/>
        </w:rPr>
        <w:t>et al.</w:t>
      </w:r>
      <w:r w:rsidRPr="00EA7713">
        <w:rPr>
          <w:rFonts w:ascii="Times New Roman" w:hAnsi="Times New Roman"/>
          <w:szCs w:val="24"/>
        </w:rPr>
        <w:t xml:space="preserve"> (2002) reported that the over 300 titles used to describe the role of </w:t>
      </w:r>
      <w:r>
        <w:rPr>
          <w:rFonts w:ascii="Times New Roman" w:hAnsi="Times New Roman"/>
          <w:szCs w:val="24"/>
        </w:rPr>
        <w:t>HCA</w:t>
      </w:r>
      <w:r w:rsidRPr="00EA7713">
        <w:rPr>
          <w:rFonts w:ascii="Times New Roman" w:hAnsi="Times New Roman"/>
          <w:szCs w:val="24"/>
        </w:rPr>
        <w:t xml:space="preserve"> in the UK adds to the confusion in classifying formal caregivers. However, it appears that in a typical nursing or residential home settings, there are usually more assistant workers than nurses (</w:t>
      </w:r>
      <w:r w:rsidRPr="00EA7713">
        <w:rPr>
          <w:rFonts w:ascii="Times New Roman" w:hAnsi="Times New Roman"/>
          <w:bCs/>
          <w:szCs w:val="24"/>
        </w:rPr>
        <w:t>Buchan and Seccombe 2003</w:t>
      </w:r>
      <w:r w:rsidRPr="00EA7713">
        <w:rPr>
          <w:rFonts w:ascii="Times New Roman" w:hAnsi="Times New Roman"/>
          <w:szCs w:val="24"/>
        </w:rPr>
        <w:t>), acting to complement qualified nurses in the delivery of care.</w:t>
      </w:r>
    </w:p>
    <w:p w14:paraId="53596838"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Although there are limited demographic statistics on the actual number of care workers for PLWD in the social care setting, analysis of the 2017/2018 National Minimum Data Set for Social Care (NMDS-SC) offers some insight into the gender and age composition of paid care workers. By gender, women accounted for about 82% per cent of all care jobs including nurses and HCA (Skills for Care, 2018). Specifically, the gender composition for both groups of care workers were similar. While 16% of HCAs were men and 84% were women, for nurses, 14% were men and 86% were women. The gender disparity in both groups reflects the persistent stereotypical view that care related jobs are traditionally women's (Twomey and Meadus, 2008), although there are increasing number of men taking up roles in nursing (Bartfay </w:t>
      </w:r>
      <w:r w:rsidRPr="00F8382E">
        <w:rPr>
          <w:rFonts w:ascii="Times New Roman" w:hAnsi="Times New Roman"/>
          <w:i/>
          <w:iCs/>
          <w:szCs w:val="24"/>
        </w:rPr>
        <w:t>et al.</w:t>
      </w:r>
      <w:r w:rsidRPr="00EA7713">
        <w:rPr>
          <w:rFonts w:ascii="Times New Roman" w:hAnsi="Times New Roman"/>
          <w:szCs w:val="24"/>
        </w:rPr>
        <w:t xml:space="preserve">, 2010; MacWilliams, Schmidt and Bleich, 2013). Additionally, for the same period, the age profile of </w:t>
      </w:r>
      <w:r>
        <w:rPr>
          <w:rFonts w:ascii="Times New Roman" w:hAnsi="Times New Roman"/>
          <w:szCs w:val="24"/>
        </w:rPr>
        <w:t>care workers</w:t>
      </w:r>
      <w:r w:rsidRPr="00EA7713">
        <w:rPr>
          <w:rFonts w:ascii="Times New Roman" w:hAnsi="Times New Roman"/>
          <w:szCs w:val="24"/>
        </w:rPr>
        <w:t xml:space="preserve"> in social care shows that 10% of the social care workforce were under 25 years, 67% were between the 25 and 54 years and 24% were over 55 years (Skills for Care, 2018), indicating that three-quarters of social care workers were below 55, which is similar to the 2017/2018 Labour Force Survey statistics for economically active population in the UK (ONS, 2017). </w:t>
      </w:r>
    </w:p>
    <w:p w14:paraId="2800219C" w14:textId="77777777" w:rsidR="00592FF6" w:rsidRPr="00EA7713" w:rsidRDefault="00592FF6" w:rsidP="00592FF6">
      <w:pPr>
        <w:tabs>
          <w:tab w:val="left" w:pos="5445"/>
        </w:tabs>
        <w:jc w:val="both"/>
        <w:rPr>
          <w:rFonts w:ascii="Times New Roman" w:hAnsi="Times New Roman"/>
          <w:szCs w:val="24"/>
        </w:rPr>
      </w:pPr>
      <w:r w:rsidRPr="00EA7713">
        <w:rPr>
          <w:rFonts w:ascii="Times New Roman" w:hAnsi="Times New Roman"/>
          <w:szCs w:val="24"/>
        </w:rPr>
        <w:t xml:space="preserve">Despite having similar gender and age characteristics, nurses and HCAs are different in terms of their professional skills, qualifications, and regulations. While nurses are trained and are regulated by the Nursing and Midwifery Council (NMC), HCAs do not have a regulatory body, although they are usually offered some form of compulsory </w:t>
      </w:r>
      <w:r w:rsidRPr="00EA7713">
        <w:rPr>
          <w:rFonts w:ascii="Times New Roman" w:hAnsi="Times New Roman"/>
          <w:szCs w:val="24"/>
        </w:rPr>
        <w:lastRenderedPageBreak/>
        <w:t xml:space="preserve">care training before they commence work as HCA or support workers. In this thesis, I used the term, ‘care workers’ to refer to both HCAs and nurses. </w:t>
      </w:r>
    </w:p>
    <w:p w14:paraId="28161B6A" w14:textId="77777777" w:rsidR="00592FF6" w:rsidRPr="00EA7713" w:rsidRDefault="00592FF6" w:rsidP="006869A3">
      <w:pPr>
        <w:pStyle w:val="Heading2"/>
      </w:pPr>
      <w:bookmarkStart w:id="26" w:name="_Toc86417225"/>
      <w:r w:rsidRPr="00EA7713">
        <w:t>1.5. Background of the study</w:t>
      </w:r>
      <w:bookmarkEnd w:id="26"/>
    </w:p>
    <w:p w14:paraId="73267EC2"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Caring for PLWD has been the subject of research since the recognition of dementia as a significant health problem and condition affecting the rising aging populations, not only in Europe but across the globe (Rimmer </w:t>
      </w:r>
      <w:r w:rsidRPr="00F8382E">
        <w:rPr>
          <w:rFonts w:ascii="Times New Roman" w:hAnsi="Times New Roman"/>
          <w:i/>
          <w:iCs/>
          <w:szCs w:val="24"/>
        </w:rPr>
        <w:t>et al.</w:t>
      </w:r>
      <w:r w:rsidRPr="00EA7713">
        <w:rPr>
          <w:rFonts w:ascii="Times New Roman" w:hAnsi="Times New Roman"/>
          <w:szCs w:val="24"/>
        </w:rPr>
        <w:t xml:space="preserve">, 2005; Wu, Brayne and Matthews, 2015; Wu </w:t>
      </w:r>
      <w:r w:rsidRPr="00F8382E">
        <w:rPr>
          <w:rFonts w:ascii="Times New Roman" w:hAnsi="Times New Roman"/>
          <w:i/>
          <w:iCs/>
          <w:szCs w:val="24"/>
        </w:rPr>
        <w:t>et al.</w:t>
      </w:r>
      <w:r w:rsidRPr="00EA7713">
        <w:rPr>
          <w:rFonts w:ascii="Times New Roman" w:hAnsi="Times New Roman"/>
          <w:szCs w:val="24"/>
        </w:rPr>
        <w:t xml:space="preserve">, 2016; Brayne and Miller, 2017). Most research on caregiving has focused on the impact of the role on caregivers, although, much of this literature focuses on family (primary) or informal caregivers (Connell, Janevic and Gallant, 2001; Coen </w:t>
      </w:r>
      <w:r w:rsidRPr="00F8382E">
        <w:rPr>
          <w:rFonts w:ascii="Times New Roman" w:hAnsi="Times New Roman"/>
          <w:i/>
          <w:iCs/>
          <w:szCs w:val="24"/>
        </w:rPr>
        <w:t>et al.</w:t>
      </w:r>
      <w:r w:rsidRPr="00EA7713">
        <w:rPr>
          <w:rFonts w:ascii="Times New Roman" w:hAnsi="Times New Roman"/>
          <w:szCs w:val="24"/>
        </w:rPr>
        <w:t xml:space="preserve">, 2002; Chumbler </w:t>
      </w:r>
      <w:r w:rsidRPr="00F8382E">
        <w:rPr>
          <w:rFonts w:ascii="Times New Roman" w:hAnsi="Times New Roman"/>
          <w:i/>
          <w:iCs/>
          <w:szCs w:val="24"/>
        </w:rPr>
        <w:t>et al.</w:t>
      </w:r>
      <w:r w:rsidRPr="00EA7713">
        <w:rPr>
          <w:rFonts w:ascii="Times New Roman" w:hAnsi="Times New Roman"/>
          <w:szCs w:val="24"/>
        </w:rPr>
        <w:t xml:space="preserve">, 2003; Butcher </w:t>
      </w:r>
      <w:r w:rsidRPr="00F8382E">
        <w:rPr>
          <w:rFonts w:ascii="Times New Roman" w:hAnsi="Times New Roman"/>
          <w:i/>
          <w:iCs/>
          <w:szCs w:val="24"/>
        </w:rPr>
        <w:t>et al.</w:t>
      </w:r>
      <w:r w:rsidRPr="00EA7713">
        <w:rPr>
          <w:rFonts w:ascii="Times New Roman" w:hAnsi="Times New Roman"/>
          <w:szCs w:val="24"/>
        </w:rPr>
        <w:t xml:space="preserve">, 2016). </w:t>
      </w:r>
    </w:p>
    <w:p w14:paraId="26D9BCBC"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There is evidence linking dementia caregiving to physical and psychological stress in caregivers, whether carers or care workers (Coen </w:t>
      </w:r>
      <w:r w:rsidRPr="00F8382E">
        <w:rPr>
          <w:rFonts w:ascii="Times New Roman" w:hAnsi="Times New Roman"/>
          <w:i/>
          <w:iCs/>
          <w:szCs w:val="24"/>
        </w:rPr>
        <w:t>et al.</w:t>
      </w:r>
      <w:r w:rsidRPr="00EA7713">
        <w:rPr>
          <w:rFonts w:ascii="Times New Roman" w:hAnsi="Times New Roman"/>
          <w:szCs w:val="24"/>
        </w:rPr>
        <w:t xml:space="preserve">, 2002; Zimmerman </w:t>
      </w:r>
      <w:r w:rsidRPr="00F8382E">
        <w:rPr>
          <w:rFonts w:ascii="Times New Roman" w:hAnsi="Times New Roman"/>
          <w:i/>
          <w:iCs/>
          <w:szCs w:val="24"/>
        </w:rPr>
        <w:t>et al.</w:t>
      </w:r>
      <w:r w:rsidRPr="00EA7713">
        <w:rPr>
          <w:rFonts w:ascii="Times New Roman" w:hAnsi="Times New Roman"/>
          <w:szCs w:val="24"/>
        </w:rPr>
        <w:t xml:space="preserve">, 2005; Etters, Goodall and Harrison, 2008; Miyamoto, Tachimori and Ito, 2010; Willemse </w:t>
      </w:r>
      <w:r w:rsidRPr="00F8382E">
        <w:rPr>
          <w:rFonts w:ascii="Times New Roman" w:hAnsi="Times New Roman"/>
          <w:i/>
          <w:iCs/>
          <w:szCs w:val="24"/>
        </w:rPr>
        <w:t>et al.</w:t>
      </w:r>
      <w:r w:rsidRPr="00EA7713">
        <w:rPr>
          <w:rFonts w:ascii="Times New Roman" w:hAnsi="Times New Roman"/>
          <w:szCs w:val="24"/>
        </w:rPr>
        <w:t xml:space="preserve">, 2014; Barbosa </w:t>
      </w:r>
      <w:r w:rsidRPr="00F8382E">
        <w:rPr>
          <w:rFonts w:ascii="Times New Roman" w:hAnsi="Times New Roman"/>
          <w:i/>
          <w:iCs/>
          <w:szCs w:val="24"/>
        </w:rPr>
        <w:t>et al.</w:t>
      </w:r>
      <w:r w:rsidRPr="00EA7713">
        <w:rPr>
          <w:rFonts w:ascii="Times New Roman" w:hAnsi="Times New Roman"/>
          <w:szCs w:val="24"/>
        </w:rPr>
        <w:t xml:space="preserve">, 2015; Chiao, Wu and Hsiao, 2015). Other research suggests that </w:t>
      </w:r>
      <w:r>
        <w:rPr>
          <w:rFonts w:ascii="Times New Roman" w:hAnsi="Times New Roman"/>
          <w:szCs w:val="24"/>
        </w:rPr>
        <w:t>family carers</w:t>
      </w:r>
      <w:r w:rsidRPr="00EA7713">
        <w:rPr>
          <w:rFonts w:ascii="Times New Roman" w:hAnsi="Times New Roman"/>
          <w:szCs w:val="24"/>
        </w:rPr>
        <w:t xml:space="preserve"> of PLWD develop physical morbidities such as hyperlipidaemia (high levels of lipid or fat), hyperglycaemia (high levels of glucose), poorer immune function, slower wound healing, lower perceived health status and elevated blood pressure (Irwin </w:t>
      </w:r>
      <w:r w:rsidRPr="00F8382E">
        <w:rPr>
          <w:rFonts w:ascii="Times New Roman" w:hAnsi="Times New Roman"/>
          <w:i/>
          <w:iCs/>
          <w:szCs w:val="24"/>
        </w:rPr>
        <w:t>et al.</w:t>
      </w:r>
      <w:r w:rsidRPr="00EA7713">
        <w:rPr>
          <w:rFonts w:ascii="Times New Roman" w:hAnsi="Times New Roman"/>
          <w:szCs w:val="24"/>
        </w:rPr>
        <w:t xml:space="preserve">, 1997; Vendhara </w:t>
      </w:r>
      <w:r w:rsidRPr="00F8382E">
        <w:rPr>
          <w:rFonts w:ascii="Times New Roman" w:hAnsi="Times New Roman"/>
          <w:i/>
          <w:iCs/>
          <w:szCs w:val="24"/>
        </w:rPr>
        <w:t>et al.</w:t>
      </w:r>
      <w:r w:rsidRPr="00EA7713">
        <w:rPr>
          <w:rFonts w:ascii="Times New Roman" w:hAnsi="Times New Roman"/>
          <w:szCs w:val="24"/>
        </w:rPr>
        <w:t xml:space="preserve">, 1999; Mills </w:t>
      </w:r>
      <w:r w:rsidRPr="00F8382E">
        <w:rPr>
          <w:rFonts w:ascii="Times New Roman" w:hAnsi="Times New Roman"/>
          <w:i/>
          <w:iCs/>
          <w:szCs w:val="24"/>
        </w:rPr>
        <w:t>et al.</w:t>
      </w:r>
      <w:r w:rsidRPr="00EA7713">
        <w:rPr>
          <w:rFonts w:ascii="Times New Roman" w:hAnsi="Times New Roman"/>
          <w:szCs w:val="24"/>
        </w:rPr>
        <w:t xml:space="preserve"> 2004; Thomson </w:t>
      </w:r>
      <w:r w:rsidRPr="00F8382E">
        <w:rPr>
          <w:rFonts w:ascii="Times New Roman" w:hAnsi="Times New Roman"/>
          <w:i/>
          <w:iCs/>
          <w:szCs w:val="24"/>
        </w:rPr>
        <w:t>et al.</w:t>
      </w:r>
      <w:r w:rsidRPr="00EA7713">
        <w:rPr>
          <w:rFonts w:ascii="Times New Roman" w:hAnsi="Times New Roman"/>
          <w:szCs w:val="24"/>
        </w:rPr>
        <w:t xml:space="preserve">, 2004). They have also been found to have psychological morbidities like depression and anxiety (Clyburn, </w:t>
      </w:r>
      <w:r w:rsidRPr="00F8382E">
        <w:rPr>
          <w:rFonts w:ascii="Times New Roman" w:hAnsi="Times New Roman"/>
          <w:i/>
          <w:iCs/>
          <w:szCs w:val="24"/>
        </w:rPr>
        <w:t>et al.</w:t>
      </w:r>
      <w:r w:rsidRPr="00EA7713">
        <w:rPr>
          <w:rFonts w:ascii="Times New Roman" w:hAnsi="Times New Roman"/>
          <w:szCs w:val="24"/>
        </w:rPr>
        <w:t xml:space="preserve">, 2000; Bell, Araki and Neumann, 2001; Abreu </w:t>
      </w:r>
      <w:r w:rsidRPr="00F8382E">
        <w:rPr>
          <w:rFonts w:ascii="Times New Roman" w:hAnsi="Times New Roman"/>
          <w:i/>
          <w:iCs/>
          <w:szCs w:val="24"/>
        </w:rPr>
        <w:t>et al.</w:t>
      </w:r>
      <w:r w:rsidRPr="00EA7713">
        <w:rPr>
          <w:rFonts w:ascii="Times New Roman" w:hAnsi="Times New Roman"/>
          <w:szCs w:val="24"/>
        </w:rPr>
        <w:t xml:space="preserve">, 2017) which tend to persist even after their loved ones are taken into formal care or dies (Van der Lee </w:t>
      </w:r>
      <w:r w:rsidRPr="00F8382E">
        <w:rPr>
          <w:rFonts w:ascii="Times New Roman" w:hAnsi="Times New Roman"/>
          <w:i/>
          <w:iCs/>
          <w:szCs w:val="24"/>
        </w:rPr>
        <w:t>et al.</w:t>
      </w:r>
      <w:r w:rsidRPr="00EA7713">
        <w:rPr>
          <w:rFonts w:ascii="Times New Roman" w:hAnsi="Times New Roman"/>
          <w:szCs w:val="24"/>
        </w:rPr>
        <w:t>, 2017; Corey and McCurry, 2018).</w:t>
      </w:r>
    </w:p>
    <w:p w14:paraId="0A2A2D46"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These adverse health and psychological impact of dementia caregiving on caregivers raises questions about how best to deal with the situation because </w:t>
      </w:r>
      <w:r>
        <w:rPr>
          <w:rFonts w:ascii="Times New Roman" w:hAnsi="Times New Roman"/>
          <w:szCs w:val="24"/>
        </w:rPr>
        <w:t>family carers</w:t>
      </w:r>
      <w:r w:rsidRPr="00EA7713">
        <w:rPr>
          <w:rFonts w:ascii="Times New Roman" w:hAnsi="Times New Roman"/>
          <w:szCs w:val="24"/>
        </w:rPr>
        <w:t xml:space="preserve"> form a </w:t>
      </w:r>
      <w:r w:rsidRPr="00EA7713">
        <w:rPr>
          <w:rFonts w:ascii="Times New Roman" w:hAnsi="Times New Roman"/>
          <w:noProof/>
          <w:szCs w:val="24"/>
        </w:rPr>
        <w:t>considerable</w:t>
      </w:r>
      <w:r w:rsidRPr="00EA7713">
        <w:rPr>
          <w:rFonts w:ascii="Times New Roman" w:hAnsi="Times New Roman"/>
          <w:szCs w:val="24"/>
        </w:rPr>
        <w:t xml:space="preserve"> proportion of caregivers for </w:t>
      </w:r>
      <w:r w:rsidRPr="00EC30CD">
        <w:rPr>
          <w:rFonts w:ascii="Times New Roman" w:hAnsi="Times New Roman"/>
          <w:szCs w:val="24"/>
        </w:rPr>
        <w:t>PLWD</w:t>
      </w:r>
      <w:r w:rsidRPr="00EA7713">
        <w:rPr>
          <w:rFonts w:ascii="Times New Roman" w:hAnsi="Times New Roman"/>
          <w:szCs w:val="24"/>
        </w:rPr>
        <w:t xml:space="preserve"> (</w:t>
      </w:r>
      <w:r w:rsidRPr="00EA7713">
        <w:rPr>
          <w:rFonts w:ascii="Times New Roman" w:eastAsiaTheme="majorEastAsia" w:hAnsi="Times New Roman"/>
          <w:szCs w:val="24"/>
        </w:rPr>
        <w:t>Schulz</w:t>
      </w:r>
      <w:r w:rsidRPr="00EA7713">
        <w:rPr>
          <w:rFonts w:ascii="Times New Roman" w:hAnsi="Times New Roman"/>
          <w:szCs w:val="24"/>
        </w:rPr>
        <w:t xml:space="preserve"> and</w:t>
      </w:r>
      <w:r w:rsidRPr="00EA7713">
        <w:rPr>
          <w:rFonts w:ascii="Times New Roman" w:eastAsiaTheme="majorEastAsia" w:hAnsi="Times New Roman"/>
          <w:szCs w:val="24"/>
        </w:rPr>
        <w:t xml:space="preserve"> Martire</w:t>
      </w:r>
      <w:r w:rsidRPr="00EA7713">
        <w:rPr>
          <w:rFonts w:ascii="Times New Roman" w:hAnsi="Times New Roman"/>
          <w:szCs w:val="24"/>
        </w:rPr>
        <w:t xml:space="preserve">, 2004; </w:t>
      </w:r>
      <w:r w:rsidRPr="00EA7713">
        <w:rPr>
          <w:rFonts w:ascii="Times New Roman" w:hAnsi="Times New Roman"/>
          <w:color w:val="000000" w:themeColor="text1"/>
          <w:szCs w:val="24"/>
        </w:rPr>
        <w:t>Alzheimer's Society, 2014</w:t>
      </w:r>
      <w:r w:rsidRPr="00EA7713">
        <w:rPr>
          <w:rFonts w:ascii="Times New Roman" w:hAnsi="Times New Roman"/>
          <w:szCs w:val="24"/>
        </w:rPr>
        <w:t xml:space="preserve">). </w:t>
      </w:r>
      <w:r w:rsidRPr="00EA7713">
        <w:rPr>
          <w:rFonts w:ascii="Times New Roman" w:hAnsi="Times New Roman"/>
          <w:noProof/>
          <w:szCs w:val="24"/>
        </w:rPr>
        <w:t xml:space="preserve">With the increasing prevalence of dementia worldwide, </w:t>
      </w:r>
      <w:r>
        <w:rPr>
          <w:rFonts w:ascii="Times New Roman" w:hAnsi="Times New Roman"/>
          <w:noProof/>
          <w:szCs w:val="24"/>
        </w:rPr>
        <w:t>family carers</w:t>
      </w:r>
      <w:r w:rsidRPr="00EA7713">
        <w:rPr>
          <w:rFonts w:ascii="Times New Roman" w:hAnsi="Times New Roman"/>
          <w:noProof/>
          <w:szCs w:val="24"/>
        </w:rPr>
        <w:t xml:space="preserve"> are predicted to increase in number because of the expected rise in health care costs and an overstretched formal healthcare system (Macdonald and Cooper, 2007; Wimo </w:t>
      </w:r>
      <w:r w:rsidRPr="00F8382E">
        <w:rPr>
          <w:rFonts w:ascii="Times New Roman" w:hAnsi="Times New Roman"/>
          <w:i/>
          <w:iCs/>
          <w:noProof/>
          <w:szCs w:val="24"/>
        </w:rPr>
        <w:t>et al.</w:t>
      </w:r>
      <w:r w:rsidRPr="00EA7713">
        <w:rPr>
          <w:rFonts w:ascii="Times New Roman" w:hAnsi="Times New Roman"/>
          <w:noProof/>
          <w:szCs w:val="24"/>
        </w:rPr>
        <w:t>, 2013)</w:t>
      </w:r>
      <w:r>
        <w:rPr>
          <w:rFonts w:ascii="Times New Roman" w:hAnsi="Times New Roman"/>
          <w:noProof/>
          <w:szCs w:val="24"/>
        </w:rPr>
        <w:t>.</w:t>
      </w:r>
      <w:r w:rsidRPr="00EA7713">
        <w:rPr>
          <w:rFonts w:ascii="Times New Roman" w:hAnsi="Times New Roman"/>
          <w:noProof/>
          <w:szCs w:val="24"/>
        </w:rPr>
        <w:t xml:space="preserve"> </w:t>
      </w:r>
      <w:r>
        <w:rPr>
          <w:rFonts w:ascii="Times New Roman" w:hAnsi="Times New Roman"/>
          <w:noProof/>
          <w:szCs w:val="24"/>
        </w:rPr>
        <w:t>T</w:t>
      </w:r>
      <w:r w:rsidRPr="00EA7713">
        <w:rPr>
          <w:rFonts w:ascii="Times New Roman" w:hAnsi="Times New Roman"/>
          <w:noProof/>
          <w:szCs w:val="24"/>
        </w:rPr>
        <w:t>his might account for the reason family carers have received more attention in the literature than  care workers.</w:t>
      </w:r>
      <w:r w:rsidRPr="00EA7713">
        <w:rPr>
          <w:rFonts w:ascii="Times New Roman" w:hAnsi="Times New Roman"/>
          <w:szCs w:val="24"/>
        </w:rPr>
        <w:t xml:space="preserve"> Moreover, </w:t>
      </w:r>
      <w:r w:rsidRPr="00EA7713">
        <w:rPr>
          <w:rFonts w:ascii="Times New Roman" w:hAnsi="Times New Roman"/>
          <w:noProof/>
          <w:szCs w:val="24"/>
        </w:rPr>
        <w:t>another reason</w:t>
      </w:r>
      <w:r w:rsidRPr="00EA7713">
        <w:rPr>
          <w:rFonts w:ascii="Times New Roman" w:hAnsi="Times New Roman"/>
          <w:szCs w:val="24"/>
        </w:rPr>
        <w:t xml:space="preserve"> that care </w:t>
      </w:r>
      <w:r w:rsidRPr="00EA7713">
        <w:rPr>
          <w:rFonts w:ascii="Times New Roman" w:hAnsi="Times New Roman"/>
          <w:szCs w:val="24"/>
        </w:rPr>
        <w:lastRenderedPageBreak/>
        <w:t xml:space="preserve">workers may have received less attention compared to </w:t>
      </w:r>
      <w:r>
        <w:rPr>
          <w:rFonts w:ascii="Times New Roman" w:hAnsi="Times New Roman"/>
          <w:szCs w:val="24"/>
        </w:rPr>
        <w:t>family carers</w:t>
      </w:r>
      <w:r w:rsidRPr="00EA7713">
        <w:rPr>
          <w:rFonts w:ascii="Times New Roman" w:hAnsi="Times New Roman"/>
          <w:szCs w:val="24"/>
        </w:rPr>
        <w:t xml:space="preserve"> might be because they are paid to undertake the role, whereas most </w:t>
      </w:r>
      <w:r>
        <w:rPr>
          <w:rFonts w:ascii="Times New Roman" w:hAnsi="Times New Roman"/>
          <w:szCs w:val="24"/>
        </w:rPr>
        <w:t>family carers</w:t>
      </w:r>
      <w:r w:rsidRPr="00EA7713">
        <w:rPr>
          <w:rFonts w:ascii="Times New Roman" w:hAnsi="Times New Roman"/>
          <w:szCs w:val="24"/>
        </w:rPr>
        <w:t xml:space="preserve"> do so voluntarily. However, considering that one-third of </w:t>
      </w:r>
      <w:r w:rsidRPr="00EC30CD">
        <w:rPr>
          <w:rFonts w:ascii="Times New Roman" w:hAnsi="Times New Roman"/>
          <w:szCs w:val="24"/>
        </w:rPr>
        <w:t>PLWD</w:t>
      </w:r>
      <w:r w:rsidRPr="00EA7713">
        <w:rPr>
          <w:rFonts w:ascii="Times New Roman" w:hAnsi="Times New Roman"/>
          <w:szCs w:val="24"/>
        </w:rPr>
        <w:t xml:space="preserve"> live in care homes in the UK (Alzheimer's Association, 2013) and around 70% of care home residents in the UK have dementia or significant memory problems (Alzheimer's Society, 2014), care workers play a vital role in the care of </w:t>
      </w:r>
      <w:r w:rsidRPr="00EC30CD">
        <w:rPr>
          <w:rFonts w:ascii="Times New Roman" w:hAnsi="Times New Roman"/>
          <w:szCs w:val="24"/>
        </w:rPr>
        <w:t>PLWD</w:t>
      </w:r>
      <w:r w:rsidRPr="00EA7713">
        <w:rPr>
          <w:rFonts w:ascii="Times New Roman" w:hAnsi="Times New Roman"/>
          <w:szCs w:val="24"/>
        </w:rPr>
        <w:t xml:space="preserve">. Most importantly, care workers often provide care at a time when the condition has </w:t>
      </w:r>
      <w:r w:rsidRPr="00EA7713">
        <w:rPr>
          <w:rFonts w:ascii="Times New Roman" w:hAnsi="Times New Roman"/>
          <w:noProof/>
          <w:szCs w:val="24"/>
        </w:rPr>
        <w:t>deteriorated</w:t>
      </w:r>
      <w:r w:rsidRPr="00EA7713">
        <w:rPr>
          <w:rFonts w:ascii="Times New Roman" w:hAnsi="Times New Roman"/>
          <w:szCs w:val="24"/>
        </w:rPr>
        <w:t xml:space="preserve"> considerably, </w:t>
      </w:r>
      <w:r w:rsidRPr="00EA7713">
        <w:rPr>
          <w:rFonts w:ascii="Times New Roman" w:hAnsi="Times New Roman"/>
          <w:noProof/>
          <w:szCs w:val="24"/>
        </w:rPr>
        <w:t>and when</w:t>
      </w:r>
      <w:r w:rsidRPr="00EA7713">
        <w:rPr>
          <w:rFonts w:ascii="Times New Roman" w:hAnsi="Times New Roman"/>
          <w:szCs w:val="24"/>
        </w:rPr>
        <w:t xml:space="preserve"> informal </w:t>
      </w:r>
      <w:r>
        <w:rPr>
          <w:rFonts w:ascii="Times New Roman" w:hAnsi="Times New Roman"/>
          <w:szCs w:val="24"/>
        </w:rPr>
        <w:t>carers</w:t>
      </w:r>
      <w:r w:rsidRPr="00EA7713">
        <w:rPr>
          <w:rFonts w:ascii="Times New Roman" w:hAnsi="Times New Roman"/>
          <w:szCs w:val="24"/>
        </w:rPr>
        <w:t xml:space="preserve"> are no longer able to cope with the demands of providing care to their relatives or friend with dementia (Seitz, Purandare and Conn, 2010; Helvik </w:t>
      </w:r>
      <w:r w:rsidRPr="00F8382E">
        <w:rPr>
          <w:rFonts w:ascii="Times New Roman" w:hAnsi="Times New Roman"/>
          <w:i/>
          <w:iCs/>
          <w:szCs w:val="24"/>
        </w:rPr>
        <w:t>et al.</w:t>
      </w:r>
      <w:r w:rsidRPr="00EA7713">
        <w:rPr>
          <w:rFonts w:ascii="Times New Roman" w:hAnsi="Times New Roman"/>
          <w:szCs w:val="24"/>
        </w:rPr>
        <w:t>, 2015). As a result, care</w:t>
      </w:r>
      <w:r>
        <w:rPr>
          <w:rFonts w:ascii="Times New Roman" w:hAnsi="Times New Roman"/>
          <w:szCs w:val="24"/>
        </w:rPr>
        <w:t xml:space="preserve"> </w:t>
      </w:r>
      <w:r w:rsidRPr="00EA7713">
        <w:rPr>
          <w:rFonts w:ascii="Times New Roman" w:hAnsi="Times New Roman"/>
          <w:szCs w:val="24"/>
        </w:rPr>
        <w:t>workers do face an adverse caregiving burden as the condition deteriorates for their care recipients</w:t>
      </w:r>
      <w:r>
        <w:rPr>
          <w:rFonts w:ascii="Times New Roman" w:hAnsi="Times New Roman"/>
          <w:szCs w:val="24"/>
        </w:rPr>
        <w:t>,</w:t>
      </w:r>
      <w:r w:rsidRPr="00EA7713">
        <w:rPr>
          <w:rFonts w:ascii="Times New Roman" w:hAnsi="Times New Roman"/>
          <w:szCs w:val="24"/>
        </w:rPr>
        <w:t xml:space="preserve"> and they continue to provide care from when the care recipient </w:t>
      </w:r>
      <w:r w:rsidRPr="00EA7713">
        <w:rPr>
          <w:rFonts w:ascii="Times New Roman" w:hAnsi="Times New Roman"/>
          <w:noProof/>
          <w:szCs w:val="24"/>
        </w:rPr>
        <w:t>is placed</w:t>
      </w:r>
      <w:r w:rsidRPr="00EA7713">
        <w:rPr>
          <w:rFonts w:ascii="Times New Roman" w:hAnsi="Times New Roman"/>
          <w:szCs w:val="24"/>
        </w:rPr>
        <w:t xml:space="preserve"> in the institution, until they eventually die (or in some cases, are transferred to another institution) (Knopman </w:t>
      </w:r>
      <w:r w:rsidRPr="00F8382E">
        <w:rPr>
          <w:rFonts w:ascii="Times New Roman" w:hAnsi="Times New Roman"/>
          <w:i/>
          <w:iCs/>
          <w:szCs w:val="24"/>
        </w:rPr>
        <w:t>et al.</w:t>
      </w:r>
      <w:r w:rsidRPr="00EA7713">
        <w:rPr>
          <w:rFonts w:ascii="Times New Roman" w:hAnsi="Times New Roman"/>
          <w:szCs w:val="24"/>
        </w:rPr>
        <w:t>, 1999).</w:t>
      </w:r>
    </w:p>
    <w:p w14:paraId="0F179A05"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Research also suggests that it is often at the later stages of dementia and as the condition deteriorates that an informal caregiver may contemplate giving up their caregiving role and make the critical decision to take the person living with dementia into institutional care (Knopman </w:t>
      </w:r>
      <w:r w:rsidRPr="00F8382E">
        <w:rPr>
          <w:rFonts w:ascii="Times New Roman" w:hAnsi="Times New Roman"/>
          <w:i/>
          <w:iCs/>
          <w:szCs w:val="24"/>
        </w:rPr>
        <w:t>et al.</w:t>
      </w:r>
      <w:r w:rsidRPr="00EA7713">
        <w:rPr>
          <w:rFonts w:ascii="Times New Roman" w:hAnsi="Times New Roman"/>
          <w:szCs w:val="24"/>
        </w:rPr>
        <w:t xml:space="preserve">, 1999; Helvik </w:t>
      </w:r>
      <w:r w:rsidRPr="00F8382E">
        <w:rPr>
          <w:rFonts w:ascii="Times New Roman" w:hAnsi="Times New Roman"/>
          <w:i/>
          <w:iCs/>
          <w:szCs w:val="24"/>
        </w:rPr>
        <w:t>et al.</w:t>
      </w:r>
      <w:r w:rsidRPr="00EA7713">
        <w:rPr>
          <w:rFonts w:ascii="Times New Roman" w:hAnsi="Times New Roman"/>
          <w:szCs w:val="24"/>
        </w:rPr>
        <w:t xml:space="preserve">, 2015). It has been hinted that some family carers may also have to contend with 'caregiver’s guilt’, at this time (Knopman </w:t>
      </w:r>
      <w:r w:rsidRPr="00F8382E">
        <w:rPr>
          <w:rFonts w:ascii="Times New Roman" w:hAnsi="Times New Roman"/>
          <w:i/>
          <w:iCs/>
          <w:szCs w:val="24"/>
        </w:rPr>
        <w:t>et al.</w:t>
      </w:r>
      <w:r w:rsidRPr="00EA7713">
        <w:rPr>
          <w:rFonts w:ascii="Times New Roman" w:hAnsi="Times New Roman"/>
          <w:szCs w:val="24"/>
        </w:rPr>
        <w:t xml:space="preserve">, 1999; Helvik </w:t>
      </w:r>
      <w:r w:rsidRPr="00F8382E">
        <w:rPr>
          <w:rFonts w:ascii="Times New Roman" w:hAnsi="Times New Roman"/>
          <w:i/>
          <w:iCs/>
          <w:szCs w:val="24"/>
        </w:rPr>
        <w:t>et al.</w:t>
      </w:r>
      <w:r w:rsidRPr="00EA7713">
        <w:rPr>
          <w:rFonts w:ascii="Times New Roman" w:hAnsi="Times New Roman"/>
          <w:szCs w:val="24"/>
        </w:rPr>
        <w:t xml:space="preserve">, 2015). While taking a loved one living with dementia to live in a care home reduces the direct care obligations on </w:t>
      </w:r>
      <w:r>
        <w:rPr>
          <w:rFonts w:ascii="Times New Roman" w:hAnsi="Times New Roman"/>
          <w:szCs w:val="24"/>
        </w:rPr>
        <w:t>family carers</w:t>
      </w:r>
      <w:r w:rsidRPr="00EA7713">
        <w:rPr>
          <w:rFonts w:ascii="Times New Roman" w:hAnsi="Times New Roman"/>
          <w:szCs w:val="24"/>
        </w:rPr>
        <w:t xml:space="preserve">, it does not necessarily reduce ‘caregiver distress’, as this </w:t>
      </w:r>
      <w:r w:rsidRPr="00EA7713">
        <w:rPr>
          <w:rFonts w:ascii="Times New Roman" w:hAnsi="Times New Roman"/>
          <w:noProof/>
          <w:szCs w:val="24"/>
        </w:rPr>
        <w:t>is often transferred</w:t>
      </w:r>
      <w:r w:rsidRPr="00EA7713">
        <w:rPr>
          <w:rFonts w:ascii="Times New Roman" w:hAnsi="Times New Roman"/>
          <w:szCs w:val="24"/>
        </w:rPr>
        <w:t xml:space="preserve"> to the care workers (Lee-Treweek, 1996; Kim, Young and Berry, 2017).</w:t>
      </w:r>
    </w:p>
    <w:p w14:paraId="177C5F27" w14:textId="77777777" w:rsidR="00592FF6" w:rsidRPr="00EA7713" w:rsidRDefault="00592FF6" w:rsidP="006869A3">
      <w:pPr>
        <w:pStyle w:val="Heading2"/>
      </w:pPr>
      <w:bookmarkStart w:id="27" w:name="_Toc86417226"/>
      <w:r w:rsidRPr="00EA7713">
        <w:t xml:space="preserve">1.6. </w:t>
      </w:r>
      <w:r w:rsidRPr="00EA7713">
        <w:rPr>
          <w:noProof/>
        </w:rPr>
        <w:t>The rationale</w:t>
      </w:r>
      <w:r w:rsidRPr="00EA7713">
        <w:t xml:space="preserve"> for undertaking th</w:t>
      </w:r>
      <w:r>
        <w:t>is</w:t>
      </w:r>
      <w:r w:rsidRPr="00EA7713">
        <w:t xml:space="preserve"> research: why study caregiving among paid Nigerian migrant </w:t>
      </w:r>
      <w:bookmarkStart w:id="28" w:name="_Hlk53189333"/>
      <w:r w:rsidRPr="00EA7713">
        <w:t>nurses and health care assistants</w:t>
      </w:r>
      <w:bookmarkEnd w:id="28"/>
      <w:r w:rsidRPr="00EA7713">
        <w:t>?</w:t>
      </w:r>
      <w:bookmarkEnd w:id="27"/>
    </w:p>
    <w:p w14:paraId="195B0A86"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As mentioned above, I was initially inspired to conduct this study due to my own experiences. However, there were also a number of academic  reasons, which includes; (i) the paucity of literature on the experiences of migrant care workers in general and Nigerian migrant care workers in particular, (ii) the increasing number of  migrant care workers in the health and social care sector in the UK, (iii) the demographic trends indicating that the older population care needs will potentially increase (vi) the changes </w:t>
      </w:r>
      <w:r w:rsidRPr="00EA7713">
        <w:rPr>
          <w:rFonts w:ascii="Times New Roman" w:hAnsi="Times New Roman"/>
          <w:szCs w:val="24"/>
        </w:rPr>
        <w:lastRenderedPageBreak/>
        <w:t xml:space="preserve">in family structures </w:t>
      </w:r>
      <w:r>
        <w:rPr>
          <w:rFonts w:ascii="Times New Roman" w:hAnsi="Times New Roman"/>
          <w:szCs w:val="24"/>
        </w:rPr>
        <w:t xml:space="preserve">which </w:t>
      </w:r>
      <w:r w:rsidRPr="00EA7713">
        <w:rPr>
          <w:rFonts w:ascii="Times New Roman" w:hAnsi="Times New Roman"/>
          <w:szCs w:val="24"/>
        </w:rPr>
        <w:t xml:space="preserve">mean that many older </w:t>
      </w:r>
      <w:r>
        <w:rPr>
          <w:rFonts w:ascii="Times New Roman" w:hAnsi="Times New Roman"/>
          <w:szCs w:val="24"/>
        </w:rPr>
        <w:t>P</w:t>
      </w:r>
      <w:r w:rsidRPr="00EA7713">
        <w:rPr>
          <w:rFonts w:ascii="Times New Roman" w:hAnsi="Times New Roman"/>
          <w:szCs w:val="24"/>
        </w:rPr>
        <w:t>LWD will be unable to depend on the family to meet their care needs.</w:t>
      </w:r>
    </w:p>
    <w:p w14:paraId="54AF88BA" w14:textId="77777777" w:rsidR="00592FF6" w:rsidRPr="00325BBB" w:rsidRDefault="00592FF6" w:rsidP="00592FF6">
      <w:pPr>
        <w:jc w:val="both"/>
        <w:rPr>
          <w:rFonts w:ascii="Times New Roman" w:hAnsi="Times New Roman"/>
          <w:szCs w:val="24"/>
        </w:rPr>
      </w:pPr>
      <w:r w:rsidRPr="00EA7713">
        <w:rPr>
          <w:rFonts w:ascii="Times New Roman" w:hAnsi="Times New Roman"/>
          <w:noProof/>
          <w:szCs w:val="24"/>
        </w:rPr>
        <w:t>Although there have been a few studies on</w:t>
      </w:r>
      <w:r w:rsidRPr="00EA7713">
        <w:rPr>
          <w:rFonts w:ascii="Times New Roman" w:hAnsi="Times New Roman"/>
          <w:szCs w:val="24"/>
        </w:rPr>
        <w:t xml:space="preserve"> migrant care workers (</w:t>
      </w:r>
      <w:r w:rsidRPr="00EA7713">
        <w:rPr>
          <w:rFonts w:ascii="Times New Roman" w:hAnsi="Times New Roman"/>
          <w:color w:val="2A2A2A"/>
          <w:szCs w:val="24"/>
        </w:rPr>
        <w:t>Aboderin, 2007; McGregor 2007; Dyer, McDowell and Batnitzky, 2008; Hussein, Stevens and Manthorpe, 2011</w:t>
      </w:r>
      <w:r w:rsidRPr="00EA7713">
        <w:rPr>
          <w:rFonts w:ascii="Times New Roman" w:hAnsi="Times New Roman"/>
          <w:szCs w:val="24"/>
        </w:rPr>
        <w:t>), this is the first study in the UK to specifically examine the lived experience of paid Nigerian migrant nurses and health care assistants working in the NHS. My study also examines the impact of cultural beliefs and understanding of dementia and the influences of these dynamics on everyday care for people with dementia.</w:t>
      </w:r>
    </w:p>
    <w:p w14:paraId="6D1D1D70" w14:textId="553E5B80" w:rsidR="00592FF6" w:rsidRPr="00EA7713" w:rsidRDefault="00592FF6" w:rsidP="006869A3">
      <w:pPr>
        <w:pStyle w:val="Heading2"/>
      </w:pPr>
      <w:bookmarkStart w:id="29" w:name="_Toc86417227"/>
      <w:r w:rsidRPr="00EA7713">
        <w:t>1.</w:t>
      </w:r>
      <w:r w:rsidR="005568C1">
        <w:t>7</w:t>
      </w:r>
      <w:r w:rsidRPr="00EA7713">
        <w:t>. Research question</w:t>
      </w:r>
      <w:bookmarkEnd w:id="29"/>
    </w:p>
    <w:p w14:paraId="10FF31AD"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What are the lived experiences of paid Nigerian migrant nurses and HCAs of PLWD in the UK?</w:t>
      </w:r>
    </w:p>
    <w:p w14:paraId="29216130" w14:textId="1510DF43" w:rsidR="00592FF6" w:rsidRPr="00EA7713" w:rsidRDefault="00592FF6" w:rsidP="006869A3">
      <w:pPr>
        <w:pStyle w:val="Heading2"/>
      </w:pPr>
      <w:bookmarkStart w:id="30" w:name="_Toc86417228"/>
      <w:r w:rsidRPr="00EA7713">
        <w:t>1.</w:t>
      </w:r>
      <w:r w:rsidR="005568C1">
        <w:t>8</w:t>
      </w:r>
      <w:r w:rsidRPr="00EA7713">
        <w:t>. Research aim</w:t>
      </w:r>
      <w:bookmarkEnd w:id="30"/>
    </w:p>
    <w:p w14:paraId="009A2FC7"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The main aim of this study is to explore</w:t>
      </w:r>
      <w:r w:rsidRPr="00EA7713">
        <w:rPr>
          <w:rFonts w:ascii="Times New Roman" w:hAnsi="Times New Roman"/>
          <w:szCs w:val="24"/>
        </w:rPr>
        <w:t xml:space="preserve"> and gain an increased understanding of the lived experiences of paid Nigerian migrant nurses and HCAs of PLWD in the UK.</w:t>
      </w:r>
    </w:p>
    <w:p w14:paraId="3627A7C1" w14:textId="319B6C65" w:rsidR="00592FF6" w:rsidRPr="00EA7713" w:rsidRDefault="00592FF6" w:rsidP="006869A3">
      <w:pPr>
        <w:pStyle w:val="Heading2"/>
      </w:pPr>
      <w:bookmarkStart w:id="31" w:name="_Toc86417229"/>
      <w:r w:rsidRPr="00EA7713">
        <w:t>1.</w:t>
      </w:r>
      <w:r w:rsidR="005568C1">
        <w:t>9</w:t>
      </w:r>
      <w:r w:rsidRPr="00EA7713">
        <w:t>. Research objectives</w:t>
      </w:r>
      <w:bookmarkEnd w:id="31"/>
    </w:p>
    <w:p w14:paraId="2A5B7560" w14:textId="77777777" w:rsidR="00592FF6" w:rsidRPr="00EA7713" w:rsidRDefault="00592FF6" w:rsidP="00592FF6">
      <w:pPr>
        <w:jc w:val="both"/>
        <w:rPr>
          <w:rFonts w:ascii="Times New Roman" w:hAnsi="Times New Roman"/>
          <w:szCs w:val="24"/>
        </w:rPr>
      </w:pPr>
      <w:r w:rsidRPr="00EA7713">
        <w:rPr>
          <w:rFonts w:ascii="Times New Roman" w:hAnsi="Times New Roman"/>
          <w:noProof/>
          <w:szCs w:val="24"/>
        </w:rPr>
        <w:t>To achieve the aim of the study, and answer the research question</w:t>
      </w:r>
      <w:r w:rsidRPr="00EA7713">
        <w:rPr>
          <w:rFonts w:ascii="Times New Roman" w:hAnsi="Times New Roman"/>
          <w:szCs w:val="24"/>
        </w:rPr>
        <w:t xml:space="preserve">, the research objectives include to: </w:t>
      </w:r>
    </w:p>
    <w:p w14:paraId="11B2B626" w14:textId="77777777" w:rsidR="00592FF6" w:rsidRPr="00EA7713" w:rsidRDefault="00592FF6" w:rsidP="00592FF6">
      <w:pPr>
        <w:numPr>
          <w:ilvl w:val="0"/>
          <w:numId w:val="8"/>
        </w:numPr>
        <w:spacing w:after="200" w:line="480" w:lineRule="auto"/>
        <w:contextualSpacing/>
        <w:jc w:val="both"/>
        <w:rPr>
          <w:rFonts w:ascii="Times New Roman" w:hAnsi="Times New Roman"/>
          <w:szCs w:val="24"/>
          <w:lang w:eastAsia="en-US"/>
        </w:rPr>
      </w:pPr>
      <w:r w:rsidRPr="00EA7713">
        <w:rPr>
          <w:rFonts w:ascii="Times New Roman" w:hAnsi="Times New Roman"/>
          <w:bCs/>
          <w:szCs w:val="24"/>
          <w:lang w:eastAsia="en-US"/>
        </w:rPr>
        <w:t>examine what motivates Nigerian migrant nurses and HCA to assume and remain in their role of caring for PLWD</w:t>
      </w:r>
      <w:r>
        <w:rPr>
          <w:rFonts w:ascii="Times New Roman" w:hAnsi="Times New Roman"/>
          <w:bCs/>
          <w:szCs w:val="24"/>
          <w:lang w:eastAsia="en-US"/>
        </w:rPr>
        <w:t>.</w:t>
      </w:r>
    </w:p>
    <w:p w14:paraId="10029438" w14:textId="77777777" w:rsidR="00592FF6" w:rsidRPr="00EA7713" w:rsidRDefault="00592FF6" w:rsidP="00592FF6">
      <w:pPr>
        <w:numPr>
          <w:ilvl w:val="0"/>
          <w:numId w:val="8"/>
        </w:numPr>
        <w:spacing w:after="200" w:line="480" w:lineRule="auto"/>
        <w:contextualSpacing/>
        <w:jc w:val="both"/>
        <w:rPr>
          <w:rFonts w:ascii="Times New Roman" w:hAnsi="Times New Roman"/>
          <w:sz w:val="22"/>
          <w:szCs w:val="24"/>
          <w:lang w:eastAsia="en-US"/>
        </w:rPr>
      </w:pPr>
      <w:r w:rsidRPr="00EA7713">
        <w:rPr>
          <w:rFonts w:ascii="Times New Roman" w:hAnsi="Times New Roman"/>
          <w:szCs w:val="24"/>
          <w:lang w:eastAsia="en-US"/>
        </w:rPr>
        <w:t>understand how Nigerian migrant HCAs and nurses coped with the challenges associated with caring for PLWD and the coping strategies they employed</w:t>
      </w:r>
      <w:r>
        <w:rPr>
          <w:rFonts w:ascii="Times New Roman" w:hAnsi="Times New Roman"/>
          <w:szCs w:val="24"/>
          <w:lang w:eastAsia="en-US"/>
        </w:rPr>
        <w:t>.</w:t>
      </w:r>
    </w:p>
    <w:p w14:paraId="4DFCD59A" w14:textId="77777777" w:rsidR="00592FF6" w:rsidRPr="00EA7713" w:rsidRDefault="00592FF6" w:rsidP="00592FF6">
      <w:pPr>
        <w:numPr>
          <w:ilvl w:val="0"/>
          <w:numId w:val="8"/>
        </w:numPr>
        <w:spacing w:after="200" w:line="480" w:lineRule="auto"/>
        <w:contextualSpacing/>
        <w:jc w:val="both"/>
        <w:rPr>
          <w:rFonts w:ascii="Times New Roman" w:hAnsi="Times New Roman"/>
          <w:bCs/>
          <w:szCs w:val="24"/>
          <w:lang w:eastAsia="en-US"/>
        </w:rPr>
      </w:pPr>
      <w:r w:rsidRPr="00EA7713">
        <w:rPr>
          <w:rFonts w:ascii="Times New Roman" w:hAnsi="Times New Roman"/>
          <w:bCs/>
          <w:sz w:val="22"/>
          <w:szCs w:val="24"/>
          <w:lang w:eastAsia="en-US"/>
        </w:rPr>
        <w:t>identify what common cultural beliefs about dementia are held by Nigerian migrant HCAs and nurses and examine how the identified cultural beliefs/values influence their care for PLWD</w:t>
      </w:r>
      <w:r>
        <w:rPr>
          <w:rFonts w:ascii="Times New Roman" w:hAnsi="Times New Roman"/>
          <w:bCs/>
          <w:sz w:val="22"/>
          <w:szCs w:val="24"/>
          <w:lang w:eastAsia="en-US"/>
        </w:rPr>
        <w:t>.</w:t>
      </w:r>
    </w:p>
    <w:p w14:paraId="779B43B1" w14:textId="77777777" w:rsidR="00592FF6" w:rsidRPr="00EA7713" w:rsidRDefault="00592FF6" w:rsidP="00592FF6">
      <w:pPr>
        <w:numPr>
          <w:ilvl w:val="0"/>
          <w:numId w:val="8"/>
        </w:numPr>
        <w:spacing w:before="240" w:after="200" w:line="480" w:lineRule="auto"/>
        <w:contextualSpacing/>
        <w:jc w:val="both"/>
        <w:rPr>
          <w:rFonts w:ascii="Times New Roman" w:hAnsi="Times New Roman"/>
          <w:szCs w:val="24"/>
          <w:lang w:eastAsia="en-US"/>
        </w:rPr>
      </w:pPr>
      <w:r w:rsidRPr="00EA7713">
        <w:rPr>
          <w:rFonts w:ascii="Times New Roman" w:hAnsi="Times New Roman"/>
          <w:szCs w:val="24"/>
          <w:lang w:eastAsia="en-US"/>
        </w:rPr>
        <w:lastRenderedPageBreak/>
        <w:t>explore how the participants’ cultural beliefs and values shape their overall experience</w:t>
      </w:r>
      <w:r>
        <w:rPr>
          <w:rFonts w:ascii="Times New Roman" w:hAnsi="Times New Roman"/>
          <w:szCs w:val="24"/>
          <w:lang w:eastAsia="en-US"/>
        </w:rPr>
        <w:t xml:space="preserve"> </w:t>
      </w:r>
      <w:r w:rsidRPr="00EA7713">
        <w:rPr>
          <w:rFonts w:ascii="Times New Roman" w:hAnsi="Times New Roman"/>
          <w:szCs w:val="24"/>
          <w:lang w:eastAsia="en-US"/>
        </w:rPr>
        <w:t>of dementia caregiving.</w:t>
      </w:r>
    </w:p>
    <w:p w14:paraId="1A80D9D6" w14:textId="528D9B3C" w:rsidR="00592FF6" w:rsidRPr="00EA7713" w:rsidRDefault="00592FF6" w:rsidP="006869A3">
      <w:pPr>
        <w:pStyle w:val="Heading2"/>
      </w:pPr>
      <w:bookmarkStart w:id="32" w:name="_Toc86417230"/>
      <w:r w:rsidRPr="00EA7713">
        <w:t>1.</w:t>
      </w:r>
      <w:r w:rsidR="005568C1">
        <w:t>10</w:t>
      </w:r>
      <w:r w:rsidRPr="00EA7713">
        <w:t>. Thesis Structure</w:t>
      </w:r>
      <w:bookmarkEnd w:id="32"/>
    </w:p>
    <w:p w14:paraId="5C319605"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The thesis </w:t>
      </w:r>
      <w:r w:rsidRPr="00EA7713">
        <w:rPr>
          <w:rFonts w:ascii="Times New Roman" w:hAnsi="Times New Roman"/>
          <w:noProof/>
          <w:szCs w:val="24"/>
        </w:rPr>
        <w:t>is structured</w:t>
      </w:r>
      <w:r w:rsidRPr="00EA7713">
        <w:rPr>
          <w:rFonts w:ascii="Times New Roman" w:hAnsi="Times New Roman"/>
          <w:szCs w:val="24"/>
        </w:rPr>
        <w:t xml:space="preserve"> into eleven chapters (this first chapter presented the context of the research offering an introduction and background to the study). Chapters 2, 3 and 4 review the literature relevant to support this thesis.</w:t>
      </w:r>
    </w:p>
    <w:p w14:paraId="75552F41" w14:textId="77777777" w:rsidR="00592FF6" w:rsidRPr="00EA7713" w:rsidRDefault="00592FF6" w:rsidP="00592FF6">
      <w:pPr>
        <w:jc w:val="both"/>
        <w:rPr>
          <w:rFonts w:ascii="Times New Roman" w:hAnsi="Times New Roman"/>
          <w:szCs w:val="24"/>
        </w:rPr>
      </w:pPr>
      <w:r w:rsidRPr="00EA7713">
        <w:rPr>
          <w:rFonts w:ascii="Times New Roman" w:hAnsi="Times New Roman"/>
          <w:i/>
          <w:szCs w:val="24"/>
        </w:rPr>
        <w:t xml:space="preserve">Chapter 2 </w:t>
      </w:r>
      <w:r w:rsidRPr="00EA7713">
        <w:rPr>
          <w:rFonts w:ascii="Times New Roman" w:hAnsi="Times New Roman"/>
          <w:szCs w:val="24"/>
        </w:rPr>
        <w:t xml:space="preserve">examines theories of international migration and the factors that drive the employment of migrant workers in the care sector. This is followed by </w:t>
      </w:r>
      <w:r w:rsidRPr="00EA7713">
        <w:rPr>
          <w:rFonts w:ascii="Times New Roman" w:hAnsi="Times New Roman"/>
          <w:i/>
          <w:noProof/>
          <w:szCs w:val="24"/>
        </w:rPr>
        <w:t>Chapter 3,</w:t>
      </w:r>
      <w:r w:rsidRPr="00EA7713">
        <w:rPr>
          <w:rFonts w:ascii="Times New Roman" w:hAnsi="Times New Roman"/>
          <w:noProof/>
          <w:szCs w:val="24"/>
        </w:rPr>
        <w:t xml:space="preserve"> with an exploration of</w:t>
      </w:r>
      <w:r w:rsidRPr="00EA7713">
        <w:rPr>
          <w:rFonts w:ascii="Times New Roman" w:hAnsi="Times New Roman"/>
          <w:szCs w:val="24"/>
        </w:rPr>
        <w:t xml:space="preserve"> what motivates people to assume and continue in their role as care workers, with emphasis on motivation. I also looked at some of the debates in motivation theories in relation to care</w:t>
      </w:r>
      <w:r>
        <w:rPr>
          <w:rFonts w:ascii="Times New Roman" w:hAnsi="Times New Roman"/>
          <w:szCs w:val="24"/>
        </w:rPr>
        <w:t xml:space="preserve"> </w:t>
      </w:r>
      <w:r w:rsidRPr="00EA7713">
        <w:rPr>
          <w:rFonts w:ascii="Times New Roman" w:hAnsi="Times New Roman"/>
          <w:szCs w:val="24"/>
        </w:rPr>
        <w:t xml:space="preserve">work, concluding </w:t>
      </w:r>
      <w:r w:rsidRPr="00EA7713">
        <w:rPr>
          <w:rFonts w:ascii="Times New Roman" w:hAnsi="Times New Roman"/>
          <w:noProof/>
          <w:szCs w:val="24"/>
        </w:rPr>
        <w:t xml:space="preserve">with consideration of </w:t>
      </w:r>
      <w:r w:rsidRPr="00EA7713">
        <w:rPr>
          <w:rFonts w:ascii="Times New Roman" w:hAnsi="Times New Roman"/>
          <w:szCs w:val="24"/>
        </w:rPr>
        <w:t xml:space="preserve">the positive aspects or rewards of caregiving with a focus on all forms of paid care jobs. The focus of </w:t>
      </w:r>
      <w:r w:rsidRPr="00EA7713">
        <w:rPr>
          <w:rFonts w:ascii="Times New Roman" w:hAnsi="Times New Roman"/>
          <w:i/>
          <w:szCs w:val="24"/>
        </w:rPr>
        <w:t>Chapter 4</w:t>
      </w:r>
      <w:r w:rsidRPr="00EA7713">
        <w:rPr>
          <w:rFonts w:ascii="Times New Roman" w:hAnsi="Times New Roman"/>
          <w:szCs w:val="24"/>
        </w:rPr>
        <w:t xml:space="preserve"> is dementia as a condition and the concept of caring</w:t>
      </w:r>
      <w:r>
        <w:rPr>
          <w:rFonts w:ascii="Times New Roman" w:hAnsi="Times New Roman"/>
          <w:szCs w:val="24"/>
        </w:rPr>
        <w:t xml:space="preserve"> </w:t>
      </w:r>
      <w:r w:rsidRPr="00EA7713">
        <w:rPr>
          <w:rFonts w:ascii="Times New Roman" w:hAnsi="Times New Roman"/>
          <w:szCs w:val="24"/>
        </w:rPr>
        <w:t xml:space="preserve">for PLWD, with discussion of the positive aspects of caregiving and some of the different challenges that care workers face when caring for PLWD. Finally, the chapter examines the cultural/ethnic perspectives to caregiving, reviewing the literature on the differences in perception, beliefs, norms, and values among care workers of different ethnic groups. </w:t>
      </w:r>
    </w:p>
    <w:p w14:paraId="6002D0F7" w14:textId="77777777" w:rsidR="00592FF6" w:rsidRPr="00EA7713" w:rsidRDefault="00592FF6" w:rsidP="00592FF6">
      <w:pPr>
        <w:jc w:val="both"/>
        <w:rPr>
          <w:rFonts w:ascii="Times New Roman" w:hAnsi="Times New Roman"/>
          <w:szCs w:val="24"/>
        </w:rPr>
      </w:pPr>
      <w:r w:rsidRPr="00EA7713">
        <w:rPr>
          <w:rFonts w:ascii="Times New Roman" w:hAnsi="Times New Roman"/>
          <w:i/>
          <w:szCs w:val="24"/>
        </w:rPr>
        <w:t>Chapter 5</w:t>
      </w:r>
      <w:r w:rsidRPr="00EA7713">
        <w:rPr>
          <w:rFonts w:ascii="Times New Roman" w:hAnsi="Times New Roman"/>
          <w:szCs w:val="24"/>
        </w:rPr>
        <w:t xml:space="preserve"> discusses my research methodology and the philosophical assumptions which informed the basis for conducting this phenomenological study. Here, I clarify the ontological, epistemological, and methodological positions underpinning the research question ‘What are the lived experiences of paid Nigerian migrant nurses and health care assistants for people with dementia in the UK’? Also, chapter 5</w:t>
      </w:r>
      <w:r>
        <w:rPr>
          <w:rFonts w:ascii="Times New Roman" w:hAnsi="Times New Roman"/>
          <w:szCs w:val="24"/>
        </w:rPr>
        <w:t xml:space="preserve"> </w:t>
      </w:r>
      <w:r w:rsidRPr="00EA7713">
        <w:rPr>
          <w:rFonts w:ascii="Times New Roman" w:hAnsi="Times New Roman"/>
          <w:szCs w:val="24"/>
        </w:rPr>
        <w:t xml:space="preserve">examines phenomenology as the research methodological perspective from which interpretive phenomenology emerges, </w:t>
      </w:r>
      <w:r w:rsidRPr="00EA7713">
        <w:rPr>
          <w:rFonts w:ascii="Times New Roman" w:hAnsi="Times New Roman"/>
          <w:noProof/>
          <w:szCs w:val="24"/>
        </w:rPr>
        <w:t>and</w:t>
      </w:r>
      <w:r w:rsidRPr="00EA7713">
        <w:rPr>
          <w:rFonts w:ascii="Times New Roman" w:hAnsi="Times New Roman"/>
          <w:szCs w:val="24"/>
        </w:rPr>
        <w:t xml:space="preserve"> it examines the core phenomenological concepts that informed this study.</w:t>
      </w:r>
    </w:p>
    <w:p w14:paraId="67177369" w14:textId="77777777" w:rsidR="00592FF6" w:rsidRPr="00EA7713" w:rsidRDefault="00592FF6" w:rsidP="00592FF6">
      <w:pPr>
        <w:jc w:val="both"/>
        <w:rPr>
          <w:rFonts w:ascii="Times New Roman" w:hAnsi="Times New Roman"/>
          <w:szCs w:val="24"/>
        </w:rPr>
      </w:pPr>
      <w:r w:rsidRPr="00EA7713">
        <w:rPr>
          <w:rFonts w:ascii="Times New Roman" w:hAnsi="Times New Roman"/>
          <w:i/>
          <w:szCs w:val="24"/>
        </w:rPr>
        <w:t>Chapter 6</w:t>
      </w:r>
      <w:r w:rsidRPr="00EA7713">
        <w:rPr>
          <w:rFonts w:ascii="Times New Roman" w:hAnsi="Times New Roman"/>
          <w:szCs w:val="24"/>
        </w:rPr>
        <w:t xml:space="preserve"> presents the research methods comprising the ethical application process, participant recruitment process, the data collection methods, and the approach to data analysis. The ethics application process for the NHS through the Integrated Research Application System (IRAS) and the ethical issues anticipated as well as some of the </w:t>
      </w:r>
      <w:r w:rsidRPr="00EA7713">
        <w:rPr>
          <w:rFonts w:ascii="Times New Roman" w:hAnsi="Times New Roman"/>
          <w:szCs w:val="24"/>
        </w:rPr>
        <w:lastRenderedPageBreak/>
        <w:t>challenges encountered while undertaking the research are outlined. I explained how I gained access to the study site and how the research participants were recruited as well as my data collection and analysis. I also highlight some of the challenges encountered in the data collection stage and how they were managed. Chapter 6 concludes with an explanation of my approach to rigour during the data collection and analysis stages.</w:t>
      </w:r>
    </w:p>
    <w:p w14:paraId="09B381A1" w14:textId="77777777" w:rsidR="00592FF6" w:rsidRPr="00EA7713" w:rsidRDefault="00592FF6" w:rsidP="00592FF6">
      <w:pPr>
        <w:jc w:val="both"/>
        <w:rPr>
          <w:rFonts w:ascii="Times New Roman" w:hAnsi="Times New Roman"/>
          <w:szCs w:val="24"/>
        </w:rPr>
      </w:pPr>
      <w:r w:rsidRPr="00EA7713">
        <w:rPr>
          <w:rFonts w:ascii="Times New Roman" w:hAnsi="Times New Roman"/>
          <w:i/>
          <w:noProof/>
          <w:szCs w:val="24"/>
        </w:rPr>
        <w:t>Chapter 7</w:t>
      </w:r>
      <w:r w:rsidRPr="00EA7713">
        <w:rPr>
          <w:rFonts w:ascii="Times New Roman" w:hAnsi="Times New Roman"/>
          <w:noProof/>
          <w:szCs w:val="24"/>
        </w:rPr>
        <w:t xml:space="preserve"> is the first of four chapters to present</w:t>
      </w:r>
      <w:r w:rsidRPr="00EA7713">
        <w:rPr>
          <w:rFonts w:ascii="Times New Roman" w:hAnsi="Times New Roman"/>
          <w:szCs w:val="24"/>
        </w:rPr>
        <w:t xml:space="preserve"> the research finding of this study. It begins by exploring the background of the participants who migrated to the UK from Nigeria and discusses their motivation for migrating to the UK.</w:t>
      </w:r>
    </w:p>
    <w:p w14:paraId="4680A1FA" w14:textId="77777777" w:rsidR="00592FF6" w:rsidRPr="00EA7713" w:rsidRDefault="00592FF6" w:rsidP="00592FF6">
      <w:pPr>
        <w:jc w:val="both"/>
        <w:rPr>
          <w:rFonts w:ascii="Times New Roman" w:hAnsi="Times New Roman"/>
          <w:szCs w:val="24"/>
        </w:rPr>
      </w:pPr>
      <w:r w:rsidRPr="00EA7713">
        <w:rPr>
          <w:rFonts w:ascii="Times New Roman" w:hAnsi="Times New Roman"/>
          <w:i/>
          <w:noProof/>
          <w:szCs w:val="24"/>
        </w:rPr>
        <w:t xml:space="preserve">Chapter 8 </w:t>
      </w:r>
      <w:r w:rsidRPr="00EA7713">
        <w:rPr>
          <w:rFonts w:ascii="Times New Roman" w:hAnsi="Times New Roman"/>
          <w:szCs w:val="24"/>
        </w:rPr>
        <w:t xml:space="preserve">presents and discusses the findings on the motivation and rewards of caring for PLWD and examines the nuances in their motivation to become care workers for PLWD in the UK. </w:t>
      </w:r>
    </w:p>
    <w:p w14:paraId="4FD2DF44" w14:textId="77777777" w:rsidR="00592FF6" w:rsidRPr="00EA7713" w:rsidRDefault="00592FF6" w:rsidP="00592FF6">
      <w:pPr>
        <w:jc w:val="both"/>
        <w:rPr>
          <w:rFonts w:ascii="Times New Roman" w:hAnsi="Times New Roman"/>
          <w:szCs w:val="24"/>
        </w:rPr>
      </w:pPr>
      <w:r w:rsidRPr="00EA7713">
        <w:rPr>
          <w:rFonts w:ascii="Times New Roman" w:hAnsi="Times New Roman"/>
          <w:i/>
          <w:noProof/>
          <w:szCs w:val="24"/>
        </w:rPr>
        <w:t>Chapter 9</w:t>
      </w:r>
      <w:r w:rsidRPr="00EA7713">
        <w:rPr>
          <w:rFonts w:ascii="Times New Roman" w:hAnsi="Times New Roman"/>
          <w:noProof/>
          <w:szCs w:val="24"/>
        </w:rPr>
        <w:t xml:space="preserve"> gives an overview of the </w:t>
      </w:r>
      <w:r w:rsidRPr="00EA7713">
        <w:rPr>
          <w:rFonts w:ascii="Times New Roman" w:hAnsi="Times New Roman"/>
          <w:szCs w:val="24"/>
        </w:rPr>
        <w:t xml:space="preserve">lived experiences of paid Nigerian migrant nurses and health care assistants including motivations to become care workers, rewards, and challenges of the role, and how </w:t>
      </w:r>
      <w:r w:rsidRPr="00EA7713">
        <w:rPr>
          <w:rFonts w:ascii="Times New Roman" w:hAnsi="Times New Roman"/>
          <w:noProof/>
          <w:szCs w:val="24"/>
        </w:rPr>
        <w:t>they</w:t>
      </w:r>
      <w:r w:rsidRPr="00EA7713">
        <w:rPr>
          <w:rFonts w:ascii="Times New Roman" w:hAnsi="Times New Roman"/>
          <w:szCs w:val="24"/>
        </w:rPr>
        <w:t xml:space="preserve"> cope with the challenges identified.</w:t>
      </w:r>
    </w:p>
    <w:p w14:paraId="67CC1FAC" w14:textId="77777777" w:rsidR="00592FF6" w:rsidRPr="00EA7713" w:rsidRDefault="00592FF6" w:rsidP="00592FF6">
      <w:pPr>
        <w:jc w:val="both"/>
        <w:rPr>
          <w:rFonts w:ascii="Times New Roman" w:hAnsi="Times New Roman"/>
          <w:szCs w:val="24"/>
        </w:rPr>
      </w:pPr>
      <w:r w:rsidRPr="00EA7713">
        <w:rPr>
          <w:rFonts w:ascii="Times New Roman" w:hAnsi="Times New Roman"/>
          <w:i/>
          <w:szCs w:val="24"/>
        </w:rPr>
        <w:t>Chapter 10</w:t>
      </w:r>
      <w:r w:rsidRPr="00EA7713">
        <w:rPr>
          <w:rFonts w:ascii="Times New Roman" w:hAnsi="Times New Roman"/>
          <w:szCs w:val="24"/>
        </w:rPr>
        <w:t xml:space="preserve"> reveals some of the cultural beliefs and values held by the participants, </w:t>
      </w:r>
      <w:r w:rsidRPr="00EA7713">
        <w:rPr>
          <w:rFonts w:ascii="Times New Roman" w:hAnsi="Times New Roman"/>
          <w:noProof/>
          <w:szCs w:val="24"/>
        </w:rPr>
        <w:t>and how this influenced their caring for people with dementia</w:t>
      </w:r>
      <w:r w:rsidRPr="00EA7713">
        <w:rPr>
          <w:rFonts w:ascii="Times New Roman" w:hAnsi="Times New Roman"/>
          <w:szCs w:val="24"/>
        </w:rPr>
        <w:t>.</w:t>
      </w:r>
    </w:p>
    <w:p w14:paraId="1CE7FFE0" w14:textId="77777777" w:rsidR="00592FF6" w:rsidRPr="00EA7713" w:rsidRDefault="00592FF6" w:rsidP="00592FF6">
      <w:pPr>
        <w:jc w:val="both"/>
        <w:rPr>
          <w:rFonts w:ascii="Times New Roman" w:hAnsi="Times New Roman"/>
          <w:szCs w:val="24"/>
        </w:rPr>
      </w:pPr>
      <w:r w:rsidRPr="00EA7713">
        <w:rPr>
          <w:rFonts w:ascii="Times New Roman" w:hAnsi="Times New Roman"/>
          <w:szCs w:val="24"/>
        </w:rPr>
        <w:t xml:space="preserve">Finally, </w:t>
      </w:r>
      <w:r w:rsidRPr="00EA7713">
        <w:rPr>
          <w:rFonts w:ascii="Times New Roman" w:hAnsi="Times New Roman"/>
          <w:i/>
          <w:szCs w:val="24"/>
        </w:rPr>
        <w:t>Chapter 11</w:t>
      </w:r>
      <w:r w:rsidRPr="00EA7713">
        <w:rPr>
          <w:rFonts w:ascii="Times New Roman" w:hAnsi="Times New Roman"/>
          <w:szCs w:val="24"/>
        </w:rPr>
        <w:t xml:space="preserve"> discusses the study findings and the implications of the findings to the </w:t>
      </w:r>
      <w:r w:rsidRPr="00EA7713">
        <w:rPr>
          <w:rFonts w:ascii="Times New Roman" w:hAnsi="Times New Roman"/>
          <w:noProof/>
          <w:szCs w:val="24"/>
        </w:rPr>
        <w:t>wider</w:t>
      </w:r>
      <w:r w:rsidRPr="00EA7713">
        <w:rPr>
          <w:rFonts w:ascii="Times New Roman" w:hAnsi="Times New Roman"/>
          <w:szCs w:val="24"/>
        </w:rPr>
        <w:t xml:space="preserve"> literature on migrant care workers and conclude with </w:t>
      </w:r>
      <w:r w:rsidRPr="00EA7713">
        <w:rPr>
          <w:rFonts w:ascii="Times New Roman" w:hAnsi="Times New Roman"/>
          <w:noProof/>
          <w:szCs w:val="24"/>
        </w:rPr>
        <w:t>my</w:t>
      </w:r>
      <w:r w:rsidRPr="00EA7713">
        <w:rPr>
          <w:rFonts w:ascii="Times New Roman" w:hAnsi="Times New Roman"/>
          <w:szCs w:val="24"/>
        </w:rPr>
        <w:t xml:space="preserve"> contribution to knowledge and suggestions for future research.</w:t>
      </w:r>
    </w:p>
    <w:p w14:paraId="0B4FE78E" w14:textId="0B7B8EC8" w:rsidR="00592FF6" w:rsidRPr="00EA7713" w:rsidRDefault="00592FF6" w:rsidP="006869A3">
      <w:pPr>
        <w:pStyle w:val="Heading2"/>
      </w:pPr>
      <w:bookmarkStart w:id="33" w:name="_Toc86417231"/>
      <w:r w:rsidRPr="00EA7713">
        <w:t>1.</w:t>
      </w:r>
      <w:r w:rsidR="005568C1">
        <w:t>11</w:t>
      </w:r>
      <w:r w:rsidRPr="00EA7713">
        <w:t>. Summary</w:t>
      </w:r>
      <w:bookmarkEnd w:id="33"/>
    </w:p>
    <w:p w14:paraId="1372E863" w14:textId="77777777" w:rsidR="00592FF6" w:rsidRPr="00767C30" w:rsidRDefault="00592FF6" w:rsidP="00592FF6">
      <w:pPr>
        <w:rPr>
          <w:rFonts w:ascii="Times New Roman" w:hAnsi="Times New Roman"/>
          <w:szCs w:val="24"/>
        </w:rPr>
      </w:pPr>
      <w:r w:rsidRPr="00EA7713">
        <w:rPr>
          <w:rFonts w:ascii="Times New Roman" w:hAnsi="Times New Roman"/>
          <w:noProof/>
          <w:szCs w:val="24"/>
        </w:rPr>
        <w:t>This</w:t>
      </w:r>
      <w:r w:rsidRPr="00EA7713">
        <w:rPr>
          <w:rFonts w:ascii="Times New Roman" w:hAnsi="Times New Roman"/>
          <w:szCs w:val="24"/>
        </w:rPr>
        <w:t xml:space="preserve"> introductory chapter aims to provide a brief account of </w:t>
      </w:r>
      <w:r w:rsidRPr="00EA7713">
        <w:rPr>
          <w:rFonts w:ascii="Times New Roman" w:hAnsi="Times New Roman"/>
          <w:noProof/>
          <w:szCs w:val="24"/>
        </w:rPr>
        <w:t>my</w:t>
      </w:r>
      <w:r w:rsidRPr="00EA7713">
        <w:rPr>
          <w:rFonts w:ascii="Times New Roman" w:hAnsi="Times New Roman"/>
          <w:szCs w:val="24"/>
        </w:rPr>
        <w:t xml:space="preserve"> </w:t>
      </w:r>
      <w:r w:rsidRPr="00EA7713">
        <w:rPr>
          <w:rFonts w:ascii="Times New Roman" w:hAnsi="Times New Roman"/>
          <w:noProof/>
          <w:szCs w:val="24"/>
        </w:rPr>
        <w:t>personal</w:t>
      </w:r>
      <w:r w:rsidRPr="00EA7713">
        <w:rPr>
          <w:rFonts w:ascii="Times New Roman" w:hAnsi="Times New Roman"/>
          <w:szCs w:val="24"/>
        </w:rPr>
        <w:t xml:space="preserve"> reflections on the motivation to undertake this research into the lived experiences of paid Nigerian migrant nurses and health care assistants for PLWD. </w:t>
      </w:r>
      <w:r w:rsidRPr="00EA7713">
        <w:rPr>
          <w:rFonts w:ascii="Times New Roman" w:hAnsi="Times New Roman"/>
          <w:noProof/>
          <w:szCs w:val="24"/>
        </w:rPr>
        <w:t xml:space="preserve">Having </w:t>
      </w:r>
      <w:r w:rsidRPr="00EA7713">
        <w:rPr>
          <w:rFonts w:ascii="Times New Roman" w:hAnsi="Times New Roman"/>
          <w:szCs w:val="24"/>
        </w:rPr>
        <w:t xml:space="preserve">outlined the background of the study, it </w:t>
      </w:r>
      <w:r w:rsidRPr="00EA7713">
        <w:rPr>
          <w:rFonts w:ascii="Times New Roman" w:hAnsi="Times New Roman"/>
          <w:noProof/>
          <w:szCs w:val="24"/>
        </w:rPr>
        <w:t>emphasiss</w:t>
      </w:r>
      <w:r w:rsidRPr="00EA7713">
        <w:rPr>
          <w:rFonts w:ascii="Times New Roman" w:hAnsi="Times New Roman"/>
          <w:szCs w:val="24"/>
        </w:rPr>
        <w:t xml:space="preserve"> the appropriateness of the research in relation to the care sector that is becoming increasingly reliant on migrant labour. </w:t>
      </w:r>
      <w:r w:rsidRPr="00EA7713">
        <w:rPr>
          <w:rFonts w:ascii="Times New Roman" w:hAnsi="Times New Roman"/>
          <w:noProof/>
          <w:szCs w:val="24"/>
        </w:rPr>
        <w:t>It</w:t>
      </w:r>
      <w:r w:rsidRPr="00EA7713">
        <w:rPr>
          <w:rFonts w:ascii="Times New Roman" w:hAnsi="Times New Roman"/>
          <w:szCs w:val="24"/>
        </w:rPr>
        <w:t xml:space="preserve"> also gives an overview of the significance and contribution that this study makes to the literature on paid migrant caregiving. </w:t>
      </w:r>
      <w:r w:rsidRPr="00EA7713">
        <w:rPr>
          <w:rFonts w:ascii="Times New Roman" w:hAnsi="Times New Roman"/>
          <w:noProof/>
          <w:szCs w:val="24"/>
        </w:rPr>
        <w:t>This</w:t>
      </w:r>
      <w:r w:rsidRPr="00EA7713">
        <w:rPr>
          <w:rFonts w:ascii="Times New Roman" w:hAnsi="Times New Roman"/>
          <w:szCs w:val="24"/>
        </w:rPr>
        <w:t xml:space="preserve"> is followed by stating the research aims and objectives. Lastly, an outline of the structure of the thesis which includes brief highlights of each </w:t>
      </w:r>
      <w:r w:rsidRPr="00EA7713">
        <w:rPr>
          <w:rFonts w:ascii="Times New Roman" w:hAnsi="Times New Roman"/>
          <w:szCs w:val="24"/>
        </w:rPr>
        <w:lastRenderedPageBreak/>
        <w:t xml:space="preserve">of the chapters. In the next chapter, </w:t>
      </w:r>
      <w:r w:rsidRPr="00EA7713">
        <w:rPr>
          <w:rFonts w:ascii="Times New Roman" w:hAnsi="Times New Roman"/>
          <w:noProof/>
          <w:szCs w:val="24"/>
        </w:rPr>
        <w:t>I</w:t>
      </w:r>
      <w:r w:rsidRPr="00EA7713">
        <w:rPr>
          <w:rFonts w:ascii="Times New Roman" w:hAnsi="Times New Roman"/>
          <w:szCs w:val="24"/>
        </w:rPr>
        <w:t xml:space="preserve"> undertake a review of existing literature on the global migration of migrant care workers and review the </w:t>
      </w:r>
      <w:r w:rsidRPr="00EA7713">
        <w:rPr>
          <w:rFonts w:ascii="Times New Roman" w:hAnsi="Times New Roman"/>
          <w:noProof/>
          <w:szCs w:val="24"/>
        </w:rPr>
        <w:t>key</w:t>
      </w:r>
      <w:r w:rsidRPr="00EA7713">
        <w:rPr>
          <w:rFonts w:ascii="Times New Roman" w:hAnsi="Times New Roman"/>
          <w:szCs w:val="24"/>
        </w:rPr>
        <w:t xml:space="preserve"> theories underpinning the movement of migrant labour into the care sector in developed countries like the UK.</w:t>
      </w:r>
    </w:p>
    <w:p w14:paraId="382B4BA6" w14:textId="7001E8A8" w:rsidR="005568C1" w:rsidRDefault="005568C1" w:rsidP="005F2536">
      <w:pPr>
        <w:pStyle w:val="paragraph"/>
        <w:spacing w:before="0" w:beforeAutospacing="0" w:after="0" w:afterAutospacing="0" w:line="360" w:lineRule="auto"/>
        <w:textAlignment w:val="baseline"/>
        <w:rPr>
          <w:rStyle w:val="normaltextrun"/>
          <w:rFonts w:eastAsiaTheme="minorEastAsia"/>
          <w:b/>
        </w:rPr>
      </w:pPr>
    </w:p>
    <w:p w14:paraId="5206E95B" w14:textId="77777777" w:rsidR="006869A3" w:rsidRDefault="006869A3">
      <w:pPr>
        <w:spacing w:after="0" w:line="240" w:lineRule="auto"/>
        <w:rPr>
          <w:rFonts w:ascii="Times New Roman" w:hAnsi="Times New Roman"/>
          <w:b/>
          <w:bCs/>
          <w:szCs w:val="24"/>
        </w:rPr>
      </w:pPr>
      <w:r>
        <w:rPr>
          <w:rFonts w:ascii="Times New Roman" w:hAnsi="Times New Roman"/>
          <w:b/>
          <w:bCs/>
          <w:szCs w:val="24"/>
        </w:rPr>
        <w:br w:type="page"/>
      </w:r>
    </w:p>
    <w:p w14:paraId="56CC1D9A" w14:textId="0BA19CBE" w:rsidR="00811DBD" w:rsidRPr="004C6217" w:rsidRDefault="00811DBD" w:rsidP="006869A3">
      <w:pPr>
        <w:pStyle w:val="Heading1"/>
      </w:pPr>
      <w:bookmarkStart w:id="34" w:name="_Toc86417232"/>
      <w:r w:rsidRPr="004C6217">
        <w:lastRenderedPageBreak/>
        <w:t>CHAPTER TWO</w:t>
      </w:r>
      <w:bookmarkEnd w:id="34"/>
    </w:p>
    <w:p w14:paraId="6F98865E" w14:textId="77777777" w:rsidR="00811DBD" w:rsidRPr="004C6217" w:rsidRDefault="00811DBD" w:rsidP="00811DBD">
      <w:pPr>
        <w:spacing w:after="160"/>
        <w:jc w:val="center"/>
        <w:textAlignment w:val="baseline"/>
        <w:rPr>
          <w:rFonts w:ascii="Times New Roman" w:hAnsi="Times New Roman"/>
          <w:b/>
          <w:szCs w:val="24"/>
        </w:rPr>
      </w:pPr>
      <w:r w:rsidRPr="004C6217">
        <w:rPr>
          <w:rFonts w:ascii="Times New Roman" w:hAnsi="Times New Roman"/>
          <w:b/>
          <w:szCs w:val="24"/>
        </w:rPr>
        <w:t>CONCEPTUALISING THE GLOBAL MIGRATION OF CAREWORKERS</w:t>
      </w:r>
    </w:p>
    <w:p w14:paraId="4967B3CB" w14:textId="77777777" w:rsidR="00811DBD" w:rsidRPr="004C6217" w:rsidRDefault="00811DBD" w:rsidP="006869A3">
      <w:pPr>
        <w:pStyle w:val="Heading2"/>
      </w:pPr>
      <w:bookmarkStart w:id="35" w:name="_Toc86417233"/>
      <w:r w:rsidRPr="004C6217">
        <w:t>2.1. Introduction</w:t>
      </w:r>
      <w:bookmarkEnd w:id="35"/>
    </w:p>
    <w:p w14:paraId="2A693F1A" w14:textId="77777777" w:rsidR="00811DBD" w:rsidRPr="004C6217" w:rsidRDefault="00811DBD" w:rsidP="00811DBD">
      <w:pPr>
        <w:spacing w:after="160"/>
        <w:jc w:val="both"/>
        <w:textAlignment w:val="baseline"/>
        <w:rPr>
          <w:rFonts w:ascii="Times New Roman" w:hAnsi="Times New Roman"/>
          <w:bCs/>
          <w:noProof/>
          <w:szCs w:val="24"/>
        </w:rPr>
      </w:pPr>
      <w:r w:rsidRPr="004C6217">
        <w:rPr>
          <w:rFonts w:ascii="Times New Roman" w:hAnsi="Times New Roman"/>
          <w:bCs/>
          <w:noProof/>
          <w:szCs w:val="24"/>
        </w:rPr>
        <w:t>The aim of this literature review is to synthesi</w:t>
      </w:r>
      <w:r>
        <w:rPr>
          <w:rFonts w:ascii="Times New Roman" w:hAnsi="Times New Roman"/>
          <w:bCs/>
          <w:noProof/>
          <w:szCs w:val="24"/>
        </w:rPr>
        <w:t>z</w:t>
      </w:r>
      <w:r w:rsidRPr="004C6217">
        <w:rPr>
          <w:rFonts w:ascii="Times New Roman" w:hAnsi="Times New Roman"/>
          <w:bCs/>
          <w:noProof/>
          <w:szCs w:val="24"/>
        </w:rPr>
        <w:t xml:space="preserve">e knowledge from existing literature on the international migration of care workers for people living with dementia (PLWD). </w:t>
      </w:r>
      <w:r>
        <w:rPr>
          <w:rFonts w:ascii="Times New Roman" w:hAnsi="Times New Roman"/>
          <w:bCs/>
          <w:noProof/>
          <w:szCs w:val="24"/>
        </w:rPr>
        <w:t>Due to</w:t>
      </w:r>
      <w:r w:rsidRPr="004C6217">
        <w:rPr>
          <w:rFonts w:ascii="Times New Roman" w:hAnsi="Times New Roman"/>
          <w:bCs/>
          <w:noProof/>
          <w:szCs w:val="24"/>
        </w:rPr>
        <w:t xml:space="preserve"> the huge volume of international migration and dementia caregiving literature, discussing all existing literature is beyond the scope of this study. Nevertheless, the literature review is organised in a coherent flow to address the main points relevant to this study on the experience of paid Nigerian migrant nurses and health care assistants (HCAs). A detail of the literature review process comprising of the literature search strategy, key words or search terms used and the scope of the review is in Appendix 2.1.</w:t>
      </w:r>
    </w:p>
    <w:p w14:paraId="22A67F72" w14:textId="77777777" w:rsidR="00811DBD" w:rsidRPr="004C6217" w:rsidRDefault="00811DBD" w:rsidP="00811DBD">
      <w:pPr>
        <w:spacing w:after="160"/>
        <w:jc w:val="both"/>
        <w:textAlignment w:val="baseline"/>
        <w:rPr>
          <w:rFonts w:ascii="Times New Roman" w:hAnsi="Times New Roman"/>
          <w:bCs/>
          <w:noProof/>
          <w:szCs w:val="24"/>
        </w:rPr>
      </w:pPr>
      <w:r w:rsidRPr="004C6217">
        <w:rPr>
          <w:rFonts w:ascii="Times New Roman" w:hAnsi="Times New Roman"/>
          <w:bCs/>
          <w:noProof/>
          <w:szCs w:val="24"/>
        </w:rPr>
        <w:t>The entire literature review consists of three chapters. This chapter is the first of the three and it considers some of the dominant theories of international migration and the factors that tend to drive the employment of migrant workers into the institutional care settings in developed countries. To</w:t>
      </w:r>
      <w:r w:rsidRPr="004C6217">
        <w:rPr>
          <w:rFonts w:ascii="Times New Roman" w:hAnsi="Times New Roman"/>
          <w:bCs/>
          <w:szCs w:val="24"/>
        </w:rPr>
        <w:t xml:space="preserve"> establish the context for understanding the experiences of paid Nigerian migrant care workers for PLWD in the United Kingdom (UK), some of the theories concerning global migration </w:t>
      </w:r>
      <w:r>
        <w:rPr>
          <w:rFonts w:ascii="Times New Roman" w:hAnsi="Times New Roman"/>
          <w:bCs/>
          <w:szCs w:val="24"/>
        </w:rPr>
        <w:t>are</w:t>
      </w:r>
      <w:r w:rsidRPr="004C6217">
        <w:rPr>
          <w:rFonts w:ascii="Times New Roman" w:hAnsi="Times New Roman"/>
          <w:bCs/>
          <w:szCs w:val="24"/>
        </w:rPr>
        <w:t xml:space="preserve"> also discussed. </w:t>
      </w:r>
      <w:r w:rsidRPr="004C6217">
        <w:rPr>
          <w:rFonts w:ascii="Times New Roman" w:hAnsi="Times New Roman"/>
          <w:bCs/>
          <w:noProof/>
          <w:szCs w:val="24"/>
        </w:rPr>
        <w:t>The next chapter explores the motivation of nurses and HCAs caring for PLWD. Chapter four, examines the impact of caring and the different cultural/ethnic perspectives to caregiving.</w:t>
      </w:r>
    </w:p>
    <w:p w14:paraId="6873F853" w14:textId="77777777" w:rsidR="00811DBD" w:rsidRPr="004C6217" w:rsidRDefault="00811DBD" w:rsidP="00811DBD">
      <w:pPr>
        <w:spacing w:after="160"/>
        <w:jc w:val="both"/>
        <w:textAlignment w:val="baseline"/>
        <w:rPr>
          <w:rFonts w:ascii="Times New Roman" w:hAnsi="Times New Roman"/>
          <w:bCs/>
          <w:szCs w:val="24"/>
        </w:rPr>
      </w:pPr>
      <w:r w:rsidRPr="004C6217">
        <w:rPr>
          <w:rFonts w:ascii="Times New Roman" w:hAnsi="Times New Roman"/>
          <w:bCs/>
          <w:szCs w:val="24"/>
        </w:rPr>
        <w:t xml:space="preserve">Historically, human migration has been a subject of interest to scholars for a very long time (Klein, 2009; </w:t>
      </w:r>
      <w:r w:rsidRPr="004C6217">
        <w:rPr>
          <w:rFonts w:ascii="Times New Roman" w:hAnsi="Times New Roman"/>
          <w:szCs w:val="24"/>
        </w:rPr>
        <w:t xml:space="preserve">King and Skeldon, 2010; Piguet, 2012; </w:t>
      </w:r>
      <w:r w:rsidRPr="004C6217">
        <w:rPr>
          <w:rFonts w:ascii="Times New Roman" w:hAnsi="Times New Roman"/>
          <w:bCs/>
          <w:szCs w:val="24"/>
        </w:rPr>
        <w:t xml:space="preserve">Petraglia and Groucutt, 2017), and has always been and remains politically and economically contentious </w:t>
      </w:r>
      <w:r w:rsidRPr="004C6217">
        <w:rPr>
          <w:rFonts w:ascii="Times New Roman" w:hAnsi="Times New Roman"/>
          <w:bCs/>
          <w:noProof/>
          <w:szCs w:val="24"/>
        </w:rPr>
        <w:t>as</w:t>
      </w:r>
      <w:r w:rsidRPr="004C6217">
        <w:rPr>
          <w:rFonts w:ascii="Times New Roman" w:hAnsi="Times New Roman"/>
          <w:bCs/>
          <w:szCs w:val="24"/>
        </w:rPr>
        <w:t xml:space="preserve"> it continues to dominate social debates today (</w:t>
      </w:r>
      <w:r w:rsidRPr="004C6217">
        <w:rPr>
          <w:rFonts w:ascii="Times New Roman" w:hAnsi="Times New Roman"/>
          <w:szCs w:val="24"/>
        </w:rPr>
        <w:t>Rettberg and Gajjala, 2016; Smith, 2016).</w:t>
      </w:r>
    </w:p>
    <w:p w14:paraId="440A8608" w14:textId="77777777" w:rsidR="00811DBD" w:rsidRPr="004C6217" w:rsidRDefault="00811DBD" w:rsidP="00811DBD">
      <w:pPr>
        <w:spacing w:after="160"/>
        <w:jc w:val="both"/>
        <w:textAlignment w:val="baseline"/>
        <w:rPr>
          <w:rFonts w:ascii="Times New Roman" w:hAnsi="Times New Roman"/>
          <w:szCs w:val="24"/>
        </w:rPr>
      </w:pPr>
      <w:r w:rsidRPr="004C6217">
        <w:rPr>
          <w:rFonts w:ascii="Times New Roman" w:hAnsi="Times New Roman"/>
          <w:szCs w:val="24"/>
        </w:rPr>
        <w:t xml:space="preserve">Recent debates around the concept of global migration </w:t>
      </w:r>
      <w:r w:rsidRPr="004C6217">
        <w:rPr>
          <w:rFonts w:ascii="Times New Roman" w:hAnsi="Times New Roman"/>
          <w:noProof/>
          <w:szCs w:val="24"/>
        </w:rPr>
        <w:t>have</w:t>
      </w:r>
      <w:r w:rsidRPr="004C6217">
        <w:rPr>
          <w:rFonts w:ascii="Times New Roman" w:hAnsi="Times New Roman"/>
          <w:szCs w:val="24"/>
        </w:rPr>
        <w:t xml:space="preserve"> often focused on some of the most divisive aspects of migration, such as issues concerning economic migrants leaving economically deprived countries to look for new opportunities in relatively </w:t>
      </w:r>
      <w:r w:rsidRPr="004C6217">
        <w:rPr>
          <w:rFonts w:ascii="Times New Roman" w:hAnsi="Times New Roman"/>
          <w:noProof/>
          <w:szCs w:val="24"/>
        </w:rPr>
        <w:t>wealthy</w:t>
      </w:r>
      <w:r w:rsidRPr="004C6217">
        <w:rPr>
          <w:rFonts w:ascii="Times New Roman" w:hAnsi="Times New Roman"/>
          <w:szCs w:val="24"/>
        </w:rPr>
        <w:t xml:space="preserve"> countries and the migration of people fleeing conflict and seeking asylum (KhosraviNik, 2010). These narratives have regularly been seized on by right-wing-</w:t>
      </w:r>
      <w:r w:rsidRPr="004C6217">
        <w:rPr>
          <w:rFonts w:ascii="Times New Roman" w:hAnsi="Times New Roman"/>
          <w:szCs w:val="24"/>
        </w:rPr>
        <w:lastRenderedPageBreak/>
        <w:t xml:space="preserve">leaning media and has been cited </w:t>
      </w:r>
      <w:r w:rsidRPr="004C6217">
        <w:rPr>
          <w:rFonts w:ascii="Times New Roman" w:hAnsi="Times New Roman"/>
          <w:noProof/>
          <w:szCs w:val="24"/>
        </w:rPr>
        <w:t>as one of the factors that have fuelled</w:t>
      </w:r>
      <w:r w:rsidRPr="004C6217">
        <w:rPr>
          <w:rFonts w:ascii="Times New Roman" w:hAnsi="Times New Roman"/>
          <w:szCs w:val="24"/>
        </w:rPr>
        <w:t xml:space="preserve"> nationalism in the last decade (Musolf, 2015), even though some scholars have also emphasised the benefit of migration to the economy of the destination countries (Bansak, Simpson and Zavodny, 2015; Simpson, 2017). However, because the migration of humans as a subject is broad, it is not within the scope of this review to consider all theories of human migration. </w:t>
      </w:r>
      <w:r>
        <w:rPr>
          <w:rFonts w:ascii="Times New Roman" w:hAnsi="Times New Roman"/>
          <w:szCs w:val="24"/>
        </w:rPr>
        <w:t>Instead, t</w:t>
      </w:r>
      <w:r w:rsidRPr="004C6217">
        <w:rPr>
          <w:rFonts w:ascii="Times New Roman" w:hAnsi="Times New Roman"/>
          <w:szCs w:val="24"/>
        </w:rPr>
        <w:t xml:space="preserve">his </w:t>
      </w:r>
      <w:r w:rsidRPr="004C6217">
        <w:rPr>
          <w:rFonts w:ascii="Times New Roman" w:hAnsi="Times New Roman"/>
          <w:noProof/>
          <w:szCs w:val="24"/>
        </w:rPr>
        <w:t>chapter focuses</w:t>
      </w:r>
      <w:r w:rsidRPr="004C6217">
        <w:rPr>
          <w:rFonts w:ascii="Times New Roman" w:hAnsi="Times New Roman"/>
          <w:szCs w:val="24"/>
        </w:rPr>
        <w:t xml:space="preserve"> on some of the dominant ideas in international migration theories and some of the factors that influence the demand for migrant care workers. Hence, it is </w:t>
      </w:r>
      <w:r w:rsidRPr="004C6217">
        <w:rPr>
          <w:rFonts w:ascii="Times New Roman" w:hAnsi="Times New Roman"/>
          <w:noProof/>
          <w:szCs w:val="24"/>
        </w:rPr>
        <w:t>essential</w:t>
      </w:r>
      <w:r w:rsidRPr="004C6217">
        <w:rPr>
          <w:rFonts w:ascii="Times New Roman" w:hAnsi="Times New Roman"/>
          <w:szCs w:val="24"/>
        </w:rPr>
        <w:t xml:space="preserve"> to start by highlighting the types and scale of international migration.</w:t>
      </w:r>
    </w:p>
    <w:p w14:paraId="62C4C0BD" w14:textId="77777777" w:rsidR="00811DBD" w:rsidRPr="004C6217" w:rsidRDefault="00811DBD" w:rsidP="006869A3">
      <w:pPr>
        <w:pStyle w:val="Heading2"/>
      </w:pPr>
      <w:bookmarkStart w:id="36" w:name="_Hlk51433200"/>
      <w:bookmarkStart w:id="37" w:name="_Toc86417234"/>
      <w:r w:rsidRPr="004C6217">
        <w:t>2.2. International migration: types and trend</w:t>
      </w:r>
      <w:bookmarkEnd w:id="37"/>
    </w:p>
    <w:p w14:paraId="3122F8B7" w14:textId="70B13C7D" w:rsidR="00811DBD" w:rsidRPr="004C6217" w:rsidRDefault="00811DBD" w:rsidP="006869A3">
      <w:pPr>
        <w:pStyle w:val="Heading3"/>
      </w:pPr>
      <w:bookmarkStart w:id="38" w:name="_Toc86417235"/>
      <w:r w:rsidRPr="004C6217">
        <w:t>2.2.1. Types of international migration</w:t>
      </w:r>
      <w:bookmarkEnd w:id="36"/>
      <w:bookmarkEnd w:id="38"/>
    </w:p>
    <w:p w14:paraId="25AC4718" w14:textId="77777777" w:rsidR="00811DBD" w:rsidRPr="004C6217" w:rsidRDefault="00811DBD" w:rsidP="00811DBD">
      <w:pPr>
        <w:spacing w:after="0"/>
        <w:jc w:val="both"/>
        <w:rPr>
          <w:rFonts w:ascii="Times New Roman" w:hAnsi="Times New Roman"/>
          <w:szCs w:val="24"/>
        </w:rPr>
      </w:pPr>
      <w:r w:rsidRPr="004C6217">
        <w:rPr>
          <w:rFonts w:ascii="Times New Roman" w:hAnsi="Times New Roman"/>
          <w:szCs w:val="24"/>
        </w:rPr>
        <w:t xml:space="preserve">International migration can be described as the movement of people across international borders, leading to a temporary or permanent settlement (Borjas, 2001; Bartram, Poros and Monforte, 2014). It has received substantial research attention over the years </w:t>
      </w:r>
      <w:r w:rsidRPr="004C6217">
        <w:rPr>
          <w:rFonts w:ascii="Times New Roman" w:hAnsi="Times New Roman"/>
          <w:noProof/>
          <w:szCs w:val="24"/>
        </w:rPr>
        <w:t>with</w:t>
      </w:r>
      <w:r w:rsidRPr="004C6217">
        <w:rPr>
          <w:rFonts w:ascii="Times New Roman" w:hAnsi="Times New Roman"/>
          <w:szCs w:val="24"/>
        </w:rPr>
        <w:t xml:space="preserve"> migration patterns taking on different forms in the UK, Europe and across the world (Arango, 2000; Castles, 2010). Typically, international migration has been classified in oppositional categories as either forced (involuntary) or voluntary, legal or illegal, skilled or unskilled and temporary or permanent (Richmond, 1993; Fussell, 2012; Castle, De Haas and Miller, 2014), depending on the structural constraints involved. For instance, within the context of international migration, forced migration can be described as an involuntary act of migration, characterised by an element of coercion in the movement of people from one country to another (International Organisation for Migration, IOM, 2011). On the contrary, voluntary migration is one in which the migrant (the individual undertaking migration) exercises some level of volition in deciding whether to migrate (Castles and Miller, 2003; Ottonelli and Torresi, 2013).</w:t>
      </w:r>
    </w:p>
    <w:p w14:paraId="5D30298D" w14:textId="77777777" w:rsidR="00811DBD" w:rsidRPr="004C6217" w:rsidRDefault="00811DBD" w:rsidP="00811DBD">
      <w:pPr>
        <w:spacing w:before="240"/>
        <w:jc w:val="both"/>
        <w:rPr>
          <w:rFonts w:ascii="Times New Roman" w:hAnsi="Times New Roman"/>
          <w:szCs w:val="24"/>
        </w:rPr>
      </w:pPr>
      <w:r w:rsidRPr="004C6217">
        <w:rPr>
          <w:rFonts w:ascii="Times New Roman" w:hAnsi="Times New Roman"/>
          <w:szCs w:val="24"/>
        </w:rPr>
        <w:t xml:space="preserve">Although historically the literature on migration (Peterson, 1958; Willis, 1974) has viewed these different categories as two opposing classes of migration, in more recent years much of the literature </w:t>
      </w:r>
      <w:r w:rsidRPr="004C6217">
        <w:rPr>
          <w:rFonts w:ascii="Times New Roman" w:hAnsi="Times New Roman"/>
          <w:noProof/>
          <w:szCs w:val="24"/>
        </w:rPr>
        <w:t>suggests</w:t>
      </w:r>
      <w:r w:rsidRPr="004C6217">
        <w:rPr>
          <w:rFonts w:ascii="Times New Roman" w:hAnsi="Times New Roman"/>
          <w:szCs w:val="24"/>
        </w:rPr>
        <w:t xml:space="preserve"> that the distinction between these two categories has blurred (Turton, 2003; Erdal and Oeppen, 2018). Turton (2003) observed that the form of migration that </w:t>
      </w:r>
      <w:r w:rsidRPr="004C6217">
        <w:rPr>
          <w:rFonts w:ascii="Times New Roman" w:hAnsi="Times New Roman"/>
          <w:noProof/>
          <w:szCs w:val="24"/>
        </w:rPr>
        <w:t>is often described</w:t>
      </w:r>
      <w:r w:rsidRPr="004C6217">
        <w:rPr>
          <w:rFonts w:ascii="Times New Roman" w:hAnsi="Times New Roman"/>
          <w:szCs w:val="24"/>
        </w:rPr>
        <w:t xml:space="preserve"> as ‘voluntary’ is frequently beset by </w:t>
      </w:r>
      <w:r w:rsidRPr="004C6217">
        <w:rPr>
          <w:rFonts w:ascii="Times New Roman" w:hAnsi="Times New Roman"/>
          <w:szCs w:val="24"/>
        </w:rPr>
        <w:lastRenderedPageBreak/>
        <w:t>constraints (for example, limited options of possible place to migrate to), while forced migration might also include some element of agency (making the decision to go as the individual must have to leave). Richmond (1988; 1993) noted that forced and voluntary migrations are two sides of a continuum, with many migrants falling in the middle of the continuum.</w:t>
      </w:r>
    </w:p>
    <w:p w14:paraId="1BB6EB27"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Bearing this in mind, this review of the </w:t>
      </w:r>
      <w:r w:rsidRPr="004C6217">
        <w:rPr>
          <w:rFonts w:ascii="Times New Roman" w:hAnsi="Times New Roman"/>
          <w:noProof/>
          <w:szCs w:val="24"/>
        </w:rPr>
        <w:t>literature</w:t>
      </w:r>
      <w:r w:rsidRPr="004C6217">
        <w:rPr>
          <w:rFonts w:ascii="Times New Roman" w:hAnsi="Times New Roman"/>
          <w:szCs w:val="24"/>
        </w:rPr>
        <w:t xml:space="preserve"> on global migration of workers and the relevant theories centre on debates concerning the economic aspects of voluntary migration because this study is on Nigerian migrants who came to the UK voluntarily. However, </w:t>
      </w:r>
      <w:r w:rsidRPr="004C6217">
        <w:rPr>
          <w:rFonts w:ascii="Times New Roman" w:hAnsi="Times New Roman"/>
          <w:noProof/>
          <w:szCs w:val="24"/>
        </w:rPr>
        <w:t>like</w:t>
      </w:r>
      <w:r w:rsidRPr="004C6217">
        <w:rPr>
          <w:rFonts w:ascii="Times New Roman" w:hAnsi="Times New Roman"/>
          <w:szCs w:val="24"/>
        </w:rPr>
        <w:t xml:space="preserve"> Bartram, Poros and Monforte (2014) noted, reference </w:t>
      </w:r>
      <w:r w:rsidRPr="004C6217">
        <w:rPr>
          <w:rFonts w:ascii="Times New Roman" w:hAnsi="Times New Roman"/>
          <w:noProof/>
          <w:szCs w:val="24"/>
        </w:rPr>
        <w:t>is made</w:t>
      </w:r>
      <w:r w:rsidRPr="004C6217">
        <w:rPr>
          <w:rFonts w:ascii="Times New Roman" w:hAnsi="Times New Roman"/>
          <w:szCs w:val="24"/>
        </w:rPr>
        <w:t xml:space="preserve"> to the other aspects of international migration (such as geographical, political, social, economic, and cultural aspects) where necessary.</w:t>
      </w:r>
    </w:p>
    <w:p w14:paraId="53680458" w14:textId="77777777" w:rsidR="00811DBD" w:rsidRPr="004C6217" w:rsidRDefault="00811DBD" w:rsidP="006869A3">
      <w:pPr>
        <w:pStyle w:val="Heading3"/>
      </w:pPr>
      <w:bookmarkStart w:id="39" w:name="_Hlk51433279"/>
      <w:bookmarkStart w:id="40" w:name="_Toc86417236"/>
      <w:r w:rsidRPr="004C6217">
        <w:t xml:space="preserve">2.2.2. </w:t>
      </w:r>
      <w:r w:rsidRPr="004C6217">
        <w:rPr>
          <w:noProof/>
        </w:rPr>
        <w:t>The trend</w:t>
      </w:r>
      <w:r w:rsidRPr="004C6217">
        <w:t xml:space="preserve"> of international migration</w:t>
      </w:r>
      <w:bookmarkEnd w:id="39"/>
      <w:bookmarkEnd w:id="40"/>
    </w:p>
    <w:p w14:paraId="587B8141" w14:textId="77777777" w:rsidR="00811DBD" w:rsidRPr="004C6217" w:rsidRDefault="00811DBD" w:rsidP="00811DBD">
      <w:pPr>
        <w:spacing w:after="0"/>
        <w:jc w:val="both"/>
        <w:rPr>
          <w:rFonts w:ascii="Times New Roman" w:hAnsi="Times New Roman"/>
          <w:szCs w:val="24"/>
        </w:rPr>
      </w:pPr>
      <w:r w:rsidRPr="004C6217">
        <w:rPr>
          <w:rFonts w:ascii="Times New Roman" w:hAnsi="Times New Roman"/>
          <w:szCs w:val="24"/>
        </w:rPr>
        <w:t>The latest figures on international migration by the United Nations Department of Economic and Social Affairs (UN DESA, 2015</w:t>
      </w:r>
      <w:r>
        <w:rPr>
          <w:rFonts w:ascii="Times New Roman" w:hAnsi="Times New Roman"/>
          <w:szCs w:val="24"/>
        </w:rPr>
        <w:t>a</w:t>
      </w:r>
      <w:r w:rsidRPr="004C6217">
        <w:rPr>
          <w:rFonts w:ascii="Times New Roman" w:hAnsi="Times New Roman"/>
          <w:szCs w:val="24"/>
        </w:rPr>
        <w:t xml:space="preserve">; 2017; 2019), shows that in 2019, the number of people living in a country other than their country of birth was an estimated 272 million (UN DESA, 2019). This represented 3.5% of the global population in 2019 which was up from the 258 million (3.4% of world population) recorded in 2017 (UN DESA, 2017), and </w:t>
      </w:r>
      <w:r>
        <w:rPr>
          <w:rFonts w:ascii="Times New Roman" w:hAnsi="Times New Roman"/>
          <w:szCs w:val="24"/>
        </w:rPr>
        <w:t xml:space="preserve">it </w:t>
      </w:r>
      <w:r w:rsidRPr="004C6217">
        <w:rPr>
          <w:rFonts w:ascii="Times New Roman" w:hAnsi="Times New Roman"/>
          <w:szCs w:val="24"/>
        </w:rPr>
        <w:t>is a significant increase from the 153 million (2.9% of world population) and 173 million (2.8% of world population) recorded in 1990 and 2000 respectively (UN DESA, 1998, 2008, 2015a, 2015b; 2017; 2019).</w:t>
      </w:r>
    </w:p>
    <w:p w14:paraId="151A79ED" w14:textId="77777777" w:rsidR="00811DBD" w:rsidRPr="004C6217" w:rsidRDefault="00811DBD" w:rsidP="00811DBD">
      <w:pPr>
        <w:spacing w:before="240"/>
        <w:jc w:val="both"/>
        <w:rPr>
          <w:rFonts w:ascii="Times New Roman" w:hAnsi="Times New Roman"/>
          <w:szCs w:val="24"/>
        </w:rPr>
      </w:pPr>
      <w:r w:rsidRPr="004C6217">
        <w:rPr>
          <w:rFonts w:ascii="Times New Roman" w:hAnsi="Times New Roman"/>
          <w:szCs w:val="24"/>
        </w:rPr>
        <w:t xml:space="preserve">In terms of the geographical migratory flow, a breakdown of the most recent figure shows that in 2019, more than half of international migrants resided in Europe and North America. Of the 272 million people living outside their place of birth, 82 million resided in Europe while 59 million resided in North America (UN DESA, 2019). This </w:t>
      </w:r>
      <w:r w:rsidRPr="004C6217">
        <w:rPr>
          <w:rFonts w:ascii="Times New Roman" w:hAnsi="Times New Roman"/>
          <w:noProof/>
          <w:szCs w:val="24"/>
        </w:rPr>
        <w:t>increasing</w:t>
      </w:r>
      <w:r w:rsidRPr="004C6217">
        <w:rPr>
          <w:rFonts w:ascii="Times New Roman" w:hAnsi="Times New Roman"/>
          <w:szCs w:val="24"/>
        </w:rPr>
        <w:t xml:space="preserve"> trend in </w:t>
      </w:r>
      <w:r w:rsidRPr="004C6217">
        <w:rPr>
          <w:rFonts w:ascii="Times New Roman" w:hAnsi="Times New Roman"/>
          <w:noProof/>
          <w:szCs w:val="24"/>
        </w:rPr>
        <w:t>voluntary international</w:t>
      </w:r>
      <w:r w:rsidRPr="004C6217">
        <w:rPr>
          <w:rFonts w:ascii="Times New Roman" w:hAnsi="Times New Roman"/>
          <w:szCs w:val="24"/>
        </w:rPr>
        <w:t xml:space="preserve"> migration </w:t>
      </w:r>
      <w:r w:rsidRPr="004C6217">
        <w:rPr>
          <w:rFonts w:ascii="Times New Roman" w:hAnsi="Times New Roman"/>
          <w:noProof/>
          <w:szCs w:val="24"/>
        </w:rPr>
        <w:t>is often attributed</w:t>
      </w:r>
      <w:r w:rsidRPr="004C6217">
        <w:rPr>
          <w:rFonts w:ascii="Times New Roman" w:hAnsi="Times New Roman"/>
          <w:szCs w:val="24"/>
        </w:rPr>
        <w:t xml:space="preserve"> to </w:t>
      </w:r>
      <w:r w:rsidRPr="004C6217">
        <w:rPr>
          <w:rFonts w:ascii="Times New Roman" w:hAnsi="Times New Roman"/>
          <w:noProof/>
          <w:szCs w:val="24"/>
        </w:rPr>
        <w:t>increasing</w:t>
      </w:r>
      <w:r w:rsidRPr="004C6217">
        <w:rPr>
          <w:rFonts w:ascii="Times New Roman" w:hAnsi="Times New Roman"/>
          <w:szCs w:val="24"/>
        </w:rPr>
        <w:t xml:space="preserve"> globalisation which has led to an increased demand for migrant labour in developed countries (Stalker, 2000; Czaika and de Haas, 2013). The influence of globalisation coupled with some demographic factors in the destination or receiving country (which are discussed later in this chapter) has also </w:t>
      </w:r>
      <w:r w:rsidRPr="004C6217">
        <w:rPr>
          <w:rFonts w:ascii="Times New Roman" w:hAnsi="Times New Roman"/>
          <w:noProof/>
          <w:szCs w:val="24"/>
        </w:rPr>
        <w:t>been</w:t>
      </w:r>
      <w:r w:rsidRPr="004C6217">
        <w:rPr>
          <w:rFonts w:ascii="Times New Roman" w:hAnsi="Times New Roman"/>
          <w:szCs w:val="24"/>
        </w:rPr>
        <w:t xml:space="preserve"> suggested to contribute to the increased demand for migrant labour (Browne and Braun, 2008; Aleshkovski, 2016).</w:t>
      </w:r>
    </w:p>
    <w:p w14:paraId="33C42E5F" w14:textId="034AF8D5" w:rsidR="00811DBD" w:rsidRDefault="00811DBD" w:rsidP="00811DBD">
      <w:pPr>
        <w:spacing w:after="0"/>
        <w:jc w:val="both"/>
        <w:rPr>
          <w:rFonts w:ascii="Times New Roman" w:hAnsi="Times New Roman"/>
          <w:szCs w:val="24"/>
        </w:rPr>
      </w:pPr>
      <w:r w:rsidRPr="004C6217">
        <w:rPr>
          <w:rFonts w:ascii="Times New Roman" w:hAnsi="Times New Roman"/>
          <w:szCs w:val="24"/>
        </w:rPr>
        <w:lastRenderedPageBreak/>
        <w:t xml:space="preserve">In addition, although the UN DESA’s figures for international migration comprises of both voluntary and forced migration, a report for the McKinsey Global Institute, by </w:t>
      </w:r>
      <w:r w:rsidRPr="004C6217">
        <w:rPr>
          <w:rFonts w:ascii="Times New Roman" w:hAnsi="Times New Roman"/>
          <w:bCs/>
          <w:szCs w:val="24"/>
        </w:rPr>
        <w:t xml:space="preserve">Woetzel </w:t>
      </w:r>
      <w:r w:rsidRPr="00C55F53">
        <w:rPr>
          <w:rFonts w:ascii="Times New Roman" w:hAnsi="Times New Roman"/>
          <w:bCs/>
          <w:i/>
          <w:iCs/>
          <w:szCs w:val="24"/>
        </w:rPr>
        <w:t>et al.</w:t>
      </w:r>
      <w:r w:rsidRPr="004C6217">
        <w:rPr>
          <w:rFonts w:ascii="Times New Roman" w:hAnsi="Times New Roman"/>
          <w:bCs/>
          <w:szCs w:val="24"/>
        </w:rPr>
        <w:t xml:space="preserve"> </w:t>
      </w:r>
      <w:r w:rsidRPr="004C6217">
        <w:rPr>
          <w:rFonts w:ascii="Times New Roman" w:hAnsi="Times New Roman"/>
          <w:szCs w:val="24"/>
        </w:rPr>
        <w:t xml:space="preserve">(2016) estimated that in 2015, about 90% of international migrants were largely voluntary migrants who migrated mainly for economic reasons while only 10% of international migrants constitutes those who can </w:t>
      </w:r>
      <w:r w:rsidRPr="004C6217">
        <w:rPr>
          <w:rFonts w:ascii="Times New Roman" w:hAnsi="Times New Roman"/>
          <w:noProof/>
          <w:szCs w:val="24"/>
        </w:rPr>
        <w:t>be described</w:t>
      </w:r>
      <w:r w:rsidRPr="004C6217">
        <w:rPr>
          <w:rFonts w:ascii="Times New Roman" w:hAnsi="Times New Roman"/>
          <w:szCs w:val="24"/>
        </w:rPr>
        <w:t xml:space="preserve"> as forced migrants. However, the UN DESA estimates </w:t>
      </w:r>
      <w:r w:rsidRPr="004C6217">
        <w:rPr>
          <w:rFonts w:ascii="Times New Roman" w:hAnsi="Times New Roman"/>
          <w:noProof/>
          <w:szCs w:val="24"/>
        </w:rPr>
        <w:t>do</w:t>
      </w:r>
      <w:r w:rsidRPr="004C6217">
        <w:rPr>
          <w:rFonts w:ascii="Times New Roman" w:hAnsi="Times New Roman"/>
          <w:szCs w:val="24"/>
        </w:rPr>
        <w:t xml:space="preserve"> not include figures for illegal migration, which different reports put at between 10-15% of the total number of international migrants (Aleshkovski, 2016). Thus, the type and scale of international migration </w:t>
      </w:r>
      <w:r w:rsidRPr="004C6217">
        <w:rPr>
          <w:rFonts w:ascii="Times New Roman" w:hAnsi="Times New Roman"/>
          <w:noProof/>
          <w:szCs w:val="24"/>
        </w:rPr>
        <w:t>are extensive</w:t>
      </w:r>
      <w:r w:rsidRPr="004C6217">
        <w:rPr>
          <w:rFonts w:ascii="Times New Roman" w:hAnsi="Times New Roman"/>
          <w:szCs w:val="24"/>
        </w:rPr>
        <w:t xml:space="preserve">, </w:t>
      </w:r>
      <w:r w:rsidRPr="004C6217">
        <w:rPr>
          <w:rFonts w:ascii="Times New Roman" w:hAnsi="Times New Roman"/>
          <w:noProof/>
          <w:szCs w:val="24"/>
        </w:rPr>
        <w:t>and</w:t>
      </w:r>
      <w:r w:rsidRPr="004C6217">
        <w:rPr>
          <w:rFonts w:ascii="Times New Roman" w:hAnsi="Times New Roman"/>
          <w:szCs w:val="24"/>
        </w:rPr>
        <w:t xml:space="preserve"> in the next </w:t>
      </w:r>
      <w:r w:rsidRPr="004C6217">
        <w:rPr>
          <w:rFonts w:ascii="Times New Roman" w:hAnsi="Times New Roman"/>
          <w:noProof/>
          <w:szCs w:val="24"/>
        </w:rPr>
        <w:t>section,</w:t>
      </w:r>
      <w:r w:rsidRPr="004C6217">
        <w:rPr>
          <w:rFonts w:ascii="Times New Roman" w:hAnsi="Times New Roman"/>
          <w:szCs w:val="24"/>
        </w:rPr>
        <w:t xml:space="preserve"> </w:t>
      </w:r>
      <w:r w:rsidRPr="004C6217">
        <w:rPr>
          <w:rFonts w:ascii="Times New Roman" w:hAnsi="Times New Roman"/>
          <w:noProof/>
          <w:szCs w:val="24"/>
        </w:rPr>
        <w:t>I shall</w:t>
      </w:r>
      <w:r w:rsidRPr="004C6217">
        <w:rPr>
          <w:rFonts w:ascii="Times New Roman" w:hAnsi="Times New Roman"/>
          <w:szCs w:val="24"/>
        </w:rPr>
        <w:t xml:space="preserve"> consider </w:t>
      </w:r>
      <w:r w:rsidRPr="004C6217">
        <w:rPr>
          <w:rFonts w:ascii="Times New Roman" w:hAnsi="Times New Roman"/>
          <w:noProof/>
          <w:szCs w:val="24"/>
        </w:rPr>
        <w:t>some</w:t>
      </w:r>
      <w:r w:rsidRPr="004C6217">
        <w:rPr>
          <w:rFonts w:ascii="Times New Roman" w:hAnsi="Times New Roman"/>
          <w:szCs w:val="24"/>
        </w:rPr>
        <w:t xml:space="preserve"> of the debates concerning the voluntary migration of workers to the UK.</w:t>
      </w:r>
    </w:p>
    <w:p w14:paraId="6E38B25B" w14:textId="77777777" w:rsidR="006869A3" w:rsidRPr="004C6217" w:rsidRDefault="006869A3" w:rsidP="00811DBD">
      <w:pPr>
        <w:spacing w:after="0"/>
        <w:jc w:val="both"/>
        <w:rPr>
          <w:rFonts w:ascii="Times New Roman" w:hAnsi="Times New Roman"/>
          <w:szCs w:val="24"/>
        </w:rPr>
      </w:pPr>
    </w:p>
    <w:p w14:paraId="0833D1F9" w14:textId="77777777" w:rsidR="00811DBD" w:rsidRPr="004C6217" w:rsidRDefault="00811DBD" w:rsidP="006869A3">
      <w:pPr>
        <w:pStyle w:val="Heading2"/>
      </w:pPr>
      <w:bookmarkStart w:id="41" w:name="_Hlk51433304"/>
      <w:bookmarkStart w:id="42" w:name="_Toc86417237"/>
      <w:r w:rsidRPr="004C6217">
        <w:t>2.3. Migrant workers in the UK</w:t>
      </w:r>
      <w:bookmarkEnd w:id="42"/>
    </w:p>
    <w:p w14:paraId="470B00AB" w14:textId="43013DC3" w:rsidR="00811DBD" w:rsidRPr="004C6217" w:rsidRDefault="00811DBD" w:rsidP="006869A3">
      <w:pPr>
        <w:pStyle w:val="Heading3"/>
      </w:pPr>
      <w:bookmarkStart w:id="43" w:name="_Toc86417238"/>
      <w:r w:rsidRPr="004C6217">
        <w:t xml:space="preserve">2.3.1. </w:t>
      </w:r>
      <w:r w:rsidRPr="004C6217">
        <w:rPr>
          <w:noProof/>
        </w:rPr>
        <w:t>The trend</w:t>
      </w:r>
      <w:r w:rsidRPr="004C6217">
        <w:t xml:space="preserve"> </w:t>
      </w:r>
      <w:r>
        <w:t>i</w:t>
      </w:r>
      <w:r w:rsidRPr="004C6217">
        <w:t>n labour migration to the UK since the 1940s in brief</w:t>
      </w:r>
      <w:bookmarkEnd w:id="41"/>
      <w:bookmarkEnd w:id="43"/>
    </w:p>
    <w:p w14:paraId="0C257757" w14:textId="77777777" w:rsidR="00811DBD" w:rsidRPr="004C6217" w:rsidRDefault="00811DBD" w:rsidP="00811DBD">
      <w:pPr>
        <w:spacing w:after="0"/>
        <w:jc w:val="both"/>
        <w:rPr>
          <w:rFonts w:ascii="Times New Roman" w:hAnsi="Times New Roman"/>
          <w:noProof/>
          <w:szCs w:val="24"/>
        </w:rPr>
      </w:pPr>
      <w:r w:rsidRPr="004C6217">
        <w:rPr>
          <w:rFonts w:ascii="Times New Roman" w:hAnsi="Times New Roman"/>
          <w:szCs w:val="24"/>
        </w:rPr>
        <w:t xml:space="preserve">The migration of workers to the UK since the 1940s is well documented (Peach, 1968, 1991; Goulbourne, 2009). </w:t>
      </w:r>
      <w:r w:rsidRPr="004C6217">
        <w:rPr>
          <w:rFonts w:ascii="Times New Roman" w:hAnsi="Times New Roman"/>
          <w:noProof/>
          <w:szCs w:val="24"/>
        </w:rPr>
        <w:t xml:space="preserve">To highlight this in brief, I shall discuss two of the most recent waves of post-World War II migration, namely; </w:t>
      </w:r>
    </w:p>
    <w:p w14:paraId="14600892" w14:textId="77777777" w:rsidR="00811DBD" w:rsidRPr="004C6217" w:rsidRDefault="00811DBD" w:rsidP="00811DBD">
      <w:pPr>
        <w:numPr>
          <w:ilvl w:val="0"/>
          <w:numId w:val="9"/>
        </w:numPr>
        <w:spacing w:after="0"/>
        <w:contextualSpacing/>
        <w:jc w:val="both"/>
        <w:rPr>
          <w:rFonts w:ascii="Times New Roman" w:hAnsi="Times New Roman"/>
          <w:noProof/>
          <w:szCs w:val="24"/>
          <w:lang w:eastAsia="en-US"/>
        </w:rPr>
      </w:pPr>
      <w:r w:rsidRPr="004C6217">
        <w:rPr>
          <w:rFonts w:ascii="Times New Roman" w:hAnsi="Times New Roman"/>
          <w:noProof/>
          <w:szCs w:val="24"/>
          <w:lang w:eastAsia="en-US"/>
        </w:rPr>
        <w:t>Wave one which occurred immediately after the end of World War II (including the migration of people from Commonwealth countries to the UK from 1948 and 1973), and;</w:t>
      </w:r>
    </w:p>
    <w:p w14:paraId="433572D9" w14:textId="77777777" w:rsidR="00811DBD" w:rsidRPr="004C6217" w:rsidRDefault="00811DBD" w:rsidP="00811DBD">
      <w:pPr>
        <w:numPr>
          <w:ilvl w:val="0"/>
          <w:numId w:val="9"/>
        </w:numPr>
        <w:contextualSpacing/>
        <w:jc w:val="both"/>
        <w:rPr>
          <w:rFonts w:ascii="Times New Roman" w:hAnsi="Times New Roman"/>
          <w:szCs w:val="24"/>
          <w:lang w:eastAsia="en-US"/>
        </w:rPr>
      </w:pPr>
      <w:r w:rsidRPr="004C6217">
        <w:rPr>
          <w:rFonts w:ascii="Times New Roman" w:hAnsi="Times New Roman"/>
          <w:noProof/>
          <w:szCs w:val="24"/>
          <w:lang w:eastAsia="en-US"/>
        </w:rPr>
        <w:t>Wave two that covers the most recent migration of people from Europe following the 2004 expansion of the European Union, EU (</w:t>
      </w:r>
      <w:r w:rsidRPr="00556772">
        <w:rPr>
          <w:rFonts w:ascii="Times New Roman" w:eastAsia="MS Gothic" w:hAnsi="Times New Roman"/>
          <w:szCs w:val="24"/>
        </w:rPr>
        <w:t>Garapich, 2008</w:t>
      </w:r>
      <w:r>
        <w:rPr>
          <w:rFonts w:ascii="Times New Roman" w:eastAsia="MS Gothic" w:hAnsi="Times New Roman"/>
          <w:szCs w:val="24"/>
        </w:rPr>
        <w:t xml:space="preserve">; </w:t>
      </w:r>
      <w:r w:rsidRPr="004C6217">
        <w:rPr>
          <w:rFonts w:ascii="Times New Roman" w:hAnsi="Times New Roman"/>
          <w:noProof/>
          <w:szCs w:val="24"/>
          <w:lang w:eastAsia="en-US"/>
        </w:rPr>
        <w:t xml:space="preserve">Holland </w:t>
      </w:r>
      <w:r w:rsidRPr="00C55F53">
        <w:rPr>
          <w:rFonts w:ascii="Times New Roman" w:hAnsi="Times New Roman"/>
          <w:i/>
          <w:iCs/>
          <w:noProof/>
          <w:szCs w:val="24"/>
          <w:lang w:eastAsia="en-US"/>
        </w:rPr>
        <w:t>et al.</w:t>
      </w:r>
      <w:r w:rsidRPr="004C6217">
        <w:rPr>
          <w:rFonts w:ascii="Times New Roman" w:hAnsi="Times New Roman"/>
          <w:noProof/>
          <w:szCs w:val="24"/>
          <w:lang w:eastAsia="en-US"/>
        </w:rPr>
        <w:t>, 2011).</w:t>
      </w:r>
    </w:p>
    <w:p w14:paraId="7483D64E" w14:textId="77777777" w:rsidR="00811DBD" w:rsidRPr="004C6217" w:rsidRDefault="00811DBD" w:rsidP="00811DBD">
      <w:pPr>
        <w:spacing w:before="240"/>
        <w:jc w:val="both"/>
        <w:rPr>
          <w:rFonts w:ascii="Times New Roman" w:hAnsi="Times New Roman"/>
          <w:szCs w:val="24"/>
        </w:rPr>
      </w:pPr>
      <w:r w:rsidRPr="004C6217">
        <w:rPr>
          <w:rFonts w:ascii="Times New Roman" w:hAnsi="Times New Roman"/>
          <w:noProof/>
          <w:szCs w:val="24"/>
        </w:rPr>
        <w:t>Although other changes such as a cap on migrants from non-European Economic Area countries has occurred post the 2004 expansion, the above two waves mark a significant highlights of migration into the UK.</w:t>
      </w:r>
    </w:p>
    <w:p w14:paraId="00C168A0" w14:textId="77777777" w:rsidR="00811DBD" w:rsidRPr="004C6217" w:rsidRDefault="00811DBD" w:rsidP="00811DBD">
      <w:pPr>
        <w:jc w:val="both"/>
        <w:rPr>
          <w:rFonts w:ascii="Times New Roman" w:hAnsi="Times New Roman"/>
          <w:szCs w:val="24"/>
        </w:rPr>
      </w:pPr>
      <w:r w:rsidRPr="004C6217">
        <w:rPr>
          <w:rFonts w:ascii="Times New Roman" w:hAnsi="Times New Roman"/>
          <w:i/>
          <w:szCs w:val="24"/>
        </w:rPr>
        <w:t>Wave One</w:t>
      </w:r>
      <w:r w:rsidRPr="004C6217">
        <w:rPr>
          <w:rFonts w:ascii="Times New Roman" w:hAnsi="Times New Roman"/>
          <w:szCs w:val="24"/>
        </w:rPr>
        <w:t xml:space="preserve"> - </w:t>
      </w:r>
      <w:r w:rsidRPr="004C6217">
        <w:rPr>
          <w:rFonts w:ascii="Times New Roman" w:hAnsi="Times New Roman"/>
          <w:i/>
          <w:szCs w:val="24"/>
        </w:rPr>
        <w:t>post World War II</w:t>
      </w:r>
      <w:r w:rsidRPr="004C6217">
        <w:rPr>
          <w:rFonts w:ascii="Times New Roman" w:hAnsi="Times New Roman"/>
          <w:szCs w:val="24"/>
        </w:rPr>
        <w:t xml:space="preserve">: Following the end of the Second World War, there was a need to rebuild the infrastructure in the UK which </w:t>
      </w:r>
      <w:r w:rsidRPr="004C6217">
        <w:rPr>
          <w:rFonts w:ascii="Times New Roman" w:hAnsi="Times New Roman"/>
          <w:noProof/>
          <w:szCs w:val="24"/>
        </w:rPr>
        <w:t>necessitated the use of</w:t>
      </w:r>
      <w:r w:rsidRPr="004C6217">
        <w:rPr>
          <w:rFonts w:ascii="Times New Roman" w:hAnsi="Times New Roman"/>
          <w:szCs w:val="24"/>
        </w:rPr>
        <w:t xml:space="preserve"> migrant labour, with many of them </w:t>
      </w:r>
      <w:r w:rsidRPr="004C6217">
        <w:rPr>
          <w:rFonts w:ascii="Times New Roman" w:hAnsi="Times New Roman"/>
          <w:noProof/>
          <w:szCs w:val="24"/>
        </w:rPr>
        <w:t>actively recruited</w:t>
      </w:r>
      <w:r w:rsidRPr="004C6217">
        <w:rPr>
          <w:rFonts w:ascii="Times New Roman" w:hAnsi="Times New Roman"/>
          <w:szCs w:val="24"/>
        </w:rPr>
        <w:t xml:space="preserve"> from the Commonwealth</w:t>
      </w:r>
      <w:r w:rsidRPr="004C6217" w:rsidDel="00282929">
        <w:rPr>
          <w:rFonts w:ascii="Times New Roman" w:hAnsi="Times New Roman"/>
          <w:szCs w:val="24"/>
        </w:rPr>
        <w:t xml:space="preserve"> </w:t>
      </w:r>
      <w:r w:rsidRPr="004C6217">
        <w:rPr>
          <w:rFonts w:ascii="Times New Roman" w:hAnsi="Times New Roman"/>
          <w:szCs w:val="24"/>
        </w:rPr>
        <w:t xml:space="preserve">nations (Goulbourne, 2009). At this time citizens from the Commonwealth had </w:t>
      </w:r>
      <w:r w:rsidRPr="004C6217">
        <w:rPr>
          <w:rFonts w:ascii="Times New Roman" w:hAnsi="Times New Roman"/>
          <w:noProof/>
          <w:szCs w:val="24"/>
        </w:rPr>
        <w:t>a British</w:t>
      </w:r>
      <w:r w:rsidRPr="004C6217">
        <w:rPr>
          <w:rFonts w:ascii="Times New Roman" w:hAnsi="Times New Roman"/>
          <w:szCs w:val="24"/>
        </w:rPr>
        <w:t xml:space="preserve"> passport and were considered to be British citizens. </w:t>
      </w:r>
      <w:r w:rsidRPr="004C6217">
        <w:rPr>
          <w:rFonts w:ascii="Times New Roman" w:hAnsi="Times New Roman"/>
          <w:noProof/>
          <w:szCs w:val="24"/>
        </w:rPr>
        <w:t>However,</w:t>
      </w:r>
      <w:r w:rsidRPr="004C6217">
        <w:rPr>
          <w:rFonts w:ascii="Times New Roman" w:hAnsi="Times New Roman"/>
          <w:szCs w:val="24"/>
        </w:rPr>
        <w:t xml:space="preserve"> the </w:t>
      </w:r>
      <w:r>
        <w:rPr>
          <w:rFonts w:ascii="Times New Roman" w:hAnsi="Times New Roman"/>
          <w:szCs w:val="24"/>
        </w:rPr>
        <w:t xml:space="preserve">1962 </w:t>
      </w:r>
      <w:r w:rsidRPr="004C6217">
        <w:rPr>
          <w:rFonts w:ascii="Times New Roman" w:hAnsi="Times New Roman"/>
          <w:szCs w:val="24"/>
        </w:rPr>
        <w:t xml:space="preserve">Commonwealth </w:t>
      </w:r>
      <w:r w:rsidRPr="004C6217">
        <w:rPr>
          <w:rFonts w:ascii="Times New Roman" w:hAnsi="Times New Roman"/>
          <w:szCs w:val="24"/>
        </w:rPr>
        <w:lastRenderedPageBreak/>
        <w:t xml:space="preserve">Immigration Act </w:t>
      </w:r>
      <w:r>
        <w:rPr>
          <w:rFonts w:ascii="Times New Roman" w:hAnsi="Times New Roman"/>
          <w:szCs w:val="24"/>
        </w:rPr>
        <w:t>(</w:t>
      </w:r>
      <w:r w:rsidRPr="004C6217">
        <w:rPr>
          <w:rFonts w:ascii="Times New Roman" w:hAnsi="Times New Roman"/>
          <w:szCs w:val="24"/>
        </w:rPr>
        <w:t>amended in 1971</w:t>
      </w:r>
      <w:r>
        <w:rPr>
          <w:rFonts w:ascii="Times New Roman" w:hAnsi="Times New Roman"/>
          <w:szCs w:val="24"/>
        </w:rPr>
        <w:t>)</w:t>
      </w:r>
      <w:r w:rsidRPr="004C6217">
        <w:rPr>
          <w:rFonts w:ascii="Times New Roman" w:hAnsi="Times New Roman"/>
          <w:szCs w:val="24"/>
        </w:rPr>
        <w:t xml:space="preserve"> (</w:t>
      </w:r>
      <w:r>
        <w:rPr>
          <w:rFonts w:ascii="Times New Roman" w:hAnsi="Times New Roman"/>
          <w:szCs w:val="24"/>
        </w:rPr>
        <w:t xml:space="preserve">House of Common, </w:t>
      </w:r>
      <w:r w:rsidRPr="004C6217">
        <w:rPr>
          <w:rFonts w:ascii="Times New Roman" w:hAnsi="Times New Roman"/>
          <w:szCs w:val="24"/>
        </w:rPr>
        <w:t>1962</w:t>
      </w:r>
      <w:r>
        <w:rPr>
          <w:rFonts w:ascii="Times New Roman" w:hAnsi="Times New Roman"/>
          <w:szCs w:val="24"/>
        </w:rPr>
        <w:t>; 1971),</w:t>
      </w:r>
      <w:r w:rsidRPr="004C6217">
        <w:rPr>
          <w:rFonts w:ascii="Times New Roman" w:hAnsi="Times New Roman"/>
          <w:szCs w:val="24"/>
        </w:rPr>
        <w:t xml:space="preserve"> made </w:t>
      </w:r>
      <w:r w:rsidRPr="004C6217">
        <w:rPr>
          <w:rFonts w:ascii="Times New Roman" w:hAnsi="Times New Roman"/>
          <w:noProof/>
          <w:szCs w:val="24"/>
        </w:rPr>
        <w:t>migration</w:t>
      </w:r>
      <w:r w:rsidRPr="004C6217">
        <w:rPr>
          <w:rFonts w:ascii="Times New Roman" w:hAnsi="Times New Roman"/>
          <w:szCs w:val="24"/>
        </w:rPr>
        <w:t xml:space="preserve"> to the UK much more restrictive and monitored by putting an end to the universal Commonwealth citizenship which in some sense could be seen as a final acceptance to the end of the British Empire (Consterdine, 2017). Consequently, migration from many of the Commonwealth countries which peaked in the 1960s had by 1973 effectively come to an end. Although in the years that followed the recruitment of migrant workers continued, it was mainly through the direct recruitment of workers mostly from Commonwealth countries (Buchan</w:t>
      </w:r>
      <w:r>
        <w:rPr>
          <w:rFonts w:ascii="Times New Roman" w:hAnsi="Times New Roman"/>
          <w:szCs w:val="24"/>
        </w:rPr>
        <w:t xml:space="preserve"> </w:t>
      </w:r>
      <w:r w:rsidRPr="00C55F53">
        <w:rPr>
          <w:rFonts w:ascii="Times New Roman" w:hAnsi="Times New Roman"/>
          <w:i/>
          <w:iCs/>
          <w:szCs w:val="24"/>
        </w:rPr>
        <w:t>et al.</w:t>
      </w:r>
      <w:r w:rsidRPr="004C6217">
        <w:rPr>
          <w:rFonts w:ascii="Times New Roman" w:hAnsi="Times New Roman"/>
          <w:szCs w:val="24"/>
        </w:rPr>
        <w:t>, 2005). It is important to note that Nigeria, being part of the Commonwealth during this wave of migration into the UK, was subject to the same migratory rules that applied to the Commonwealth at the time (Slaven and Boswell, 201</w:t>
      </w:r>
      <w:r>
        <w:rPr>
          <w:rFonts w:ascii="Times New Roman" w:hAnsi="Times New Roman"/>
          <w:szCs w:val="24"/>
        </w:rPr>
        <w:t>9</w:t>
      </w:r>
      <w:r w:rsidRPr="004C6217">
        <w:rPr>
          <w:rFonts w:ascii="Times New Roman" w:hAnsi="Times New Roman"/>
          <w:szCs w:val="24"/>
        </w:rPr>
        <w:t>).</w:t>
      </w:r>
    </w:p>
    <w:p w14:paraId="16D76006" w14:textId="77777777" w:rsidR="00811DBD" w:rsidRPr="004C6217" w:rsidRDefault="00811DBD" w:rsidP="00811DBD">
      <w:pPr>
        <w:spacing w:before="240" w:after="0"/>
        <w:jc w:val="both"/>
        <w:rPr>
          <w:rFonts w:ascii="Times New Roman" w:hAnsi="Times New Roman"/>
          <w:szCs w:val="24"/>
        </w:rPr>
      </w:pPr>
      <w:r w:rsidRPr="004C6217">
        <w:rPr>
          <w:rFonts w:ascii="Times New Roman" w:hAnsi="Times New Roman"/>
          <w:i/>
          <w:szCs w:val="24"/>
        </w:rPr>
        <w:t>Wave Two</w:t>
      </w:r>
      <w:r w:rsidRPr="004C6217">
        <w:rPr>
          <w:i/>
        </w:rPr>
        <w:t xml:space="preserve"> - </w:t>
      </w:r>
      <w:r w:rsidRPr="004C6217">
        <w:rPr>
          <w:rFonts w:ascii="Times New Roman" w:hAnsi="Times New Roman"/>
          <w:i/>
          <w:szCs w:val="24"/>
        </w:rPr>
        <w:t>more recent migration</w:t>
      </w:r>
      <w:r w:rsidRPr="004C6217">
        <w:rPr>
          <w:rFonts w:ascii="Times New Roman" w:hAnsi="Times New Roman"/>
          <w:szCs w:val="24"/>
        </w:rPr>
        <w:t xml:space="preserve">: Apart from migration from the Commonwealth, the UK also has a history of migration from the rest of Europe, particularly Eastern Europe. The most recent wave of European migration to the UK occurred in 2004 after the expansion of the EU, with over 1.4 million people from Eastern Europe migrating to the UK </w:t>
      </w:r>
      <w:r w:rsidRPr="004C6217">
        <w:rPr>
          <w:rFonts w:ascii="Times New Roman" w:hAnsi="Times New Roman"/>
          <w:noProof/>
          <w:szCs w:val="24"/>
        </w:rPr>
        <w:t>in the space of</w:t>
      </w:r>
      <w:r w:rsidRPr="004C6217">
        <w:rPr>
          <w:rFonts w:ascii="Times New Roman" w:hAnsi="Times New Roman"/>
          <w:szCs w:val="24"/>
        </w:rPr>
        <w:t xml:space="preserve"> 5 years (</w:t>
      </w:r>
      <w:r w:rsidRPr="004C6217">
        <w:rPr>
          <w:rFonts w:ascii="Times New Roman" w:hAnsi="Times New Roman"/>
          <w:bCs/>
          <w:szCs w:val="24"/>
        </w:rPr>
        <w:t>James and Karmowska, 2012</w:t>
      </w:r>
      <w:r w:rsidRPr="004C6217">
        <w:rPr>
          <w:rFonts w:ascii="Times New Roman" w:hAnsi="Times New Roman"/>
          <w:szCs w:val="24"/>
        </w:rPr>
        <w:t>). This was due in part to the UK’s decision (along with Sweden and Ireland), to allow unrestricted permission of residence and work to citizens from the EU A8 Ascension countries.</w:t>
      </w:r>
    </w:p>
    <w:p w14:paraId="04BAB344" w14:textId="71D8E1D0" w:rsidR="00166305" w:rsidRPr="004C6217" w:rsidRDefault="00811DBD" w:rsidP="00811DBD">
      <w:pPr>
        <w:spacing w:before="240"/>
        <w:jc w:val="both"/>
        <w:rPr>
          <w:rFonts w:ascii="Times New Roman" w:hAnsi="Times New Roman"/>
          <w:szCs w:val="24"/>
        </w:rPr>
      </w:pPr>
      <w:r w:rsidRPr="004C6217">
        <w:rPr>
          <w:rFonts w:ascii="Times New Roman" w:hAnsi="Times New Roman"/>
          <w:noProof/>
          <w:szCs w:val="24"/>
        </w:rPr>
        <w:t>While migrants have not always been made welcome in the UK (Green and Hogarth, 2017), it can be argued that people who migrated to the UK in these two waves of migration were mostly of the working age (Ruiz and Vargas-Silva, 2018). They offered the UK the much-needed workforce at the time and contributed to the national economy (London School of Economic and Political Science, LSE, 2007).</w:t>
      </w:r>
      <w:r w:rsidRPr="004C6217">
        <w:rPr>
          <w:rFonts w:ascii="Times New Roman" w:hAnsi="Times New Roman"/>
          <w:szCs w:val="24"/>
        </w:rPr>
        <w:t xml:space="preserve"> </w:t>
      </w:r>
      <w:r w:rsidRPr="004C6217">
        <w:rPr>
          <w:rFonts w:ascii="Times New Roman" w:hAnsi="Times New Roman"/>
          <w:noProof/>
          <w:szCs w:val="24"/>
        </w:rPr>
        <w:t>Also</w:t>
      </w:r>
      <w:r w:rsidRPr="004C6217">
        <w:rPr>
          <w:rFonts w:ascii="Times New Roman" w:hAnsi="Times New Roman"/>
          <w:szCs w:val="24"/>
        </w:rPr>
        <w:t xml:space="preserve">, it might </w:t>
      </w:r>
      <w:r w:rsidRPr="004C6217">
        <w:rPr>
          <w:rFonts w:ascii="Times New Roman" w:hAnsi="Times New Roman"/>
          <w:noProof/>
          <w:szCs w:val="24"/>
        </w:rPr>
        <w:t>be suggested</w:t>
      </w:r>
      <w:r w:rsidRPr="004C6217">
        <w:rPr>
          <w:rFonts w:ascii="Times New Roman" w:hAnsi="Times New Roman"/>
          <w:szCs w:val="24"/>
        </w:rPr>
        <w:t xml:space="preserve"> that their demographic characteristics support their suitability for employment (Migration Observatory, 2016).</w:t>
      </w:r>
    </w:p>
    <w:p w14:paraId="07817FC8" w14:textId="77777777" w:rsidR="00811DBD" w:rsidRPr="004C6217" w:rsidRDefault="00811DBD" w:rsidP="006869A3">
      <w:pPr>
        <w:pStyle w:val="Heading3"/>
      </w:pPr>
      <w:bookmarkStart w:id="44" w:name="_Hlk51433646"/>
      <w:bookmarkStart w:id="45" w:name="_Toc86417239"/>
      <w:r w:rsidRPr="004C6217">
        <w:t>2.3.2. Demographic characteristics: age and gender</w:t>
      </w:r>
      <w:bookmarkEnd w:id="44"/>
      <w:bookmarkEnd w:id="45"/>
    </w:p>
    <w:p w14:paraId="0E0FD967" w14:textId="77777777" w:rsidR="00811DBD" w:rsidRDefault="00811DBD" w:rsidP="00811DBD">
      <w:pPr>
        <w:spacing w:after="0"/>
        <w:jc w:val="both"/>
        <w:rPr>
          <w:rFonts w:ascii="Times New Roman" w:hAnsi="Times New Roman"/>
          <w:szCs w:val="24"/>
        </w:rPr>
      </w:pPr>
      <w:r w:rsidRPr="004C6217">
        <w:rPr>
          <w:rFonts w:ascii="Times New Roman" w:hAnsi="Times New Roman"/>
          <w:szCs w:val="24"/>
        </w:rPr>
        <w:t xml:space="preserve">Although migrants in the UK are a diverse group, typically, </w:t>
      </w:r>
      <w:r>
        <w:rPr>
          <w:rFonts w:ascii="Times New Roman" w:hAnsi="Times New Roman"/>
          <w:szCs w:val="24"/>
        </w:rPr>
        <w:t>they</w:t>
      </w:r>
      <w:r w:rsidRPr="004C6217">
        <w:rPr>
          <w:rFonts w:ascii="Times New Roman" w:hAnsi="Times New Roman"/>
          <w:szCs w:val="24"/>
        </w:rPr>
        <w:t xml:space="preserve"> arrive the UK as young adults (Office for National Statistics</w:t>
      </w:r>
      <w:r>
        <w:rPr>
          <w:rFonts w:ascii="Times New Roman" w:hAnsi="Times New Roman"/>
          <w:szCs w:val="24"/>
        </w:rPr>
        <w:t>,</w:t>
      </w:r>
      <w:r w:rsidRPr="004C6217">
        <w:rPr>
          <w:rFonts w:ascii="Times New Roman" w:hAnsi="Times New Roman"/>
          <w:szCs w:val="24"/>
        </w:rPr>
        <w:t xml:space="preserve"> ONS</w:t>
      </w:r>
      <w:r>
        <w:rPr>
          <w:rFonts w:ascii="Times New Roman" w:hAnsi="Times New Roman"/>
          <w:szCs w:val="24"/>
        </w:rPr>
        <w:t>,</w:t>
      </w:r>
      <w:r w:rsidRPr="004C6217">
        <w:rPr>
          <w:rFonts w:ascii="Times New Roman" w:hAnsi="Times New Roman"/>
          <w:szCs w:val="24"/>
        </w:rPr>
        <w:t xml:space="preserve"> 2016), </w:t>
      </w:r>
      <w:r w:rsidRPr="004C6217">
        <w:rPr>
          <w:rFonts w:ascii="Times New Roman" w:hAnsi="Times New Roman"/>
          <w:noProof/>
          <w:szCs w:val="24"/>
        </w:rPr>
        <w:t>with the</w:t>
      </w:r>
      <w:r w:rsidRPr="004C6217">
        <w:rPr>
          <w:rFonts w:ascii="Times New Roman" w:hAnsi="Times New Roman"/>
          <w:szCs w:val="24"/>
        </w:rPr>
        <w:t xml:space="preserve"> Labour Force Survey indicating that about </w:t>
      </w:r>
      <w:r w:rsidRPr="004C6217">
        <w:rPr>
          <w:rFonts w:ascii="Times New Roman" w:hAnsi="Times New Roman"/>
          <w:noProof/>
          <w:szCs w:val="24"/>
        </w:rPr>
        <w:t>one-third</w:t>
      </w:r>
      <w:r w:rsidRPr="004C6217">
        <w:rPr>
          <w:rFonts w:ascii="Times New Roman" w:hAnsi="Times New Roman"/>
          <w:szCs w:val="24"/>
        </w:rPr>
        <w:t xml:space="preserve"> of foreign-born migrants living in the UK are under the age of 30 (ONS</w:t>
      </w:r>
      <w:r>
        <w:rPr>
          <w:rFonts w:ascii="Times New Roman" w:hAnsi="Times New Roman"/>
          <w:szCs w:val="24"/>
        </w:rPr>
        <w:t>,</w:t>
      </w:r>
      <w:r w:rsidRPr="004C6217">
        <w:rPr>
          <w:rFonts w:ascii="Times New Roman" w:hAnsi="Times New Roman"/>
          <w:szCs w:val="24"/>
        </w:rPr>
        <w:t xml:space="preserve"> 2016). </w:t>
      </w:r>
      <w:r w:rsidRPr="004C6217">
        <w:rPr>
          <w:rFonts w:ascii="Times New Roman" w:hAnsi="Times New Roman"/>
          <w:noProof/>
          <w:szCs w:val="24"/>
        </w:rPr>
        <w:t>Notably, the</w:t>
      </w:r>
      <w:r w:rsidRPr="004C6217">
        <w:rPr>
          <w:rFonts w:ascii="Times New Roman" w:hAnsi="Times New Roman"/>
          <w:szCs w:val="24"/>
        </w:rPr>
        <w:t xml:space="preserve"> 2011 UK Census suggests that approximately 83% </w:t>
      </w:r>
      <w:r w:rsidRPr="004C6217">
        <w:rPr>
          <w:rFonts w:ascii="Times New Roman" w:hAnsi="Times New Roman"/>
          <w:szCs w:val="24"/>
        </w:rPr>
        <w:lastRenderedPageBreak/>
        <w:t>of foreign-born migrants in the UK were under the age of 35 years (ONS</w:t>
      </w:r>
      <w:r>
        <w:rPr>
          <w:rFonts w:ascii="Times New Roman" w:hAnsi="Times New Roman"/>
          <w:szCs w:val="24"/>
        </w:rPr>
        <w:t>,</w:t>
      </w:r>
      <w:r w:rsidRPr="004C6217">
        <w:rPr>
          <w:rFonts w:ascii="Times New Roman" w:hAnsi="Times New Roman"/>
          <w:szCs w:val="24"/>
        </w:rPr>
        <w:t xml:space="preserve"> 2016), while </w:t>
      </w:r>
      <w:r>
        <w:rPr>
          <w:rFonts w:ascii="Times New Roman" w:hAnsi="Times New Roman"/>
          <w:szCs w:val="24"/>
        </w:rPr>
        <w:t>an</w:t>
      </w:r>
      <w:r w:rsidRPr="004C6217">
        <w:rPr>
          <w:rFonts w:ascii="Times New Roman" w:hAnsi="Times New Roman"/>
          <w:szCs w:val="24"/>
        </w:rPr>
        <w:t xml:space="preserve">other research suggests that half of those people who arrived in recent years have been under the age of 25 (Markaki, 2015). Estimates indicate that in 2016, about 17.9% of the UK working-age population </w:t>
      </w:r>
      <w:r>
        <w:rPr>
          <w:rFonts w:ascii="Times New Roman" w:hAnsi="Times New Roman"/>
          <w:szCs w:val="24"/>
        </w:rPr>
        <w:t>were</w:t>
      </w:r>
      <w:r w:rsidRPr="004C6217">
        <w:rPr>
          <w:rFonts w:ascii="Times New Roman" w:hAnsi="Times New Roman"/>
          <w:szCs w:val="24"/>
        </w:rPr>
        <w:t xml:space="preserve"> migrants, up from 8.2% in 1995 (Wadsworth, 2017).</w:t>
      </w:r>
    </w:p>
    <w:p w14:paraId="1113EB4F" w14:textId="77777777" w:rsidR="00811DBD" w:rsidRPr="004C6217" w:rsidRDefault="00811DBD" w:rsidP="00811DBD">
      <w:pPr>
        <w:spacing w:before="240"/>
        <w:jc w:val="both"/>
        <w:rPr>
          <w:rFonts w:ascii="Times New Roman" w:hAnsi="Times New Roman"/>
          <w:szCs w:val="24"/>
        </w:rPr>
      </w:pPr>
      <w:r w:rsidRPr="004C6217">
        <w:rPr>
          <w:rFonts w:ascii="Times New Roman" w:hAnsi="Times New Roman"/>
          <w:szCs w:val="24"/>
        </w:rPr>
        <w:t>The gender composition of international migrants globally shows that about 47.9% are females, but it ranged between 43.4</w:t>
      </w:r>
      <w:r>
        <w:rPr>
          <w:rFonts w:ascii="Times New Roman" w:hAnsi="Times New Roman"/>
          <w:szCs w:val="24"/>
        </w:rPr>
        <w:t>%</w:t>
      </w:r>
      <w:r w:rsidRPr="004C6217">
        <w:rPr>
          <w:rFonts w:ascii="Times New Roman" w:hAnsi="Times New Roman"/>
          <w:szCs w:val="24"/>
        </w:rPr>
        <w:t xml:space="preserve"> in the less developed regions to 51.5</w:t>
      </w:r>
      <w:r>
        <w:rPr>
          <w:rFonts w:ascii="Times New Roman" w:hAnsi="Times New Roman"/>
          <w:szCs w:val="24"/>
        </w:rPr>
        <w:t>%</w:t>
      </w:r>
      <w:r w:rsidRPr="004C6217">
        <w:rPr>
          <w:rFonts w:ascii="Times New Roman" w:hAnsi="Times New Roman"/>
          <w:szCs w:val="24"/>
        </w:rPr>
        <w:t xml:space="preserve"> in more developed regions (UN DESA, 2019)</w:t>
      </w:r>
      <w:r w:rsidRPr="004C6217">
        <w:rPr>
          <w:rFonts w:ascii="Times New Roman" w:hAnsi="Times New Roman"/>
          <w:noProof/>
          <w:szCs w:val="24"/>
        </w:rPr>
        <w:t>. This is similar to statistics in the UK which shows that in 2018, 52% of migrants in the UK were women (</w:t>
      </w:r>
      <w:r w:rsidRPr="004C6217">
        <w:rPr>
          <w:rFonts w:ascii="Times New Roman" w:hAnsi="Times New Roman"/>
          <w:szCs w:val="24"/>
        </w:rPr>
        <w:t>Migration Observatory, 2019; Sturge, 2020</w:t>
      </w:r>
      <w:r w:rsidRPr="004C6217">
        <w:rPr>
          <w:rFonts w:ascii="Times New Roman" w:hAnsi="Times New Roman"/>
          <w:noProof/>
          <w:szCs w:val="24"/>
        </w:rPr>
        <w:t xml:space="preserve">). </w:t>
      </w:r>
      <w:r w:rsidRPr="004C6217">
        <w:rPr>
          <w:rFonts w:ascii="Times New Roman" w:hAnsi="Times New Roman"/>
          <w:szCs w:val="24"/>
        </w:rPr>
        <w:t xml:space="preserve">Although the gender representation in the UK workforce is evenly divided, there is a significant imbalance in the gender composition </w:t>
      </w:r>
      <w:r w:rsidRPr="004C6217">
        <w:rPr>
          <w:rFonts w:ascii="Times New Roman" w:hAnsi="Times New Roman"/>
          <w:noProof/>
          <w:szCs w:val="24"/>
        </w:rPr>
        <w:t>with reference to</w:t>
      </w:r>
      <w:r w:rsidRPr="004C6217">
        <w:rPr>
          <w:rFonts w:ascii="Times New Roman" w:hAnsi="Times New Roman"/>
          <w:szCs w:val="24"/>
        </w:rPr>
        <w:t xml:space="preserve"> migrant workers in the social care sector (Ashcroft, 2014; </w:t>
      </w:r>
      <w:r w:rsidRPr="004C6217">
        <w:rPr>
          <w:rFonts w:ascii="Times New Roman" w:eastAsia="MS Mincho" w:hAnsi="Times New Roman"/>
          <w:szCs w:val="24"/>
        </w:rPr>
        <w:t>Learner</w:t>
      </w:r>
      <w:r w:rsidRPr="004C6217">
        <w:rPr>
          <w:rFonts w:ascii="Times New Roman" w:hAnsi="Times New Roman"/>
          <w:szCs w:val="24"/>
        </w:rPr>
        <w:t xml:space="preserve"> and </w:t>
      </w:r>
      <w:r w:rsidRPr="004C6217">
        <w:rPr>
          <w:rFonts w:ascii="Times New Roman" w:eastAsia="MS Mincho" w:hAnsi="Times New Roman"/>
          <w:szCs w:val="24"/>
        </w:rPr>
        <w:t>Nazarko</w:t>
      </w:r>
      <w:r w:rsidRPr="004C6217">
        <w:rPr>
          <w:rFonts w:ascii="Times New Roman" w:hAnsi="Times New Roman"/>
          <w:szCs w:val="24"/>
        </w:rPr>
        <w:t xml:space="preserve">, 2014). </w:t>
      </w:r>
      <w:r>
        <w:rPr>
          <w:rFonts w:ascii="Times New Roman" w:hAnsi="Times New Roman"/>
          <w:szCs w:val="24"/>
        </w:rPr>
        <w:t>T</w:t>
      </w:r>
      <w:r w:rsidRPr="004C6217">
        <w:rPr>
          <w:rFonts w:ascii="Times New Roman" w:hAnsi="Times New Roman"/>
          <w:szCs w:val="24"/>
        </w:rPr>
        <w:t xml:space="preserve">he traditional characteristic of care being a gendered work or profession </w:t>
      </w:r>
      <w:r w:rsidRPr="004C6217">
        <w:rPr>
          <w:rFonts w:ascii="Times New Roman" w:hAnsi="Times New Roman"/>
          <w:noProof/>
          <w:szCs w:val="24"/>
        </w:rPr>
        <w:t>is also reflected</w:t>
      </w:r>
      <w:r w:rsidRPr="004C6217">
        <w:rPr>
          <w:rFonts w:ascii="Times New Roman" w:hAnsi="Times New Roman"/>
          <w:szCs w:val="24"/>
        </w:rPr>
        <w:t xml:space="preserve"> in the number of men working in the care sector in comparison to women. Although women have dominated the sector for a long time, recent statistics shows the proportion of men taking up work in care is rising particularly amongst migrants with 31% of male migrants working in care, compared to just 13% of UK-born men working in care (Hussein </w:t>
      </w:r>
      <w:r w:rsidRPr="00C55F53">
        <w:rPr>
          <w:rFonts w:ascii="Times New Roman" w:hAnsi="Times New Roman"/>
          <w:i/>
          <w:iCs/>
          <w:szCs w:val="24"/>
        </w:rPr>
        <w:t>et al.</w:t>
      </w:r>
      <w:r w:rsidRPr="004C6217">
        <w:rPr>
          <w:rFonts w:ascii="Times New Roman" w:hAnsi="Times New Roman"/>
          <w:szCs w:val="24"/>
        </w:rPr>
        <w:t>, 2014).</w:t>
      </w:r>
    </w:p>
    <w:p w14:paraId="4436F397" w14:textId="77777777" w:rsidR="00811DBD" w:rsidRPr="004C6217" w:rsidRDefault="00811DBD" w:rsidP="006869A3">
      <w:pPr>
        <w:pStyle w:val="Heading3"/>
      </w:pPr>
      <w:bookmarkStart w:id="46" w:name="_Hlk51433709"/>
      <w:bookmarkStart w:id="47" w:name="_Toc86417240"/>
      <w:r w:rsidRPr="004C6217">
        <w:t>2.3.3. Educational background</w:t>
      </w:r>
      <w:bookmarkEnd w:id="46"/>
      <w:bookmarkEnd w:id="47"/>
    </w:p>
    <w:p w14:paraId="0B2BC30C" w14:textId="77777777" w:rsidR="00811DBD" w:rsidRDefault="00811DBD" w:rsidP="00811DBD">
      <w:pPr>
        <w:jc w:val="both"/>
        <w:rPr>
          <w:rFonts w:ascii="Times New Roman" w:hAnsi="Times New Roman"/>
          <w:szCs w:val="24"/>
        </w:rPr>
      </w:pPr>
      <w:r w:rsidRPr="004C6217">
        <w:rPr>
          <w:rFonts w:ascii="Times New Roman" w:hAnsi="Times New Roman"/>
          <w:noProof/>
          <w:szCs w:val="24"/>
        </w:rPr>
        <w:t>Because the current study looked at the background of the migrant workers who participated in the study, I thought it would also be useful to take a brief look at the data on the academic qualification of migrant workers in the UK. National census figures indicate that more than half (57%) of EU migrant workers and 52% migrant workers from outside the EU had a degree (ONS, 2016), compared to just one-third (33%) of UK-born workers who had a degree or equivalent qualifications.</w:t>
      </w:r>
      <w:r w:rsidRPr="004C6217">
        <w:rPr>
          <w:rFonts w:ascii="Times New Roman" w:hAnsi="Times New Roman"/>
          <w:szCs w:val="24"/>
        </w:rPr>
        <w:t xml:space="preserve"> Migrant workers, both men and women, showed more educational attainment than UK-born counterparts with recent figures showing that nearly one in two migrants were in the highest educational category compared to one in three UK-born workers (General Social Care Council, GSCC, 2010; Rienzo, 2018).</w:t>
      </w:r>
    </w:p>
    <w:p w14:paraId="28E65903"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lastRenderedPageBreak/>
        <w:t xml:space="preserve">However, researches suggest that high educational attainment does not give migrant workers any advantage concerning the kind of job in which they are employed (Battu and Sloane, 2004; Lindley, 2006; Leuven and Oosterbeek, 2011; Baert </w:t>
      </w:r>
      <w:r w:rsidRPr="00C55F53">
        <w:rPr>
          <w:rFonts w:ascii="Times New Roman" w:hAnsi="Times New Roman"/>
          <w:i/>
          <w:iCs/>
          <w:noProof/>
          <w:szCs w:val="24"/>
        </w:rPr>
        <w:t>et al.</w:t>
      </w:r>
      <w:r w:rsidRPr="004C6217">
        <w:rPr>
          <w:rFonts w:ascii="Times New Roman" w:hAnsi="Times New Roman"/>
          <w:noProof/>
          <w:szCs w:val="24"/>
        </w:rPr>
        <w:t xml:space="preserve">, 2013). </w:t>
      </w:r>
      <w:r>
        <w:rPr>
          <w:rFonts w:ascii="Times New Roman" w:hAnsi="Times New Roman"/>
          <w:noProof/>
          <w:szCs w:val="24"/>
        </w:rPr>
        <w:t>M</w:t>
      </w:r>
      <w:r w:rsidRPr="004C6217">
        <w:rPr>
          <w:rFonts w:ascii="Times New Roman" w:hAnsi="Times New Roman"/>
          <w:noProof/>
          <w:szCs w:val="24"/>
        </w:rPr>
        <w:t xml:space="preserve">igrants with high educational achievements </w:t>
      </w:r>
      <w:r>
        <w:rPr>
          <w:rFonts w:ascii="Times New Roman" w:hAnsi="Times New Roman"/>
          <w:noProof/>
          <w:szCs w:val="24"/>
        </w:rPr>
        <w:t xml:space="preserve">often </w:t>
      </w:r>
      <w:r w:rsidRPr="004C6217">
        <w:rPr>
          <w:rFonts w:ascii="Times New Roman" w:hAnsi="Times New Roman"/>
          <w:noProof/>
          <w:szCs w:val="24"/>
        </w:rPr>
        <w:t>end  up doing an unskilled or a low-skilled job, such as working as a care worker, which does not require high professional qualification (Gospel and Lewis, 2011; Gospel, 2015).</w:t>
      </w:r>
      <w:r w:rsidRPr="004C6217">
        <w:rPr>
          <w:rFonts w:ascii="Times New Roman" w:hAnsi="Times New Roman"/>
          <w:szCs w:val="24"/>
        </w:rPr>
        <w:t xml:space="preserve"> While the sections above have highlighted some of the characteristics of people who migrate to the UK, in the following section, an overview of some of the theoretical models that seek to explain why people migrate will be explored.</w:t>
      </w:r>
    </w:p>
    <w:p w14:paraId="27F17DAA" w14:textId="77777777" w:rsidR="00811DBD" w:rsidRPr="004C6217" w:rsidRDefault="00811DBD" w:rsidP="006869A3">
      <w:pPr>
        <w:pStyle w:val="Heading2"/>
      </w:pPr>
      <w:bookmarkStart w:id="48" w:name="_Toc86417241"/>
      <w:r w:rsidRPr="004C6217">
        <w:t>2.4. Migration theories</w:t>
      </w:r>
      <w:bookmarkEnd w:id="48"/>
    </w:p>
    <w:p w14:paraId="766EB7B9" w14:textId="77777777" w:rsidR="00811DBD" w:rsidRPr="004C6217" w:rsidRDefault="00811DBD" w:rsidP="00811DBD">
      <w:pPr>
        <w:spacing w:before="240" w:after="0"/>
        <w:jc w:val="both"/>
        <w:rPr>
          <w:rFonts w:ascii="Times New Roman" w:hAnsi="Times New Roman"/>
          <w:szCs w:val="24"/>
        </w:rPr>
      </w:pPr>
      <w:r w:rsidRPr="004C6217">
        <w:rPr>
          <w:rFonts w:ascii="Times New Roman" w:hAnsi="Times New Roman"/>
          <w:szCs w:val="24"/>
        </w:rPr>
        <w:t xml:space="preserve">Although there are a wide range of theories that seek to explain why people migrate, some of the dominant theories are the ‘neoclassical theory’, the ‘push-pull theory’, ‘push-pull-moor framework’, the ‘new economic labour migration theory’, the ‘family migration theory’ and ‘family network theory’ (Massey </w:t>
      </w:r>
      <w:r w:rsidRPr="00C55F53">
        <w:rPr>
          <w:rFonts w:ascii="Times New Roman" w:hAnsi="Times New Roman"/>
          <w:i/>
          <w:iCs/>
          <w:szCs w:val="24"/>
        </w:rPr>
        <w:t>et al.</w:t>
      </w:r>
      <w:r w:rsidRPr="004C6217">
        <w:rPr>
          <w:rFonts w:ascii="Times New Roman" w:hAnsi="Times New Roman"/>
          <w:szCs w:val="24"/>
        </w:rPr>
        <w:t xml:space="preserve">, 1993; Arango, 2004). However, as Massey </w:t>
      </w:r>
      <w:r w:rsidRPr="00C55F53">
        <w:rPr>
          <w:rFonts w:ascii="Times New Roman" w:hAnsi="Times New Roman"/>
          <w:i/>
          <w:iCs/>
          <w:noProof/>
          <w:szCs w:val="24"/>
        </w:rPr>
        <w:t>et al.</w:t>
      </w:r>
      <w:r w:rsidRPr="004C6217">
        <w:rPr>
          <w:rFonts w:ascii="Times New Roman" w:hAnsi="Times New Roman"/>
          <w:szCs w:val="24"/>
        </w:rPr>
        <w:t xml:space="preserve"> (1993, p.432) points out:</w:t>
      </w:r>
    </w:p>
    <w:p w14:paraId="108B33AA" w14:textId="77777777" w:rsidR="00811DBD" w:rsidRPr="004C6217" w:rsidRDefault="00811DBD" w:rsidP="00811DBD">
      <w:pPr>
        <w:spacing w:before="240"/>
        <w:jc w:val="both"/>
        <w:rPr>
          <w:rFonts w:ascii="Times New Roman" w:hAnsi="Times New Roman"/>
          <w:szCs w:val="24"/>
        </w:rPr>
      </w:pPr>
      <w:r w:rsidRPr="004C6217">
        <w:rPr>
          <w:rFonts w:ascii="Times New Roman" w:hAnsi="Times New Roman"/>
          <w:szCs w:val="24"/>
        </w:rPr>
        <w:t>“</w:t>
      </w:r>
      <w:r w:rsidRPr="004C6217">
        <w:rPr>
          <w:rFonts w:ascii="Times New Roman" w:hAnsi="Times New Roman"/>
          <w:i/>
          <w:szCs w:val="24"/>
        </w:rPr>
        <w:t xml:space="preserve">Current patterns and trends in immigration, however, suggest that a full understanding of contemporary migratory processes </w:t>
      </w:r>
      <w:r w:rsidRPr="004C6217">
        <w:rPr>
          <w:rFonts w:ascii="Times New Roman" w:hAnsi="Times New Roman"/>
          <w:i/>
          <w:noProof/>
          <w:szCs w:val="24"/>
        </w:rPr>
        <w:t>will not be achieved by relying on the</w:t>
      </w:r>
      <w:r w:rsidRPr="004C6217">
        <w:rPr>
          <w:rFonts w:ascii="Times New Roman" w:hAnsi="Times New Roman"/>
          <w:i/>
          <w:szCs w:val="24"/>
        </w:rPr>
        <w:t xml:space="preserve"> tools of one discipline alone, or by focusing on a single level of analysis. Rather, their complex, multifaceted nature requires a sophisticated theory that incorporates a variety of perspectives, levels, and assumptions.”</w:t>
      </w:r>
    </w:p>
    <w:p w14:paraId="4749B32F"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t>It therefore follows that to understand the complexity of migration, a cross-disciplinary approach involving the economic, sociological, psychological, as well as gender perspectives would be useful. Merging these perspectives involves recognising their strengths and acknowledging their weaknesses in explaining the global migration of care workers in general and the migration of care worker to the UK.</w:t>
      </w:r>
      <w:r w:rsidRPr="004C6217">
        <w:rPr>
          <w:rFonts w:ascii="Times New Roman" w:hAnsi="Times New Roman"/>
          <w:szCs w:val="24"/>
        </w:rPr>
        <w:t xml:space="preserve"> In the following sections, </w:t>
      </w:r>
      <w:r w:rsidRPr="004C6217">
        <w:rPr>
          <w:rFonts w:ascii="Times New Roman" w:hAnsi="Times New Roman"/>
          <w:noProof/>
          <w:szCs w:val="24"/>
        </w:rPr>
        <w:t>I</w:t>
      </w:r>
      <w:r w:rsidRPr="004C6217">
        <w:rPr>
          <w:rFonts w:ascii="Times New Roman" w:hAnsi="Times New Roman"/>
          <w:szCs w:val="24"/>
        </w:rPr>
        <w:t xml:space="preserve"> offer a short overview of these theories </w:t>
      </w:r>
      <w:r w:rsidRPr="004C6217">
        <w:rPr>
          <w:rFonts w:ascii="Times New Roman" w:hAnsi="Times New Roman"/>
          <w:noProof/>
          <w:szCs w:val="24"/>
        </w:rPr>
        <w:t>to</w:t>
      </w:r>
      <w:r w:rsidRPr="004C6217">
        <w:rPr>
          <w:rFonts w:ascii="Times New Roman" w:hAnsi="Times New Roman"/>
          <w:szCs w:val="24"/>
        </w:rPr>
        <w:t xml:space="preserve"> establish the context for </w:t>
      </w:r>
      <w:r w:rsidRPr="004C6217">
        <w:rPr>
          <w:rFonts w:ascii="Times New Roman" w:hAnsi="Times New Roman"/>
          <w:noProof/>
          <w:szCs w:val="24"/>
        </w:rPr>
        <w:t>my</w:t>
      </w:r>
      <w:r w:rsidRPr="004C6217">
        <w:rPr>
          <w:rFonts w:ascii="Times New Roman" w:hAnsi="Times New Roman"/>
          <w:szCs w:val="24"/>
        </w:rPr>
        <w:t xml:space="preserve"> study.</w:t>
      </w:r>
    </w:p>
    <w:p w14:paraId="716BF547" w14:textId="77777777" w:rsidR="00811DBD" w:rsidRPr="004C6217" w:rsidRDefault="00811DBD" w:rsidP="006869A3">
      <w:pPr>
        <w:pStyle w:val="Heading3"/>
      </w:pPr>
      <w:bookmarkStart w:id="49" w:name="_Toc86417242"/>
      <w:r w:rsidRPr="00A71FCE">
        <w:t>2.4.1.</w:t>
      </w:r>
      <w:r w:rsidRPr="004C6217">
        <w:t xml:space="preserve"> Neoclassical Theory</w:t>
      </w:r>
      <w:bookmarkEnd w:id="49"/>
    </w:p>
    <w:p w14:paraId="55AD9183" w14:textId="77777777" w:rsidR="00811DBD" w:rsidRDefault="00811DBD" w:rsidP="00811DBD">
      <w:pPr>
        <w:spacing w:after="0"/>
        <w:jc w:val="both"/>
        <w:textAlignment w:val="baseline"/>
        <w:rPr>
          <w:rFonts w:ascii="Times New Roman" w:hAnsi="Times New Roman"/>
          <w:bCs/>
          <w:szCs w:val="24"/>
        </w:rPr>
      </w:pPr>
      <w:r w:rsidRPr="004C6217">
        <w:rPr>
          <w:rFonts w:ascii="Times New Roman" w:hAnsi="Times New Roman"/>
          <w:bCs/>
          <w:szCs w:val="24"/>
        </w:rPr>
        <w:t xml:space="preserve">The neoclassical theory of migration is one of the oldest theories of migration. First proposed by Smith (1776) and later </w:t>
      </w:r>
      <w:r w:rsidRPr="004C6217">
        <w:rPr>
          <w:rFonts w:ascii="Times New Roman" w:hAnsi="Times New Roman"/>
          <w:bCs/>
          <w:noProof/>
          <w:szCs w:val="24"/>
        </w:rPr>
        <w:t>R</w:t>
      </w:r>
      <w:r>
        <w:rPr>
          <w:rFonts w:ascii="Times New Roman" w:hAnsi="Times New Roman"/>
          <w:bCs/>
          <w:noProof/>
          <w:szCs w:val="24"/>
        </w:rPr>
        <w:t>a</w:t>
      </w:r>
      <w:r w:rsidRPr="004C6217">
        <w:rPr>
          <w:rFonts w:ascii="Times New Roman" w:hAnsi="Times New Roman"/>
          <w:bCs/>
          <w:noProof/>
          <w:szCs w:val="24"/>
        </w:rPr>
        <w:t>venstein</w:t>
      </w:r>
      <w:r w:rsidRPr="004C6217">
        <w:rPr>
          <w:rFonts w:ascii="Times New Roman" w:hAnsi="Times New Roman"/>
          <w:bCs/>
          <w:szCs w:val="24"/>
        </w:rPr>
        <w:t xml:space="preserve"> (1889), it developed as an economic </w:t>
      </w:r>
      <w:r w:rsidRPr="004C6217">
        <w:rPr>
          <w:rFonts w:ascii="Times New Roman" w:hAnsi="Times New Roman"/>
          <w:bCs/>
          <w:szCs w:val="24"/>
        </w:rPr>
        <w:lastRenderedPageBreak/>
        <w:t xml:space="preserve">theory of migration. The neoclassical theory examines international migration using fundamental economic principles of demand and supply to explain individual-level motivation to migrate. The theory holds that migration is a process that </w:t>
      </w:r>
      <w:r w:rsidRPr="004C6217">
        <w:rPr>
          <w:rFonts w:ascii="Times New Roman" w:hAnsi="Times New Roman"/>
          <w:bCs/>
          <w:noProof/>
          <w:szCs w:val="24"/>
        </w:rPr>
        <w:t>consists</w:t>
      </w:r>
      <w:r w:rsidRPr="004C6217">
        <w:rPr>
          <w:rFonts w:ascii="Times New Roman" w:hAnsi="Times New Roman"/>
          <w:bCs/>
          <w:szCs w:val="24"/>
        </w:rPr>
        <w:t xml:space="preserve"> of individual actors who assess the opportunities available to them (</w:t>
      </w:r>
      <w:r>
        <w:rPr>
          <w:rFonts w:ascii="Times New Roman" w:hAnsi="Times New Roman"/>
          <w:bCs/>
          <w:szCs w:val="24"/>
        </w:rPr>
        <w:t>that is</w:t>
      </w:r>
      <w:r w:rsidRPr="004C6217">
        <w:rPr>
          <w:rFonts w:ascii="Times New Roman" w:hAnsi="Times New Roman"/>
          <w:bCs/>
          <w:szCs w:val="24"/>
        </w:rPr>
        <w:t xml:space="preserve"> in their home country) and weigh it against the opportunities that </w:t>
      </w:r>
      <w:r w:rsidRPr="004C6217">
        <w:rPr>
          <w:rFonts w:ascii="Times New Roman" w:hAnsi="Times New Roman"/>
          <w:bCs/>
          <w:noProof/>
          <w:szCs w:val="24"/>
        </w:rPr>
        <w:t>are</w:t>
      </w:r>
      <w:r w:rsidRPr="004C6217">
        <w:rPr>
          <w:rFonts w:ascii="Times New Roman" w:hAnsi="Times New Roman"/>
          <w:bCs/>
          <w:szCs w:val="24"/>
        </w:rPr>
        <w:t xml:space="preserve"> available in a different place (</w:t>
      </w:r>
      <w:r w:rsidRPr="008579FE">
        <w:rPr>
          <w:rFonts w:ascii="Times New Roman" w:hAnsi="Times New Roman"/>
          <w:bCs/>
          <w:szCs w:val="24"/>
        </w:rPr>
        <w:t>Piché and Dutreuilh, 2013</w:t>
      </w:r>
      <w:r w:rsidRPr="004C6217">
        <w:rPr>
          <w:rFonts w:ascii="Times New Roman" w:hAnsi="Times New Roman"/>
          <w:bCs/>
          <w:szCs w:val="24"/>
        </w:rPr>
        <w:t xml:space="preserve">). </w:t>
      </w:r>
      <w:r>
        <w:rPr>
          <w:rFonts w:ascii="Times New Roman" w:hAnsi="Times New Roman"/>
          <w:bCs/>
          <w:szCs w:val="24"/>
        </w:rPr>
        <w:t>It</w:t>
      </w:r>
      <w:r w:rsidRPr="004C6217">
        <w:rPr>
          <w:rFonts w:ascii="Times New Roman" w:hAnsi="Times New Roman"/>
          <w:bCs/>
          <w:szCs w:val="24"/>
        </w:rPr>
        <w:t xml:space="preserve"> </w:t>
      </w:r>
      <w:r w:rsidRPr="004C6217">
        <w:rPr>
          <w:rFonts w:ascii="Times New Roman" w:hAnsi="Times New Roman"/>
          <w:bCs/>
          <w:noProof/>
          <w:szCs w:val="24"/>
        </w:rPr>
        <w:t>was developed</w:t>
      </w:r>
      <w:r w:rsidRPr="004C6217">
        <w:rPr>
          <w:rFonts w:ascii="Times New Roman" w:hAnsi="Times New Roman"/>
          <w:bCs/>
          <w:szCs w:val="24"/>
        </w:rPr>
        <w:t xml:space="preserve"> in the era of the industrial </w:t>
      </w:r>
      <w:r w:rsidRPr="004C6217">
        <w:rPr>
          <w:rFonts w:ascii="Times New Roman" w:hAnsi="Times New Roman"/>
          <w:bCs/>
          <w:noProof/>
          <w:szCs w:val="24"/>
        </w:rPr>
        <w:t>revolution</w:t>
      </w:r>
      <w:r w:rsidRPr="004C6217">
        <w:rPr>
          <w:rFonts w:ascii="Times New Roman" w:hAnsi="Times New Roman"/>
          <w:bCs/>
          <w:szCs w:val="24"/>
        </w:rPr>
        <w:t xml:space="preserve"> when economies were rapidly moving from an agricultural-based economy to an industrial-powered economy</w:t>
      </w:r>
      <w:r w:rsidRPr="004C6217">
        <w:rPr>
          <w:rFonts w:ascii="Times New Roman" w:hAnsi="Times New Roman"/>
          <w:bCs/>
          <w:noProof/>
          <w:szCs w:val="24"/>
        </w:rPr>
        <w:t>. Hence</w:t>
      </w:r>
      <w:r w:rsidRPr="004C6217">
        <w:rPr>
          <w:rFonts w:ascii="Times New Roman" w:hAnsi="Times New Roman"/>
          <w:bCs/>
          <w:szCs w:val="24"/>
        </w:rPr>
        <w:t xml:space="preserve"> it </w:t>
      </w:r>
      <w:r w:rsidRPr="004C6217">
        <w:rPr>
          <w:rFonts w:ascii="Times New Roman" w:hAnsi="Times New Roman"/>
          <w:bCs/>
          <w:noProof/>
          <w:szCs w:val="24"/>
        </w:rPr>
        <w:t>considers</w:t>
      </w:r>
      <w:r w:rsidRPr="004C6217">
        <w:rPr>
          <w:rFonts w:ascii="Times New Roman" w:hAnsi="Times New Roman"/>
          <w:bCs/>
          <w:szCs w:val="24"/>
        </w:rPr>
        <w:t xml:space="preserve"> migration as a means through which an agricultural-based economy exports its surplus labour to a more industrial economy </w:t>
      </w:r>
      <w:r w:rsidRPr="004C6217">
        <w:rPr>
          <w:rFonts w:ascii="Times New Roman" w:hAnsi="Times New Roman"/>
          <w:bCs/>
          <w:noProof/>
          <w:szCs w:val="24"/>
        </w:rPr>
        <w:t>to</w:t>
      </w:r>
      <w:r w:rsidRPr="004C6217">
        <w:rPr>
          <w:rFonts w:ascii="Times New Roman" w:hAnsi="Times New Roman"/>
          <w:bCs/>
          <w:szCs w:val="24"/>
        </w:rPr>
        <w:t xml:space="preserve"> benefit from the economic growth that might follow. </w:t>
      </w:r>
      <w:r w:rsidRPr="004C6217">
        <w:rPr>
          <w:rFonts w:ascii="Times New Roman" w:hAnsi="Times New Roman"/>
          <w:bCs/>
          <w:noProof/>
          <w:szCs w:val="24"/>
        </w:rPr>
        <w:t>Also</w:t>
      </w:r>
      <w:r w:rsidRPr="004C6217">
        <w:rPr>
          <w:rFonts w:ascii="Times New Roman" w:hAnsi="Times New Roman"/>
          <w:bCs/>
          <w:szCs w:val="24"/>
        </w:rPr>
        <w:t xml:space="preserve">, the neoclassical theory is a micro, individual-level theory and it emphasises the individual’s sole intention to migrate. It particularly stresses the decision to migrate as being solely an individual choice of whether one should or should not migrate. As an approach, it supposes that an individual weigh the opportunities available in the sending and receiving countries against each other </w:t>
      </w:r>
      <w:r w:rsidRPr="004C6217">
        <w:rPr>
          <w:rFonts w:ascii="Times New Roman" w:hAnsi="Times New Roman"/>
          <w:bCs/>
          <w:noProof/>
          <w:szCs w:val="24"/>
        </w:rPr>
        <w:t>to</w:t>
      </w:r>
      <w:r w:rsidRPr="004C6217">
        <w:rPr>
          <w:rFonts w:ascii="Times New Roman" w:hAnsi="Times New Roman"/>
          <w:bCs/>
          <w:szCs w:val="24"/>
        </w:rPr>
        <w:t xml:space="preserve"> reach a decision</w:t>
      </w:r>
      <w:r>
        <w:rPr>
          <w:rFonts w:ascii="Times New Roman" w:hAnsi="Times New Roman"/>
          <w:bCs/>
          <w:szCs w:val="24"/>
        </w:rPr>
        <w:t xml:space="preserve"> (</w:t>
      </w:r>
      <w:r w:rsidRPr="000E7013">
        <w:rPr>
          <w:rFonts w:ascii="Times New Roman" w:hAnsi="Times New Roman"/>
          <w:bCs/>
          <w:szCs w:val="24"/>
        </w:rPr>
        <w:t>Boswell</w:t>
      </w:r>
      <w:r>
        <w:rPr>
          <w:rFonts w:ascii="Times New Roman" w:hAnsi="Times New Roman"/>
          <w:bCs/>
          <w:szCs w:val="24"/>
        </w:rPr>
        <w:t>,</w:t>
      </w:r>
      <w:r w:rsidRPr="000E7013">
        <w:rPr>
          <w:rFonts w:ascii="Times New Roman" w:hAnsi="Times New Roman"/>
          <w:bCs/>
          <w:szCs w:val="24"/>
        </w:rPr>
        <w:t xml:space="preserve"> 2008</w:t>
      </w:r>
      <w:r>
        <w:rPr>
          <w:rFonts w:ascii="Times New Roman" w:hAnsi="Times New Roman"/>
          <w:bCs/>
          <w:szCs w:val="24"/>
        </w:rPr>
        <w:t>)</w:t>
      </w:r>
      <w:r w:rsidRPr="004C6217">
        <w:rPr>
          <w:rFonts w:ascii="Times New Roman" w:hAnsi="Times New Roman"/>
          <w:bCs/>
          <w:szCs w:val="24"/>
        </w:rPr>
        <w:t xml:space="preserve">. The idea thus created is one derived solely </w:t>
      </w:r>
      <w:r w:rsidRPr="004C6217">
        <w:rPr>
          <w:rFonts w:ascii="Times New Roman" w:hAnsi="Times New Roman"/>
          <w:bCs/>
          <w:noProof/>
          <w:szCs w:val="24"/>
        </w:rPr>
        <w:t>from</w:t>
      </w:r>
      <w:r w:rsidRPr="004C6217">
        <w:rPr>
          <w:rFonts w:ascii="Times New Roman" w:hAnsi="Times New Roman"/>
          <w:bCs/>
          <w:szCs w:val="24"/>
        </w:rPr>
        <w:t xml:space="preserve"> economics, with </w:t>
      </w:r>
      <w:r w:rsidRPr="004C6217">
        <w:rPr>
          <w:rFonts w:ascii="Times New Roman" w:hAnsi="Times New Roman"/>
          <w:bCs/>
          <w:noProof/>
          <w:szCs w:val="24"/>
        </w:rPr>
        <w:t>key</w:t>
      </w:r>
      <w:r w:rsidRPr="004C6217">
        <w:rPr>
          <w:rFonts w:ascii="Times New Roman" w:hAnsi="Times New Roman"/>
          <w:bCs/>
          <w:szCs w:val="24"/>
        </w:rPr>
        <w:t xml:space="preserve"> areas being demand, supply, and individual wants and preferences.</w:t>
      </w:r>
    </w:p>
    <w:p w14:paraId="7EB43E01" w14:textId="77777777" w:rsidR="00811DBD" w:rsidRPr="004C6217" w:rsidRDefault="00811DBD" w:rsidP="00811DBD">
      <w:pPr>
        <w:spacing w:before="240"/>
        <w:jc w:val="both"/>
        <w:textAlignment w:val="baseline"/>
        <w:rPr>
          <w:rFonts w:ascii="Times New Roman" w:hAnsi="Times New Roman"/>
          <w:bCs/>
          <w:szCs w:val="24"/>
        </w:rPr>
      </w:pPr>
      <w:r w:rsidRPr="004C6217">
        <w:rPr>
          <w:rFonts w:ascii="Times New Roman" w:hAnsi="Times New Roman"/>
          <w:bCs/>
          <w:szCs w:val="24"/>
        </w:rPr>
        <w:t>Later theorists advancing this approach tended to state the importance of ‘push and pull</w:t>
      </w:r>
      <w:r>
        <w:rPr>
          <w:rFonts w:ascii="Times New Roman" w:hAnsi="Times New Roman"/>
          <w:bCs/>
          <w:szCs w:val="24"/>
        </w:rPr>
        <w:t>’</w:t>
      </w:r>
      <w:r w:rsidRPr="004C6217">
        <w:rPr>
          <w:rFonts w:ascii="Times New Roman" w:hAnsi="Times New Roman"/>
          <w:bCs/>
          <w:szCs w:val="24"/>
        </w:rPr>
        <w:t xml:space="preserve"> factors and a cost-benefit analysis of migration, suggesting that people only migrate when the benefits that </w:t>
      </w:r>
      <w:r w:rsidRPr="004C6217">
        <w:rPr>
          <w:rFonts w:ascii="Times New Roman" w:hAnsi="Times New Roman"/>
          <w:bCs/>
          <w:noProof/>
          <w:szCs w:val="24"/>
        </w:rPr>
        <w:t>are to be derived</w:t>
      </w:r>
      <w:r w:rsidRPr="004C6217">
        <w:rPr>
          <w:rFonts w:ascii="Times New Roman" w:hAnsi="Times New Roman"/>
          <w:bCs/>
          <w:szCs w:val="24"/>
        </w:rPr>
        <w:t xml:space="preserve"> from the destination country outweigh those of the sending country. </w:t>
      </w:r>
      <w:r w:rsidRPr="004C6217">
        <w:rPr>
          <w:rFonts w:ascii="Times New Roman" w:hAnsi="Times New Roman"/>
          <w:bCs/>
          <w:noProof/>
          <w:szCs w:val="24"/>
        </w:rPr>
        <w:t xml:space="preserve">Massey </w:t>
      </w:r>
      <w:r w:rsidRPr="00C55F53">
        <w:rPr>
          <w:rFonts w:ascii="Times New Roman" w:hAnsi="Times New Roman"/>
          <w:bCs/>
          <w:i/>
          <w:iCs/>
          <w:noProof/>
          <w:szCs w:val="24"/>
        </w:rPr>
        <w:t>et al.</w:t>
      </w:r>
      <w:r w:rsidRPr="004C6217">
        <w:rPr>
          <w:rFonts w:ascii="Times New Roman" w:hAnsi="Times New Roman"/>
          <w:bCs/>
          <w:noProof/>
          <w:szCs w:val="24"/>
        </w:rPr>
        <w:t xml:space="preserve"> (1993) further suggested that this only happens if in the destination countries, employment is better, living conditions are improved, and wages offered are higher.</w:t>
      </w:r>
      <w:r w:rsidRPr="004C6217">
        <w:rPr>
          <w:rFonts w:ascii="Times New Roman" w:hAnsi="Times New Roman"/>
          <w:bCs/>
          <w:szCs w:val="24"/>
        </w:rPr>
        <w:t xml:space="preserve"> For example, within this </w:t>
      </w:r>
      <w:r w:rsidRPr="004C6217">
        <w:rPr>
          <w:rFonts w:ascii="Times New Roman" w:hAnsi="Times New Roman"/>
          <w:bCs/>
          <w:noProof/>
          <w:szCs w:val="24"/>
        </w:rPr>
        <w:t>approach,</w:t>
      </w:r>
      <w:r w:rsidRPr="004C6217">
        <w:rPr>
          <w:rFonts w:ascii="Times New Roman" w:hAnsi="Times New Roman"/>
          <w:bCs/>
          <w:szCs w:val="24"/>
        </w:rPr>
        <w:t xml:space="preserve"> it is suggested that regions with a shortage of labour relative to capital, have high wages, whereas regions with </w:t>
      </w:r>
      <w:r w:rsidRPr="004C6217">
        <w:rPr>
          <w:rFonts w:ascii="Times New Roman" w:hAnsi="Times New Roman"/>
          <w:bCs/>
          <w:noProof/>
          <w:szCs w:val="24"/>
        </w:rPr>
        <w:t>an abundant</w:t>
      </w:r>
      <w:r w:rsidRPr="004C6217">
        <w:rPr>
          <w:rFonts w:ascii="Times New Roman" w:hAnsi="Times New Roman"/>
          <w:bCs/>
          <w:szCs w:val="24"/>
        </w:rPr>
        <w:t xml:space="preserve"> supply of labour relative to the endowment of capital </w:t>
      </w:r>
      <w:r w:rsidRPr="004C6217">
        <w:rPr>
          <w:rFonts w:ascii="Times New Roman" w:hAnsi="Times New Roman"/>
          <w:bCs/>
          <w:noProof/>
          <w:szCs w:val="24"/>
        </w:rPr>
        <w:t>have</w:t>
      </w:r>
      <w:r w:rsidRPr="004C6217">
        <w:rPr>
          <w:rFonts w:ascii="Times New Roman" w:hAnsi="Times New Roman"/>
          <w:bCs/>
          <w:szCs w:val="24"/>
        </w:rPr>
        <w:t xml:space="preserve"> low wages</w:t>
      </w:r>
      <w:r>
        <w:rPr>
          <w:rFonts w:ascii="Times New Roman" w:hAnsi="Times New Roman"/>
          <w:bCs/>
          <w:szCs w:val="24"/>
        </w:rPr>
        <w:t xml:space="preserve"> (</w:t>
      </w:r>
      <w:r w:rsidRPr="00BD72CF">
        <w:rPr>
          <w:rFonts w:ascii="Times New Roman" w:hAnsi="Times New Roman"/>
          <w:bCs/>
          <w:szCs w:val="24"/>
        </w:rPr>
        <w:t>Massey, 2015</w:t>
      </w:r>
      <w:r>
        <w:rPr>
          <w:rFonts w:ascii="Times New Roman" w:hAnsi="Times New Roman"/>
          <w:bCs/>
          <w:szCs w:val="24"/>
        </w:rPr>
        <w:t>)</w:t>
      </w:r>
      <w:r w:rsidRPr="004C6217">
        <w:rPr>
          <w:rFonts w:ascii="Times New Roman" w:hAnsi="Times New Roman"/>
          <w:bCs/>
          <w:szCs w:val="24"/>
        </w:rPr>
        <w:t xml:space="preserve">. Therefore, this theoretical approach often highlights that it is this wage differential that causes a migration flow from low wage to high wage regions. The perceived benefits of higher wages and more opportunities in terms of employment in the country of destination stimulates people to migrate internationally (Bauer and </w:t>
      </w:r>
      <w:r w:rsidRPr="004C6217">
        <w:rPr>
          <w:rFonts w:ascii="Times New Roman" w:hAnsi="Times New Roman"/>
          <w:szCs w:val="24"/>
        </w:rPr>
        <w:t>Zimmermann</w:t>
      </w:r>
      <w:r w:rsidRPr="004C6217">
        <w:rPr>
          <w:rFonts w:ascii="Times New Roman" w:hAnsi="Times New Roman"/>
          <w:bCs/>
          <w:szCs w:val="24"/>
        </w:rPr>
        <w:t>, 1999).</w:t>
      </w:r>
    </w:p>
    <w:p w14:paraId="63BBB063" w14:textId="77777777" w:rsidR="00811DBD" w:rsidRPr="004C6217" w:rsidRDefault="00811DBD" w:rsidP="00811DBD">
      <w:pPr>
        <w:jc w:val="both"/>
        <w:textAlignment w:val="baseline"/>
        <w:rPr>
          <w:rFonts w:ascii="Times New Roman" w:hAnsi="Times New Roman"/>
          <w:bCs/>
          <w:szCs w:val="24"/>
        </w:rPr>
      </w:pPr>
      <w:r w:rsidRPr="004C6217">
        <w:rPr>
          <w:rFonts w:ascii="Times New Roman" w:hAnsi="Times New Roman"/>
          <w:bCs/>
          <w:noProof/>
          <w:szCs w:val="24"/>
        </w:rPr>
        <w:lastRenderedPageBreak/>
        <w:t xml:space="preserve">However, while the neoclassical theory and pull-push theories may be useful in contributing to an understanding why individuals may choose to migrate, as a theoretical approach they fail to answer some key questions relating to wages and equality. They assume that wages </w:t>
      </w:r>
      <w:r>
        <w:rPr>
          <w:rFonts w:ascii="Times New Roman" w:hAnsi="Times New Roman"/>
          <w:bCs/>
          <w:noProof/>
          <w:szCs w:val="24"/>
        </w:rPr>
        <w:t>in</w:t>
      </w:r>
      <w:r w:rsidRPr="004C6217">
        <w:rPr>
          <w:rFonts w:ascii="Times New Roman" w:hAnsi="Times New Roman"/>
          <w:bCs/>
          <w:noProof/>
          <w:szCs w:val="24"/>
        </w:rPr>
        <w:t xml:space="preserve"> the sending country are lower than those </w:t>
      </w:r>
      <w:r>
        <w:rPr>
          <w:rFonts w:ascii="Times New Roman" w:hAnsi="Times New Roman"/>
          <w:bCs/>
          <w:noProof/>
          <w:szCs w:val="24"/>
        </w:rPr>
        <w:t>in</w:t>
      </w:r>
      <w:r w:rsidRPr="004C6217">
        <w:rPr>
          <w:rFonts w:ascii="Times New Roman" w:hAnsi="Times New Roman"/>
          <w:bCs/>
          <w:noProof/>
          <w:szCs w:val="24"/>
        </w:rPr>
        <w:t xml:space="preserve"> the receiving country and that migrants get an equal opportunity to wage and work in the receiving country.</w:t>
      </w:r>
      <w:r w:rsidRPr="004C6217">
        <w:rPr>
          <w:rFonts w:ascii="Times New Roman" w:hAnsi="Times New Roman"/>
          <w:bCs/>
          <w:szCs w:val="24"/>
        </w:rPr>
        <w:t xml:space="preserve"> For example, Harris and </w:t>
      </w:r>
      <w:r>
        <w:rPr>
          <w:rFonts w:ascii="Times New Roman" w:hAnsi="Times New Roman"/>
          <w:bCs/>
          <w:szCs w:val="24"/>
        </w:rPr>
        <w:t>Todaro</w:t>
      </w:r>
      <w:r w:rsidRPr="004C6217">
        <w:rPr>
          <w:rFonts w:ascii="Times New Roman" w:hAnsi="Times New Roman"/>
          <w:bCs/>
          <w:szCs w:val="24"/>
        </w:rPr>
        <w:t xml:space="preserve"> (1970) deviated from the neoclassical assumption of full employment and looked </w:t>
      </w:r>
      <w:r w:rsidRPr="004C6217">
        <w:rPr>
          <w:rFonts w:ascii="Times New Roman" w:hAnsi="Times New Roman"/>
          <w:bCs/>
          <w:noProof/>
          <w:szCs w:val="24"/>
        </w:rPr>
        <w:t>somewhat</w:t>
      </w:r>
      <w:r w:rsidRPr="004C6217">
        <w:rPr>
          <w:rFonts w:ascii="Times New Roman" w:hAnsi="Times New Roman"/>
          <w:bCs/>
          <w:szCs w:val="24"/>
        </w:rPr>
        <w:t xml:space="preserve"> at the probability of employment in the country of destination. In their analysis of rural to urban migration, they explain that for an individual to find a high paying </w:t>
      </w:r>
      <w:r w:rsidRPr="004C6217">
        <w:rPr>
          <w:rFonts w:ascii="Times New Roman" w:hAnsi="Times New Roman"/>
          <w:bCs/>
          <w:noProof/>
          <w:szCs w:val="24"/>
        </w:rPr>
        <w:t>job,</w:t>
      </w:r>
      <w:r w:rsidRPr="004C6217">
        <w:rPr>
          <w:rFonts w:ascii="Times New Roman" w:hAnsi="Times New Roman"/>
          <w:bCs/>
          <w:szCs w:val="24"/>
        </w:rPr>
        <w:t xml:space="preserve"> they have to migrate from a rural area to urban areas.</w:t>
      </w:r>
    </w:p>
    <w:p w14:paraId="326AA1E7" w14:textId="148221A5" w:rsidR="00811DBD" w:rsidRDefault="00811DBD" w:rsidP="00811DBD">
      <w:pPr>
        <w:spacing w:before="240" w:after="0"/>
        <w:jc w:val="both"/>
        <w:rPr>
          <w:rFonts w:ascii="Times New Roman" w:hAnsi="Times New Roman"/>
          <w:bCs/>
          <w:szCs w:val="24"/>
        </w:rPr>
      </w:pPr>
      <w:r w:rsidRPr="004C6217">
        <w:rPr>
          <w:rFonts w:ascii="Times New Roman" w:hAnsi="Times New Roman"/>
          <w:bCs/>
          <w:szCs w:val="24"/>
        </w:rPr>
        <w:t>The neoclassical theory also fails to consider the governing policies and legislation</w:t>
      </w:r>
      <w:r>
        <w:rPr>
          <w:rFonts w:ascii="Times New Roman" w:hAnsi="Times New Roman"/>
          <w:bCs/>
          <w:szCs w:val="24"/>
        </w:rPr>
        <w:t>s</w:t>
      </w:r>
      <w:r w:rsidRPr="004C6217">
        <w:rPr>
          <w:rFonts w:ascii="Times New Roman" w:hAnsi="Times New Roman"/>
          <w:bCs/>
          <w:szCs w:val="24"/>
        </w:rPr>
        <w:t xml:space="preserve"> </w:t>
      </w:r>
      <w:r>
        <w:rPr>
          <w:rFonts w:ascii="Times New Roman" w:hAnsi="Times New Roman"/>
          <w:bCs/>
          <w:szCs w:val="24"/>
        </w:rPr>
        <w:t>in the</w:t>
      </w:r>
      <w:r w:rsidRPr="004C6217">
        <w:rPr>
          <w:rFonts w:ascii="Times New Roman" w:hAnsi="Times New Roman"/>
          <w:bCs/>
          <w:szCs w:val="24"/>
        </w:rPr>
        <w:t xml:space="preserve"> </w:t>
      </w:r>
      <w:r>
        <w:rPr>
          <w:rFonts w:ascii="Times New Roman" w:hAnsi="Times New Roman"/>
          <w:bCs/>
          <w:szCs w:val="24"/>
        </w:rPr>
        <w:t xml:space="preserve">destination </w:t>
      </w:r>
      <w:r w:rsidRPr="004C6217">
        <w:rPr>
          <w:rFonts w:ascii="Times New Roman" w:hAnsi="Times New Roman"/>
          <w:bCs/>
          <w:szCs w:val="24"/>
        </w:rPr>
        <w:t>countries and does not consider possible ‘illegal’ migrants</w:t>
      </w:r>
      <w:r>
        <w:rPr>
          <w:rFonts w:ascii="Times New Roman" w:hAnsi="Times New Roman"/>
          <w:bCs/>
          <w:szCs w:val="24"/>
        </w:rPr>
        <w:t xml:space="preserve"> (</w:t>
      </w:r>
      <w:r w:rsidRPr="00A81515">
        <w:rPr>
          <w:rFonts w:ascii="Times New Roman" w:hAnsi="Times New Roman"/>
          <w:bCs/>
          <w:szCs w:val="24"/>
        </w:rPr>
        <w:t>Dustmann and Görlach, 2016</w:t>
      </w:r>
      <w:r>
        <w:rPr>
          <w:rFonts w:ascii="Times New Roman" w:hAnsi="Times New Roman"/>
          <w:bCs/>
          <w:szCs w:val="24"/>
        </w:rPr>
        <w:t>)</w:t>
      </w:r>
      <w:r w:rsidRPr="004C6217">
        <w:rPr>
          <w:rFonts w:ascii="Times New Roman" w:hAnsi="Times New Roman"/>
          <w:bCs/>
          <w:szCs w:val="24"/>
        </w:rPr>
        <w:t xml:space="preserve">. </w:t>
      </w:r>
      <w:r w:rsidRPr="004C6217">
        <w:rPr>
          <w:rFonts w:ascii="Times New Roman" w:hAnsi="Times New Roman"/>
          <w:bCs/>
          <w:noProof/>
          <w:szCs w:val="24"/>
        </w:rPr>
        <w:t>In addition</w:t>
      </w:r>
      <w:r w:rsidRPr="004C6217">
        <w:rPr>
          <w:rFonts w:ascii="Times New Roman" w:hAnsi="Times New Roman"/>
          <w:bCs/>
          <w:szCs w:val="24"/>
        </w:rPr>
        <w:t xml:space="preserve">, it does not address some of the complexity of individual situations and characteristics relating to race, class, ethnicity or gender. Therefore, while neoclassical theory </w:t>
      </w:r>
      <w:r w:rsidRPr="004C6217">
        <w:rPr>
          <w:rFonts w:ascii="Times New Roman" w:hAnsi="Times New Roman"/>
          <w:szCs w:val="24"/>
        </w:rPr>
        <w:t xml:space="preserve">considers migration as a product of the geographical imbalance of demand and supply that exist in developed and developing or underdeveloped economies, </w:t>
      </w:r>
      <w:r w:rsidRPr="004C6217">
        <w:rPr>
          <w:rFonts w:ascii="Times New Roman" w:hAnsi="Times New Roman"/>
          <w:bCs/>
          <w:szCs w:val="24"/>
        </w:rPr>
        <w:t>as a theory it seems to suggest that migrants are a homogeneous group, and this is not true.</w:t>
      </w:r>
    </w:p>
    <w:p w14:paraId="5F516F83" w14:textId="77777777" w:rsidR="006869A3" w:rsidRPr="004C6217" w:rsidRDefault="006869A3" w:rsidP="00811DBD">
      <w:pPr>
        <w:spacing w:before="240" w:after="0"/>
        <w:jc w:val="both"/>
        <w:rPr>
          <w:rFonts w:ascii="Times New Roman" w:hAnsi="Times New Roman"/>
          <w:bCs/>
          <w:szCs w:val="24"/>
        </w:rPr>
      </w:pPr>
    </w:p>
    <w:p w14:paraId="3FD1EFE3" w14:textId="16CE4370" w:rsidR="00811DBD" w:rsidRPr="004C6217" w:rsidRDefault="00811DBD" w:rsidP="006869A3">
      <w:pPr>
        <w:pStyle w:val="Heading3"/>
      </w:pPr>
      <w:bookmarkStart w:id="50" w:name="_Toc86417243"/>
      <w:r w:rsidRPr="002E5F12">
        <w:rPr>
          <w:bCs/>
        </w:rPr>
        <w:t>2.4.2.</w:t>
      </w:r>
      <w:r w:rsidRPr="004C6217">
        <w:rPr>
          <w:bCs/>
        </w:rPr>
        <w:t xml:space="preserve"> </w:t>
      </w:r>
      <w:r w:rsidRPr="004C6217">
        <w:rPr>
          <w:noProof/>
        </w:rPr>
        <w:t xml:space="preserve">The </w:t>
      </w:r>
      <w:r w:rsidR="001B072D">
        <w:rPr>
          <w:noProof/>
        </w:rPr>
        <w:t>N</w:t>
      </w:r>
      <w:r w:rsidRPr="004C6217">
        <w:rPr>
          <w:noProof/>
        </w:rPr>
        <w:t>ew</w:t>
      </w:r>
      <w:r w:rsidRPr="004C6217">
        <w:t xml:space="preserve"> </w:t>
      </w:r>
      <w:r w:rsidR="001B072D">
        <w:t>E</w:t>
      </w:r>
      <w:r w:rsidRPr="004C6217">
        <w:t xml:space="preserve">conomics of </w:t>
      </w:r>
      <w:r w:rsidR="001B072D">
        <w:t>L</w:t>
      </w:r>
      <w:r w:rsidRPr="004C6217">
        <w:t xml:space="preserve">abour </w:t>
      </w:r>
      <w:r w:rsidR="001B072D">
        <w:t>M</w:t>
      </w:r>
      <w:r w:rsidRPr="004C6217">
        <w:t xml:space="preserve">igration </w:t>
      </w:r>
      <w:r w:rsidR="001B072D">
        <w:t>T</w:t>
      </w:r>
      <w:r w:rsidRPr="004C6217">
        <w:t>heory</w:t>
      </w:r>
      <w:bookmarkEnd w:id="50"/>
    </w:p>
    <w:p w14:paraId="73ECB08D" w14:textId="77777777" w:rsidR="00811DBD" w:rsidRPr="004C6217" w:rsidRDefault="00811DBD" w:rsidP="00811DBD">
      <w:pPr>
        <w:jc w:val="both"/>
        <w:rPr>
          <w:rFonts w:ascii="Times New Roman" w:hAnsi="Times New Roman"/>
          <w:szCs w:val="24"/>
        </w:rPr>
      </w:pPr>
      <w:r w:rsidRPr="004C6217">
        <w:rPr>
          <w:rFonts w:ascii="Times New Roman" w:hAnsi="Times New Roman"/>
          <w:bCs/>
          <w:szCs w:val="24"/>
        </w:rPr>
        <w:t xml:space="preserve">The new </w:t>
      </w:r>
      <w:r w:rsidRPr="004C6217">
        <w:rPr>
          <w:rFonts w:ascii="Times New Roman" w:hAnsi="Times New Roman"/>
          <w:bCs/>
          <w:noProof/>
          <w:szCs w:val="24"/>
        </w:rPr>
        <w:t>economics</w:t>
      </w:r>
      <w:r w:rsidRPr="004C6217">
        <w:rPr>
          <w:rFonts w:ascii="Times New Roman" w:hAnsi="Times New Roman"/>
          <w:bCs/>
          <w:szCs w:val="24"/>
        </w:rPr>
        <w:t xml:space="preserve"> of labour migration </w:t>
      </w:r>
      <w:r>
        <w:rPr>
          <w:rFonts w:ascii="Times New Roman" w:hAnsi="Times New Roman"/>
          <w:bCs/>
          <w:szCs w:val="24"/>
        </w:rPr>
        <w:t xml:space="preserve">(NELM) </w:t>
      </w:r>
      <w:r w:rsidRPr="004C6217">
        <w:rPr>
          <w:rFonts w:ascii="Times New Roman" w:hAnsi="Times New Roman"/>
          <w:bCs/>
          <w:szCs w:val="24"/>
        </w:rPr>
        <w:t xml:space="preserve">theory explains the </w:t>
      </w:r>
      <w:r>
        <w:rPr>
          <w:rFonts w:ascii="Times New Roman" w:hAnsi="Times New Roman"/>
          <w:bCs/>
          <w:szCs w:val="24"/>
        </w:rPr>
        <w:t>reason people migrate</w:t>
      </w:r>
      <w:r w:rsidRPr="004C6217">
        <w:rPr>
          <w:rFonts w:ascii="Times New Roman" w:hAnsi="Times New Roman"/>
          <w:bCs/>
          <w:szCs w:val="24"/>
        </w:rPr>
        <w:t xml:space="preserve"> in terms of economic differences between </w:t>
      </w:r>
      <w:r w:rsidRPr="004C6217">
        <w:rPr>
          <w:rFonts w:ascii="Times New Roman" w:hAnsi="Times New Roman"/>
          <w:bCs/>
          <w:noProof/>
          <w:szCs w:val="24"/>
        </w:rPr>
        <w:t>two</w:t>
      </w:r>
      <w:r w:rsidRPr="004C6217">
        <w:rPr>
          <w:rFonts w:ascii="Times New Roman" w:hAnsi="Times New Roman"/>
          <w:bCs/>
          <w:szCs w:val="24"/>
        </w:rPr>
        <w:t xml:space="preserve"> countries. </w:t>
      </w:r>
      <w:r w:rsidRPr="004C6217">
        <w:rPr>
          <w:rFonts w:ascii="Times New Roman" w:hAnsi="Times New Roman"/>
          <w:szCs w:val="24"/>
        </w:rPr>
        <w:t xml:space="preserve">It suggests that global migration of labour cannot be explained only </w:t>
      </w:r>
      <w:r w:rsidRPr="004C6217">
        <w:rPr>
          <w:rFonts w:ascii="Times New Roman" w:hAnsi="Times New Roman"/>
          <w:noProof/>
          <w:szCs w:val="24"/>
        </w:rPr>
        <w:t>by</w:t>
      </w:r>
      <w:r w:rsidRPr="004C6217">
        <w:rPr>
          <w:rFonts w:ascii="Times New Roman" w:hAnsi="Times New Roman"/>
          <w:szCs w:val="24"/>
        </w:rPr>
        <w:t xml:space="preserve"> an individual’s reason to migrate but also by the </w:t>
      </w:r>
      <w:r w:rsidRPr="004C6217">
        <w:rPr>
          <w:rFonts w:ascii="Times New Roman" w:hAnsi="Times New Roman"/>
          <w:noProof/>
          <w:szCs w:val="24"/>
        </w:rPr>
        <w:t>broader</w:t>
      </w:r>
      <w:r w:rsidRPr="004C6217">
        <w:rPr>
          <w:rFonts w:ascii="Times New Roman" w:hAnsi="Times New Roman"/>
          <w:szCs w:val="24"/>
        </w:rPr>
        <w:t xml:space="preserve"> social group to which they belong. For example, Stark (1991) suggests that the theory challenges </w:t>
      </w:r>
      <w:r w:rsidRPr="004C6217">
        <w:rPr>
          <w:rFonts w:ascii="Times New Roman" w:hAnsi="Times New Roman"/>
          <w:noProof/>
          <w:szCs w:val="24"/>
        </w:rPr>
        <w:t>some of the assumptions of the neoclassical approach by offering a new level of analysis and different nature of migration determinants</w:t>
      </w:r>
      <w:r w:rsidRPr="004C6217">
        <w:rPr>
          <w:rFonts w:ascii="Times New Roman" w:hAnsi="Times New Roman"/>
          <w:szCs w:val="24"/>
        </w:rPr>
        <w:t xml:space="preserve"> as it shifted the focus of migration research from individual independence to mutual interdependence.</w:t>
      </w:r>
    </w:p>
    <w:p w14:paraId="5A3E104D"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key argument in this theory </w:t>
      </w:r>
      <w:r w:rsidRPr="004C6217">
        <w:rPr>
          <w:rFonts w:ascii="Times New Roman" w:hAnsi="Times New Roman"/>
          <w:noProof/>
          <w:szCs w:val="24"/>
        </w:rPr>
        <w:t>is</w:t>
      </w:r>
      <w:r w:rsidRPr="004C6217">
        <w:rPr>
          <w:rFonts w:ascii="Times New Roman" w:hAnsi="Times New Roman"/>
          <w:szCs w:val="24"/>
        </w:rPr>
        <w:t xml:space="preserve"> that </w:t>
      </w:r>
      <w:r w:rsidRPr="004C6217">
        <w:rPr>
          <w:rFonts w:ascii="Times New Roman" w:hAnsi="Times New Roman"/>
          <w:noProof/>
          <w:szCs w:val="24"/>
        </w:rPr>
        <w:t>individuals do not make migratory decisions in isolation.</w:t>
      </w:r>
      <w:r w:rsidRPr="004C6217">
        <w:rPr>
          <w:rFonts w:ascii="Times New Roman" w:hAnsi="Times New Roman"/>
          <w:szCs w:val="24"/>
        </w:rPr>
        <w:t xml:space="preserve"> </w:t>
      </w:r>
      <w:r w:rsidRPr="004C6217">
        <w:rPr>
          <w:rFonts w:ascii="Times New Roman" w:hAnsi="Times New Roman"/>
          <w:noProof/>
          <w:szCs w:val="24"/>
        </w:rPr>
        <w:t>Instead</w:t>
      </w:r>
      <w:r w:rsidRPr="004C6217">
        <w:rPr>
          <w:rFonts w:ascii="Times New Roman" w:hAnsi="Times New Roman"/>
          <w:szCs w:val="24"/>
        </w:rPr>
        <w:t xml:space="preserve">, </w:t>
      </w:r>
      <w:r>
        <w:rPr>
          <w:rFonts w:ascii="Times New Roman" w:hAnsi="Times New Roman"/>
          <w:szCs w:val="24"/>
        </w:rPr>
        <w:t xml:space="preserve">they do so with their </w:t>
      </w:r>
      <w:r w:rsidRPr="004C6217">
        <w:rPr>
          <w:rFonts w:ascii="Times New Roman" w:hAnsi="Times New Roman"/>
          <w:szCs w:val="24"/>
        </w:rPr>
        <w:t>families and households</w:t>
      </w:r>
      <w:r w:rsidRPr="004C6217">
        <w:rPr>
          <w:rFonts w:ascii="Times New Roman" w:hAnsi="Times New Roman"/>
          <w:noProof/>
          <w:szCs w:val="24"/>
        </w:rPr>
        <w:t xml:space="preserve">, influenced by a </w:t>
      </w:r>
      <w:r w:rsidRPr="004C6217">
        <w:rPr>
          <w:rFonts w:ascii="Times New Roman" w:hAnsi="Times New Roman"/>
          <w:noProof/>
          <w:szCs w:val="24"/>
        </w:rPr>
        <w:lastRenderedPageBreak/>
        <w:t>comprehensive set of factors shaped by conditions in the home country (</w:t>
      </w:r>
      <w:r w:rsidRPr="004C6217">
        <w:rPr>
          <w:rFonts w:ascii="Times New Roman" w:hAnsi="Times New Roman"/>
          <w:szCs w:val="24"/>
        </w:rPr>
        <w:t>Christensen, Hussein and Ismail, 2017)</w:t>
      </w:r>
      <w:r w:rsidRPr="004C6217">
        <w:rPr>
          <w:rFonts w:ascii="Times New Roman" w:hAnsi="Times New Roman"/>
          <w:noProof/>
          <w:szCs w:val="24"/>
        </w:rPr>
        <w:t>.</w:t>
      </w:r>
      <w:r w:rsidRPr="004C6217">
        <w:rPr>
          <w:rFonts w:ascii="Times New Roman" w:hAnsi="Times New Roman"/>
          <w:szCs w:val="24"/>
        </w:rPr>
        <w:t xml:space="preserve"> The theory explains a family’s or household’s response to both income risks and the failures of relevant markets (labour, credit and insurance markets) (De Haas, 2010). As an </w:t>
      </w:r>
      <w:r w:rsidRPr="004C6217">
        <w:rPr>
          <w:rFonts w:ascii="Times New Roman" w:hAnsi="Times New Roman"/>
          <w:noProof/>
          <w:szCs w:val="24"/>
        </w:rPr>
        <w:t>approach,</w:t>
      </w:r>
      <w:r w:rsidRPr="004C6217">
        <w:rPr>
          <w:rFonts w:ascii="Times New Roman" w:hAnsi="Times New Roman"/>
          <w:szCs w:val="24"/>
        </w:rPr>
        <w:t xml:space="preserve"> it holds the view that migration will improve the income source diversification and differences in income risk profile with remittance </w:t>
      </w:r>
      <w:r w:rsidRPr="004C6217">
        <w:rPr>
          <w:rFonts w:ascii="Times New Roman" w:hAnsi="Times New Roman"/>
          <w:noProof/>
          <w:szCs w:val="24"/>
        </w:rPr>
        <w:t>seen</w:t>
      </w:r>
      <w:r w:rsidRPr="004C6217">
        <w:rPr>
          <w:rFonts w:ascii="Times New Roman" w:hAnsi="Times New Roman"/>
          <w:szCs w:val="24"/>
        </w:rPr>
        <w:t xml:space="preserve"> as a steady source of income for the </w:t>
      </w:r>
      <w:r w:rsidRPr="004C6217">
        <w:rPr>
          <w:rFonts w:ascii="Times New Roman" w:hAnsi="Times New Roman"/>
          <w:noProof/>
          <w:szCs w:val="24"/>
        </w:rPr>
        <w:t>family</w:t>
      </w:r>
      <w:r w:rsidRPr="004C6217">
        <w:rPr>
          <w:rFonts w:ascii="Times New Roman" w:hAnsi="Times New Roman"/>
          <w:szCs w:val="24"/>
        </w:rPr>
        <w:t xml:space="preserve"> left in the country of origin (remittances are sums of money </w:t>
      </w:r>
      <w:r w:rsidRPr="004C6217">
        <w:rPr>
          <w:rFonts w:ascii="Times New Roman" w:hAnsi="Times New Roman"/>
          <w:noProof/>
          <w:szCs w:val="24"/>
        </w:rPr>
        <w:t>sent</w:t>
      </w:r>
      <w:r w:rsidRPr="004C6217">
        <w:rPr>
          <w:rFonts w:ascii="Times New Roman" w:hAnsi="Times New Roman"/>
          <w:szCs w:val="24"/>
        </w:rPr>
        <w:t xml:space="preserve"> </w:t>
      </w:r>
      <w:r w:rsidRPr="004C6217">
        <w:rPr>
          <w:rFonts w:ascii="Times New Roman" w:hAnsi="Times New Roman"/>
          <w:noProof/>
          <w:szCs w:val="24"/>
        </w:rPr>
        <w:t>to family members or other relatives or friends in their country of origin</w:t>
      </w:r>
      <w:r w:rsidRPr="004C6217">
        <w:rPr>
          <w:rFonts w:ascii="Times New Roman" w:hAnsi="Times New Roman"/>
          <w:szCs w:val="24"/>
        </w:rPr>
        <w:t>) (Christensen, Hussein and Ismail, 2017).</w:t>
      </w:r>
    </w:p>
    <w:p w14:paraId="1A043636"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The NELM theor</w:t>
      </w:r>
      <w:r>
        <w:rPr>
          <w:rFonts w:ascii="Times New Roman" w:hAnsi="Times New Roman"/>
          <w:szCs w:val="24"/>
        </w:rPr>
        <w:t>y</w:t>
      </w:r>
      <w:r w:rsidRPr="004C6217">
        <w:rPr>
          <w:rFonts w:ascii="Times New Roman" w:hAnsi="Times New Roman"/>
          <w:szCs w:val="24"/>
        </w:rPr>
        <w:t xml:space="preserve"> suggest</w:t>
      </w:r>
      <w:r>
        <w:rPr>
          <w:rFonts w:ascii="Times New Roman" w:hAnsi="Times New Roman"/>
          <w:szCs w:val="24"/>
        </w:rPr>
        <w:t>s</w:t>
      </w:r>
      <w:r w:rsidRPr="004C6217">
        <w:rPr>
          <w:rFonts w:ascii="Times New Roman" w:hAnsi="Times New Roman"/>
          <w:szCs w:val="24"/>
        </w:rPr>
        <w:t xml:space="preserve"> that due to a lack of livelihood, risk insurance and limited or no access to credit, families often make the decision to support an individual within the family unit (</w:t>
      </w:r>
      <w:r>
        <w:rPr>
          <w:rFonts w:ascii="Times New Roman" w:hAnsi="Times New Roman"/>
          <w:szCs w:val="24"/>
        </w:rPr>
        <w:t>for example</w:t>
      </w:r>
      <w:r w:rsidRPr="004C6217">
        <w:rPr>
          <w:rFonts w:ascii="Times New Roman" w:hAnsi="Times New Roman"/>
          <w:szCs w:val="24"/>
        </w:rPr>
        <w:t xml:space="preserve"> an older child, or a father or a mother) to migrate abroad, so that remittance can be sent home to support the other family members. It </w:t>
      </w:r>
      <w:r w:rsidRPr="004C6217">
        <w:rPr>
          <w:rFonts w:ascii="Times New Roman" w:hAnsi="Times New Roman"/>
          <w:noProof/>
          <w:szCs w:val="24"/>
        </w:rPr>
        <w:t>is argued</w:t>
      </w:r>
      <w:r w:rsidRPr="004C6217">
        <w:rPr>
          <w:rFonts w:ascii="Times New Roman" w:hAnsi="Times New Roman"/>
          <w:szCs w:val="24"/>
        </w:rPr>
        <w:t xml:space="preserve"> that this family strategy approach acts as ‘risk insurance’ for non-migrating family members (Stark, 1991). It views migration as a response not only to wage differentials between countries but also relative deprivation, that </w:t>
      </w:r>
      <w:r w:rsidRPr="004C6217">
        <w:rPr>
          <w:rFonts w:ascii="Times New Roman" w:hAnsi="Times New Roman"/>
          <w:noProof/>
          <w:szCs w:val="24"/>
        </w:rPr>
        <w:t>puts</w:t>
      </w:r>
      <w:r w:rsidRPr="004C6217">
        <w:rPr>
          <w:rFonts w:ascii="Times New Roman" w:hAnsi="Times New Roman"/>
          <w:szCs w:val="24"/>
        </w:rPr>
        <w:t xml:space="preserve"> the sending and destination countries in different economic class. The NELM </w:t>
      </w:r>
      <w:r>
        <w:rPr>
          <w:rFonts w:ascii="Times New Roman" w:hAnsi="Times New Roman"/>
          <w:szCs w:val="24"/>
        </w:rPr>
        <w:t xml:space="preserve">theory </w:t>
      </w:r>
      <w:r w:rsidRPr="004C6217">
        <w:rPr>
          <w:rFonts w:ascii="Times New Roman" w:hAnsi="Times New Roman"/>
          <w:szCs w:val="24"/>
        </w:rPr>
        <w:t xml:space="preserve">has </w:t>
      </w:r>
      <w:r w:rsidRPr="004C6217">
        <w:rPr>
          <w:rFonts w:ascii="Times New Roman" w:hAnsi="Times New Roman"/>
          <w:noProof/>
          <w:szCs w:val="24"/>
        </w:rPr>
        <w:t>been criticised</w:t>
      </w:r>
      <w:r w:rsidRPr="004C6217">
        <w:rPr>
          <w:rFonts w:ascii="Times New Roman" w:hAnsi="Times New Roman"/>
          <w:szCs w:val="24"/>
        </w:rPr>
        <w:t xml:space="preserve"> for suggesting that remittances might be the purpose of migration for all families and that people may pursue migration for different reasons, however, it is suggested that migrants might not always want, or be able to send remittances back to their country of origin.</w:t>
      </w:r>
    </w:p>
    <w:p w14:paraId="2EA08019" w14:textId="77777777" w:rsidR="00811DBD" w:rsidRPr="004C6217" w:rsidRDefault="00811DBD" w:rsidP="006869A3">
      <w:pPr>
        <w:pStyle w:val="Heading3"/>
      </w:pPr>
      <w:bookmarkStart w:id="51" w:name="_Hlk51434041"/>
      <w:bookmarkStart w:id="52" w:name="_Toc86417244"/>
      <w:r w:rsidRPr="002E5F12">
        <w:rPr>
          <w:bCs/>
        </w:rPr>
        <w:t>2.4.3.</w:t>
      </w:r>
      <w:r w:rsidRPr="004C6217">
        <w:rPr>
          <w:bCs/>
        </w:rPr>
        <w:t xml:space="preserve"> </w:t>
      </w:r>
      <w:r w:rsidRPr="004C6217">
        <w:t>Dual Labour Market Theory</w:t>
      </w:r>
      <w:bookmarkEnd w:id="51"/>
      <w:bookmarkEnd w:id="52"/>
    </w:p>
    <w:p w14:paraId="5E5F07B0" w14:textId="77777777" w:rsidR="00811DBD" w:rsidRPr="004C6217" w:rsidRDefault="00811DBD" w:rsidP="00811DBD">
      <w:pPr>
        <w:spacing w:after="0"/>
        <w:jc w:val="both"/>
        <w:rPr>
          <w:rFonts w:ascii="Times New Roman" w:hAnsi="Times New Roman"/>
          <w:szCs w:val="24"/>
        </w:rPr>
      </w:pPr>
      <w:r w:rsidRPr="004C6217">
        <w:rPr>
          <w:rFonts w:ascii="Times New Roman" w:hAnsi="Times New Roman"/>
          <w:szCs w:val="24"/>
        </w:rPr>
        <w:t xml:space="preserve">The Dual Labour Market Theory (DLMT), also known as the Segmented Labour Market Theory (SLMT), is one of the </w:t>
      </w:r>
      <w:r w:rsidRPr="004C6217">
        <w:rPr>
          <w:rFonts w:ascii="Times New Roman" w:hAnsi="Times New Roman"/>
          <w:noProof/>
          <w:szCs w:val="24"/>
        </w:rPr>
        <w:t>macroeconomic</w:t>
      </w:r>
      <w:r w:rsidRPr="004C6217">
        <w:rPr>
          <w:rFonts w:ascii="Times New Roman" w:hAnsi="Times New Roman"/>
          <w:szCs w:val="24"/>
        </w:rPr>
        <w:t xml:space="preserve"> theories of migration which shows the significance of institutional factors in entrenching segmentation in the labour market (Castle and Miller, 2009). It </w:t>
      </w:r>
      <w:r w:rsidRPr="004C6217">
        <w:rPr>
          <w:rFonts w:ascii="Times New Roman" w:hAnsi="Times New Roman"/>
          <w:noProof/>
          <w:szCs w:val="24"/>
        </w:rPr>
        <w:t>is based</w:t>
      </w:r>
      <w:r w:rsidRPr="004C6217">
        <w:rPr>
          <w:rFonts w:ascii="Times New Roman" w:hAnsi="Times New Roman"/>
          <w:szCs w:val="24"/>
        </w:rPr>
        <w:t xml:space="preserve"> on Piore’s (1979) work on migrant labour in industrial societies, which suggest that the economic structure of developed countries makes it reliant on the influx of migrant labour and consequently leads to high rate of international migration. The theory whose diagrammatic representation </w:t>
      </w:r>
      <w:r w:rsidRPr="004C6217">
        <w:rPr>
          <w:rFonts w:ascii="Times New Roman" w:hAnsi="Times New Roman"/>
          <w:noProof/>
          <w:szCs w:val="24"/>
        </w:rPr>
        <w:t>is shown</w:t>
      </w:r>
      <w:r w:rsidRPr="004C6217">
        <w:rPr>
          <w:rFonts w:ascii="Times New Roman" w:hAnsi="Times New Roman"/>
          <w:szCs w:val="24"/>
        </w:rPr>
        <w:t xml:space="preserve"> in Figure 2.1, works with the underlying assumption that t</w:t>
      </w:r>
      <w:r w:rsidRPr="004C6217">
        <w:rPr>
          <w:rFonts w:ascii="Times New Roman" w:hAnsi="Times New Roman"/>
          <w:noProof/>
          <w:szCs w:val="24"/>
        </w:rPr>
        <w:t>here</w:t>
      </w:r>
      <w:r w:rsidRPr="004C6217">
        <w:rPr>
          <w:rFonts w:ascii="Times New Roman" w:hAnsi="Times New Roman"/>
          <w:szCs w:val="24"/>
        </w:rPr>
        <w:t xml:space="preserve"> are two separate sectors of the economy in developed countries; the primary and the secondary sectors, where the </w:t>
      </w:r>
      <w:r w:rsidRPr="004C6217">
        <w:rPr>
          <w:rFonts w:ascii="Times New Roman" w:hAnsi="Times New Roman"/>
          <w:szCs w:val="24"/>
        </w:rPr>
        <w:lastRenderedPageBreak/>
        <w:t xml:space="preserve">primary sector consist of high wage capital-intensive jobs and the secondary sector consist of the low-wage labour-intensive jobs. In the primary sector, skilled workers </w:t>
      </w:r>
      <w:r w:rsidRPr="004C6217">
        <w:rPr>
          <w:rFonts w:ascii="Times New Roman" w:hAnsi="Times New Roman"/>
          <w:noProof/>
          <w:szCs w:val="24"/>
        </w:rPr>
        <w:t>are required</w:t>
      </w:r>
      <w:r w:rsidRPr="004C6217">
        <w:rPr>
          <w:rFonts w:ascii="Times New Roman" w:hAnsi="Times New Roman"/>
          <w:szCs w:val="24"/>
        </w:rPr>
        <w:t xml:space="preserve"> in responsible career jobs and employers invest in training the workforce to possess the technical know-how of the job whereas the secondary sector includes menial jobs requiring little skills and with no prospect of advancing career within the sector (Bulow and Summers, 1986; Massey </w:t>
      </w:r>
      <w:r w:rsidRPr="00C55F53">
        <w:rPr>
          <w:rFonts w:ascii="Times New Roman" w:hAnsi="Times New Roman"/>
          <w:i/>
          <w:iCs/>
          <w:noProof/>
          <w:szCs w:val="24"/>
        </w:rPr>
        <w:t>et al.</w:t>
      </w:r>
      <w:r w:rsidRPr="004C6217">
        <w:rPr>
          <w:rFonts w:ascii="Times New Roman" w:hAnsi="Times New Roman"/>
          <w:szCs w:val="24"/>
        </w:rPr>
        <w:t>, 1993).</w:t>
      </w:r>
    </w:p>
    <w:p w14:paraId="44B63751" w14:textId="77777777" w:rsidR="00811DBD" w:rsidRPr="004C6217" w:rsidRDefault="00811DBD" w:rsidP="00811DBD">
      <w:pPr>
        <w:spacing w:after="0"/>
        <w:jc w:val="both"/>
        <w:rPr>
          <w:rFonts w:ascii="Times New Roman" w:hAnsi="Times New Roman"/>
          <w:szCs w:val="24"/>
        </w:rPr>
      </w:pPr>
    </w:p>
    <w:p w14:paraId="1D7509A7" w14:textId="0D49EE8D" w:rsidR="00811DBD" w:rsidRPr="004C6217" w:rsidRDefault="00D210D9" w:rsidP="00811DBD">
      <w:pPr>
        <w:spacing w:after="0"/>
        <w:jc w:val="both"/>
        <w:rPr>
          <w:rFonts w:ascii="Times New Roman" w:hAnsi="Times New Roman"/>
          <w:szCs w:val="24"/>
        </w:rPr>
      </w:pPr>
      <w:r>
        <w:rPr>
          <w:noProof/>
        </w:rPr>
        <mc:AlternateContent>
          <mc:Choice Requires="wpg">
            <w:drawing>
              <wp:inline distT="0" distB="0" distL="0" distR="0" wp14:anchorId="216394F4" wp14:editId="3A355E96">
                <wp:extent cx="4667250" cy="3067050"/>
                <wp:effectExtent l="0" t="0" r="19050" b="19050"/>
                <wp:docPr id="219" name="Group 339" descr="P538#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7250" cy="3067050"/>
                          <a:chOff x="0" y="0"/>
                          <a:chExt cx="4667250" cy="3067050"/>
                        </a:xfrm>
                      </wpg:grpSpPr>
                      <wps:wsp>
                        <wps:cNvPr id="220" name="Rounded Rectangle 25"/>
                        <wps:cNvSpPr>
                          <a:spLocks/>
                        </wps:cNvSpPr>
                        <wps:spPr>
                          <a:xfrm>
                            <a:off x="0" y="0"/>
                            <a:ext cx="1457325" cy="1009650"/>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529DD836" w14:textId="77777777" w:rsidR="00811DBD" w:rsidRPr="0071385B" w:rsidRDefault="00811DBD" w:rsidP="00811DBD">
                              <w:pPr>
                                <w:rPr>
                                  <w:rFonts w:ascii="Times New Roman" w:hAnsi="Times New Roman"/>
                                  <w:sz w:val="20"/>
                                  <w:szCs w:val="20"/>
                                </w:rPr>
                              </w:pPr>
                              <w:r w:rsidRPr="00821B77">
                                <w:rPr>
                                  <w:rFonts w:ascii="Times New Roman" w:hAnsi="Times New Roman"/>
                                  <w:b/>
                                  <w:bCs/>
                                  <w:sz w:val="20"/>
                                  <w:szCs w:val="20"/>
                                </w:rPr>
                                <w:t>Primary sector:</w:t>
                              </w:r>
                              <w:r>
                                <w:rPr>
                                  <w:rFonts w:ascii="Times New Roman" w:hAnsi="Times New Roman"/>
                                  <w:sz w:val="20"/>
                                  <w:szCs w:val="20"/>
                                </w:rPr>
                                <w:t xml:space="preserve"> </w:t>
                              </w:r>
                              <w:r w:rsidRPr="0071385B">
                                <w:rPr>
                                  <w:rFonts w:ascii="Times New Roman" w:hAnsi="Times New Roman"/>
                                  <w:sz w:val="20"/>
                                  <w:szCs w:val="20"/>
                                </w:rPr>
                                <w:t>Capital</w:t>
                              </w:r>
                              <w:r>
                                <w:rPr>
                                  <w:rFonts w:ascii="Times New Roman" w:hAnsi="Times New Roman"/>
                                  <w:sz w:val="20"/>
                                  <w:szCs w:val="20"/>
                                </w:rPr>
                                <w:t xml:space="preserve"> intensive, high w</w:t>
                              </w:r>
                              <w:r w:rsidRPr="0071385B">
                                <w:rPr>
                                  <w:rFonts w:ascii="Times New Roman" w:hAnsi="Times New Roman"/>
                                  <w:sz w:val="20"/>
                                  <w:szCs w:val="20"/>
                                </w:rPr>
                                <w:t>ages,</w:t>
                              </w:r>
                              <w:r>
                                <w:rPr>
                                  <w:rFonts w:ascii="Times New Roman" w:hAnsi="Times New Roman"/>
                                  <w:sz w:val="20"/>
                                  <w:szCs w:val="20"/>
                                </w:rPr>
                                <w:t xml:space="preserve"> s</w:t>
                              </w:r>
                              <w:r w:rsidRPr="0071385B">
                                <w:rPr>
                                  <w:rFonts w:ascii="Times New Roman" w:hAnsi="Times New Roman"/>
                                  <w:sz w:val="20"/>
                                  <w:szCs w:val="20"/>
                                </w:rPr>
                                <w:t>killed</w:t>
                              </w:r>
                              <w:r>
                                <w:rPr>
                                  <w:rFonts w:ascii="Times New Roman" w:hAnsi="Times New Roman"/>
                                  <w:sz w:val="20"/>
                                  <w:szCs w:val="20"/>
                                </w:rPr>
                                <w:t xml:space="preserve"> w</w:t>
                              </w:r>
                              <w:r w:rsidRPr="0071385B">
                                <w:rPr>
                                  <w:rFonts w:ascii="Times New Roman" w:hAnsi="Times New Roman"/>
                                  <w:sz w:val="20"/>
                                  <w:szCs w:val="20"/>
                                </w:rPr>
                                <w:t>orkers</w:t>
                              </w:r>
                              <w:r>
                                <w:rPr>
                                  <w:rFonts w:ascii="Times New Roman" w:hAnsi="Times New Roman"/>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Rounded Rectangle 26"/>
                        <wps:cNvSpPr>
                          <a:spLocks/>
                        </wps:cNvSpPr>
                        <wps:spPr>
                          <a:xfrm>
                            <a:off x="3200400" y="9525"/>
                            <a:ext cx="1466850" cy="1000125"/>
                          </a:xfrm>
                          <a:prstGeom prst="roundRect">
                            <a:avLst/>
                          </a:prstGeom>
                          <a:solidFill>
                            <a:srgbClr val="5B9BD5"/>
                          </a:solidFill>
                          <a:ln w="12700" cap="flat" cmpd="sng" algn="ctr">
                            <a:solidFill>
                              <a:srgbClr val="5B9BD5">
                                <a:shade val="50000"/>
                              </a:srgbClr>
                            </a:solidFill>
                            <a:prstDash val="solid"/>
                            <a:miter lim="800000"/>
                          </a:ln>
                          <a:effectLst/>
                        </wps:spPr>
                        <wps:txbx>
                          <w:txbxContent>
                            <w:p w14:paraId="0C7C7692" w14:textId="77777777" w:rsidR="00811DBD" w:rsidRPr="0071385B" w:rsidRDefault="00811DBD" w:rsidP="00811DBD">
                              <w:pPr>
                                <w:rPr>
                                  <w:rFonts w:ascii="Times New Roman" w:hAnsi="Times New Roman"/>
                                  <w:sz w:val="20"/>
                                  <w:szCs w:val="20"/>
                                </w:rPr>
                              </w:pPr>
                              <w:r w:rsidRPr="000A04EA">
                                <w:rPr>
                                  <w:rFonts w:ascii="Times New Roman" w:hAnsi="Times New Roman"/>
                                  <w:b/>
                                  <w:bCs/>
                                  <w:sz w:val="20"/>
                                  <w:szCs w:val="20"/>
                                </w:rPr>
                                <w:t>Secondary sector:</w:t>
                              </w:r>
                              <w:r w:rsidRPr="0071385B">
                                <w:rPr>
                                  <w:rFonts w:ascii="Times New Roman" w:hAnsi="Times New Roman"/>
                                  <w:sz w:val="20"/>
                                  <w:szCs w:val="20"/>
                                </w:rPr>
                                <w:t xml:space="preserve"> </w:t>
                              </w:r>
                              <w:r>
                                <w:rPr>
                                  <w:rFonts w:ascii="Times New Roman" w:hAnsi="Times New Roman"/>
                                  <w:sz w:val="20"/>
                                  <w:szCs w:val="20"/>
                                </w:rPr>
                                <w:t>l</w:t>
                              </w:r>
                              <w:r w:rsidRPr="0071385B">
                                <w:rPr>
                                  <w:rFonts w:ascii="Times New Roman" w:hAnsi="Times New Roman"/>
                                  <w:sz w:val="20"/>
                                  <w:szCs w:val="20"/>
                                </w:rPr>
                                <w:t>abour</w:t>
                              </w:r>
                              <w:r>
                                <w:rPr>
                                  <w:rFonts w:ascii="Times New Roman" w:hAnsi="Times New Roman"/>
                                  <w:sz w:val="20"/>
                                  <w:szCs w:val="20"/>
                                </w:rPr>
                                <w:t xml:space="preserve"> intensive, low wages, unskilled w</w:t>
                              </w:r>
                              <w:r w:rsidRPr="0071385B">
                                <w:rPr>
                                  <w:rFonts w:ascii="Times New Roman" w:hAnsi="Times New Roman"/>
                                  <w:sz w:val="20"/>
                                  <w:szCs w:val="20"/>
                                </w:rPr>
                                <w:t>orkers</w:t>
                              </w:r>
                              <w:r>
                                <w:rPr>
                                  <w:rFonts w:ascii="Times New Roman" w:hAnsi="Times New Roman"/>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Rounded Rectangle 22"/>
                        <wps:cNvSpPr>
                          <a:spLocks/>
                        </wps:cNvSpPr>
                        <wps:spPr>
                          <a:xfrm>
                            <a:off x="1276350" y="1714500"/>
                            <a:ext cx="1933575" cy="1352550"/>
                          </a:xfrm>
                          <a:prstGeom prst="roundRect">
                            <a:avLst>
                              <a:gd name="adj" fmla="val 14355"/>
                            </a:avLst>
                          </a:prstGeom>
                          <a:solidFill>
                            <a:srgbClr val="5B9BD5"/>
                          </a:solidFill>
                          <a:ln w="12700" cap="flat" cmpd="sng" algn="ctr">
                            <a:solidFill>
                              <a:srgbClr val="5B9BD5">
                                <a:shade val="50000"/>
                              </a:srgbClr>
                            </a:solidFill>
                            <a:prstDash val="solid"/>
                            <a:miter lim="800000"/>
                          </a:ln>
                          <a:effectLst/>
                        </wps:spPr>
                        <wps:txbx>
                          <w:txbxContent>
                            <w:p w14:paraId="1DDD888C" w14:textId="77777777" w:rsidR="00811DBD" w:rsidRPr="0071385B" w:rsidRDefault="00811DBD" w:rsidP="00811DBD">
                              <w:pPr>
                                <w:rPr>
                                  <w:rFonts w:ascii="Times New Roman" w:hAnsi="Times New Roman"/>
                                  <w:sz w:val="20"/>
                                  <w:szCs w:val="20"/>
                                </w:rPr>
                              </w:pPr>
                              <w:r w:rsidRPr="000A04EA">
                                <w:rPr>
                                  <w:rFonts w:ascii="Times New Roman" w:hAnsi="Times New Roman"/>
                                  <w:b/>
                                  <w:bCs/>
                                  <w:sz w:val="20"/>
                                  <w:szCs w:val="20"/>
                                </w:rPr>
                                <w:t>Receiving country:</w:t>
                              </w:r>
                              <w:r>
                                <w:rPr>
                                  <w:rFonts w:ascii="Times New Roman" w:hAnsi="Times New Roman"/>
                                  <w:sz w:val="20"/>
                                  <w:szCs w:val="20"/>
                                </w:rPr>
                                <w:t xml:space="preserve"> highly industrial, d</w:t>
                              </w:r>
                              <w:r w:rsidRPr="0071385B">
                                <w:rPr>
                                  <w:rFonts w:ascii="Times New Roman" w:hAnsi="Times New Roman"/>
                                  <w:sz w:val="20"/>
                                  <w:szCs w:val="20"/>
                                </w:rPr>
                                <w:t>eveloped,</w:t>
                              </w:r>
                              <w:r>
                                <w:rPr>
                                  <w:rFonts w:ascii="Times New Roman" w:hAnsi="Times New Roman"/>
                                  <w:sz w:val="20"/>
                                  <w:szCs w:val="20"/>
                                </w:rPr>
                                <w:t xml:space="preserve"> r</w:t>
                              </w:r>
                              <w:r w:rsidRPr="0071385B">
                                <w:rPr>
                                  <w:rFonts w:ascii="Times New Roman" w:hAnsi="Times New Roman"/>
                                  <w:sz w:val="20"/>
                                  <w:szCs w:val="20"/>
                                </w:rPr>
                                <w:t>eadily</w:t>
                              </w:r>
                              <w:r>
                                <w:rPr>
                                  <w:rFonts w:ascii="Times New Roman" w:hAnsi="Times New Roman"/>
                                  <w:sz w:val="20"/>
                                  <w:szCs w:val="20"/>
                                </w:rPr>
                                <w:t xml:space="preserve"> a</w:t>
                              </w:r>
                              <w:r w:rsidRPr="0071385B">
                                <w:rPr>
                                  <w:rFonts w:ascii="Times New Roman" w:hAnsi="Times New Roman"/>
                                  <w:sz w:val="20"/>
                                  <w:szCs w:val="20"/>
                                </w:rPr>
                                <w:t>vailable</w:t>
                              </w:r>
                              <w:r>
                                <w:rPr>
                                  <w:rFonts w:ascii="Times New Roman" w:hAnsi="Times New Roman"/>
                                  <w:sz w:val="20"/>
                                  <w:szCs w:val="20"/>
                                </w:rPr>
                                <w:t xml:space="preserve"> jobs, increased o</w:t>
                              </w:r>
                              <w:r w:rsidRPr="0071385B">
                                <w:rPr>
                                  <w:rFonts w:ascii="Times New Roman" w:hAnsi="Times New Roman"/>
                                  <w:sz w:val="20"/>
                                  <w:szCs w:val="20"/>
                                </w:rPr>
                                <w:t>pportunit</w:t>
                              </w:r>
                              <w:r>
                                <w:rPr>
                                  <w:rFonts w:ascii="Times New Roman" w:hAnsi="Times New Roman"/>
                                  <w:sz w:val="20"/>
                                  <w:szCs w:val="20"/>
                                </w:rPr>
                                <w:t>ies for migrant w</w:t>
                              </w:r>
                              <w:r w:rsidRPr="0071385B">
                                <w:rPr>
                                  <w:rFonts w:ascii="Times New Roman" w:hAnsi="Times New Roman"/>
                                  <w:sz w:val="20"/>
                                  <w:szCs w:val="20"/>
                                </w:rPr>
                                <w:t>orkers.</w:t>
                              </w:r>
                              <w:r w:rsidRPr="0071385B">
                                <w:rPr>
                                  <w:rFonts w:ascii="Times New Roman" w:hAnsi="Times New Roman"/>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 name="Straight Arrow Connector 23"/>
                        <wps:cNvCnPr>
                          <a:cxnSpLocks/>
                        </wps:cNvCnPr>
                        <wps:spPr>
                          <a:xfrm>
                            <a:off x="1457325" y="733425"/>
                            <a:ext cx="685800" cy="981075"/>
                          </a:xfrm>
                          <a:prstGeom prst="straightConnector1">
                            <a:avLst/>
                          </a:prstGeom>
                          <a:noFill/>
                          <a:ln w="6350" cap="flat" cmpd="sng" algn="ctr">
                            <a:solidFill>
                              <a:srgbClr val="5B9BD5"/>
                            </a:solidFill>
                            <a:prstDash val="solid"/>
                            <a:miter lim="800000"/>
                            <a:tailEnd type="triangle"/>
                          </a:ln>
                          <a:effectLst/>
                        </wps:spPr>
                        <wps:bodyPr/>
                      </wps:wsp>
                      <wps:wsp>
                        <wps:cNvPr id="228" name="Straight Arrow Connector 24"/>
                        <wps:cNvCnPr>
                          <a:cxnSpLocks/>
                        </wps:cNvCnPr>
                        <wps:spPr>
                          <a:xfrm flipH="1">
                            <a:off x="2324100" y="781050"/>
                            <a:ext cx="885825" cy="933450"/>
                          </a:xfrm>
                          <a:prstGeom prst="straightConnector1">
                            <a:avLst/>
                          </a:prstGeom>
                          <a:noFill/>
                          <a:ln w="6350" cap="flat" cmpd="sng" algn="ctr">
                            <a:solidFill>
                              <a:srgbClr val="5B9BD5"/>
                            </a:solidFill>
                            <a:prstDash val="solid"/>
                            <a:miter lim="800000"/>
                            <a:tailEnd type="triangle"/>
                          </a:ln>
                          <a:effectLst/>
                        </wps:spPr>
                        <wps:bodyPr/>
                      </wps:wsp>
                    </wpg:wgp>
                  </a:graphicData>
                </a:graphic>
              </wp:inline>
            </w:drawing>
          </mc:Choice>
          <mc:Fallback>
            <w:pict>
              <v:group w14:anchorId="216394F4" id="Group 339" o:spid="_x0000_s1026" alt="P538#y1" style="width:367.5pt;height:241.5pt;mso-position-horizontal-relative:char;mso-position-vertical-relative:line" coordsize="46672,30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a1zZQQAAPUSAAAOAAAAZHJzL2Uyb0RvYy54bWzsWFtv2zYUfh+w/0Boz4t18VWIU6RJkw0I&#10;2qDp0GeGoi6bRHIkHdv79ftISrbrtsuQBn0o4geDEi+H/M453/mo01ebriUPXJtGimWUnMQR4YLJ&#10;ohHVMvrjw9Wv84gYS0VBWyn4MtpyE706+/mn07XKeSpr2RZcEywiTL5Wy6i2VuWjkWE176g5kYoL&#10;dJZSd9TiUVejQtM1Vu/aURrH09Fa6kJpybgxeHsZOqMzv35ZcmbflaXhlrTLCHuz/l/7/3v3Pzo7&#10;pXmlqaob1m+DPmEXHW0EjO6WuqSWkpVuPluqa5iWRpb2hMluJMuyYdyfAadJ4qPTXGu5Uv4sVb6u&#10;1A4mQHuE05OXZW8fbjVpimWUJouICNrBSd4uyTK8KLhhgOt2ks1/2SYOrrWqcsy61upO3epwZjRv&#10;JPvLoHt03O+eq/3gTak7NwlHJxvvh+3OD3xjCcPL8XQ6SydwF0NfFk9nMR68p1gNd342j9VvHpk5&#10;onkw7Le3285aIerMHljzbcDe1VRx7y/jIBqATXGSAOx7uRIFL8h7xCUVVctJOgmY+gkDoOYQzYMe&#10;t13Tg/5/cEzGk1kGCx7HJI4X04DjDg2aK23sNZcdcY1lhIAThdudD2b6cGOs8+l+nHOdkW1TXDVt&#10;6x90dX/RavJAkWGT14vXl/5EmPLJsFaQNfghncXOrRSZXrbUotkpxJ4RVURoW4FCmNXe9iezzReM&#10;eOM1LXhvOsbPYeksh+GhfbhZd8hLauowxZsIcdU1FjTUNt0ymruFhpVa4cxwTyQ9FnsnuJbd3G9g&#10;1DXvZbGFy7UMJGMUu2pg74Yae0s1WAUnB1Pad/grWwk4ZN+KSC31P19678YjJtEbkTVYClD9vaKa&#10;R6T9XSBaF8l4jGWtf4C3Xajpw577wx6x6i4k3JSAkxXzTTfetkOz1LL7CEI9d1bRRQWD7eCU/uHC&#10;BvYEJTN+fu6HgcoUtTfiTjG3uIPMIf1h85Fq1UeWRXK/lUOG0PwotsJYN1PI85WVZeMDb4+rZxaf&#10;rQHt75C2gOmraTt9nrTNUMPGLiVAdItJIAPEW89mCYhwPvAg8jdOwoiX/PVs81z568tfX9te0viH&#10;S+P0P9I4fZ40Rl2bZi5RkcbJDGU3FJCDTF5k2WQ2VOIMmf6ESuzYsSp6TqLFnxEpuxZ1BclAknE2&#10;GQqvp9aXqv1I1Q6id/D/S/H+wYp3NmT9ndW0qWpLzrWWa3IhhYC+lZqk2eB8aPULEe4ybAMVc3CX&#10;8eo7dO6F33CZ2N1idkIb+T/LsvFxIUcVh6wMOnwxT2IwQVCqg4o/kuGm3/Nus0FUHWkmp9uDYnJi&#10;HAvSPMjswEXPorJ7Qf10EU1zS5v2jSiI3SrcLa1u/M2nB+BRgR0S023D4Q/V993kH75cBPn39Qga&#10;f1sEkbJt1G+DZO5vxGmWjqH1fC2ZIVZCodiXkjliabjToaqg1rzEUojSp8SS/x6Abyu+XPbfgdzH&#10;m8NnH3v7r1Vn/wIAAP//AwBQSwMEFAAGAAgAAAAhAK7xnrvcAAAABQEAAA8AAABkcnMvZG93bnJl&#10;di54bWxMj0FLw0AQhe+C/2EZwZvdxFgtMZtSinoqQltBvE2TaRKanQ3ZbZL+e0cvennweMN732TL&#10;ybZqoN43jg3EswgUceHKhisDH/vXuwUoH5BLbB2TgQt5WObXVxmmpRt5S8MuVEpK2KdooA6hS7X2&#10;RU0W/cx1xJIdXW8xiO0rXfY4Srlt9X0UPWqLDctCjR2taypOu7M18DbiuEril2FzOq4vX/v5++cm&#10;JmNub6bVM6hAU/g7hh98QYdcmA7uzKVXrQF5JPyqZE/JXOzBwMMiiUDnmf5Pn38DAAD//wMAUEsB&#10;Ai0AFAAGAAgAAAAhALaDOJL+AAAA4QEAABMAAAAAAAAAAAAAAAAAAAAAAFtDb250ZW50X1R5cGVz&#10;XS54bWxQSwECLQAUAAYACAAAACEAOP0h/9YAAACUAQAACwAAAAAAAAAAAAAAAAAvAQAAX3JlbHMv&#10;LnJlbHNQSwECLQAUAAYACAAAACEAdomtc2UEAAD1EgAADgAAAAAAAAAAAAAAAAAuAgAAZHJzL2Uy&#10;b0RvYy54bWxQSwECLQAUAAYACAAAACEArvGeu9wAAAAFAQAADwAAAAAAAAAAAAAAAAC/BgAAZHJz&#10;L2Rvd25yZXYueG1sUEsFBgAAAAAEAAQA8wAAAMgHAAAAAA==&#10;">
                <v:roundrect id="Rounded Rectangle 25" o:spid="_x0000_s1027" style="position:absolute;width:14573;height:100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qTFvgAAANwAAAAPAAAAZHJzL2Rvd25yZXYueG1sRE9LCsIw&#10;EN0L3iGM4E5Ti4hUo4gfdCGC1QMMzdgWm0lpolZPbxaCy8f7z5etqcSTGldaVjAaRiCIM6tLzhVc&#10;L7vBFITzyBory6TgTQ6Wi25njom2Lz7TM/W5CCHsElRQeF8nUrqsIINuaGviwN1sY9AH2ORSN/gK&#10;4aaScRRNpMGSQ0OBNa0Lyu7pwygwqfHbdzw9rh77z+Z23LnTuHZK9XvtagbCU+v/4p/7oBXEcZgf&#10;zoQjIBdfAAAA//8DAFBLAQItABQABgAIAAAAIQDb4fbL7gAAAIUBAAATAAAAAAAAAAAAAAAAAAAA&#10;AABbQ29udGVudF9UeXBlc10ueG1sUEsBAi0AFAAGAAgAAAAhAFr0LFu/AAAAFQEAAAsAAAAAAAAA&#10;AAAAAAAAHwEAAF9yZWxzLy5yZWxzUEsBAi0AFAAGAAgAAAAhAPpipMW+AAAA3AAAAA8AAAAAAAAA&#10;AAAAAAAABwIAAGRycy9kb3ducmV2LnhtbFBLBQYAAAAAAwADALcAAADyAgAAAAA=&#10;" fillcolor="#5b9bd5" strokecolor="#41719c" strokeweight="1pt">
                  <v:stroke joinstyle="miter"/>
                  <v:path arrowok="t"/>
                  <v:textbox>
                    <w:txbxContent>
                      <w:p w14:paraId="529DD836" w14:textId="77777777" w:rsidR="00811DBD" w:rsidRPr="0071385B" w:rsidRDefault="00811DBD" w:rsidP="00811DBD">
                        <w:pPr>
                          <w:rPr>
                            <w:rFonts w:ascii="Times New Roman" w:hAnsi="Times New Roman"/>
                            <w:sz w:val="20"/>
                            <w:szCs w:val="20"/>
                          </w:rPr>
                        </w:pPr>
                        <w:r w:rsidRPr="00821B77">
                          <w:rPr>
                            <w:rFonts w:ascii="Times New Roman" w:hAnsi="Times New Roman"/>
                            <w:b/>
                            <w:bCs/>
                            <w:sz w:val="20"/>
                            <w:szCs w:val="20"/>
                          </w:rPr>
                          <w:t>Primary sector:</w:t>
                        </w:r>
                        <w:r>
                          <w:rPr>
                            <w:rFonts w:ascii="Times New Roman" w:hAnsi="Times New Roman"/>
                            <w:sz w:val="20"/>
                            <w:szCs w:val="20"/>
                          </w:rPr>
                          <w:t xml:space="preserve"> </w:t>
                        </w:r>
                        <w:r w:rsidRPr="0071385B">
                          <w:rPr>
                            <w:rFonts w:ascii="Times New Roman" w:hAnsi="Times New Roman"/>
                            <w:sz w:val="20"/>
                            <w:szCs w:val="20"/>
                          </w:rPr>
                          <w:t>Capital</w:t>
                        </w:r>
                        <w:r>
                          <w:rPr>
                            <w:rFonts w:ascii="Times New Roman" w:hAnsi="Times New Roman"/>
                            <w:sz w:val="20"/>
                            <w:szCs w:val="20"/>
                          </w:rPr>
                          <w:t xml:space="preserve"> intensive, high w</w:t>
                        </w:r>
                        <w:r w:rsidRPr="0071385B">
                          <w:rPr>
                            <w:rFonts w:ascii="Times New Roman" w:hAnsi="Times New Roman"/>
                            <w:sz w:val="20"/>
                            <w:szCs w:val="20"/>
                          </w:rPr>
                          <w:t>ages,</w:t>
                        </w:r>
                        <w:r>
                          <w:rPr>
                            <w:rFonts w:ascii="Times New Roman" w:hAnsi="Times New Roman"/>
                            <w:sz w:val="20"/>
                            <w:szCs w:val="20"/>
                          </w:rPr>
                          <w:t xml:space="preserve"> s</w:t>
                        </w:r>
                        <w:r w:rsidRPr="0071385B">
                          <w:rPr>
                            <w:rFonts w:ascii="Times New Roman" w:hAnsi="Times New Roman"/>
                            <w:sz w:val="20"/>
                            <w:szCs w:val="20"/>
                          </w:rPr>
                          <w:t>killed</w:t>
                        </w:r>
                        <w:r>
                          <w:rPr>
                            <w:rFonts w:ascii="Times New Roman" w:hAnsi="Times New Roman"/>
                            <w:sz w:val="20"/>
                            <w:szCs w:val="20"/>
                          </w:rPr>
                          <w:t xml:space="preserve"> w</w:t>
                        </w:r>
                        <w:r w:rsidRPr="0071385B">
                          <w:rPr>
                            <w:rFonts w:ascii="Times New Roman" w:hAnsi="Times New Roman"/>
                            <w:sz w:val="20"/>
                            <w:szCs w:val="20"/>
                          </w:rPr>
                          <w:t>orkers</w:t>
                        </w:r>
                        <w:r>
                          <w:rPr>
                            <w:rFonts w:ascii="Times New Roman" w:hAnsi="Times New Roman"/>
                            <w:sz w:val="20"/>
                            <w:szCs w:val="20"/>
                          </w:rPr>
                          <w:t>.</w:t>
                        </w:r>
                      </w:p>
                    </w:txbxContent>
                  </v:textbox>
                </v:roundrect>
                <v:roundrect id="Rounded Rectangle 26" o:spid="_x0000_s1028" style="position:absolute;left:32004;top:95;width:14668;height:100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gFexAAAANwAAAAPAAAAZHJzL2Rvd25yZXYueG1sRI/RasJA&#10;FETfBf9huULfzCahiKSuIbSV+iAFYz/gkr0modm7IbvG2K93hYKPw8ycYTb5ZDox0uBaywqSKAZB&#10;XFndcq3g57RbrkE4j6yxs0wKbuQg385nG8y0vfKRxtLXIkDYZaig8b7PpHRVQwZdZHvi4J3tYNAH&#10;OdRSD3gNcNPJNI5X0mDLYaHBnt4bqn7Li1FgSuM/b+n6UFy+/j7Oh537fu2dUi+LqXgD4Wnyz/B/&#10;e68VpGkCjzPhCMjtHQAA//8DAFBLAQItABQABgAIAAAAIQDb4fbL7gAAAIUBAAATAAAAAAAAAAAA&#10;AAAAAAAAAABbQ29udGVudF9UeXBlc10ueG1sUEsBAi0AFAAGAAgAAAAhAFr0LFu/AAAAFQEAAAsA&#10;AAAAAAAAAAAAAAAAHwEAAF9yZWxzLy5yZWxzUEsBAi0AFAAGAAgAAAAhAJUuAV7EAAAA3AAAAA8A&#10;AAAAAAAAAAAAAAAABwIAAGRycy9kb3ducmV2LnhtbFBLBQYAAAAAAwADALcAAAD4AgAAAAA=&#10;" fillcolor="#5b9bd5" strokecolor="#41719c" strokeweight="1pt">
                  <v:stroke joinstyle="miter"/>
                  <v:path arrowok="t"/>
                  <v:textbox>
                    <w:txbxContent>
                      <w:p w14:paraId="0C7C7692" w14:textId="77777777" w:rsidR="00811DBD" w:rsidRPr="0071385B" w:rsidRDefault="00811DBD" w:rsidP="00811DBD">
                        <w:pPr>
                          <w:rPr>
                            <w:rFonts w:ascii="Times New Roman" w:hAnsi="Times New Roman"/>
                            <w:sz w:val="20"/>
                            <w:szCs w:val="20"/>
                          </w:rPr>
                        </w:pPr>
                        <w:r w:rsidRPr="000A04EA">
                          <w:rPr>
                            <w:rFonts w:ascii="Times New Roman" w:hAnsi="Times New Roman"/>
                            <w:b/>
                            <w:bCs/>
                            <w:sz w:val="20"/>
                            <w:szCs w:val="20"/>
                          </w:rPr>
                          <w:t>Secondary sector:</w:t>
                        </w:r>
                        <w:r w:rsidRPr="0071385B">
                          <w:rPr>
                            <w:rFonts w:ascii="Times New Roman" w:hAnsi="Times New Roman"/>
                            <w:sz w:val="20"/>
                            <w:szCs w:val="20"/>
                          </w:rPr>
                          <w:t xml:space="preserve"> </w:t>
                        </w:r>
                        <w:r>
                          <w:rPr>
                            <w:rFonts w:ascii="Times New Roman" w:hAnsi="Times New Roman"/>
                            <w:sz w:val="20"/>
                            <w:szCs w:val="20"/>
                          </w:rPr>
                          <w:t>l</w:t>
                        </w:r>
                        <w:r w:rsidRPr="0071385B">
                          <w:rPr>
                            <w:rFonts w:ascii="Times New Roman" w:hAnsi="Times New Roman"/>
                            <w:sz w:val="20"/>
                            <w:szCs w:val="20"/>
                          </w:rPr>
                          <w:t>abour</w:t>
                        </w:r>
                        <w:r>
                          <w:rPr>
                            <w:rFonts w:ascii="Times New Roman" w:hAnsi="Times New Roman"/>
                            <w:sz w:val="20"/>
                            <w:szCs w:val="20"/>
                          </w:rPr>
                          <w:t xml:space="preserve"> intensive, low wages, unskilled w</w:t>
                        </w:r>
                        <w:r w:rsidRPr="0071385B">
                          <w:rPr>
                            <w:rFonts w:ascii="Times New Roman" w:hAnsi="Times New Roman"/>
                            <w:sz w:val="20"/>
                            <w:szCs w:val="20"/>
                          </w:rPr>
                          <w:t>orkers</w:t>
                        </w:r>
                        <w:r>
                          <w:rPr>
                            <w:rFonts w:ascii="Times New Roman" w:hAnsi="Times New Roman"/>
                            <w:sz w:val="20"/>
                            <w:szCs w:val="20"/>
                          </w:rPr>
                          <w:t>.</w:t>
                        </w:r>
                      </w:p>
                    </w:txbxContent>
                  </v:textbox>
                </v:roundrect>
                <v:roundrect id="Rounded Rectangle 22" o:spid="_x0000_s1029" style="position:absolute;left:12763;top:17145;width:19336;height:13525;visibility:visible;mso-wrap-style:square;v-text-anchor:middle" arcsize="940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lUxAAAANwAAAAPAAAAZHJzL2Rvd25yZXYueG1sRI/NasMw&#10;EITvhbyD2EButRQf3OBGCSaQkkMuTXPocbHWP8RaOZZqO28fFQo9DjPzDbPdz7YTIw2+daxhnSgQ&#10;xKUzLdcarl/H1w0IH5ANdo5Jw4M87HeLly3mxk38SeMl1CJC2OeooQmhz6X0ZUMWfeJ64uhVbrAY&#10;ohxqaQacItx2MlUqkxZbjgsN9nRoqLxdfqwG96aw22Tn6zhX5+/i/nHLeqW0Xi3n4h1EoDn8h//a&#10;J6MhTVP4PROPgNw9AQAA//8DAFBLAQItABQABgAIAAAAIQDb4fbL7gAAAIUBAAATAAAAAAAAAAAA&#10;AAAAAAAAAABbQ29udGVudF9UeXBlc10ueG1sUEsBAi0AFAAGAAgAAAAhAFr0LFu/AAAAFQEAAAsA&#10;AAAAAAAAAAAAAAAAHwEAAF9yZWxzLy5yZWxzUEsBAi0AFAAGAAgAAAAhABIK2VTEAAAA3AAAAA8A&#10;AAAAAAAAAAAAAAAABwIAAGRycy9kb3ducmV2LnhtbFBLBQYAAAAAAwADALcAAAD4AgAAAAA=&#10;" fillcolor="#5b9bd5" strokecolor="#41719c" strokeweight="1pt">
                  <v:stroke joinstyle="miter"/>
                  <v:path arrowok="t"/>
                  <v:textbox>
                    <w:txbxContent>
                      <w:p w14:paraId="1DDD888C" w14:textId="77777777" w:rsidR="00811DBD" w:rsidRPr="0071385B" w:rsidRDefault="00811DBD" w:rsidP="00811DBD">
                        <w:pPr>
                          <w:rPr>
                            <w:rFonts w:ascii="Times New Roman" w:hAnsi="Times New Roman"/>
                            <w:sz w:val="20"/>
                            <w:szCs w:val="20"/>
                          </w:rPr>
                        </w:pPr>
                        <w:r w:rsidRPr="000A04EA">
                          <w:rPr>
                            <w:rFonts w:ascii="Times New Roman" w:hAnsi="Times New Roman"/>
                            <w:b/>
                            <w:bCs/>
                            <w:sz w:val="20"/>
                            <w:szCs w:val="20"/>
                          </w:rPr>
                          <w:t>Receiving country:</w:t>
                        </w:r>
                        <w:r>
                          <w:rPr>
                            <w:rFonts w:ascii="Times New Roman" w:hAnsi="Times New Roman"/>
                            <w:sz w:val="20"/>
                            <w:szCs w:val="20"/>
                          </w:rPr>
                          <w:t xml:space="preserve"> highly industrial, d</w:t>
                        </w:r>
                        <w:r w:rsidRPr="0071385B">
                          <w:rPr>
                            <w:rFonts w:ascii="Times New Roman" w:hAnsi="Times New Roman"/>
                            <w:sz w:val="20"/>
                            <w:szCs w:val="20"/>
                          </w:rPr>
                          <w:t>eveloped,</w:t>
                        </w:r>
                        <w:r>
                          <w:rPr>
                            <w:rFonts w:ascii="Times New Roman" w:hAnsi="Times New Roman"/>
                            <w:sz w:val="20"/>
                            <w:szCs w:val="20"/>
                          </w:rPr>
                          <w:t xml:space="preserve"> r</w:t>
                        </w:r>
                        <w:r w:rsidRPr="0071385B">
                          <w:rPr>
                            <w:rFonts w:ascii="Times New Roman" w:hAnsi="Times New Roman"/>
                            <w:sz w:val="20"/>
                            <w:szCs w:val="20"/>
                          </w:rPr>
                          <w:t>eadily</w:t>
                        </w:r>
                        <w:r>
                          <w:rPr>
                            <w:rFonts w:ascii="Times New Roman" w:hAnsi="Times New Roman"/>
                            <w:sz w:val="20"/>
                            <w:szCs w:val="20"/>
                          </w:rPr>
                          <w:t xml:space="preserve"> a</w:t>
                        </w:r>
                        <w:r w:rsidRPr="0071385B">
                          <w:rPr>
                            <w:rFonts w:ascii="Times New Roman" w:hAnsi="Times New Roman"/>
                            <w:sz w:val="20"/>
                            <w:szCs w:val="20"/>
                          </w:rPr>
                          <w:t>vailable</w:t>
                        </w:r>
                        <w:r>
                          <w:rPr>
                            <w:rFonts w:ascii="Times New Roman" w:hAnsi="Times New Roman"/>
                            <w:sz w:val="20"/>
                            <w:szCs w:val="20"/>
                          </w:rPr>
                          <w:t xml:space="preserve"> jobs, increased o</w:t>
                        </w:r>
                        <w:r w:rsidRPr="0071385B">
                          <w:rPr>
                            <w:rFonts w:ascii="Times New Roman" w:hAnsi="Times New Roman"/>
                            <w:sz w:val="20"/>
                            <w:szCs w:val="20"/>
                          </w:rPr>
                          <w:t>pportunit</w:t>
                        </w:r>
                        <w:r>
                          <w:rPr>
                            <w:rFonts w:ascii="Times New Roman" w:hAnsi="Times New Roman"/>
                            <w:sz w:val="20"/>
                            <w:szCs w:val="20"/>
                          </w:rPr>
                          <w:t>ies for migrant w</w:t>
                        </w:r>
                        <w:r w:rsidRPr="0071385B">
                          <w:rPr>
                            <w:rFonts w:ascii="Times New Roman" w:hAnsi="Times New Roman"/>
                            <w:sz w:val="20"/>
                            <w:szCs w:val="20"/>
                          </w:rPr>
                          <w:t>orkers.</w:t>
                        </w:r>
                        <w:r w:rsidRPr="0071385B">
                          <w:rPr>
                            <w:rFonts w:ascii="Times New Roman" w:hAnsi="Times New Roman"/>
                            <w:sz w:val="20"/>
                            <w:szCs w:val="20"/>
                          </w:rPr>
                          <w:tab/>
                        </w:r>
                      </w:p>
                    </w:txbxContent>
                  </v:textbox>
                </v:roundrect>
                <v:shapetype id="_x0000_t32" coordsize="21600,21600" o:spt="32" o:oned="t" path="m,l21600,21600e" filled="f">
                  <v:path arrowok="t" fillok="f" o:connecttype="none"/>
                  <o:lock v:ext="edit" shapetype="t"/>
                </v:shapetype>
                <v:shape id="Straight Arrow Connector 23" o:spid="_x0000_s1030" type="#_x0000_t32" style="position:absolute;left:14573;top:7334;width:6858;height:98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xpSxQAAANwAAAAPAAAAZHJzL2Rvd25yZXYueG1sRI9BawIx&#10;FITvgv8hPKE3zbqFIlujlKJgDxa1S+nxNXndXdy8LElct/++KQgeh5n5hlmuB9uKnnxoHCuYzzIQ&#10;xNqZhisF5cd2ugARIrLB1jEp+KUA69V4tMTCuCsfqT/FSiQIhwIV1DF2hZRB12QxzFxHnLwf5y3G&#10;JH0ljcdrgttW5ln2JC02nBZq7Oi1Jn0+XayC/bs+HBb9eTe8ZXv9+VV6973xSj1MhpdnEJGGeA/f&#10;2jujIM8f4f9MOgJy9QcAAP//AwBQSwECLQAUAAYACAAAACEA2+H2y+4AAACFAQAAEwAAAAAAAAAA&#10;AAAAAAAAAAAAW0NvbnRlbnRfVHlwZXNdLnhtbFBLAQItABQABgAIAAAAIQBa9CxbvwAAABUBAAAL&#10;AAAAAAAAAAAAAAAAAB8BAABfcmVscy8ucmVsc1BLAQItABQABgAIAAAAIQCaExpSxQAAANwAAAAP&#10;AAAAAAAAAAAAAAAAAAcCAABkcnMvZG93bnJldi54bWxQSwUGAAAAAAMAAwC3AAAA+QIAAAAA&#10;" strokecolor="#5b9bd5" strokeweight=".5pt">
                  <v:stroke endarrow="block" joinstyle="miter"/>
                  <o:lock v:ext="edit" shapetype="f"/>
                </v:shape>
                <v:shape id="Straight Arrow Connector 24" o:spid="_x0000_s1031" type="#_x0000_t32" style="position:absolute;left:23241;top:7810;width:8858;height:93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6KwAAAANwAAAAPAAAAZHJzL2Rvd25yZXYueG1sRE89a8Mw&#10;EN0D/Q/iCt1i2R6K40YJpiSQpYPdlK6HdbVMrJMrKYn776uh0PHxvrf7xU7iRj6MjhUUWQ6CuHd6&#10;5EHB+f24rkCEiKxxckwKfijAfvew2mKt3Z1bunVxECmEQ40KTIxzLWXoDVkMmZuJE/flvMWYoB+k&#10;9nhP4XaSZZ4/S4sjpwaDM70a6i/d1SqgQ1N4pO9NZdrzhTafjXz7aJR6elyaFxCRlvgv/nOftIKy&#10;TGvTmXQE5O4XAAD//wMAUEsBAi0AFAAGAAgAAAAhANvh9svuAAAAhQEAABMAAAAAAAAAAAAAAAAA&#10;AAAAAFtDb250ZW50X1R5cGVzXS54bWxQSwECLQAUAAYACAAAACEAWvQsW78AAAAVAQAACwAAAAAA&#10;AAAAAAAAAAAfAQAAX3JlbHMvLnJlbHNQSwECLQAUAAYACAAAACEAM3o+isAAAADcAAAADwAAAAAA&#10;AAAAAAAAAAAHAgAAZHJzL2Rvd25yZXYueG1sUEsFBgAAAAADAAMAtwAAAPQCAAAAAA==&#10;" strokecolor="#5b9bd5" strokeweight=".5pt">
                  <v:stroke endarrow="block" joinstyle="miter"/>
                  <o:lock v:ext="edit" shapetype="f"/>
                </v:shape>
                <w10:anchorlock/>
              </v:group>
            </w:pict>
          </mc:Fallback>
        </mc:AlternateContent>
      </w:r>
    </w:p>
    <w:p w14:paraId="3B1FA526" w14:textId="77777777" w:rsidR="00811DBD" w:rsidRPr="004C6217" w:rsidRDefault="00811DBD" w:rsidP="00811DBD">
      <w:pPr>
        <w:spacing w:after="0"/>
        <w:jc w:val="both"/>
        <w:rPr>
          <w:rFonts w:ascii="Times New Roman" w:hAnsi="Times New Roman"/>
          <w:szCs w:val="24"/>
        </w:rPr>
      </w:pPr>
    </w:p>
    <w:p w14:paraId="480F6F4E" w14:textId="04BEFA33" w:rsidR="00811DBD" w:rsidRPr="004C6217" w:rsidRDefault="00811DBD" w:rsidP="00811DBD">
      <w:pPr>
        <w:jc w:val="both"/>
        <w:rPr>
          <w:rFonts w:ascii="Times New Roman" w:hAnsi="Times New Roman"/>
          <w:szCs w:val="24"/>
        </w:rPr>
      </w:pPr>
      <w:r w:rsidRPr="004C6217">
        <w:rPr>
          <w:rFonts w:ascii="Times New Roman" w:hAnsi="Times New Roman"/>
          <w:b/>
          <w:bCs/>
          <w:szCs w:val="24"/>
        </w:rPr>
        <w:t xml:space="preserve">Figure 2.1: Explanatory model for the dual labour market theory </w:t>
      </w:r>
      <w:r w:rsidR="005130AA" w:rsidRPr="00DF3A52">
        <w:rPr>
          <w:rFonts w:ascii="Times New Roman" w:hAnsi="Times New Roman"/>
          <w:szCs w:val="24"/>
        </w:rPr>
        <w:t>(A</w:t>
      </w:r>
      <w:r w:rsidRPr="00DF3A52">
        <w:rPr>
          <w:rFonts w:ascii="Times New Roman" w:hAnsi="Times New Roman"/>
          <w:szCs w:val="24"/>
        </w:rPr>
        <w:t>dapted from Bulow and Summers</w:t>
      </w:r>
      <w:r w:rsidR="005130AA" w:rsidRPr="00DF3A52">
        <w:rPr>
          <w:rFonts w:ascii="Times New Roman" w:hAnsi="Times New Roman"/>
          <w:szCs w:val="24"/>
        </w:rPr>
        <w:t>,</w:t>
      </w:r>
      <w:r w:rsidRPr="00DF3A52">
        <w:rPr>
          <w:rFonts w:ascii="Times New Roman" w:hAnsi="Times New Roman"/>
          <w:szCs w:val="24"/>
        </w:rPr>
        <w:t xml:space="preserve"> 1986, p.13)</w:t>
      </w:r>
    </w:p>
    <w:p w14:paraId="132DEEA3"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overarching significance of the DLMT </w:t>
      </w:r>
      <w:r w:rsidRPr="004C6217">
        <w:rPr>
          <w:rFonts w:ascii="Times New Roman" w:hAnsi="Times New Roman"/>
          <w:noProof/>
          <w:szCs w:val="24"/>
        </w:rPr>
        <w:t>to</w:t>
      </w:r>
      <w:r w:rsidRPr="004C6217">
        <w:rPr>
          <w:rFonts w:ascii="Times New Roman" w:hAnsi="Times New Roman"/>
          <w:szCs w:val="24"/>
        </w:rPr>
        <w:t xml:space="preserve"> international migration is the nature of the ‘developed economy’ </w:t>
      </w:r>
      <w:r>
        <w:rPr>
          <w:rFonts w:ascii="Times New Roman" w:hAnsi="Times New Roman"/>
          <w:szCs w:val="24"/>
        </w:rPr>
        <w:t xml:space="preserve">which </w:t>
      </w:r>
      <w:r w:rsidRPr="004C6217">
        <w:rPr>
          <w:rFonts w:ascii="Times New Roman" w:hAnsi="Times New Roman"/>
          <w:szCs w:val="24"/>
        </w:rPr>
        <w:t xml:space="preserve">supports international migration often </w:t>
      </w:r>
      <w:r>
        <w:rPr>
          <w:rFonts w:ascii="Times New Roman" w:hAnsi="Times New Roman"/>
          <w:szCs w:val="24"/>
        </w:rPr>
        <w:t>arising</w:t>
      </w:r>
      <w:r w:rsidRPr="004C6217">
        <w:rPr>
          <w:rFonts w:ascii="Times New Roman" w:hAnsi="Times New Roman"/>
          <w:szCs w:val="24"/>
        </w:rPr>
        <w:t xml:space="preserve"> from the needs created by </w:t>
      </w:r>
      <w:r>
        <w:rPr>
          <w:rFonts w:ascii="Times New Roman" w:hAnsi="Times New Roman"/>
          <w:szCs w:val="24"/>
        </w:rPr>
        <w:t xml:space="preserve">the </w:t>
      </w:r>
      <w:r w:rsidRPr="004C6217">
        <w:rPr>
          <w:rFonts w:ascii="Times New Roman" w:hAnsi="Times New Roman"/>
          <w:szCs w:val="24"/>
        </w:rPr>
        <w:t xml:space="preserve">secondary job market sector in receiving countries. In describing the nature of the developed economy secondary job sector, Piore (1979) points to four characteristics in the receiving countries that makes the migration of workers possible. Firstly, the nature of jobs available in the secondary sector usually require relatively less formal skills, are unattractive in social status, have poorer working conditions and limited opportunities for workers to advance to a high-wage job. Secondly, the availability of jobs in the sector due to the high turnover of workers makes it a readily accessible job for migrants. Thirdly, the model assumes that there is a constant supply </w:t>
      </w:r>
      <w:r w:rsidRPr="004C6217">
        <w:rPr>
          <w:rFonts w:ascii="Times New Roman" w:hAnsi="Times New Roman"/>
          <w:szCs w:val="24"/>
        </w:rPr>
        <w:lastRenderedPageBreak/>
        <w:t>of labour</w:t>
      </w:r>
      <w:r>
        <w:rPr>
          <w:rFonts w:ascii="Times New Roman" w:hAnsi="Times New Roman"/>
          <w:szCs w:val="24"/>
        </w:rPr>
        <w:t xml:space="preserve"> </w:t>
      </w:r>
      <w:r w:rsidRPr="004C6217">
        <w:rPr>
          <w:rFonts w:ascii="Times New Roman" w:hAnsi="Times New Roman"/>
          <w:szCs w:val="24"/>
        </w:rPr>
        <w:t>(in the developed economy)</w:t>
      </w:r>
      <w:r>
        <w:rPr>
          <w:rFonts w:ascii="Times New Roman" w:hAnsi="Times New Roman"/>
          <w:szCs w:val="24"/>
        </w:rPr>
        <w:t>,</w:t>
      </w:r>
      <w:r w:rsidRPr="004C6217">
        <w:rPr>
          <w:rFonts w:ascii="Times New Roman" w:hAnsi="Times New Roman"/>
          <w:szCs w:val="24"/>
        </w:rPr>
        <w:t xml:space="preserve"> making it easy to initiate new source of cheap labour and lastly, </w:t>
      </w:r>
      <w:r>
        <w:rPr>
          <w:rFonts w:ascii="Times New Roman" w:hAnsi="Times New Roman"/>
          <w:szCs w:val="24"/>
        </w:rPr>
        <w:t>the DLMT</w:t>
      </w:r>
      <w:r w:rsidRPr="004C6217">
        <w:rPr>
          <w:rFonts w:ascii="Times New Roman" w:hAnsi="Times New Roman"/>
          <w:szCs w:val="24"/>
        </w:rPr>
        <w:t xml:space="preserve"> highlights that there can be a difficulty in halting migration once it has begun.</w:t>
      </w:r>
    </w:p>
    <w:p w14:paraId="64289AE2"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DLMT has a similarity to the Marxian concept of the ‘reserve army of labour’, which suggests that </w:t>
      </w:r>
      <w:r w:rsidRPr="004C6217">
        <w:rPr>
          <w:rFonts w:ascii="Times New Roman" w:hAnsi="Times New Roman"/>
          <w:noProof/>
          <w:szCs w:val="24"/>
        </w:rPr>
        <w:t xml:space="preserve">employers in industrialised capitalist countries aim </w:t>
      </w:r>
      <w:r w:rsidRPr="004C6217">
        <w:rPr>
          <w:rFonts w:ascii="Times New Roman" w:hAnsi="Times New Roman"/>
          <w:szCs w:val="24"/>
        </w:rPr>
        <w:t xml:space="preserve">to have a </w:t>
      </w:r>
      <w:r w:rsidRPr="004C6217">
        <w:rPr>
          <w:rFonts w:ascii="Times New Roman" w:hAnsi="Times New Roman"/>
          <w:noProof/>
          <w:szCs w:val="24"/>
        </w:rPr>
        <w:t>constant</w:t>
      </w:r>
      <w:r w:rsidRPr="004C6217">
        <w:rPr>
          <w:rFonts w:ascii="Times New Roman" w:hAnsi="Times New Roman"/>
          <w:szCs w:val="24"/>
        </w:rPr>
        <w:t xml:space="preserve"> supply of cheap labour and Marx (1947) argued that it is the supply of labour that determines wages. When supply is low, there is an </w:t>
      </w:r>
      <w:r w:rsidRPr="004C6217">
        <w:rPr>
          <w:rFonts w:ascii="Times New Roman" w:hAnsi="Times New Roman"/>
          <w:noProof/>
          <w:szCs w:val="24"/>
        </w:rPr>
        <w:t>increase</w:t>
      </w:r>
      <w:r w:rsidRPr="004C6217">
        <w:rPr>
          <w:rFonts w:ascii="Times New Roman" w:hAnsi="Times New Roman"/>
          <w:szCs w:val="24"/>
        </w:rPr>
        <w:t xml:space="preserve"> in wages, </w:t>
      </w:r>
      <w:r w:rsidRPr="004C6217">
        <w:rPr>
          <w:rFonts w:ascii="Times New Roman" w:hAnsi="Times New Roman"/>
          <w:noProof/>
          <w:szCs w:val="24"/>
        </w:rPr>
        <w:t>but</w:t>
      </w:r>
      <w:r w:rsidRPr="004C6217">
        <w:rPr>
          <w:rFonts w:ascii="Times New Roman" w:hAnsi="Times New Roman"/>
          <w:szCs w:val="24"/>
        </w:rPr>
        <w:t xml:space="preserve"> when supply is high, wages are kept low. Within this theoretical model, migrant labour is presented as a pool of labour to counter any labour shortages. </w:t>
      </w:r>
      <w:r w:rsidRPr="004C6217">
        <w:rPr>
          <w:rFonts w:ascii="Times New Roman" w:hAnsi="Times New Roman"/>
          <w:noProof/>
          <w:szCs w:val="24"/>
        </w:rPr>
        <w:t>For example, the influx of migrants from the Caribbean and other Common Wealth countries into Britain after the Second World War was used to help to rebuild Britain (</w:t>
      </w:r>
      <w:r w:rsidRPr="00B8331E">
        <w:rPr>
          <w:rFonts w:ascii="Times New Roman" w:hAnsi="Times New Roman"/>
          <w:noProof/>
          <w:szCs w:val="24"/>
        </w:rPr>
        <w:t>McDowell, 2013</w:t>
      </w:r>
      <w:r w:rsidRPr="004C6217">
        <w:rPr>
          <w:rFonts w:ascii="Times New Roman" w:hAnsi="Times New Roman"/>
          <w:noProof/>
          <w:szCs w:val="24"/>
        </w:rPr>
        <w:t>) when the UK government  took advantage of the vast pool of cheap labour from countries that it had previously colonialized</w:t>
      </w:r>
      <w:r>
        <w:rPr>
          <w:rFonts w:ascii="Times New Roman" w:hAnsi="Times New Roman"/>
          <w:noProof/>
          <w:szCs w:val="24"/>
        </w:rPr>
        <w:t xml:space="preserve"> </w:t>
      </w:r>
      <w:r w:rsidRPr="004C6217">
        <w:rPr>
          <w:rFonts w:ascii="Times New Roman" w:hAnsi="Times New Roman"/>
          <w:noProof/>
          <w:szCs w:val="24"/>
        </w:rPr>
        <w:t>(which could easily be dispensed with when there was  an over-supply)</w:t>
      </w:r>
      <w:r>
        <w:rPr>
          <w:rFonts w:ascii="Times New Roman" w:hAnsi="Times New Roman"/>
          <w:noProof/>
          <w:szCs w:val="24"/>
        </w:rPr>
        <w:t xml:space="preserve"> </w:t>
      </w:r>
      <w:r w:rsidRPr="004C6217">
        <w:rPr>
          <w:rFonts w:ascii="Times New Roman" w:hAnsi="Times New Roman"/>
          <w:noProof/>
          <w:szCs w:val="24"/>
        </w:rPr>
        <w:t>(</w:t>
      </w:r>
      <w:r w:rsidRPr="00B8331E">
        <w:rPr>
          <w:rFonts w:ascii="Times New Roman" w:hAnsi="Times New Roman"/>
          <w:noProof/>
          <w:szCs w:val="24"/>
        </w:rPr>
        <w:t>McDowell, 2013</w:t>
      </w:r>
      <w:r w:rsidRPr="004C6217">
        <w:rPr>
          <w:rFonts w:ascii="Times New Roman" w:hAnsi="Times New Roman"/>
          <w:noProof/>
          <w:szCs w:val="24"/>
        </w:rPr>
        <w:t>).</w:t>
      </w:r>
    </w:p>
    <w:p w14:paraId="04CACEBC" w14:textId="77777777" w:rsidR="00811DBD" w:rsidRDefault="00811DBD" w:rsidP="00811DBD">
      <w:pPr>
        <w:jc w:val="both"/>
        <w:rPr>
          <w:rFonts w:ascii="Times New Roman" w:hAnsi="Times New Roman"/>
          <w:szCs w:val="24"/>
        </w:rPr>
      </w:pPr>
      <w:r w:rsidRPr="004C6217">
        <w:rPr>
          <w:rFonts w:ascii="Times New Roman" w:hAnsi="Times New Roman"/>
          <w:szCs w:val="24"/>
        </w:rPr>
        <w:t xml:space="preserve">The core strength of this theoretical approach is that it presents a </w:t>
      </w:r>
      <w:r w:rsidRPr="004C6217">
        <w:rPr>
          <w:rFonts w:ascii="Times New Roman" w:hAnsi="Times New Roman"/>
          <w:noProof/>
          <w:szCs w:val="24"/>
        </w:rPr>
        <w:t>wider</w:t>
      </w:r>
      <w:r w:rsidRPr="004C6217">
        <w:rPr>
          <w:rFonts w:ascii="Times New Roman" w:hAnsi="Times New Roman"/>
          <w:szCs w:val="24"/>
        </w:rPr>
        <w:t xml:space="preserve"> understanding of labour markets and its influence on </w:t>
      </w:r>
      <w:r w:rsidRPr="004C6217">
        <w:rPr>
          <w:rFonts w:ascii="Times New Roman" w:hAnsi="Times New Roman"/>
          <w:noProof/>
          <w:szCs w:val="24"/>
        </w:rPr>
        <w:t>macro-level</w:t>
      </w:r>
      <w:r w:rsidRPr="004C6217">
        <w:rPr>
          <w:rFonts w:ascii="Times New Roman" w:hAnsi="Times New Roman"/>
          <w:szCs w:val="24"/>
        </w:rPr>
        <w:t xml:space="preserve"> migration (rather than </w:t>
      </w:r>
      <w:r w:rsidRPr="004C6217">
        <w:rPr>
          <w:rFonts w:ascii="Times New Roman" w:hAnsi="Times New Roman"/>
          <w:noProof/>
          <w:szCs w:val="24"/>
        </w:rPr>
        <w:t>simply</w:t>
      </w:r>
      <w:r w:rsidRPr="004C6217">
        <w:rPr>
          <w:rFonts w:ascii="Times New Roman" w:hAnsi="Times New Roman"/>
          <w:szCs w:val="24"/>
        </w:rPr>
        <w:t xml:space="preserve"> focusing on the individual as suggested by the new economics of labour migration theory). However, therein also lies its main drawback, which is the failure to distinguish between the different social, economic and political conditions that are present in sending countries, which may or may not motivate migration, regardless of the labour market conditions in the receiving societies. </w:t>
      </w:r>
    </w:p>
    <w:p w14:paraId="7369B4B9"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Another </w:t>
      </w:r>
      <w:r w:rsidRPr="004C6217">
        <w:rPr>
          <w:rFonts w:ascii="Times New Roman" w:hAnsi="Times New Roman"/>
          <w:noProof/>
          <w:szCs w:val="24"/>
        </w:rPr>
        <w:t>fundamental</w:t>
      </w:r>
      <w:r w:rsidRPr="004C6217">
        <w:rPr>
          <w:rFonts w:ascii="Times New Roman" w:hAnsi="Times New Roman"/>
          <w:szCs w:val="24"/>
        </w:rPr>
        <w:t xml:space="preserve"> criticism of the DLMT is that it ignores the rational decisions migrants make in deciding whether to migrate. What the theory does best is to highlight the structural demand for low-skilled workers </w:t>
      </w:r>
      <w:r>
        <w:rPr>
          <w:rFonts w:ascii="Times New Roman" w:hAnsi="Times New Roman"/>
          <w:szCs w:val="24"/>
        </w:rPr>
        <w:t>that indigenous</w:t>
      </w:r>
      <w:r w:rsidRPr="004C6217">
        <w:rPr>
          <w:rFonts w:ascii="Times New Roman" w:hAnsi="Times New Roman"/>
          <w:szCs w:val="24"/>
        </w:rPr>
        <w:t xml:space="preserve"> workers in developed countries are unable to fill, thereby prompting </w:t>
      </w:r>
      <w:r w:rsidRPr="004C6217">
        <w:rPr>
          <w:rFonts w:ascii="Times New Roman" w:hAnsi="Times New Roman"/>
          <w:noProof/>
          <w:szCs w:val="24"/>
        </w:rPr>
        <w:t>the inevitable</w:t>
      </w:r>
      <w:r w:rsidRPr="004C6217">
        <w:rPr>
          <w:rFonts w:ascii="Times New Roman" w:hAnsi="Times New Roman"/>
          <w:szCs w:val="24"/>
        </w:rPr>
        <w:t xml:space="preserve"> demand for migrant workers (Massey, 1999). Unlike the neoclassical theory which considers migration as a product of the geographical imbalance of demand and supply that exist in developed and developing or underdeveloped economies, the DLMT concerns itself with the demand and supply dynamics in the developed countries, which fosters migration from developing economies. This is not entirely consistent with the neoclassical theory’s </w:t>
      </w:r>
      <w:r w:rsidRPr="004C6217">
        <w:rPr>
          <w:rFonts w:ascii="Times New Roman" w:hAnsi="Times New Roman"/>
          <w:szCs w:val="24"/>
        </w:rPr>
        <w:lastRenderedPageBreak/>
        <w:t xml:space="preserve">view that individual makes the decision to migrate if they believe it will bring them positive return and the new economics of labour migration theory’s notion that the decision to migrate </w:t>
      </w:r>
      <w:r w:rsidRPr="004C6217">
        <w:rPr>
          <w:rFonts w:ascii="Times New Roman" w:hAnsi="Times New Roman"/>
          <w:noProof/>
          <w:szCs w:val="24"/>
        </w:rPr>
        <w:t>is made</w:t>
      </w:r>
      <w:r w:rsidRPr="004C6217">
        <w:rPr>
          <w:rFonts w:ascii="Times New Roman" w:hAnsi="Times New Roman"/>
          <w:szCs w:val="24"/>
        </w:rPr>
        <w:t xml:space="preserve"> by a collective group seeking to maximise the expected income from an individual within the group.</w:t>
      </w:r>
    </w:p>
    <w:p w14:paraId="3947006A" w14:textId="64C0F40E"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Hence, the theory is </w:t>
      </w:r>
      <w:r w:rsidRPr="004C6217">
        <w:rPr>
          <w:rFonts w:ascii="Times New Roman" w:hAnsi="Times New Roman"/>
          <w:noProof/>
          <w:szCs w:val="24"/>
        </w:rPr>
        <w:t>mostly criticised</w:t>
      </w:r>
      <w:r w:rsidRPr="004C6217">
        <w:rPr>
          <w:rFonts w:ascii="Times New Roman" w:hAnsi="Times New Roman"/>
          <w:szCs w:val="24"/>
        </w:rPr>
        <w:t xml:space="preserve"> for ignoring the individual reasons and motivations for migration </w:t>
      </w:r>
      <w:r w:rsidRPr="004C6217">
        <w:rPr>
          <w:rFonts w:ascii="Times New Roman" w:hAnsi="Times New Roman"/>
          <w:noProof/>
          <w:szCs w:val="24"/>
        </w:rPr>
        <w:t xml:space="preserve">addressed by </w:t>
      </w:r>
      <w:r w:rsidRPr="004C6217">
        <w:rPr>
          <w:rFonts w:ascii="Times New Roman" w:hAnsi="Times New Roman"/>
          <w:szCs w:val="24"/>
        </w:rPr>
        <w:t xml:space="preserve">the neo-classical microeconomic and new economics of labour migration theories. The former </w:t>
      </w:r>
      <w:r>
        <w:rPr>
          <w:rFonts w:ascii="Times New Roman" w:hAnsi="Times New Roman"/>
          <w:szCs w:val="24"/>
        </w:rPr>
        <w:t xml:space="preserve">views </w:t>
      </w:r>
      <w:r w:rsidRPr="004C6217">
        <w:rPr>
          <w:rFonts w:ascii="Times New Roman" w:hAnsi="Times New Roman"/>
          <w:szCs w:val="24"/>
        </w:rPr>
        <w:t xml:space="preserve">migration </w:t>
      </w:r>
      <w:r>
        <w:rPr>
          <w:rFonts w:ascii="Times New Roman" w:hAnsi="Times New Roman"/>
          <w:szCs w:val="24"/>
        </w:rPr>
        <w:t xml:space="preserve">as the result of </w:t>
      </w:r>
      <w:r w:rsidRPr="004C6217">
        <w:rPr>
          <w:rFonts w:ascii="Times New Roman" w:hAnsi="Times New Roman"/>
          <w:szCs w:val="24"/>
        </w:rPr>
        <w:t xml:space="preserve">a </w:t>
      </w:r>
      <w:r w:rsidRPr="004C6217">
        <w:rPr>
          <w:rFonts w:ascii="Times New Roman" w:hAnsi="Times New Roman"/>
          <w:noProof/>
          <w:szCs w:val="24"/>
        </w:rPr>
        <w:t>geographical</w:t>
      </w:r>
      <w:r w:rsidRPr="004C6217">
        <w:rPr>
          <w:rFonts w:ascii="Times New Roman" w:hAnsi="Times New Roman"/>
          <w:szCs w:val="24"/>
        </w:rPr>
        <w:t xml:space="preserve"> imbalance between demand and supply of labour. Individuals choose to migrate when they believe that migration will bring them a </w:t>
      </w:r>
      <w:r w:rsidRPr="004C6217">
        <w:rPr>
          <w:rFonts w:ascii="Times New Roman" w:hAnsi="Times New Roman"/>
          <w:noProof/>
          <w:szCs w:val="24"/>
        </w:rPr>
        <w:t>positive</w:t>
      </w:r>
      <w:r w:rsidRPr="004C6217">
        <w:rPr>
          <w:rFonts w:ascii="Times New Roman" w:hAnsi="Times New Roman"/>
          <w:szCs w:val="24"/>
        </w:rPr>
        <w:t xml:space="preserve"> net return. The latter theory states that </w:t>
      </w:r>
      <w:r>
        <w:rPr>
          <w:rFonts w:ascii="Times New Roman" w:hAnsi="Times New Roman"/>
          <w:szCs w:val="24"/>
        </w:rPr>
        <w:t xml:space="preserve">the decision to </w:t>
      </w:r>
      <w:r w:rsidRPr="004C6217">
        <w:rPr>
          <w:rFonts w:ascii="Times New Roman" w:hAnsi="Times New Roman"/>
          <w:szCs w:val="24"/>
        </w:rPr>
        <w:t>migrat</w:t>
      </w:r>
      <w:r>
        <w:rPr>
          <w:rFonts w:ascii="Times New Roman" w:hAnsi="Times New Roman"/>
          <w:szCs w:val="24"/>
        </w:rPr>
        <w:t>e</w:t>
      </w:r>
      <w:r w:rsidRPr="004C6217">
        <w:rPr>
          <w:rFonts w:ascii="Times New Roman" w:hAnsi="Times New Roman"/>
          <w:szCs w:val="24"/>
        </w:rPr>
        <w:t xml:space="preserve"> </w:t>
      </w:r>
      <w:r>
        <w:rPr>
          <w:rFonts w:ascii="Times New Roman" w:hAnsi="Times New Roman"/>
          <w:szCs w:val="24"/>
        </w:rPr>
        <w:t xml:space="preserve">is </w:t>
      </w:r>
      <w:r w:rsidRPr="004C6217">
        <w:rPr>
          <w:rFonts w:ascii="Times New Roman" w:hAnsi="Times New Roman"/>
          <w:szCs w:val="24"/>
        </w:rPr>
        <w:t xml:space="preserve">not only made by individuals, but </w:t>
      </w:r>
      <w:r>
        <w:rPr>
          <w:rFonts w:ascii="Times New Roman" w:hAnsi="Times New Roman"/>
          <w:szCs w:val="24"/>
        </w:rPr>
        <w:t xml:space="preserve">by those </w:t>
      </w:r>
      <w:r w:rsidRPr="004C6217">
        <w:rPr>
          <w:rFonts w:ascii="Times New Roman" w:hAnsi="Times New Roman"/>
          <w:szCs w:val="24"/>
        </w:rPr>
        <w:t xml:space="preserve">within larger units of interrelated people like families or households, and that people </w:t>
      </w:r>
      <w:r w:rsidRPr="004C6217">
        <w:rPr>
          <w:rFonts w:ascii="Times New Roman" w:hAnsi="Times New Roman"/>
          <w:noProof/>
          <w:szCs w:val="24"/>
        </w:rPr>
        <w:t>cooperate</w:t>
      </w:r>
      <w:r w:rsidRPr="004C6217">
        <w:rPr>
          <w:rFonts w:ascii="Times New Roman" w:hAnsi="Times New Roman"/>
          <w:szCs w:val="24"/>
        </w:rPr>
        <w:t xml:space="preserve"> to </w:t>
      </w:r>
      <w:r w:rsidRPr="004C6217">
        <w:rPr>
          <w:rFonts w:ascii="Times New Roman" w:hAnsi="Times New Roman"/>
          <w:noProof/>
          <w:szCs w:val="24"/>
        </w:rPr>
        <w:t>maximise</w:t>
      </w:r>
      <w:r w:rsidRPr="004C6217">
        <w:rPr>
          <w:rFonts w:ascii="Times New Roman" w:hAnsi="Times New Roman"/>
          <w:szCs w:val="24"/>
        </w:rPr>
        <w:t xml:space="preserve"> expected income (Massey, 2001).</w:t>
      </w:r>
    </w:p>
    <w:p w14:paraId="73E7A8DD"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However, the </w:t>
      </w:r>
      <w:r>
        <w:rPr>
          <w:rFonts w:ascii="Times New Roman" w:hAnsi="Times New Roman"/>
          <w:szCs w:val="24"/>
        </w:rPr>
        <w:t>SLMT</w:t>
      </w:r>
      <w:r w:rsidRPr="004C6217">
        <w:rPr>
          <w:rFonts w:ascii="Times New Roman" w:hAnsi="Times New Roman"/>
          <w:szCs w:val="24"/>
        </w:rPr>
        <w:t xml:space="preserve"> does not state or deny that workers make rational, self-interested decisions like microeconomic theories predict</w:t>
      </w:r>
      <w:r>
        <w:rPr>
          <w:rFonts w:ascii="Times New Roman" w:hAnsi="Times New Roman"/>
          <w:szCs w:val="24"/>
        </w:rPr>
        <w:t>s,</w:t>
      </w:r>
      <w:r w:rsidRPr="004C6217">
        <w:rPr>
          <w:rFonts w:ascii="Times New Roman" w:hAnsi="Times New Roman"/>
          <w:szCs w:val="24"/>
        </w:rPr>
        <w:t xml:space="preserve"> </w:t>
      </w:r>
      <w:r>
        <w:rPr>
          <w:rFonts w:ascii="Times New Roman" w:hAnsi="Times New Roman"/>
          <w:szCs w:val="24"/>
        </w:rPr>
        <w:t>i</w:t>
      </w:r>
      <w:r w:rsidRPr="004C6217">
        <w:rPr>
          <w:rFonts w:ascii="Times New Roman" w:hAnsi="Times New Roman"/>
          <w:szCs w:val="24"/>
        </w:rPr>
        <w:t>nstead, it demonstrates how structural demands for bottom level workers and limited native supply of such workers created an underlying demand for migrants in developed countries (Massey, 1999). The underlying premise of the theory is that in advanced capitalist economies</w:t>
      </w:r>
      <w:r>
        <w:rPr>
          <w:rFonts w:ascii="Times New Roman" w:hAnsi="Times New Roman"/>
          <w:szCs w:val="24"/>
        </w:rPr>
        <w:t>,</w:t>
      </w:r>
      <w:r w:rsidRPr="004C6217">
        <w:rPr>
          <w:rFonts w:ascii="Times New Roman" w:hAnsi="Times New Roman"/>
          <w:szCs w:val="24"/>
        </w:rPr>
        <w:t xml:space="preserve"> there are employment segments often crudely defined as primary and secondary employment sector.  </w:t>
      </w:r>
      <w:r>
        <w:rPr>
          <w:rFonts w:ascii="Times New Roman" w:hAnsi="Times New Roman"/>
          <w:szCs w:val="24"/>
        </w:rPr>
        <w:t>It</w:t>
      </w:r>
      <w:r w:rsidRPr="004C6217">
        <w:rPr>
          <w:rFonts w:ascii="Times New Roman" w:hAnsi="Times New Roman"/>
          <w:szCs w:val="24"/>
        </w:rPr>
        <w:t xml:space="preserve"> </w:t>
      </w:r>
      <w:r w:rsidRPr="004C6217">
        <w:rPr>
          <w:rFonts w:ascii="Times New Roman" w:hAnsi="Times New Roman"/>
          <w:noProof/>
          <w:szCs w:val="24"/>
        </w:rPr>
        <w:t>asserts</w:t>
      </w:r>
      <w:r w:rsidRPr="004C6217">
        <w:rPr>
          <w:rFonts w:ascii="Times New Roman" w:hAnsi="Times New Roman"/>
          <w:szCs w:val="24"/>
        </w:rPr>
        <w:t xml:space="preserve"> that there exists a social divide between high-wage, high esteem, capital-intensive primary sector jobs and Massey </w:t>
      </w:r>
      <w:r w:rsidRPr="00C55F53">
        <w:rPr>
          <w:rFonts w:ascii="Times New Roman" w:hAnsi="Times New Roman"/>
          <w:i/>
          <w:iCs/>
          <w:szCs w:val="24"/>
        </w:rPr>
        <w:t>et al.</w:t>
      </w:r>
      <w:r w:rsidRPr="004C6217">
        <w:rPr>
          <w:rFonts w:ascii="Times New Roman" w:hAnsi="Times New Roman"/>
          <w:szCs w:val="24"/>
        </w:rPr>
        <w:t xml:space="preserve"> (1993) suggest that employers invest in the training and education of workers at this level. In contrast, </w:t>
      </w:r>
      <w:r>
        <w:rPr>
          <w:rFonts w:ascii="Times New Roman" w:hAnsi="Times New Roman"/>
          <w:szCs w:val="24"/>
        </w:rPr>
        <w:t>DLMT</w:t>
      </w:r>
      <w:r w:rsidRPr="004C6217">
        <w:rPr>
          <w:rFonts w:ascii="Times New Roman" w:hAnsi="Times New Roman"/>
          <w:szCs w:val="24"/>
        </w:rPr>
        <w:t xml:space="preserve"> suggests that there are also low-wage, low prestige</w:t>
      </w:r>
      <w:r>
        <w:rPr>
          <w:rFonts w:ascii="Times New Roman" w:hAnsi="Times New Roman"/>
          <w:szCs w:val="24"/>
        </w:rPr>
        <w:t>,</w:t>
      </w:r>
      <w:r w:rsidRPr="004C6217">
        <w:rPr>
          <w:rFonts w:ascii="Times New Roman" w:hAnsi="Times New Roman"/>
          <w:szCs w:val="24"/>
        </w:rPr>
        <w:t xml:space="preserve"> labour-intensive secondary sector jobs. </w:t>
      </w:r>
      <w:r w:rsidRPr="004C6217">
        <w:rPr>
          <w:rFonts w:ascii="Times New Roman" w:hAnsi="Times New Roman"/>
          <w:noProof/>
          <w:szCs w:val="24"/>
        </w:rPr>
        <w:t>Moreover,</w:t>
      </w:r>
      <w:r w:rsidRPr="004C6217">
        <w:rPr>
          <w:rFonts w:ascii="Times New Roman" w:hAnsi="Times New Roman"/>
          <w:szCs w:val="24"/>
        </w:rPr>
        <w:t xml:space="preserve"> </w:t>
      </w:r>
      <w:r w:rsidRPr="004C6217">
        <w:rPr>
          <w:rFonts w:ascii="Times New Roman" w:hAnsi="Times New Roman"/>
          <w:noProof/>
          <w:szCs w:val="24"/>
        </w:rPr>
        <w:t>the most desirable jobs</w:t>
      </w:r>
      <w:r w:rsidRPr="004C6217">
        <w:rPr>
          <w:rFonts w:ascii="Times New Roman" w:hAnsi="Times New Roman"/>
          <w:szCs w:val="24"/>
        </w:rPr>
        <w:t xml:space="preserve"> are within the primary sector, yet often these jobs are not open to migrant workers.</w:t>
      </w:r>
    </w:p>
    <w:p w14:paraId="194615A2" w14:textId="77777777" w:rsidR="00811DBD" w:rsidRPr="004C6217" w:rsidRDefault="00811DBD" w:rsidP="006869A3">
      <w:pPr>
        <w:pStyle w:val="Heading3"/>
      </w:pPr>
      <w:bookmarkStart w:id="53" w:name="_Hlk51434108"/>
      <w:bookmarkStart w:id="54" w:name="_Toc86417245"/>
      <w:r w:rsidRPr="004C6217">
        <w:rPr>
          <w:bCs/>
        </w:rPr>
        <w:t xml:space="preserve">2.4.4. </w:t>
      </w:r>
      <w:r w:rsidRPr="004C6217">
        <w:t>World System Theory</w:t>
      </w:r>
      <w:bookmarkEnd w:id="53"/>
      <w:bookmarkEnd w:id="54"/>
    </w:p>
    <w:p w14:paraId="30B89855"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world systems theory brings a different perspective to the concept of global migration. It takes the view that the entire world is a single capitalist system where poorer and developing nations </w:t>
      </w:r>
      <w:r>
        <w:rPr>
          <w:rFonts w:ascii="Times New Roman" w:hAnsi="Times New Roman"/>
          <w:szCs w:val="24"/>
        </w:rPr>
        <w:t xml:space="preserve">which </w:t>
      </w:r>
      <w:r w:rsidRPr="004C6217">
        <w:rPr>
          <w:rFonts w:ascii="Times New Roman" w:hAnsi="Times New Roman"/>
          <w:szCs w:val="24"/>
        </w:rPr>
        <w:t>constitute the periphery nations serve as a source of cheap labour to rich</w:t>
      </w:r>
      <w:r>
        <w:rPr>
          <w:rFonts w:ascii="Times New Roman" w:hAnsi="Times New Roman"/>
          <w:szCs w:val="24"/>
        </w:rPr>
        <w:t>er</w:t>
      </w:r>
      <w:r w:rsidRPr="004C6217">
        <w:rPr>
          <w:rFonts w:ascii="Times New Roman" w:hAnsi="Times New Roman"/>
          <w:szCs w:val="24"/>
        </w:rPr>
        <w:t xml:space="preserve"> nations which constitute the core nations (Babones, 2006). Developed by Immanuel Wallerstein, the world systems theory takes it root from </w:t>
      </w:r>
      <w:r w:rsidRPr="004C6217">
        <w:rPr>
          <w:rFonts w:ascii="Times New Roman" w:hAnsi="Times New Roman"/>
          <w:szCs w:val="24"/>
        </w:rPr>
        <w:lastRenderedPageBreak/>
        <w:t xml:space="preserve">addressing the criticism of the dependency theory which explains the place of </w:t>
      </w:r>
      <w:r w:rsidRPr="004C6217">
        <w:rPr>
          <w:rFonts w:ascii="Times New Roman" w:hAnsi="Times New Roman"/>
          <w:noProof/>
          <w:szCs w:val="24"/>
        </w:rPr>
        <w:t>more impoverished</w:t>
      </w:r>
      <w:r w:rsidRPr="004C6217">
        <w:rPr>
          <w:rFonts w:ascii="Times New Roman" w:hAnsi="Times New Roman"/>
          <w:szCs w:val="24"/>
        </w:rPr>
        <w:t xml:space="preserve"> nations in a neo-colonial world (Frank, 1966; Wallerstein, 1974). The dependency theory considers poorer countries dependent on richer countries both politically and economically, </w:t>
      </w:r>
      <w:r w:rsidRPr="004C6217">
        <w:rPr>
          <w:rFonts w:ascii="Times New Roman" w:hAnsi="Times New Roman"/>
          <w:noProof/>
          <w:szCs w:val="24"/>
        </w:rPr>
        <w:t>and</w:t>
      </w:r>
      <w:r w:rsidRPr="004C6217">
        <w:rPr>
          <w:rFonts w:ascii="Times New Roman" w:hAnsi="Times New Roman"/>
          <w:szCs w:val="24"/>
        </w:rPr>
        <w:t xml:space="preserve"> it is one of the theories that form the basis for the critiques of global capitalism (Agbebi and Virtanen, 2018).</w:t>
      </w:r>
    </w:p>
    <w:p w14:paraId="34B8BC5D"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World systems theory takes both a global and critical view that migration is a product of global capitalism, relying on Marxist </w:t>
      </w:r>
      <w:r w:rsidRPr="004C6217">
        <w:rPr>
          <w:rFonts w:ascii="Times New Roman" w:hAnsi="Times New Roman"/>
          <w:noProof/>
          <w:szCs w:val="24"/>
        </w:rPr>
        <w:t>political and economic</w:t>
      </w:r>
      <w:r w:rsidRPr="004C6217">
        <w:rPr>
          <w:rFonts w:ascii="Times New Roman" w:hAnsi="Times New Roman"/>
          <w:szCs w:val="24"/>
        </w:rPr>
        <w:t xml:space="preserve"> perspective</w:t>
      </w:r>
      <w:r>
        <w:rPr>
          <w:rFonts w:ascii="Times New Roman" w:hAnsi="Times New Roman"/>
          <w:szCs w:val="24"/>
        </w:rPr>
        <w:t>s</w:t>
      </w:r>
      <w:r w:rsidRPr="004C6217">
        <w:rPr>
          <w:rFonts w:ascii="Times New Roman" w:hAnsi="Times New Roman"/>
          <w:szCs w:val="24"/>
        </w:rPr>
        <w:t xml:space="preserve"> of the unequal global distribution of political and economic power and resources. Hence, in relation to the </w:t>
      </w:r>
      <w:r w:rsidRPr="004C6217">
        <w:rPr>
          <w:rFonts w:ascii="Times New Roman" w:hAnsi="Times New Roman"/>
          <w:noProof/>
          <w:szCs w:val="24"/>
        </w:rPr>
        <w:t>global</w:t>
      </w:r>
      <w:r w:rsidRPr="004C6217">
        <w:rPr>
          <w:rFonts w:ascii="Times New Roman" w:hAnsi="Times New Roman"/>
          <w:szCs w:val="24"/>
        </w:rPr>
        <w:t xml:space="preserve"> migration of workers from poorer countries to rich</w:t>
      </w:r>
      <w:r>
        <w:rPr>
          <w:rFonts w:ascii="Times New Roman" w:hAnsi="Times New Roman"/>
          <w:szCs w:val="24"/>
        </w:rPr>
        <w:t>er</w:t>
      </w:r>
      <w:r w:rsidRPr="004C6217">
        <w:rPr>
          <w:rFonts w:ascii="Times New Roman" w:hAnsi="Times New Roman"/>
          <w:szCs w:val="24"/>
        </w:rPr>
        <w:t xml:space="preserve"> countries, the world system theory explains the mass labour migration from the global south (poorer countries in the southern hemisphere) to the global north (richer countries in the northern </w:t>
      </w:r>
      <w:r w:rsidRPr="004C6217">
        <w:rPr>
          <w:rFonts w:ascii="Times New Roman" w:hAnsi="Times New Roman"/>
          <w:noProof/>
          <w:szCs w:val="24"/>
        </w:rPr>
        <w:t>hemisphere</w:t>
      </w:r>
      <w:r w:rsidRPr="004C6217">
        <w:rPr>
          <w:rFonts w:ascii="Times New Roman" w:hAnsi="Times New Roman"/>
          <w:szCs w:val="24"/>
        </w:rPr>
        <w:t xml:space="preserve">) with the migratory trend being a continuation of colonial relations and control. Moreover, from this viewpoint, migration occurs as a feature that perpetuates a ‘one world system’, characterised by uneven development and an international </w:t>
      </w:r>
      <w:r w:rsidRPr="004C6217">
        <w:rPr>
          <w:rFonts w:ascii="Times New Roman" w:hAnsi="Times New Roman"/>
          <w:noProof/>
          <w:szCs w:val="24"/>
        </w:rPr>
        <w:t>division</w:t>
      </w:r>
      <w:r w:rsidRPr="004C6217">
        <w:rPr>
          <w:rFonts w:ascii="Times New Roman" w:hAnsi="Times New Roman"/>
          <w:szCs w:val="24"/>
        </w:rPr>
        <w:t xml:space="preserve"> of labour (Sassen, 1988). As an </w:t>
      </w:r>
      <w:r w:rsidRPr="004C6217">
        <w:rPr>
          <w:rFonts w:ascii="Times New Roman" w:hAnsi="Times New Roman"/>
          <w:noProof/>
          <w:szCs w:val="24"/>
        </w:rPr>
        <w:t>approach,</w:t>
      </w:r>
      <w:r w:rsidRPr="004C6217">
        <w:rPr>
          <w:rFonts w:ascii="Times New Roman" w:hAnsi="Times New Roman"/>
          <w:szCs w:val="24"/>
        </w:rPr>
        <w:t xml:space="preserve"> it argues that global migration follows the relationship created in the global stage, where capitalist countries in Western Europe and North America (core countries) form an </w:t>
      </w:r>
      <w:r w:rsidRPr="004C6217">
        <w:rPr>
          <w:rFonts w:ascii="Times New Roman" w:hAnsi="Times New Roman"/>
          <w:noProof/>
          <w:szCs w:val="24"/>
        </w:rPr>
        <w:t>economic</w:t>
      </w:r>
      <w:r w:rsidRPr="004C6217">
        <w:rPr>
          <w:rFonts w:ascii="Times New Roman" w:hAnsi="Times New Roman"/>
          <w:szCs w:val="24"/>
        </w:rPr>
        <w:t xml:space="preserve"> relationship with both semi-peripheral (developing countries) and peripheral (underdeveloped) countries.</w:t>
      </w:r>
    </w:p>
    <w:p w14:paraId="2E1EFA34"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t xml:space="preserve">Apart from global migration </w:t>
      </w:r>
      <w:r>
        <w:rPr>
          <w:rFonts w:ascii="Times New Roman" w:hAnsi="Times New Roman"/>
          <w:noProof/>
          <w:szCs w:val="24"/>
        </w:rPr>
        <w:t xml:space="preserve">being </w:t>
      </w:r>
      <w:r w:rsidRPr="004C6217">
        <w:rPr>
          <w:rFonts w:ascii="Times New Roman" w:hAnsi="Times New Roman"/>
          <w:noProof/>
          <w:szCs w:val="24"/>
        </w:rPr>
        <w:t>considered</w:t>
      </w:r>
      <w:r w:rsidRPr="004C6217">
        <w:rPr>
          <w:rFonts w:ascii="Times New Roman" w:hAnsi="Times New Roman"/>
          <w:szCs w:val="24"/>
        </w:rPr>
        <w:t xml:space="preserve"> as a ‘natural’ consequence of the global capitalist market, </w:t>
      </w:r>
      <w:r>
        <w:rPr>
          <w:rFonts w:ascii="Times New Roman" w:hAnsi="Times New Roman"/>
          <w:szCs w:val="24"/>
        </w:rPr>
        <w:t xml:space="preserve">the </w:t>
      </w:r>
      <w:r w:rsidRPr="004C6217">
        <w:rPr>
          <w:rFonts w:ascii="Times New Roman" w:hAnsi="Times New Roman"/>
          <w:szCs w:val="24"/>
        </w:rPr>
        <w:t xml:space="preserve">world systems theory also postulates that the flow of global labour migration and the flow of goods and capital also occurs in the opposite direction (Massey </w:t>
      </w:r>
      <w:r w:rsidRPr="00C55F53">
        <w:rPr>
          <w:rFonts w:ascii="Times New Roman" w:hAnsi="Times New Roman"/>
          <w:i/>
          <w:iCs/>
          <w:szCs w:val="24"/>
        </w:rPr>
        <w:t>et al.</w:t>
      </w:r>
      <w:r w:rsidRPr="004C6217">
        <w:rPr>
          <w:rFonts w:ascii="Times New Roman" w:hAnsi="Times New Roman"/>
          <w:szCs w:val="24"/>
        </w:rPr>
        <w:t xml:space="preserve">, 1993). To put this into perspective, when people migrate from a labour surplus but capital scarce and economically deprived areas to labour scarce capitalist countries, capital flows into the capital scarce areas in the form of remittances (Kurekova, 2011). </w:t>
      </w:r>
      <w:r w:rsidRPr="004C6217">
        <w:rPr>
          <w:rFonts w:ascii="Times New Roman" w:hAnsi="Times New Roman"/>
          <w:noProof/>
          <w:szCs w:val="24"/>
        </w:rPr>
        <w:t>The world system theory suggests that the demand for unskilled labour is high in capitalist countries (Sassen, 1988), which is similar to the dual labour market theory. The world systems theory argues that wealthy core countries have a high need for low skilled labour, and due to the natives’ lack of desire to take up low-skilled jobs and the apparent willingness for a migrant to take the jobs, it favours the global migration of migrants.</w:t>
      </w:r>
      <w:r w:rsidRPr="004C6217">
        <w:rPr>
          <w:rFonts w:ascii="Times New Roman" w:hAnsi="Times New Roman"/>
          <w:szCs w:val="24"/>
        </w:rPr>
        <w:t xml:space="preserve"> </w:t>
      </w:r>
    </w:p>
    <w:p w14:paraId="75715C21"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lastRenderedPageBreak/>
        <w:t>Furthermore, as Sassen (</w:t>
      </w:r>
      <w:r>
        <w:rPr>
          <w:rFonts w:ascii="Times New Roman" w:hAnsi="Times New Roman"/>
          <w:szCs w:val="24"/>
        </w:rPr>
        <w:t>2001</w:t>
      </w:r>
      <w:r w:rsidRPr="004C6217">
        <w:rPr>
          <w:rFonts w:ascii="Times New Roman" w:hAnsi="Times New Roman"/>
          <w:szCs w:val="24"/>
        </w:rPr>
        <w:t xml:space="preserve">) </w:t>
      </w:r>
      <w:r>
        <w:rPr>
          <w:rFonts w:ascii="Times New Roman" w:hAnsi="Times New Roman"/>
          <w:szCs w:val="24"/>
        </w:rPr>
        <w:t>discussed</w:t>
      </w:r>
      <w:r w:rsidRPr="004C6217">
        <w:rPr>
          <w:rFonts w:ascii="Times New Roman" w:hAnsi="Times New Roman"/>
          <w:szCs w:val="24"/>
        </w:rPr>
        <w:t xml:space="preserve">, the dynamics of global cities are seen as a product of </w:t>
      </w:r>
      <w:r w:rsidRPr="004C6217">
        <w:rPr>
          <w:rFonts w:ascii="Times New Roman" w:hAnsi="Times New Roman"/>
          <w:noProof/>
          <w:szCs w:val="24"/>
        </w:rPr>
        <w:t>globalisation</w:t>
      </w:r>
      <w:r w:rsidRPr="004C6217">
        <w:rPr>
          <w:rFonts w:ascii="Times New Roman" w:hAnsi="Times New Roman"/>
          <w:szCs w:val="24"/>
        </w:rPr>
        <w:t xml:space="preserve">. These global cities find themselves at the centre of all economic activity where high-powered firms are present </w:t>
      </w:r>
      <w:r w:rsidRPr="004C6217">
        <w:rPr>
          <w:rFonts w:ascii="Times New Roman" w:hAnsi="Times New Roman"/>
          <w:noProof/>
          <w:szCs w:val="24"/>
        </w:rPr>
        <w:t>and</w:t>
      </w:r>
      <w:r w:rsidRPr="004C6217">
        <w:rPr>
          <w:rFonts w:ascii="Times New Roman" w:hAnsi="Times New Roman"/>
          <w:szCs w:val="24"/>
        </w:rPr>
        <w:t xml:space="preserve"> </w:t>
      </w:r>
      <w:r w:rsidRPr="004C6217">
        <w:rPr>
          <w:rFonts w:ascii="Times New Roman" w:hAnsi="Times New Roman"/>
          <w:noProof/>
          <w:szCs w:val="24"/>
        </w:rPr>
        <w:t>far-reaching</w:t>
      </w:r>
      <w:r w:rsidRPr="004C6217">
        <w:rPr>
          <w:rFonts w:ascii="Times New Roman" w:hAnsi="Times New Roman"/>
          <w:szCs w:val="24"/>
        </w:rPr>
        <w:t xml:space="preserve"> decisions are made based on finance and administration. In these cities, skilled workers who are native to the core countries usually fill the positions offered by these firms. However, within this theoretical approach, it </w:t>
      </w:r>
      <w:r w:rsidRPr="004C6217">
        <w:rPr>
          <w:rFonts w:ascii="Times New Roman" w:hAnsi="Times New Roman"/>
          <w:noProof/>
          <w:szCs w:val="24"/>
        </w:rPr>
        <w:t>is argued</w:t>
      </w:r>
      <w:r w:rsidRPr="004C6217">
        <w:rPr>
          <w:rFonts w:ascii="Times New Roman" w:hAnsi="Times New Roman"/>
          <w:szCs w:val="24"/>
        </w:rPr>
        <w:t xml:space="preserve"> that there is a strong pull for migrant workers to move to these highly developed countries of the world </w:t>
      </w:r>
      <w:r w:rsidRPr="004C6217">
        <w:rPr>
          <w:rFonts w:ascii="Times New Roman" w:hAnsi="Times New Roman"/>
          <w:noProof/>
          <w:szCs w:val="24"/>
        </w:rPr>
        <w:t>to</w:t>
      </w:r>
      <w:r w:rsidRPr="004C6217">
        <w:rPr>
          <w:rFonts w:ascii="Times New Roman" w:hAnsi="Times New Roman"/>
          <w:szCs w:val="24"/>
        </w:rPr>
        <w:t xml:space="preserve"> fill the low-skilled, low-status jobs (Sassen, 1996; Sanderson </w:t>
      </w:r>
      <w:r w:rsidRPr="00C55F53">
        <w:rPr>
          <w:rFonts w:ascii="Times New Roman" w:hAnsi="Times New Roman"/>
          <w:i/>
          <w:iCs/>
          <w:szCs w:val="24"/>
        </w:rPr>
        <w:t>et al.</w:t>
      </w:r>
      <w:r w:rsidRPr="004C6217">
        <w:rPr>
          <w:rFonts w:ascii="Times New Roman" w:hAnsi="Times New Roman"/>
          <w:szCs w:val="24"/>
        </w:rPr>
        <w:t xml:space="preserve">, 2015; Palát, 2017). </w:t>
      </w:r>
      <w:r w:rsidRPr="004C6217">
        <w:rPr>
          <w:rFonts w:ascii="Times New Roman" w:hAnsi="Times New Roman"/>
          <w:noProof/>
          <w:szCs w:val="24"/>
        </w:rPr>
        <w:t>This</w:t>
      </w:r>
      <w:r w:rsidRPr="004C6217">
        <w:rPr>
          <w:rFonts w:ascii="Times New Roman" w:hAnsi="Times New Roman"/>
          <w:szCs w:val="24"/>
        </w:rPr>
        <w:t xml:space="preserve"> is due to the structural economic changes that </w:t>
      </w:r>
      <w:r w:rsidRPr="004C6217">
        <w:rPr>
          <w:rFonts w:ascii="Times New Roman" w:hAnsi="Times New Roman"/>
          <w:noProof/>
          <w:szCs w:val="24"/>
        </w:rPr>
        <w:t>ensue</w:t>
      </w:r>
      <w:r>
        <w:rPr>
          <w:rFonts w:ascii="Times New Roman" w:hAnsi="Times New Roman"/>
          <w:noProof/>
          <w:szCs w:val="24"/>
        </w:rPr>
        <w:t>,</w:t>
      </w:r>
      <w:r w:rsidRPr="004C6217">
        <w:rPr>
          <w:rFonts w:ascii="Times New Roman" w:hAnsi="Times New Roman"/>
          <w:szCs w:val="24"/>
        </w:rPr>
        <w:t xml:space="preserve"> which leads to the </w:t>
      </w:r>
      <w:r w:rsidRPr="004C6217">
        <w:rPr>
          <w:rFonts w:ascii="Times New Roman" w:hAnsi="Times New Roman"/>
          <w:noProof/>
          <w:szCs w:val="24"/>
        </w:rPr>
        <w:t>increasing</w:t>
      </w:r>
      <w:r w:rsidRPr="004C6217">
        <w:rPr>
          <w:rFonts w:ascii="Times New Roman" w:hAnsi="Times New Roman"/>
          <w:szCs w:val="24"/>
        </w:rPr>
        <w:t xml:space="preserve"> demand for cheap migrant labour. For instance, a boom in the financial, media and technological sectors in the global cities of the core countries causes an influx of highly educated/high income, international finance/technology/creative workers, who need cheap labour (such as child-minders, domestics, caterers, etc.) to service their needs (Likic-Brboric, Slavnic and Woolfson, 2013; Van Hear, Bakewell and Long, 2018).</w:t>
      </w:r>
    </w:p>
    <w:p w14:paraId="18E84385"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world systems theory begins to explain the international movement of people across borders in terms of the developmental processes involved in the relationship between the capitalist countries and those belonging to the developing world. This relationship is understood to impact on the economy, politics and culture with the different economies. Within these confines, world systems theory </w:t>
      </w:r>
      <w:r w:rsidRPr="004C6217">
        <w:rPr>
          <w:rFonts w:ascii="Times New Roman" w:hAnsi="Times New Roman"/>
          <w:noProof/>
          <w:szCs w:val="24"/>
        </w:rPr>
        <w:t>explains</w:t>
      </w:r>
      <w:r w:rsidRPr="004C6217">
        <w:rPr>
          <w:rFonts w:ascii="Times New Roman" w:hAnsi="Times New Roman"/>
          <w:szCs w:val="24"/>
        </w:rPr>
        <w:t xml:space="preserve"> the movement of labour. Different to the neoclassical theory, world systems theory offers a better understanding of migration from less developed nations to countries of the </w:t>
      </w:r>
      <w:r>
        <w:rPr>
          <w:rFonts w:ascii="Times New Roman" w:hAnsi="Times New Roman"/>
          <w:szCs w:val="24"/>
        </w:rPr>
        <w:t xml:space="preserve">global </w:t>
      </w:r>
      <w:r w:rsidRPr="004C6217">
        <w:rPr>
          <w:rFonts w:ascii="Times New Roman" w:hAnsi="Times New Roman"/>
          <w:szCs w:val="24"/>
        </w:rPr>
        <w:t xml:space="preserve">North. It also takes into consideration factors relating to </w:t>
      </w:r>
      <w:r w:rsidRPr="004C6217">
        <w:rPr>
          <w:rFonts w:ascii="Times New Roman" w:hAnsi="Times New Roman"/>
          <w:noProof/>
          <w:szCs w:val="24"/>
        </w:rPr>
        <w:t>colonisation</w:t>
      </w:r>
      <w:r w:rsidRPr="004C6217">
        <w:rPr>
          <w:rFonts w:ascii="Times New Roman" w:hAnsi="Times New Roman"/>
          <w:szCs w:val="24"/>
        </w:rPr>
        <w:t xml:space="preserve"> and the history of these regions, </w:t>
      </w:r>
      <w:r w:rsidRPr="004C6217">
        <w:rPr>
          <w:rFonts w:ascii="Times New Roman" w:hAnsi="Times New Roman"/>
          <w:noProof/>
          <w:szCs w:val="24"/>
        </w:rPr>
        <w:t>and</w:t>
      </w:r>
      <w:r w:rsidRPr="004C6217">
        <w:rPr>
          <w:rFonts w:ascii="Times New Roman" w:hAnsi="Times New Roman"/>
          <w:szCs w:val="24"/>
        </w:rPr>
        <w:t xml:space="preserve"> it convincingly adds to the understanding of networks created and relationships formed through the integration of the world’s economy. It acknowledges the vulnerability of immigrant workers and takes into consideration their status upon entering a new country and seeking employment. The relevance of the world systems theory to global migration is that </w:t>
      </w:r>
      <w:r w:rsidRPr="004C6217">
        <w:rPr>
          <w:rFonts w:ascii="Times New Roman" w:hAnsi="Times New Roman"/>
          <w:noProof/>
          <w:szCs w:val="24"/>
        </w:rPr>
        <w:t>while</w:t>
      </w:r>
      <w:r w:rsidRPr="004C6217">
        <w:rPr>
          <w:rFonts w:ascii="Times New Roman" w:hAnsi="Times New Roman"/>
          <w:szCs w:val="24"/>
        </w:rPr>
        <w:t xml:space="preserve"> individual-level theories of global migration neglect the role of the state and other </w:t>
      </w:r>
      <w:r w:rsidRPr="004C6217">
        <w:rPr>
          <w:rFonts w:ascii="Times New Roman" w:hAnsi="Times New Roman"/>
          <w:noProof/>
          <w:szCs w:val="24"/>
        </w:rPr>
        <w:t>historical</w:t>
      </w:r>
      <w:r w:rsidRPr="004C6217">
        <w:rPr>
          <w:rFonts w:ascii="Times New Roman" w:hAnsi="Times New Roman"/>
          <w:szCs w:val="24"/>
        </w:rPr>
        <w:t xml:space="preserve"> factors, </w:t>
      </w:r>
      <w:r w:rsidRPr="004C6217">
        <w:rPr>
          <w:rFonts w:ascii="Times New Roman" w:hAnsi="Times New Roman"/>
          <w:noProof/>
          <w:szCs w:val="24"/>
        </w:rPr>
        <w:t xml:space="preserve">the world system theory emphasises </w:t>
      </w:r>
      <w:r w:rsidRPr="004C6217">
        <w:rPr>
          <w:rFonts w:ascii="Times New Roman" w:hAnsi="Times New Roman"/>
          <w:szCs w:val="24"/>
        </w:rPr>
        <w:t xml:space="preserve">the role of historical and structural factors and underplays the role of the individual motives to migrate. </w:t>
      </w:r>
      <w:r w:rsidRPr="004C6217">
        <w:rPr>
          <w:rFonts w:ascii="Times New Roman" w:hAnsi="Times New Roman"/>
          <w:noProof/>
          <w:szCs w:val="24"/>
        </w:rPr>
        <w:t>This is a drawback</w:t>
      </w:r>
      <w:r w:rsidRPr="004C6217">
        <w:rPr>
          <w:rFonts w:ascii="Times New Roman" w:hAnsi="Times New Roman"/>
          <w:szCs w:val="24"/>
        </w:rPr>
        <w:t xml:space="preserve"> which stands as one of the </w:t>
      </w:r>
      <w:r w:rsidRPr="004C6217">
        <w:rPr>
          <w:rFonts w:ascii="Times New Roman" w:hAnsi="Times New Roman"/>
          <w:noProof/>
          <w:szCs w:val="24"/>
        </w:rPr>
        <w:t>criticisms</w:t>
      </w:r>
      <w:r w:rsidRPr="004C6217">
        <w:rPr>
          <w:rFonts w:ascii="Times New Roman" w:hAnsi="Times New Roman"/>
          <w:szCs w:val="24"/>
        </w:rPr>
        <w:t xml:space="preserve"> </w:t>
      </w:r>
      <w:r>
        <w:rPr>
          <w:rFonts w:ascii="Times New Roman" w:hAnsi="Times New Roman"/>
          <w:szCs w:val="24"/>
        </w:rPr>
        <w:t>of</w:t>
      </w:r>
      <w:r w:rsidRPr="004C6217">
        <w:rPr>
          <w:rFonts w:ascii="Times New Roman" w:hAnsi="Times New Roman"/>
          <w:szCs w:val="24"/>
        </w:rPr>
        <w:t xml:space="preserve"> the theory because it considers individuals who migrate as minor actors </w:t>
      </w:r>
      <w:r w:rsidRPr="004C6217">
        <w:rPr>
          <w:rFonts w:ascii="Times New Roman" w:hAnsi="Times New Roman"/>
          <w:szCs w:val="24"/>
        </w:rPr>
        <w:lastRenderedPageBreak/>
        <w:t>in the structures of global capitalism, ignoring the complexity of individual migration (Shannon 1989; Arango, 2004; Castles and Miller, 2009).</w:t>
      </w:r>
    </w:p>
    <w:p w14:paraId="2172FD97"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The theory also highlights the historical relationship between colonialism and the importance of colonial states in mass migratory flow as well as the unequal economic and political relationship between hitherto colonies and their colonial powers (Faist</w:t>
      </w:r>
      <w:r>
        <w:rPr>
          <w:rFonts w:ascii="Times New Roman" w:hAnsi="Times New Roman"/>
          <w:szCs w:val="24"/>
        </w:rPr>
        <w:t>,</w:t>
      </w:r>
      <w:r w:rsidRPr="004C6217">
        <w:rPr>
          <w:rFonts w:ascii="Times New Roman" w:hAnsi="Times New Roman"/>
          <w:szCs w:val="24"/>
        </w:rPr>
        <w:t xml:space="preserve"> 2010). As a structural theory, the world systems theory explains global migration of migrant labour in terms of the neo-colonial developmental relationship between colonial powers, who are now capitalist and the developing countries (their previous colonies). Furthermore, this neo-colonial developmental relationship can be explained by the process referred to as structuration (Giddens, 1984; Goss </w:t>
      </w:r>
      <w:r w:rsidRPr="00C55F53">
        <w:rPr>
          <w:rFonts w:ascii="Times New Roman" w:hAnsi="Times New Roman"/>
          <w:i/>
          <w:iCs/>
          <w:szCs w:val="24"/>
        </w:rPr>
        <w:t>et al.</w:t>
      </w:r>
      <w:r w:rsidRPr="004C6217">
        <w:rPr>
          <w:rFonts w:ascii="Times New Roman" w:hAnsi="Times New Roman"/>
          <w:szCs w:val="24"/>
        </w:rPr>
        <w:t xml:space="preserve">, </w:t>
      </w:r>
      <w:r>
        <w:rPr>
          <w:rFonts w:ascii="Times New Roman" w:hAnsi="Times New Roman"/>
          <w:szCs w:val="24"/>
        </w:rPr>
        <w:t>1995</w:t>
      </w:r>
      <w:r w:rsidRPr="004C6217">
        <w:rPr>
          <w:rFonts w:ascii="Times New Roman" w:hAnsi="Times New Roman"/>
          <w:szCs w:val="24"/>
        </w:rPr>
        <w:t xml:space="preserve">; Wolfel, 2002), where former colonial powers (developed countries) try to maintain pre-independent political and economic disequilibrium with developing countries, using whatever hegemonic power and advantage they have as leverage (Arango, 2004). It might </w:t>
      </w:r>
      <w:r w:rsidRPr="004C6217">
        <w:rPr>
          <w:rFonts w:ascii="Times New Roman" w:hAnsi="Times New Roman"/>
          <w:noProof/>
          <w:szCs w:val="24"/>
        </w:rPr>
        <w:t>be suggested</w:t>
      </w:r>
      <w:r w:rsidRPr="004C6217">
        <w:rPr>
          <w:rFonts w:ascii="Times New Roman" w:hAnsi="Times New Roman"/>
          <w:szCs w:val="24"/>
        </w:rPr>
        <w:t xml:space="preserve"> that within the confines of this unequal relationship, the world systems theory </w:t>
      </w:r>
      <w:r w:rsidRPr="004C6217">
        <w:rPr>
          <w:rFonts w:ascii="Times New Roman" w:hAnsi="Times New Roman"/>
          <w:noProof/>
          <w:szCs w:val="24"/>
        </w:rPr>
        <w:t>explains</w:t>
      </w:r>
      <w:r w:rsidRPr="004C6217">
        <w:rPr>
          <w:rFonts w:ascii="Times New Roman" w:hAnsi="Times New Roman"/>
          <w:szCs w:val="24"/>
        </w:rPr>
        <w:t xml:space="preserve"> the transition of migrant labour better than the neoclassical theory because it takes into consideration the colonial history of the developing states. </w:t>
      </w:r>
      <w:r w:rsidRPr="004C6217">
        <w:rPr>
          <w:rFonts w:ascii="Times New Roman" w:hAnsi="Times New Roman"/>
          <w:noProof/>
          <w:szCs w:val="24"/>
        </w:rPr>
        <w:t>In addition</w:t>
      </w:r>
      <w:r w:rsidRPr="004C6217">
        <w:rPr>
          <w:rFonts w:ascii="Times New Roman" w:hAnsi="Times New Roman"/>
          <w:szCs w:val="24"/>
        </w:rPr>
        <w:t xml:space="preserve">, it highlights the disadvantages </w:t>
      </w:r>
      <w:r>
        <w:rPr>
          <w:rFonts w:ascii="Times New Roman" w:hAnsi="Times New Roman"/>
          <w:szCs w:val="24"/>
        </w:rPr>
        <w:t xml:space="preserve">that </w:t>
      </w:r>
      <w:r w:rsidRPr="004C6217">
        <w:rPr>
          <w:rFonts w:ascii="Times New Roman" w:hAnsi="Times New Roman"/>
          <w:szCs w:val="24"/>
        </w:rPr>
        <w:t>migrant workers face upon arrival in the destination countries and the challenges they face while seeking employment.</w:t>
      </w:r>
    </w:p>
    <w:p w14:paraId="53774D24"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However, as stated, one of the drawbacks to the world systems theory in the understanding of mass migration of </w:t>
      </w:r>
      <w:r w:rsidRPr="004C6217">
        <w:rPr>
          <w:rFonts w:ascii="Times New Roman" w:hAnsi="Times New Roman"/>
          <w:noProof/>
          <w:szCs w:val="24"/>
        </w:rPr>
        <w:t>labour</w:t>
      </w:r>
      <w:r w:rsidRPr="004C6217">
        <w:rPr>
          <w:rFonts w:ascii="Times New Roman" w:hAnsi="Times New Roman"/>
          <w:szCs w:val="24"/>
        </w:rPr>
        <w:t xml:space="preserve"> is its failure to highlight the </w:t>
      </w:r>
      <w:r w:rsidRPr="004C6217">
        <w:rPr>
          <w:rFonts w:ascii="Times New Roman" w:hAnsi="Times New Roman"/>
          <w:noProof/>
          <w:szCs w:val="24"/>
        </w:rPr>
        <w:t>role of personal</w:t>
      </w:r>
      <w:r w:rsidRPr="004C6217">
        <w:rPr>
          <w:rFonts w:ascii="Times New Roman" w:hAnsi="Times New Roman"/>
          <w:szCs w:val="24"/>
        </w:rPr>
        <w:t xml:space="preserve"> characteristics such as gender in migration (Castles and Miller, 2009). As such, it tends to overlook issues such as female migration and does not account for long-term labour migration or chain migration (</w:t>
      </w:r>
      <w:r>
        <w:rPr>
          <w:rFonts w:ascii="Times New Roman" w:hAnsi="Times New Roman"/>
          <w:szCs w:val="24"/>
        </w:rPr>
        <w:t xml:space="preserve">a phenomenon </w:t>
      </w:r>
      <w:r w:rsidRPr="004C6217">
        <w:rPr>
          <w:rFonts w:ascii="Times New Roman" w:hAnsi="Times New Roman"/>
          <w:szCs w:val="24"/>
        </w:rPr>
        <w:t xml:space="preserve">where the migration of a family member leads to others migrating). </w:t>
      </w:r>
      <w:r w:rsidRPr="004C6217">
        <w:rPr>
          <w:rFonts w:ascii="Times New Roman" w:hAnsi="Times New Roman"/>
          <w:noProof/>
          <w:szCs w:val="24"/>
        </w:rPr>
        <w:t>This</w:t>
      </w:r>
      <w:r w:rsidRPr="004C6217">
        <w:rPr>
          <w:rFonts w:ascii="Times New Roman" w:hAnsi="Times New Roman"/>
          <w:szCs w:val="24"/>
        </w:rPr>
        <w:t xml:space="preserve"> is essential considering the dominance of female migrant labour in the literature relating to migrant care workers (Romero, 2012; King-Dejardin, 2019). </w:t>
      </w:r>
    </w:p>
    <w:p w14:paraId="22D73C44" w14:textId="77777777" w:rsidR="00811DBD" w:rsidRPr="004C6217" w:rsidRDefault="00811DBD" w:rsidP="00811DBD">
      <w:pPr>
        <w:tabs>
          <w:tab w:val="left" w:pos="5445"/>
        </w:tabs>
        <w:jc w:val="both"/>
        <w:rPr>
          <w:rFonts w:ascii="Times New Roman" w:hAnsi="Times New Roman"/>
          <w:b/>
          <w:szCs w:val="24"/>
        </w:rPr>
      </w:pPr>
      <w:r w:rsidRPr="004C6217">
        <w:rPr>
          <w:rFonts w:ascii="Times New Roman" w:hAnsi="Times New Roman"/>
          <w:szCs w:val="24"/>
        </w:rPr>
        <w:t xml:space="preserve">Another drawback to the world systems theory </w:t>
      </w:r>
      <w:r>
        <w:rPr>
          <w:rFonts w:ascii="Times New Roman" w:hAnsi="Times New Roman"/>
          <w:szCs w:val="24"/>
        </w:rPr>
        <w:t xml:space="preserve">is the apparent failure </w:t>
      </w:r>
      <w:r w:rsidRPr="004C6217">
        <w:rPr>
          <w:rFonts w:ascii="Times New Roman" w:hAnsi="Times New Roman"/>
          <w:szCs w:val="24"/>
        </w:rPr>
        <w:t xml:space="preserve">to explain why some people choose to migrate and others do not. It does not consider the role of individual choices in the </w:t>
      </w:r>
      <w:r w:rsidRPr="004C6217">
        <w:rPr>
          <w:rFonts w:ascii="Times New Roman" w:hAnsi="Times New Roman"/>
          <w:noProof/>
          <w:szCs w:val="24"/>
        </w:rPr>
        <w:t>migratory</w:t>
      </w:r>
      <w:r w:rsidRPr="004C6217">
        <w:rPr>
          <w:rFonts w:ascii="Times New Roman" w:hAnsi="Times New Roman"/>
          <w:szCs w:val="24"/>
        </w:rPr>
        <w:t xml:space="preserve"> decision but assumes that people from peripheral (developing) countries migrate solely for work. World systems theory has also been </w:t>
      </w:r>
      <w:r w:rsidRPr="004C6217">
        <w:rPr>
          <w:rFonts w:ascii="Times New Roman" w:hAnsi="Times New Roman"/>
          <w:szCs w:val="24"/>
        </w:rPr>
        <w:lastRenderedPageBreak/>
        <w:t xml:space="preserve">critiqued for simply reducing capitalism to commercial relations, </w:t>
      </w:r>
      <w:r>
        <w:rPr>
          <w:rFonts w:ascii="Times New Roman" w:hAnsi="Times New Roman"/>
          <w:szCs w:val="24"/>
        </w:rPr>
        <w:t xml:space="preserve">instead of the </w:t>
      </w:r>
      <w:r w:rsidRPr="004C6217">
        <w:rPr>
          <w:rFonts w:ascii="Times New Roman" w:hAnsi="Times New Roman"/>
          <w:noProof/>
          <w:szCs w:val="24"/>
        </w:rPr>
        <w:t>broad</w:t>
      </w:r>
      <w:r w:rsidRPr="004C6217">
        <w:rPr>
          <w:rFonts w:ascii="Times New Roman" w:hAnsi="Times New Roman"/>
          <w:szCs w:val="24"/>
        </w:rPr>
        <w:t xml:space="preserve"> aspects of culture and identity</w:t>
      </w:r>
      <w:r>
        <w:rPr>
          <w:rFonts w:ascii="Times New Roman" w:hAnsi="Times New Roman"/>
          <w:szCs w:val="24"/>
        </w:rPr>
        <w:t xml:space="preserve"> which include </w:t>
      </w:r>
      <w:r w:rsidRPr="004C6217">
        <w:rPr>
          <w:rFonts w:ascii="Times New Roman" w:hAnsi="Times New Roman"/>
          <w:szCs w:val="24"/>
        </w:rPr>
        <w:t>‘social relations, property patterns, ideologies</w:t>
      </w:r>
      <w:r>
        <w:rPr>
          <w:rFonts w:ascii="Times New Roman" w:hAnsi="Times New Roman"/>
          <w:szCs w:val="24"/>
        </w:rPr>
        <w:t xml:space="preserve">’ as well as </w:t>
      </w:r>
      <w:r w:rsidRPr="004C6217">
        <w:rPr>
          <w:rFonts w:ascii="Times New Roman" w:hAnsi="Times New Roman"/>
          <w:szCs w:val="24"/>
        </w:rPr>
        <w:t>political institutions (Gonzalez and Fernandez, 2003, p. 48).</w:t>
      </w:r>
    </w:p>
    <w:p w14:paraId="362FBC8B" w14:textId="77777777" w:rsidR="00811DBD" w:rsidRPr="004C6217" w:rsidRDefault="00811DBD" w:rsidP="006869A3">
      <w:pPr>
        <w:pStyle w:val="Heading2"/>
      </w:pPr>
      <w:bookmarkStart w:id="55" w:name="_Toc86417246"/>
      <w:r w:rsidRPr="004C6217">
        <w:t>2.5. Factors influencing the global demand for migrant care workers</w:t>
      </w:r>
      <w:bookmarkEnd w:id="55"/>
    </w:p>
    <w:p w14:paraId="6060F10B"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While the section above outline</w:t>
      </w:r>
      <w:r>
        <w:rPr>
          <w:rFonts w:ascii="Times New Roman" w:hAnsi="Times New Roman"/>
          <w:szCs w:val="24"/>
        </w:rPr>
        <w:t>d</w:t>
      </w:r>
      <w:r w:rsidRPr="004C6217">
        <w:rPr>
          <w:rFonts w:ascii="Times New Roman" w:hAnsi="Times New Roman"/>
          <w:szCs w:val="24"/>
        </w:rPr>
        <w:t xml:space="preserve"> some of the theoretical explanations why people migrate, this section specifically </w:t>
      </w:r>
      <w:r>
        <w:rPr>
          <w:rFonts w:ascii="Times New Roman" w:hAnsi="Times New Roman"/>
          <w:szCs w:val="24"/>
        </w:rPr>
        <w:t xml:space="preserve">focuses on </w:t>
      </w:r>
      <w:r w:rsidRPr="004C6217">
        <w:rPr>
          <w:rFonts w:ascii="Times New Roman" w:hAnsi="Times New Roman"/>
          <w:szCs w:val="24"/>
        </w:rPr>
        <w:t>some of the factors that influence</w:t>
      </w:r>
      <w:r>
        <w:rPr>
          <w:rFonts w:ascii="Times New Roman" w:hAnsi="Times New Roman"/>
          <w:szCs w:val="24"/>
        </w:rPr>
        <w:t>s</w:t>
      </w:r>
      <w:r w:rsidRPr="004C6217">
        <w:rPr>
          <w:rFonts w:ascii="Times New Roman" w:hAnsi="Times New Roman"/>
          <w:szCs w:val="24"/>
        </w:rPr>
        <w:t xml:space="preserve"> the global demand for migrant care workers.  In addition to the increased prevalence of dementia (discussed in Section 1.3.3), different reasons have been identified in the </w:t>
      </w:r>
      <w:r w:rsidRPr="004C6217">
        <w:rPr>
          <w:rFonts w:ascii="Times New Roman" w:hAnsi="Times New Roman"/>
          <w:noProof/>
          <w:szCs w:val="24"/>
        </w:rPr>
        <w:t>literature</w:t>
      </w:r>
      <w:r w:rsidRPr="004C6217">
        <w:rPr>
          <w:rFonts w:ascii="Times New Roman" w:hAnsi="Times New Roman"/>
          <w:szCs w:val="24"/>
        </w:rPr>
        <w:t xml:space="preserve"> </w:t>
      </w:r>
      <w:r>
        <w:rPr>
          <w:rFonts w:ascii="Times New Roman" w:hAnsi="Times New Roman"/>
          <w:szCs w:val="24"/>
        </w:rPr>
        <w:t>which</w:t>
      </w:r>
      <w:r w:rsidRPr="004C6217">
        <w:rPr>
          <w:rFonts w:ascii="Times New Roman" w:hAnsi="Times New Roman"/>
          <w:szCs w:val="24"/>
        </w:rPr>
        <w:t xml:space="preserve"> account</w:t>
      </w:r>
      <w:r>
        <w:rPr>
          <w:rFonts w:ascii="Times New Roman" w:hAnsi="Times New Roman"/>
          <w:szCs w:val="24"/>
        </w:rPr>
        <w:t>s</w:t>
      </w:r>
      <w:r w:rsidRPr="004C6217">
        <w:rPr>
          <w:rFonts w:ascii="Times New Roman" w:hAnsi="Times New Roman"/>
          <w:szCs w:val="24"/>
        </w:rPr>
        <w:t xml:space="preserve"> for the increased demand for migrant care workers over the last decade</w:t>
      </w:r>
      <w:r>
        <w:rPr>
          <w:rFonts w:ascii="Times New Roman" w:hAnsi="Times New Roman"/>
          <w:szCs w:val="24"/>
        </w:rPr>
        <w:t>. They include,</w:t>
      </w:r>
      <w:r w:rsidRPr="004C6217">
        <w:rPr>
          <w:rFonts w:ascii="Times New Roman" w:hAnsi="Times New Roman"/>
          <w:szCs w:val="24"/>
        </w:rPr>
        <w:t xml:space="preserve"> the changing demographics, changing family structures, changing gender roles and the low and unattractive nature of paid care work. These </w:t>
      </w:r>
      <w:r w:rsidRPr="004C6217">
        <w:rPr>
          <w:rFonts w:ascii="Times New Roman" w:hAnsi="Times New Roman"/>
          <w:noProof/>
          <w:szCs w:val="24"/>
        </w:rPr>
        <w:t>reasons are discussed</w:t>
      </w:r>
      <w:r w:rsidRPr="004C6217">
        <w:rPr>
          <w:rFonts w:ascii="Times New Roman" w:hAnsi="Times New Roman"/>
          <w:szCs w:val="24"/>
        </w:rPr>
        <w:t xml:space="preserve"> in further details below.</w:t>
      </w:r>
    </w:p>
    <w:p w14:paraId="020C16F4" w14:textId="77777777" w:rsidR="00811DBD" w:rsidRPr="004C6217" w:rsidRDefault="00811DBD" w:rsidP="006869A3">
      <w:pPr>
        <w:pStyle w:val="Heading3"/>
        <w:rPr>
          <w:bCs/>
        </w:rPr>
      </w:pPr>
      <w:bookmarkStart w:id="56" w:name="_Hlk51447471"/>
      <w:bookmarkStart w:id="57" w:name="_Toc86417247"/>
      <w:r w:rsidRPr="004C6217">
        <w:rPr>
          <w:bCs/>
        </w:rPr>
        <w:t xml:space="preserve">2.5.1. </w:t>
      </w:r>
      <w:r w:rsidRPr="004C6217">
        <w:t xml:space="preserve">Changing </w:t>
      </w:r>
      <w:r>
        <w:t>d</w:t>
      </w:r>
      <w:r w:rsidRPr="004C6217">
        <w:t>emographics</w:t>
      </w:r>
      <w:bookmarkEnd w:id="56"/>
      <w:bookmarkEnd w:id="57"/>
    </w:p>
    <w:p w14:paraId="24D94DF5" w14:textId="77798EC2" w:rsidR="00811DBD" w:rsidRPr="004C6217" w:rsidRDefault="00811DBD" w:rsidP="00811DBD">
      <w:pPr>
        <w:jc w:val="both"/>
        <w:rPr>
          <w:rFonts w:ascii="Times New Roman" w:hAnsi="Times New Roman"/>
          <w:noProof/>
          <w:szCs w:val="24"/>
        </w:rPr>
      </w:pPr>
      <w:r w:rsidRPr="004C6217">
        <w:rPr>
          <w:rFonts w:ascii="Times New Roman" w:hAnsi="Times New Roman"/>
          <w:noProof/>
          <w:szCs w:val="24"/>
        </w:rPr>
        <w:t>World population is ageing as people are living longer, although a significant difference in life expectancy remains between developed and developing countries (</w:t>
      </w:r>
      <w:r w:rsidRPr="004C6217">
        <w:rPr>
          <w:rFonts w:ascii="Times New Roman" w:hAnsi="Times New Roman"/>
          <w:szCs w:val="24"/>
        </w:rPr>
        <w:t xml:space="preserve">Hassan </w:t>
      </w:r>
      <w:r w:rsidRPr="00C55F53">
        <w:rPr>
          <w:rFonts w:ascii="Times New Roman" w:hAnsi="Times New Roman"/>
          <w:i/>
          <w:iCs/>
          <w:szCs w:val="24"/>
        </w:rPr>
        <w:t>et al.</w:t>
      </w:r>
      <w:r w:rsidRPr="004C6217">
        <w:rPr>
          <w:rFonts w:ascii="Times New Roman" w:hAnsi="Times New Roman"/>
          <w:szCs w:val="24"/>
        </w:rPr>
        <w:t>, 2017</w:t>
      </w:r>
      <w:r w:rsidRPr="004C6217">
        <w:rPr>
          <w:rFonts w:ascii="Times New Roman" w:hAnsi="Times New Roman"/>
          <w:noProof/>
          <w:szCs w:val="24"/>
        </w:rPr>
        <w:t>), which accounts for the var</w:t>
      </w:r>
      <w:r>
        <w:rPr>
          <w:rFonts w:ascii="Times New Roman" w:hAnsi="Times New Roman"/>
          <w:noProof/>
          <w:szCs w:val="24"/>
        </w:rPr>
        <w:t>y</w:t>
      </w:r>
      <w:r w:rsidRPr="004C6217">
        <w:rPr>
          <w:rFonts w:ascii="Times New Roman" w:hAnsi="Times New Roman"/>
          <w:noProof/>
          <w:szCs w:val="24"/>
        </w:rPr>
        <w:t>ing cut-off points of ageing across the globe. However, the existing and widely used operational definition of ‘old age’ has emerged mainly from legal cut-off point set for retirement age and professional life in many countries which is not determined by use of objective criteria but is set for the purposes of inquiry and administration. Nevertheless, the W</w:t>
      </w:r>
      <w:r>
        <w:rPr>
          <w:rFonts w:ascii="Times New Roman" w:hAnsi="Times New Roman"/>
          <w:noProof/>
          <w:szCs w:val="24"/>
        </w:rPr>
        <w:t>orld Health Organisation (W</w:t>
      </w:r>
      <w:r w:rsidRPr="004C6217">
        <w:rPr>
          <w:rFonts w:ascii="Times New Roman" w:hAnsi="Times New Roman"/>
          <w:noProof/>
          <w:szCs w:val="24"/>
        </w:rPr>
        <w:t>HO</w:t>
      </w:r>
      <w:r>
        <w:rPr>
          <w:rFonts w:ascii="Times New Roman" w:hAnsi="Times New Roman"/>
          <w:noProof/>
          <w:szCs w:val="24"/>
        </w:rPr>
        <w:t>)</w:t>
      </w:r>
      <w:r w:rsidRPr="004C6217">
        <w:rPr>
          <w:rFonts w:ascii="Times New Roman" w:hAnsi="Times New Roman"/>
          <w:noProof/>
          <w:szCs w:val="24"/>
        </w:rPr>
        <w:t xml:space="preserve"> and most geriatric studies uses the age of 65 as the cut-off point of when old age does begin in line with its 1972 Scientific Group Report on Psychogeriatrics which adopted the same age limit as the beginning of old age due to impairment in mental and physical functions that increasingly occurs in individuals over that age (WHO, 1972; 2015</w:t>
      </w:r>
      <w:r w:rsidR="006941A1">
        <w:rPr>
          <w:rFonts w:ascii="Times New Roman" w:hAnsi="Times New Roman"/>
          <w:noProof/>
          <w:szCs w:val="24"/>
        </w:rPr>
        <w:t>b</w:t>
      </w:r>
      <w:r w:rsidRPr="004C6217">
        <w:rPr>
          <w:rFonts w:ascii="Times New Roman" w:hAnsi="Times New Roman"/>
          <w:noProof/>
          <w:szCs w:val="24"/>
        </w:rPr>
        <w:t>).</w:t>
      </w:r>
    </w:p>
    <w:p w14:paraId="3F907624"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t xml:space="preserve">The 2015 United Nations’ </w:t>
      </w:r>
      <w:r w:rsidRPr="004C6217">
        <w:rPr>
          <w:rFonts w:ascii="Times New Roman" w:hAnsi="Times New Roman"/>
          <w:szCs w:val="24"/>
        </w:rPr>
        <w:t xml:space="preserve">World Population Ageing Report </w:t>
      </w:r>
      <w:r w:rsidRPr="004C6217">
        <w:rPr>
          <w:rFonts w:ascii="Times New Roman" w:hAnsi="Times New Roman"/>
          <w:noProof/>
          <w:szCs w:val="24"/>
        </w:rPr>
        <w:t>used two main age brackets with reference to global rise in the population of older adults</w:t>
      </w:r>
      <w:r>
        <w:rPr>
          <w:rFonts w:ascii="Times New Roman" w:hAnsi="Times New Roman"/>
          <w:noProof/>
          <w:szCs w:val="24"/>
        </w:rPr>
        <w:t>;</w:t>
      </w:r>
      <w:r w:rsidRPr="004C6217">
        <w:rPr>
          <w:rFonts w:ascii="Times New Roman" w:hAnsi="Times New Roman"/>
          <w:noProof/>
          <w:szCs w:val="24"/>
        </w:rPr>
        <w:t xml:space="preserve"> those over 60 years and those over 80 years (referred to as the ‘oldest old’). </w:t>
      </w:r>
      <w:r w:rsidRPr="004C6217">
        <w:rPr>
          <w:rFonts w:ascii="Times New Roman" w:hAnsi="Times New Roman"/>
          <w:szCs w:val="24"/>
        </w:rPr>
        <w:t>The report show</w:t>
      </w:r>
      <w:r>
        <w:rPr>
          <w:rFonts w:ascii="Times New Roman" w:hAnsi="Times New Roman"/>
          <w:szCs w:val="24"/>
        </w:rPr>
        <w:t>ed</w:t>
      </w:r>
      <w:r w:rsidRPr="004C6217">
        <w:rPr>
          <w:rFonts w:ascii="Times New Roman" w:hAnsi="Times New Roman"/>
          <w:szCs w:val="24"/>
        </w:rPr>
        <w:t xml:space="preserve"> that one in eight people </w:t>
      </w:r>
      <w:r>
        <w:rPr>
          <w:rFonts w:ascii="Times New Roman" w:hAnsi="Times New Roman"/>
          <w:szCs w:val="24"/>
        </w:rPr>
        <w:t>we</w:t>
      </w:r>
      <w:r w:rsidRPr="004C6217">
        <w:rPr>
          <w:rFonts w:ascii="Times New Roman" w:hAnsi="Times New Roman"/>
          <w:szCs w:val="24"/>
        </w:rPr>
        <w:t>re already aged 60 years or over (</w:t>
      </w:r>
      <w:r>
        <w:rPr>
          <w:rFonts w:ascii="Times New Roman" w:hAnsi="Times New Roman"/>
          <w:szCs w:val="24"/>
        </w:rPr>
        <w:t xml:space="preserve">HelpAge International, 2015; </w:t>
      </w:r>
      <w:r w:rsidRPr="004C6217">
        <w:rPr>
          <w:rFonts w:ascii="Times New Roman" w:hAnsi="Times New Roman"/>
          <w:szCs w:val="24"/>
        </w:rPr>
        <w:t>UN</w:t>
      </w:r>
      <w:r>
        <w:rPr>
          <w:rFonts w:ascii="Times New Roman" w:hAnsi="Times New Roman"/>
          <w:szCs w:val="24"/>
        </w:rPr>
        <w:t xml:space="preserve"> DESA</w:t>
      </w:r>
      <w:r w:rsidRPr="004C6217">
        <w:rPr>
          <w:rFonts w:ascii="Times New Roman" w:hAnsi="Times New Roman"/>
          <w:szCs w:val="24"/>
        </w:rPr>
        <w:t>, 2015</w:t>
      </w:r>
      <w:r>
        <w:rPr>
          <w:rFonts w:ascii="Times New Roman" w:hAnsi="Times New Roman"/>
          <w:szCs w:val="24"/>
        </w:rPr>
        <w:t>c; UN DESA, 2015d</w:t>
      </w:r>
      <w:r w:rsidRPr="004C6217">
        <w:rPr>
          <w:rFonts w:ascii="Times New Roman" w:hAnsi="Times New Roman"/>
          <w:szCs w:val="24"/>
        </w:rPr>
        <w:t>)</w:t>
      </w:r>
      <w:r>
        <w:rPr>
          <w:rFonts w:ascii="Times New Roman" w:hAnsi="Times New Roman"/>
          <w:szCs w:val="24"/>
        </w:rPr>
        <w:t>,</w:t>
      </w:r>
      <w:r w:rsidRPr="004C6217">
        <w:rPr>
          <w:rFonts w:ascii="Times New Roman" w:hAnsi="Times New Roman"/>
          <w:szCs w:val="24"/>
        </w:rPr>
        <w:t xml:space="preserve"> which represent</w:t>
      </w:r>
      <w:r>
        <w:rPr>
          <w:rFonts w:ascii="Times New Roman" w:hAnsi="Times New Roman"/>
          <w:szCs w:val="24"/>
        </w:rPr>
        <w:t>ed</w:t>
      </w:r>
      <w:r w:rsidRPr="004C6217">
        <w:rPr>
          <w:rFonts w:ascii="Times New Roman" w:hAnsi="Times New Roman"/>
          <w:szCs w:val="24"/>
        </w:rPr>
        <w:t xml:space="preserve"> 12.3% of the world population. It </w:t>
      </w:r>
      <w:r>
        <w:rPr>
          <w:rFonts w:ascii="Times New Roman" w:hAnsi="Times New Roman"/>
          <w:szCs w:val="24"/>
        </w:rPr>
        <w:t>further</w:t>
      </w:r>
      <w:r w:rsidRPr="004C6217">
        <w:rPr>
          <w:rFonts w:ascii="Times New Roman" w:hAnsi="Times New Roman"/>
          <w:szCs w:val="24"/>
        </w:rPr>
        <w:t xml:space="preserve"> </w:t>
      </w:r>
      <w:r w:rsidRPr="004C6217">
        <w:rPr>
          <w:rFonts w:ascii="Times New Roman" w:hAnsi="Times New Roman"/>
          <w:szCs w:val="24"/>
        </w:rPr>
        <w:lastRenderedPageBreak/>
        <w:t xml:space="preserve">projected </w:t>
      </w:r>
      <w:r>
        <w:rPr>
          <w:rFonts w:ascii="Times New Roman" w:hAnsi="Times New Roman"/>
          <w:szCs w:val="24"/>
        </w:rPr>
        <w:t xml:space="preserve">that this would </w:t>
      </w:r>
      <w:r w:rsidRPr="004C6217">
        <w:rPr>
          <w:rFonts w:ascii="Times New Roman" w:hAnsi="Times New Roman"/>
          <w:szCs w:val="24"/>
        </w:rPr>
        <w:t>increase to 16.4% by 2030 (1 in 6 persons)</w:t>
      </w:r>
      <w:r>
        <w:rPr>
          <w:rFonts w:ascii="Times New Roman" w:hAnsi="Times New Roman"/>
          <w:szCs w:val="24"/>
        </w:rPr>
        <w:t xml:space="preserve"> </w:t>
      </w:r>
      <w:r w:rsidRPr="004C6217">
        <w:rPr>
          <w:rFonts w:ascii="Times New Roman" w:hAnsi="Times New Roman"/>
          <w:szCs w:val="24"/>
        </w:rPr>
        <w:t xml:space="preserve">and 21.3% (1 in </w:t>
      </w:r>
      <w:r>
        <w:rPr>
          <w:rFonts w:ascii="Times New Roman" w:hAnsi="Times New Roman"/>
          <w:szCs w:val="24"/>
        </w:rPr>
        <w:t>5</w:t>
      </w:r>
      <w:r w:rsidRPr="004C6217">
        <w:rPr>
          <w:rFonts w:ascii="Times New Roman" w:hAnsi="Times New Roman"/>
          <w:szCs w:val="24"/>
        </w:rPr>
        <w:t xml:space="preserve"> persons) of the </w:t>
      </w:r>
      <w:r w:rsidRPr="004C6217">
        <w:rPr>
          <w:rFonts w:ascii="Times New Roman" w:hAnsi="Times New Roman"/>
          <w:noProof/>
          <w:szCs w:val="24"/>
        </w:rPr>
        <w:t>global</w:t>
      </w:r>
      <w:r w:rsidRPr="004C6217">
        <w:rPr>
          <w:rFonts w:ascii="Times New Roman" w:hAnsi="Times New Roman"/>
          <w:szCs w:val="24"/>
        </w:rPr>
        <w:t xml:space="preserve"> population by 2050 (UN</w:t>
      </w:r>
      <w:r>
        <w:rPr>
          <w:rFonts w:ascii="Times New Roman" w:hAnsi="Times New Roman"/>
          <w:szCs w:val="24"/>
        </w:rPr>
        <w:t xml:space="preserve"> DESA</w:t>
      </w:r>
      <w:r w:rsidRPr="004C6217">
        <w:rPr>
          <w:rFonts w:ascii="Times New Roman" w:hAnsi="Times New Roman"/>
          <w:szCs w:val="24"/>
        </w:rPr>
        <w:t>, 2015</w:t>
      </w:r>
      <w:r>
        <w:rPr>
          <w:rFonts w:ascii="Times New Roman" w:hAnsi="Times New Roman"/>
          <w:szCs w:val="24"/>
        </w:rPr>
        <w:t>c</w:t>
      </w:r>
      <w:r w:rsidRPr="004C6217">
        <w:rPr>
          <w:rFonts w:ascii="Times New Roman" w:hAnsi="Times New Roman"/>
          <w:szCs w:val="24"/>
        </w:rPr>
        <w:t>). Similarly, the population of people aged 80 and over is predicted to increase from 14% in 2015 to &gt;20% in 2050, exceeding 434 million people globally (UN</w:t>
      </w:r>
      <w:r>
        <w:rPr>
          <w:rFonts w:ascii="Times New Roman" w:hAnsi="Times New Roman"/>
          <w:szCs w:val="24"/>
        </w:rPr>
        <w:t xml:space="preserve"> DESA</w:t>
      </w:r>
      <w:r w:rsidRPr="004C6217">
        <w:rPr>
          <w:rFonts w:ascii="Times New Roman" w:hAnsi="Times New Roman"/>
          <w:szCs w:val="24"/>
        </w:rPr>
        <w:t>, 2015</w:t>
      </w:r>
      <w:r>
        <w:rPr>
          <w:rFonts w:ascii="Times New Roman" w:hAnsi="Times New Roman"/>
          <w:szCs w:val="24"/>
        </w:rPr>
        <w:t>d</w:t>
      </w:r>
      <w:r w:rsidRPr="004C6217">
        <w:rPr>
          <w:rFonts w:ascii="Times New Roman" w:hAnsi="Times New Roman"/>
          <w:szCs w:val="24"/>
        </w:rPr>
        <w:t>).</w:t>
      </w:r>
      <w:r>
        <w:rPr>
          <w:rFonts w:ascii="Times New Roman" w:hAnsi="Times New Roman"/>
          <w:szCs w:val="24"/>
        </w:rPr>
        <w:t xml:space="preserve"> </w:t>
      </w:r>
      <w:r w:rsidRPr="004C6217">
        <w:rPr>
          <w:rFonts w:ascii="Times New Roman" w:hAnsi="Times New Roman"/>
          <w:szCs w:val="24"/>
        </w:rPr>
        <w:t xml:space="preserve">In the UK, </w:t>
      </w:r>
      <w:r w:rsidRPr="004C6217">
        <w:rPr>
          <w:rFonts w:ascii="Times New Roman" w:hAnsi="Times New Roman"/>
          <w:noProof/>
          <w:szCs w:val="24"/>
        </w:rPr>
        <w:t>the number of persons aged 65 and older continues to grow relative to those in the working ages of 15 to 64 (ONS, 2017).</w:t>
      </w:r>
      <w:r w:rsidRPr="004C6217">
        <w:rPr>
          <w:rFonts w:ascii="Times New Roman" w:hAnsi="Times New Roman"/>
          <w:szCs w:val="24"/>
        </w:rPr>
        <w:t xml:space="preserve"> As </w:t>
      </w:r>
      <w:r w:rsidRPr="004C6217">
        <w:rPr>
          <w:rFonts w:ascii="Times New Roman" w:hAnsi="Times New Roman"/>
          <w:noProof/>
          <w:szCs w:val="24"/>
        </w:rPr>
        <w:t>of</w:t>
      </w:r>
      <w:r w:rsidRPr="004C6217">
        <w:rPr>
          <w:rFonts w:ascii="Times New Roman" w:hAnsi="Times New Roman"/>
          <w:szCs w:val="24"/>
        </w:rPr>
        <w:t xml:space="preserve"> 2017 the population of people aged 65 or older was 18.2% of the UK population compared to 15.9% recorded </w:t>
      </w:r>
      <w:r w:rsidRPr="004C6217">
        <w:rPr>
          <w:rFonts w:ascii="Times New Roman" w:hAnsi="Times New Roman"/>
          <w:noProof/>
          <w:szCs w:val="24"/>
        </w:rPr>
        <w:t>ten</w:t>
      </w:r>
      <w:r w:rsidRPr="004C6217">
        <w:rPr>
          <w:rFonts w:ascii="Times New Roman" w:hAnsi="Times New Roman"/>
          <w:szCs w:val="24"/>
        </w:rPr>
        <w:t xml:space="preserve"> years earlier and </w:t>
      </w:r>
      <w:r>
        <w:rPr>
          <w:rFonts w:ascii="Times New Roman" w:hAnsi="Times New Roman"/>
          <w:szCs w:val="24"/>
        </w:rPr>
        <w:t>it is</w:t>
      </w:r>
      <w:r w:rsidRPr="004C6217">
        <w:rPr>
          <w:rFonts w:ascii="Times New Roman" w:hAnsi="Times New Roman"/>
          <w:szCs w:val="24"/>
        </w:rPr>
        <w:t xml:space="preserve"> </w:t>
      </w:r>
      <w:r>
        <w:rPr>
          <w:rFonts w:ascii="Times New Roman" w:hAnsi="Times New Roman"/>
          <w:szCs w:val="24"/>
        </w:rPr>
        <w:t xml:space="preserve">further </w:t>
      </w:r>
      <w:r w:rsidRPr="004C6217">
        <w:rPr>
          <w:rFonts w:ascii="Times New Roman" w:hAnsi="Times New Roman"/>
          <w:szCs w:val="24"/>
        </w:rPr>
        <w:t>estimate</w:t>
      </w:r>
      <w:r>
        <w:rPr>
          <w:rFonts w:ascii="Times New Roman" w:hAnsi="Times New Roman"/>
          <w:szCs w:val="24"/>
        </w:rPr>
        <w:t>d</w:t>
      </w:r>
      <w:r w:rsidRPr="004C6217">
        <w:rPr>
          <w:rFonts w:ascii="Times New Roman" w:hAnsi="Times New Roman"/>
          <w:szCs w:val="24"/>
        </w:rPr>
        <w:t xml:space="preserve"> </w:t>
      </w:r>
      <w:r>
        <w:rPr>
          <w:rFonts w:ascii="Times New Roman" w:hAnsi="Times New Roman"/>
          <w:szCs w:val="24"/>
        </w:rPr>
        <w:t xml:space="preserve">to </w:t>
      </w:r>
      <w:r w:rsidRPr="004C6217">
        <w:rPr>
          <w:rFonts w:ascii="Times New Roman" w:hAnsi="Times New Roman"/>
          <w:szCs w:val="24"/>
        </w:rPr>
        <w:t>increase to 20.7%</w:t>
      </w:r>
      <w:r>
        <w:rPr>
          <w:rFonts w:ascii="Times New Roman" w:hAnsi="Times New Roman"/>
          <w:szCs w:val="24"/>
        </w:rPr>
        <w:t xml:space="preserve"> </w:t>
      </w:r>
      <w:r w:rsidRPr="004C6217">
        <w:rPr>
          <w:rFonts w:ascii="Times New Roman" w:hAnsi="Times New Roman"/>
          <w:szCs w:val="24"/>
        </w:rPr>
        <w:t>by 2027 (ONS, 2018).</w:t>
      </w:r>
    </w:p>
    <w:p w14:paraId="24110E29"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t>This increase in the population of older adults</w:t>
      </w:r>
      <w:r w:rsidRPr="004C6217">
        <w:rPr>
          <w:rFonts w:ascii="Times New Roman" w:hAnsi="Times New Roman"/>
          <w:szCs w:val="24"/>
        </w:rPr>
        <w:t xml:space="preserve"> both globally and </w:t>
      </w:r>
      <w:r>
        <w:rPr>
          <w:rFonts w:ascii="Times New Roman" w:hAnsi="Times New Roman"/>
          <w:szCs w:val="24"/>
        </w:rPr>
        <w:t xml:space="preserve">in </w:t>
      </w:r>
      <w:r w:rsidRPr="004C6217">
        <w:rPr>
          <w:rFonts w:ascii="Times New Roman" w:hAnsi="Times New Roman"/>
          <w:szCs w:val="24"/>
        </w:rPr>
        <w:t xml:space="preserve">the </w:t>
      </w:r>
      <w:r w:rsidRPr="004C6217">
        <w:rPr>
          <w:rFonts w:ascii="Times New Roman" w:hAnsi="Times New Roman"/>
          <w:noProof/>
          <w:szCs w:val="24"/>
        </w:rPr>
        <w:t>UK</w:t>
      </w:r>
      <w:r w:rsidRPr="004C6217">
        <w:rPr>
          <w:rFonts w:ascii="Times New Roman" w:hAnsi="Times New Roman"/>
          <w:szCs w:val="24"/>
        </w:rPr>
        <w:t xml:space="preserve"> </w:t>
      </w:r>
      <w:r w:rsidRPr="004C6217">
        <w:rPr>
          <w:rFonts w:ascii="Times New Roman" w:hAnsi="Times New Roman"/>
          <w:noProof/>
          <w:szCs w:val="24"/>
        </w:rPr>
        <w:t>is partly attributed to an increase in life expectancy and</w:t>
      </w:r>
      <w:r w:rsidRPr="004C6217">
        <w:rPr>
          <w:rFonts w:ascii="Times New Roman" w:hAnsi="Times New Roman"/>
          <w:szCs w:val="24"/>
        </w:rPr>
        <w:t xml:space="preserve"> reduced mortality and fertility rates (ONS, 2018). The reduced mortality rate due to advances in medicine means many more people are living longer </w:t>
      </w:r>
      <w:r w:rsidRPr="004C6217">
        <w:rPr>
          <w:rFonts w:ascii="Times New Roman" w:hAnsi="Times New Roman"/>
          <w:noProof/>
          <w:szCs w:val="24"/>
        </w:rPr>
        <w:t>than in</w:t>
      </w:r>
      <w:r w:rsidRPr="004C6217">
        <w:rPr>
          <w:rFonts w:ascii="Times New Roman" w:hAnsi="Times New Roman"/>
          <w:szCs w:val="24"/>
        </w:rPr>
        <w:t xml:space="preserve"> previous decades. Today, life expectancy in the UK is 79.2 years for men and 82.9 years for women but by 2066, it </w:t>
      </w:r>
      <w:r w:rsidRPr="004C6217">
        <w:rPr>
          <w:rFonts w:ascii="Times New Roman" w:hAnsi="Times New Roman"/>
          <w:noProof/>
          <w:szCs w:val="24"/>
        </w:rPr>
        <w:t>is predicted</w:t>
      </w:r>
      <w:r w:rsidRPr="004C6217">
        <w:rPr>
          <w:rFonts w:ascii="Times New Roman" w:hAnsi="Times New Roman"/>
          <w:szCs w:val="24"/>
        </w:rPr>
        <w:t xml:space="preserve"> that life expectancy for men and women will be 86.4 years and 88.9 years respectively, with 44.2% of boys and 50% of girls expected to live above 100 years (ONS, 2018). Together with the </w:t>
      </w:r>
      <w:r w:rsidRPr="004C6217">
        <w:rPr>
          <w:rFonts w:ascii="Times New Roman" w:hAnsi="Times New Roman"/>
          <w:noProof/>
          <w:szCs w:val="24"/>
        </w:rPr>
        <w:t>decreased</w:t>
      </w:r>
      <w:r w:rsidRPr="004C6217">
        <w:rPr>
          <w:rFonts w:ascii="Times New Roman" w:hAnsi="Times New Roman"/>
          <w:szCs w:val="24"/>
        </w:rPr>
        <w:t xml:space="preserve"> mortality rate, there has been a reduction in fertility and combined with the changing structure of the family</w:t>
      </w:r>
      <w:r>
        <w:rPr>
          <w:rFonts w:ascii="Times New Roman" w:hAnsi="Times New Roman"/>
          <w:szCs w:val="24"/>
        </w:rPr>
        <w:t>.</w:t>
      </w:r>
      <w:r w:rsidRPr="004C6217">
        <w:rPr>
          <w:rFonts w:ascii="Times New Roman" w:hAnsi="Times New Roman"/>
          <w:szCs w:val="24"/>
        </w:rPr>
        <w:t xml:space="preserve"> </w:t>
      </w:r>
      <w:r>
        <w:rPr>
          <w:rFonts w:ascii="Times New Roman" w:hAnsi="Times New Roman"/>
          <w:szCs w:val="24"/>
        </w:rPr>
        <w:t>I</w:t>
      </w:r>
      <w:r w:rsidRPr="004C6217">
        <w:rPr>
          <w:rFonts w:ascii="Times New Roman" w:hAnsi="Times New Roman"/>
          <w:szCs w:val="24"/>
        </w:rPr>
        <w:t>n the future</w:t>
      </w:r>
      <w:r>
        <w:rPr>
          <w:rFonts w:ascii="Times New Roman" w:hAnsi="Times New Roman"/>
          <w:szCs w:val="24"/>
        </w:rPr>
        <w:t>,</w:t>
      </w:r>
      <w:r w:rsidRPr="004C6217">
        <w:rPr>
          <w:rFonts w:ascii="Times New Roman" w:hAnsi="Times New Roman"/>
          <w:szCs w:val="24"/>
        </w:rPr>
        <w:t xml:space="preserve"> it has been predicted that there will be more people needing long-term care and </w:t>
      </w:r>
      <w:r w:rsidRPr="004C6217">
        <w:rPr>
          <w:rFonts w:ascii="Times New Roman" w:hAnsi="Times New Roman"/>
          <w:noProof/>
          <w:szCs w:val="24"/>
        </w:rPr>
        <w:t>fewer</w:t>
      </w:r>
      <w:r w:rsidRPr="004C6217">
        <w:rPr>
          <w:rFonts w:ascii="Times New Roman" w:hAnsi="Times New Roman"/>
          <w:szCs w:val="24"/>
        </w:rPr>
        <w:t xml:space="preserve"> people available to provide care as family carers</w:t>
      </w:r>
      <w:r>
        <w:rPr>
          <w:rFonts w:ascii="Times New Roman" w:hAnsi="Times New Roman"/>
          <w:szCs w:val="24"/>
        </w:rPr>
        <w:t>,</w:t>
      </w:r>
      <w:r w:rsidRPr="004C6217">
        <w:rPr>
          <w:rFonts w:ascii="Times New Roman" w:hAnsi="Times New Roman"/>
          <w:szCs w:val="24"/>
        </w:rPr>
        <w:t xml:space="preserve"> </w:t>
      </w:r>
      <w:r w:rsidRPr="004C6217">
        <w:rPr>
          <w:rFonts w:ascii="Times New Roman" w:hAnsi="Times New Roman"/>
          <w:noProof/>
          <w:szCs w:val="24"/>
        </w:rPr>
        <w:t>consequent</w:t>
      </w:r>
      <w:r>
        <w:rPr>
          <w:rFonts w:ascii="Times New Roman" w:hAnsi="Times New Roman"/>
          <w:noProof/>
          <w:szCs w:val="24"/>
        </w:rPr>
        <w:t>ly</w:t>
      </w:r>
      <w:r w:rsidRPr="004C6217">
        <w:rPr>
          <w:rFonts w:ascii="Times New Roman" w:hAnsi="Times New Roman"/>
          <w:szCs w:val="24"/>
        </w:rPr>
        <w:t xml:space="preserve"> </w:t>
      </w:r>
      <w:r>
        <w:rPr>
          <w:rFonts w:ascii="Times New Roman" w:hAnsi="Times New Roman"/>
          <w:szCs w:val="24"/>
        </w:rPr>
        <w:t>increasing the</w:t>
      </w:r>
      <w:r w:rsidRPr="004C6217">
        <w:rPr>
          <w:rFonts w:ascii="Times New Roman" w:hAnsi="Times New Roman"/>
          <w:szCs w:val="24"/>
        </w:rPr>
        <w:t xml:space="preserve"> demand for migrant care workers (Badkar and Manning, 2009). As the population ages, there is increase</w:t>
      </w:r>
      <w:r>
        <w:rPr>
          <w:rFonts w:ascii="Times New Roman" w:hAnsi="Times New Roman"/>
          <w:szCs w:val="24"/>
        </w:rPr>
        <w:t>d</w:t>
      </w:r>
      <w:r w:rsidRPr="004C6217">
        <w:rPr>
          <w:rFonts w:ascii="Times New Roman" w:hAnsi="Times New Roman"/>
          <w:szCs w:val="24"/>
        </w:rPr>
        <w:t xml:space="preserve"> need for long-term care because of the increase</w:t>
      </w:r>
      <w:r>
        <w:rPr>
          <w:rFonts w:ascii="Times New Roman" w:hAnsi="Times New Roman"/>
          <w:szCs w:val="24"/>
        </w:rPr>
        <w:t>d</w:t>
      </w:r>
      <w:r w:rsidRPr="004C6217">
        <w:rPr>
          <w:rFonts w:ascii="Times New Roman" w:hAnsi="Times New Roman"/>
          <w:szCs w:val="24"/>
        </w:rPr>
        <w:t xml:space="preserve"> risk of physical and mental impairments.</w:t>
      </w:r>
    </w:p>
    <w:p w14:paraId="3D58EE85" w14:textId="77777777" w:rsidR="00811DBD" w:rsidRPr="004C6217" w:rsidRDefault="00811DBD" w:rsidP="006869A3">
      <w:pPr>
        <w:pStyle w:val="Heading3"/>
      </w:pPr>
      <w:bookmarkStart w:id="58" w:name="_Hlk51449635"/>
      <w:bookmarkStart w:id="59" w:name="_Toc86417248"/>
      <w:r w:rsidRPr="004C6217">
        <w:t>2.5.2. Change in family structures and caregiving roles</w:t>
      </w:r>
      <w:bookmarkEnd w:id="58"/>
      <w:bookmarkEnd w:id="59"/>
    </w:p>
    <w:p w14:paraId="17C343ED" w14:textId="77777777" w:rsidR="00811DBD" w:rsidRPr="004C6217" w:rsidRDefault="00811DBD" w:rsidP="00811DBD">
      <w:pPr>
        <w:jc w:val="both"/>
        <w:rPr>
          <w:rFonts w:ascii="Times New Roman" w:hAnsi="Times New Roman"/>
          <w:szCs w:val="24"/>
        </w:rPr>
      </w:pPr>
      <w:r w:rsidRPr="004C6217">
        <w:rPr>
          <w:rFonts w:ascii="Times New Roman" w:hAnsi="Times New Roman"/>
          <w:noProof/>
          <w:szCs w:val="24"/>
        </w:rPr>
        <w:t xml:space="preserve">Another factor contributing to the demand for migrant workers is the impact of a change in the traditional family structures and roles which has resulted in older family members requiring institutionalised long-term care (Pickard, </w:t>
      </w:r>
      <w:r>
        <w:rPr>
          <w:rFonts w:ascii="Times New Roman" w:hAnsi="Times New Roman"/>
          <w:noProof/>
          <w:szCs w:val="24"/>
        </w:rPr>
        <w:t>2019</w:t>
      </w:r>
      <w:r w:rsidRPr="004C6217">
        <w:rPr>
          <w:rFonts w:ascii="Times New Roman" w:hAnsi="Times New Roman"/>
          <w:noProof/>
          <w:szCs w:val="24"/>
        </w:rPr>
        <w:t>). Although this change in structures and role is not a new phenomenon, family arrangement for care has become more complex in the last few decades</w:t>
      </w:r>
      <w:r>
        <w:rPr>
          <w:rFonts w:ascii="Times New Roman" w:hAnsi="Times New Roman"/>
          <w:noProof/>
          <w:szCs w:val="24"/>
        </w:rPr>
        <w:t>,</w:t>
      </w:r>
      <w:r w:rsidRPr="004C6217">
        <w:rPr>
          <w:rFonts w:ascii="Times New Roman" w:hAnsi="Times New Roman"/>
          <w:noProof/>
          <w:szCs w:val="24"/>
        </w:rPr>
        <w:t xml:space="preserve"> leading to an increasing</w:t>
      </w:r>
      <w:r w:rsidRPr="004C6217">
        <w:rPr>
          <w:rFonts w:ascii="Times New Roman" w:hAnsi="Times New Roman"/>
          <w:szCs w:val="24"/>
        </w:rPr>
        <w:t xml:space="preserve"> trend of paying for the care </w:t>
      </w:r>
      <w:r>
        <w:rPr>
          <w:rFonts w:ascii="Times New Roman" w:hAnsi="Times New Roman"/>
          <w:szCs w:val="24"/>
        </w:rPr>
        <w:t>provided to</w:t>
      </w:r>
      <w:r w:rsidRPr="004C6217">
        <w:rPr>
          <w:rFonts w:ascii="Times New Roman" w:hAnsi="Times New Roman"/>
          <w:szCs w:val="24"/>
        </w:rPr>
        <w:t xml:space="preserve"> older family member</w:t>
      </w:r>
      <w:r>
        <w:rPr>
          <w:rFonts w:ascii="Times New Roman" w:hAnsi="Times New Roman"/>
          <w:szCs w:val="24"/>
        </w:rPr>
        <w:t>s</w:t>
      </w:r>
      <w:r w:rsidRPr="004C6217">
        <w:rPr>
          <w:rFonts w:ascii="Times New Roman" w:hAnsi="Times New Roman"/>
          <w:szCs w:val="24"/>
        </w:rPr>
        <w:t xml:space="preserve"> with long-term care need (Cancedda, 2001; Atkins, Tumlinson and Dawson, 201</w:t>
      </w:r>
      <w:r>
        <w:rPr>
          <w:rFonts w:ascii="Times New Roman" w:hAnsi="Times New Roman"/>
          <w:szCs w:val="24"/>
        </w:rPr>
        <w:t>7</w:t>
      </w:r>
      <w:r w:rsidRPr="004C6217">
        <w:rPr>
          <w:rFonts w:ascii="Times New Roman" w:hAnsi="Times New Roman"/>
          <w:szCs w:val="24"/>
        </w:rPr>
        <w:t xml:space="preserve">). </w:t>
      </w:r>
      <w:r w:rsidRPr="004C6217">
        <w:rPr>
          <w:rFonts w:ascii="Times New Roman" w:hAnsi="Times New Roman"/>
          <w:noProof/>
          <w:szCs w:val="24"/>
        </w:rPr>
        <w:t>This trend has been observed not only in</w:t>
      </w:r>
      <w:r w:rsidRPr="004C6217">
        <w:rPr>
          <w:rFonts w:ascii="Times New Roman" w:hAnsi="Times New Roman"/>
          <w:szCs w:val="24"/>
        </w:rPr>
        <w:t xml:space="preserve"> Europe but also in North America, as well as in many other industrialised countries in Asia (for </w:t>
      </w:r>
      <w:r w:rsidRPr="004C6217">
        <w:rPr>
          <w:rFonts w:ascii="Times New Roman" w:hAnsi="Times New Roman"/>
          <w:szCs w:val="24"/>
        </w:rPr>
        <w:lastRenderedPageBreak/>
        <w:t>example, Japan and South Korea) (Gamburd, 2000; Hondagneu-Sotelo, 200</w:t>
      </w:r>
      <w:r>
        <w:rPr>
          <w:rFonts w:ascii="Times New Roman" w:hAnsi="Times New Roman"/>
          <w:szCs w:val="24"/>
        </w:rPr>
        <w:t>7</w:t>
      </w:r>
      <w:r w:rsidRPr="004C6217">
        <w:rPr>
          <w:rFonts w:ascii="Times New Roman" w:hAnsi="Times New Roman"/>
          <w:szCs w:val="24"/>
        </w:rPr>
        <w:t xml:space="preserve">; Niimi, 2017). </w:t>
      </w:r>
      <w:r>
        <w:rPr>
          <w:rFonts w:ascii="Times New Roman" w:hAnsi="Times New Roman"/>
          <w:noProof/>
          <w:szCs w:val="24"/>
        </w:rPr>
        <w:t>T</w:t>
      </w:r>
      <w:r w:rsidRPr="004C6217">
        <w:rPr>
          <w:rFonts w:ascii="Times New Roman" w:hAnsi="Times New Roman"/>
          <w:noProof/>
          <w:szCs w:val="24"/>
        </w:rPr>
        <w:t>his chang</w:t>
      </w:r>
      <w:r>
        <w:rPr>
          <w:rFonts w:ascii="Times New Roman" w:hAnsi="Times New Roman"/>
          <w:noProof/>
          <w:szCs w:val="24"/>
        </w:rPr>
        <w:t>e in</w:t>
      </w:r>
      <w:r w:rsidRPr="004C6217">
        <w:rPr>
          <w:rFonts w:ascii="Times New Roman" w:hAnsi="Times New Roman"/>
          <w:noProof/>
          <w:szCs w:val="24"/>
        </w:rPr>
        <w:t xml:space="preserve"> family structure and role is part</w:t>
      </w:r>
      <w:r>
        <w:rPr>
          <w:rFonts w:ascii="Times New Roman" w:hAnsi="Times New Roman"/>
          <w:noProof/>
          <w:szCs w:val="24"/>
        </w:rPr>
        <w:t>ly due</w:t>
      </w:r>
      <w:r w:rsidRPr="004C6217">
        <w:rPr>
          <w:rFonts w:ascii="Times New Roman" w:hAnsi="Times New Roman"/>
          <w:noProof/>
          <w:szCs w:val="24"/>
        </w:rPr>
        <w:t xml:space="preserve"> to a rise in individualism (as opposed to the collectivism that often characterises extended families) (</w:t>
      </w:r>
      <w:r w:rsidRPr="004C6217">
        <w:rPr>
          <w:rFonts w:ascii="Times New Roman" w:eastAsia="MS Gothic" w:hAnsi="Times New Roman"/>
          <w:noProof/>
          <w:szCs w:val="24"/>
        </w:rPr>
        <w:t xml:space="preserve">Rozario and Rosetti, </w:t>
      </w:r>
      <w:r w:rsidRPr="004C6217">
        <w:rPr>
          <w:rFonts w:ascii="Times New Roman" w:hAnsi="Times New Roman"/>
          <w:noProof/>
          <w:szCs w:val="24"/>
        </w:rPr>
        <w:t xml:space="preserve">2012), </w:t>
      </w:r>
      <w:r>
        <w:rPr>
          <w:rFonts w:ascii="Times New Roman" w:hAnsi="Times New Roman"/>
          <w:noProof/>
          <w:szCs w:val="24"/>
        </w:rPr>
        <w:t xml:space="preserve">a </w:t>
      </w:r>
      <w:r w:rsidRPr="004C6217">
        <w:rPr>
          <w:rFonts w:ascii="Times New Roman" w:hAnsi="Times New Roman"/>
          <w:noProof/>
          <w:szCs w:val="24"/>
        </w:rPr>
        <w:t>demographic trend in which people live far from their parents or relatives resulting in an increase in the numbers of long</w:t>
      </w:r>
      <w:r>
        <w:rPr>
          <w:rFonts w:ascii="Times New Roman" w:hAnsi="Times New Roman"/>
          <w:noProof/>
          <w:szCs w:val="24"/>
        </w:rPr>
        <w:t xml:space="preserve"> </w:t>
      </w:r>
      <w:r w:rsidRPr="004C6217">
        <w:rPr>
          <w:rFonts w:ascii="Times New Roman" w:hAnsi="Times New Roman"/>
          <w:noProof/>
          <w:szCs w:val="24"/>
        </w:rPr>
        <w:t>distant carers as well as increased demand for paid care (</w:t>
      </w:r>
      <w:r w:rsidRPr="004C6217">
        <w:rPr>
          <w:rFonts w:ascii="Times New Roman" w:hAnsi="Times New Roman"/>
          <w:iCs/>
          <w:noProof/>
          <w:szCs w:val="24"/>
        </w:rPr>
        <w:t>Thompsell and Lovestone, 2002</w:t>
      </w:r>
      <w:r w:rsidRPr="004C6217">
        <w:rPr>
          <w:rFonts w:ascii="Times New Roman" w:hAnsi="Times New Roman"/>
          <w:noProof/>
          <w:szCs w:val="24"/>
        </w:rPr>
        <w:t xml:space="preserve">; </w:t>
      </w:r>
      <w:r w:rsidRPr="004C6217">
        <w:rPr>
          <w:rFonts w:ascii="Times New Roman" w:hAnsi="Times New Roman"/>
          <w:iCs/>
          <w:noProof/>
          <w:szCs w:val="24"/>
        </w:rPr>
        <w:t>Wolf and Longino, 2005</w:t>
      </w:r>
      <w:r w:rsidRPr="004C6217">
        <w:rPr>
          <w:rFonts w:ascii="Times New Roman" w:hAnsi="Times New Roman"/>
          <w:noProof/>
          <w:szCs w:val="24"/>
        </w:rPr>
        <w:t>)</w:t>
      </w:r>
      <w:r>
        <w:rPr>
          <w:rFonts w:ascii="Times New Roman" w:hAnsi="Times New Roman"/>
          <w:noProof/>
          <w:szCs w:val="24"/>
        </w:rPr>
        <w:t>.</w:t>
      </w:r>
      <w:r w:rsidRPr="004C6217">
        <w:rPr>
          <w:rFonts w:ascii="Times New Roman" w:hAnsi="Times New Roman"/>
          <w:noProof/>
          <w:szCs w:val="24"/>
        </w:rPr>
        <w:t xml:space="preserve"> </w:t>
      </w:r>
      <w:r>
        <w:rPr>
          <w:rFonts w:ascii="Times New Roman" w:hAnsi="Times New Roman"/>
          <w:noProof/>
          <w:szCs w:val="24"/>
        </w:rPr>
        <w:t>This</w:t>
      </w:r>
      <w:r w:rsidRPr="004C6217">
        <w:rPr>
          <w:rFonts w:ascii="Times New Roman" w:hAnsi="Times New Roman"/>
          <w:noProof/>
          <w:szCs w:val="24"/>
        </w:rPr>
        <w:t xml:space="preserve"> adds to the overwhelming social pressures on family members caring for a relative with long-term care needs (Thompsell and Lovestone, 2002).</w:t>
      </w:r>
    </w:p>
    <w:p w14:paraId="3911AC3F" w14:textId="77777777" w:rsidR="00811DBD" w:rsidRDefault="00811DBD" w:rsidP="00811DBD">
      <w:pPr>
        <w:jc w:val="both"/>
        <w:rPr>
          <w:rFonts w:ascii="Times New Roman" w:hAnsi="Times New Roman"/>
          <w:szCs w:val="24"/>
        </w:rPr>
      </w:pPr>
      <w:r w:rsidRPr="004C6217">
        <w:rPr>
          <w:rFonts w:ascii="Times New Roman" w:hAnsi="Times New Roman"/>
          <w:szCs w:val="24"/>
        </w:rPr>
        <w:t xml:space="preserve">Some researchers seeking to explain the shift to paid care have suggested that a culture of individualism has changed the relationships within families (An, 2018). Individualism is a cultural value that places the needs of a </w:t>
      </w:r>
      <w:r w:rsidRPr="004C6217">
        <w:rPr>
          <w:rFonts w:ascii="Times New Roman" w:hAnsi="Times New Roman"/>
          <w:noProof/>
          <w:szCs w:val="24"/>
        </w:rPr>
        <w:t>nuclear</w:t>
      </w:r>
      <w:r w:rsidRPr="004C6217">
        <w:rPr>
          <w:rFonts w:ascii="Times New Roman" w:hAnsi="Times New Roman"/>
          <w:szCs w:val="24"/>
        </w:rPr>
        <w:t xml:space="preserve"> family or the individual over that of the extended family, with a family dynamic that favours weak relationships among family members, increased autonomy and independence (Hofstede, 2011). In contrast, the cultural value of collectivism considers the need of the extended family as central while those of the individual family members within the collectivist unit are subordinate. This dichotomy between individualism and collectivism has been used previously to </w:t>
      </w:r>
      <w:r w:rsidRPr="004C6217">
        <w:rPr>
          <w:rFonts w:ascii="Times New Roman" w:hAnsi="Times New Roman"/>
          <w:noProof/>
          <w:szCs w:val="24"/>
        </w:rPr>
        <w:t>categorise</w:t>
      </w:r>
      <w:r w:rsidRPr="004C6217">
        <w:rPr>
          <w:rFonts w:ascii="Times New Roman" w:hAnsi="Times New Roman"/>
          <w:szCs w:val="24"/>
        </w:rPr>
        <w:t xml:space="preserve"> how different societies care for their older adults (</w:t>
      </w:r>
      <w:r w:rsidRPr="004C6217">
        <w:rPr>
          <w:rFonts w:ascii="Times New Roman" w:eastAsia="MS Gothic" w:hAnsi="Times New Roman"/>
          <w:szCs w:val="24"/>
        </w:rPr>
        <w:t xml:space="preserve">Rozario and Rosetti, </w:t>
      </w:r>
      <w:r w:rsidRPr="004C6217">
        <w:rPr>
          <w:rFonts w:ascii="Times New Roman" w:hAnsi="Times New Roman"/>
          <w:szCs w:val="24"/>
        </w:rPr>
        <w:t>2012)</w:t>
      </w:r>
      <w:r>
        <w:rPr>
          <w:rFonts w:ascii="Times New Roman" w:hAnsi="Times New Roman"/>
          <w:szCs w:val="24"/>
        </w:rPr>
        <w:t>.</w:t>
      </w:r>
    </w:p>
    <w:p w14:paraId="7609BBDC" w14:textId="77777777" w:rsidR="00811DBD" w:rsidRDefault="00811DBD" w:rsidP="00811DBD">
      <w:pPr>
        <w:jc w:val="both"/>
        <w:rPr>
          <w:rFonts w:ascii="Times New Roman" w:hAnsi="Times New Roman"/>
          <w:szCs w:val="24"/>
        </w:rPr>
      </w:pPr>
      <w:r>
        <w:rPr>
          <w:rFonts w:ascii="Times New Roman" w:hAnsi="Times New Roman"/>
          <w:szCs w:val="24"/>
        </w:rPr>
        <w:t>I</w:t>
      </w:r>
      <w:r w:rsidRPr="004C6217">
        <w:rPr>
          <w:rFonts w:ascii="Times New Roman" w:hAnsi="Times New Roman"/>
          <w:szCs w:val="24"/>
        </w:rPr>
        <w:t xml:space="preserve">t has been suggested that in relatively individualistic societies, such as </w:t>
      </w:r>
      <w:r w:rsidRPr="004C6217">
        <w:rPr>
          <w:rFonts w:ascii="Times New Roman" w:hAnsi="Times New Roman"/>
          <w:noProof/>
          <w:szCs w:val="24"/>
        </w:rPr>
        <w:t>Western</w:t>
      </w:r>
      <w:r w:rsidRPr="004C6217">
        <w:rPr>
          <w:rFonts w:ascii="Times New Roman" w:hAnsi="Times New Roman"/>
          <w:szCs w:val="24"/>
        </w:rPr>
        <w:t xml:space="preserve"> Europe and North America, family members (usually adult children) are less willing to care for their older adults and those who do, often find themselves caring out of necessity (</w:t>
      </w:r>
      <w:r w:rsidRPr="00E05301">
        <w:rPr>
          <w:rFonts w:ascii="Times New Roman" w:hAnsi="Times New Roman"/>
          <w:szCs w:val="24"/>
        </w:rPr>
        <w:t>Folbre</w:t>
      </w:r>
      <w:r>
        <w:rPr>
          <w:rFonts w:ascii="Times New Roman" w:hAnsi="Times New Roman"/>
          <w:szCs w:val="24"/>
        </w:rPr>
        <w:t xml:space="preserve"> and </w:t>
      </w:r>
      <w:r w:rsidRPr="00E05301">
        <w:rPr>
          <w:rFonts w:ascii="Times New Roman" w:hAnsi="Times New Roman"/>
          <w:szCs w:val="24"/>
        </w:rPr>
        <w:t>Nelson</w:t>
      </w:r>
      <w:r w:rsidRPr="004C6217">
        <w:rPr>
          <w:rFonts w:ascii="Times New Roman" w:hAnsi="Times New Roman"/>
          <w:szCs w:val="24"/>
        </w:rPr>
        <w:t xml:space="preserve">, 2000). It has also </w:t>
      </w:r>
      <w:r w:rsidRPr="004C6217">
        <w:rPr>
          <w:rFonts w:ascii="Times New Roman" w:hAnsi="Times New Roman"/>
          <w:noProof/>
          <w:szCs w:val="24"/>
        </w:rPr>
        <w:t>been argued</w:t>
      </w:r>
      <w:r w:rsidRPr="004C6217">
        <w:rPr>
          <w:rFonts w:ascii="Times New Roman" w:hAnsi="Times New Roman"/>
          <w:szCs w:val="24"/>
        </w:rPr>
        <w:t xml:space="preserve"> that societies that embrace the culture of collectivism are more likely to care for their older adult as a demonstration of </w:t>
      </w:r>
      <w:r w:rsidRPr="004C6217">
        <w:rPr>
          <w:rFonts w:ascii="Times New Roman" w:hAnsi="Times New Roman"/>
          <w:noProof/>
          <w:szCs w:val="24"/>
        </w:rPr>
        <w:t>intergenerational reciprocity</w:t>
      </w:r>
      <w:r w:rsidRPr="004C6217">
        <w:rPr>
          <w:rFonts w:ascii="Times New Roman" w:hAnsi="Times New Roman"/>
          <w:szCs w:val="24"/>
        </w:rPr>
        <w:t xml:space="preserve">, a show of affection and as a sense of duty or family responsibility (Ar and Karanci, 2017). </w:t>
      </w:r>
      <w:r w:rsidRPr="004C6217">
        <w:rPr>
          <w:rFonts w:ascii="Times New Roman" w:hAnsi="Times New Roman"/>
          <w:noProof/>
          <w:szCs w:val="24"/>
        </w:rPr>
        <w:t xml:space="preserve">This is illustrated in a longitudinal study conducted by Lüdecke </w:t>
      </w:r>
      <w:r w:rsidRPr="00C55F53">
        <w:rPr>
          <w:rFonts w:ascii="Times New Roman" w:hAnsi="Times New Roman"/>
          <w:i/>
          <w:iCs/>
          <w:noProof/>
          <w:szCs w:val="24"/>
        </w:rPr>
        <w:t>et al.</w:t>
      </w:r>
      <w:r w:rsidRPr="004C6217">
        <w:rPr>
          <w:rFonts w:ascii="Times New Roman" w:hAnsi="Times New Roman"/>
          <w:noProof/>
          <w:szCs w:val="24"/>
        </w:rPr>
        <w:t xml:space="preserve"> (2018), of unpaid care for older adults in six European countries (Germany, Greece, Italy, Poland, Sweden, and the United Kingdom). They observed that in Germany, Sweden and the UK, older adults cared for by family members were more likely to be put in residential care after a year. In comparison, older adults in relatively collectivist countries (i.e. Italy, Greece and Poland) were more likely to receive care for a more extended period.</w:t>
      </w:r>
      <w:r w:rsidRPr="004C6217">
        <w:rPr>
          <w:rFonts w:ascii="Times New Roman" w:hAnsi="Times New Roman"/>
          <w:szCs w:val="24"/>
        </w:rPr>
        <w:t xml:space="preserve">  </w:t>
      </w:r>
      <w:r>
        <w:rPr>
          <w:rFonts w:ascii="Times New Roman" w:hAnsi="Times New Roman"/>
          <w:szCs w:val="24"/>
        </w:rPr>
        <w:t>T</w:t>
      </w:r>
      <w:r w:rsidRPr="004C6217">
        <w:rPr>
          <w:rFonts w:ascii="Times New Roman" w:hAnsi="Times New Roman"/>
          <w:szCs w:val="24"/>
        </w:rPr>
        <w:t xml:space="preserve">his </w:t>
      </w:r>
      <w:r>
        <w:rPr>
          <w:rFonts w:ascii="Times New Roman" w:hAnsi="Times New Roman"/>
          <w:szCs w:val="24"/>
        </w:rPr>
        <w:t>is</w:t>
      </w:r>
      <w:r w:rsidRPr="004C6217">
        <w:rPr>
          <w:rFonts w:ascii="Times New Roman" w:hAnsi="Times New Roman"/>
          <w:szCs w:val="24"/>
        </w:rPr>
        <w:t xml:space="preserve"> due to the state of the welfare system </w:t>
      </w:r>
      <w:r w:rsidRPr="004C6217">
        <w:rPr>
          <w:rFonts w:ascii="Times New Roman" w:hAnsi="Times New Roman"/>
          <w:szCs w:val="24"/>
        </w:rPr>
        <w:lastRenderedPageBreak/>
        <w:t xml:space="preserve">in the countries as well as the normative system of family care provision. For instance, among the six countries studied by Lüdecke </w:t>
      </w:r>
      <w:r w:rsidRPr="00C55F53">
        <w:rPr>
          <w:rFonts w:ascii="Times New Roman" w:hAnsi="Times New Roman"/>
          <w:i/>
          <w:iCs/>
          <w:szCs w:val="24"/>
        </w:rPr>
        <w:t>et al.</w:t>
      </w:r>
      <w:r w:rsidRPr="004C6217">
        <w:rPr>
          <w:rFonts w:ascii="Times New Roman" w:hAnsi="Times New Roman"/>
          <w:szCs w:val="24"/>
        </w:rPr>
        <w:t xml:space="preserve"> (2018), Sweden has an outstanding structure of healthcare in comparison to say, Greece (Bień </w:t>
      </w:r>
      <w:r w:rsidRPr="00C55F53">
        <w:rPr>
          <w:rFonts w:ascii="Times New Roman" w:hAnsi="Times New Roman"/>
          <w:i/>
          <w:iCs/>
          <w:szCs w:val="24"/>
        </w:rPr>
        <w:t>et al.</w:t>
      </w:r>
      <w:r w:rsidRPr="004C6217">
        <w:rPr>
          <w:rFonts w:ascii="Times New Roman" w:hAnsi="Times New Roman"/>
          <w:szCs w:val="24"/>
        </w:rPr>
        <w:t xml:space="preserve">, 2013). Also in Sweden, many people opt to use the long-term care institution as it is more widely accepted and the obligation to care for extended family members is not as strong as in Greece, where in contrast, there are fewer alternatives to care provided by family members and the moral obligation to care is much more evident and stronger (Alber and Köhler, 2004; Lamura </w:t>
      </w:r>
      <w:r w:rsidRPr="00C55F53">
        <w:rPr>
          <w:rFonts w:ascii="Times New Roman" w:hAnsi="Times New Roman"/>
          <w:i/>
          <w:iCs/>
          <w:szCs w:val="24"/>
        </w:rPr>
        <w:t>et al.</w:t>
      </w:r>
      <w:r w:rsidRPr="004C6217">
        <w:rPr>
          <w:rFonts w:ascii="Times New Roman" w:hAnsi="Times New Roman"/>
          <w:szCs w:val="24"/>
        </w:rPr>
        <w:t>, 2008).</w:t>
      </w:r>
    </w:p>
    <w:p w14:paraId="6E78D1FE" w14:textId="77777777" w:rsidR="00811DBD" w:rsidRPr="004C6217" w:rsidRDefault="00811DBD" w:rsidP="00811DBD">
      <w:pPr>
        <w:jc w:val="both"/>
        <w:rPr>
          <w:rFonts w:ascii="Times New Roman" w:hAnsi="Times New Roman"/>
          <w:szCs w:val="24"/>
        </w:rPr>
      </w:pPr>
      <w:r>
        <w:rPr>
          <w:rFonts w:ascii="Times New Roman" w:hAnsi="Times New Roman"/>
          <w:noProof/>
          <w:szCs w:val="24"/>
        </w:rPr>
        <w:t>A</w:t>
      </w:r>
      <w:r w:rsidRPr="004C6217">
        <w:rPr>
          <w:rFonts w:ascii="Times New Roman" w:hAnsi="Times New Roman"/>
          <w:noProof/>
          <w:szCs w:val="24"/>
        </w:rPr>
        <w:t xml:space="preserve">part from the growing acceptance of institutional care in relatively individualistic societies, an increased human geographical mobility over the years have also contributed to the absence of individuals who would typically be primary caregivers. They are not physically present to provide care to the care recipient (family member, relative or close friend), thereby leading to an increase in </w:t>
      </w:r>
      <w:r>
        <w:rPr>
          <w:rFonts w:ascii="Times New Roman" w:hAnsi="Times New Roman"/>
          <w:noProof/>
          <w:szCs w:val="24"/>
        </w:rPr>
        <w:t xml:space="preserve">long </w:t>
      </w:r>
      <w:r w:rsidRPr="004C6217">
        <w:rPr>
          <w:rFonts w:ascii="Times New Roman" w:hAnsi="Times New Roman"/>
          <w:noProof/>
          <w:szCs w:val="24"/>
        </w:rPr>
        <w:t>distant caregiving which appears to be higher in individualistic society compared to collectivist society (Hofstede, 2001).</w:t>
      </w:r>
    </w:p>
    <w:p w14:paraId="2C1CECD8" w14:textId="77777777" w:rsidR="00811DBD" w:rsidRPr="004C6217" w:rsidRDefault="00811DBD" w:rsidP="006869A3">
      <w:pPr>
        <w:pStyle w:val="Heading3"/>
      </w:pPr>
      <w:bookmarkStart w:id="60" w:name="_Hlk51449684"/>
      <w:bookmarkStart w:id="61" w:name="_Toc86417249"/>
      <w:r w:rsidRPr="004C6217">
        <w:t>2.5.3. Changing gender roles</w:t>
      </w:r>
      <w:bookmarkEnd w:id="60"/>
      <w:bookmarkEnd w:id="61"/>
    </w:p>
    <w:p w14:paraId="6CB6DFC6" w14:textId="77777777" w:rsidR="00811DBD" w:rsidRDefault="00811DBD" w:rsidP="00811DBD">
      <w:pPr>
        <w:jc w:val="both"/>
        <w:rPr>
          <w:rFonts w:ascii="Times New Roman" w:hAnsi="Times New Roman"/>
          <w:szCs w:val="24"/>
        </w:rPr>
      </w:pPr>
      <w:r w:rsidRPr="004C6217">
        <w:rPr>
          <w:rFonts w:ascii="Times New Roman" w:hAnsi="Times New Roman"/>
          <w:szCs w:val="24"/>
        </w:rPr>
        <w:t>The traditional view that the role of a woman and a man in the home is that of a homemaker (charged with domestic responsibilities) and a breadwinner respectively, underwent a radical shift in the twentieth century (Damaske and Frech, 2016) with an increase in the number of women entering the paid labour market to support the family. Although Liggins (2005)</w:t>
      </w:r>
      <w:r>
        <w:rPr>
          <w:rFonts w:ascii="Times New Roman" w:hAnsi="Times New Roman"/>
          <w:szCs w:val="24"/>
        </w:rPr>
        <w:t>, Cook (2008)</w:t>
      </w:r>
      <w:r w:rsidRPr="004C6217">
        <w:rPr>
          <w:rFonts w:ascii="Times New Roman" w:hAnsi="Times New Roman"/>
          <w:szCs w:val="24"/>
        </w:rPr>
        <w:t xml:space="preserve"> and DeVault (2016) argued that this shift </w:t>
      </w:r>
      <w:r w:rsidRPr="004C6217">
        <w:rPr>
          <w:rFonts w:ascii="Times New Roman" w:hAnsi="Times New Roman"/>
          <w:noProof/>
          <w:szCs w:val="24"/>
        </w:rPr>
        <w:t>might</w:t>
      </w:r>
      <w:r w:rsidRPr="004C6217">
        <w:rPr>
          <w:rFonts w:ascii="Times New Roman" w:hAnsi="Times New Roman"/>
          <w:szCs w:val="24"/>
        </w:rPr>
        <w:t xml:space="preserve"> have occurred before the industrial revolution, it was </w:t>
      </w:r>
      <w:r w:rsidRPr="004C6217">
        <w:rPr>
          <w:rFonts w:ascii="Times New Roman" w:hAnsi="Times New Roman"/>
          <w:noProof/>
          <w:szCs w:val="24"/>
        </w:rPr>
        <w:t>further exacerbated</w:t>
      </w:r>
      <w:r w:rsidRPr="004C6217">
        <w:rPr>
          <w:rFonts w:ascii="Times New Roman" w:hAnsi="Times New Roman"/>
          <w:szCs w:val="24"/>
        </w:rPr>
        <w:t xml:space="preserve"> by </w:t>
      </w:r>
      <w:r w:rsidRPr="004C6217">
        <w:rPr>
          <w:rFonts w:ascii="Times New Roman" w:hAnsi="Times New Roman"/>
          <w:noProof/>
          <w:szCs w:val="24"/>
        </w:rPr>
        <w:t>the impact of the revolution.</w:t>
      </w:r>
      <w:r w:rsidRPr="004C6217">
        <w:rPr>
          <w:rFonts w:ascii="Times New Roman" w:hAnsi="Times New Roman"/>
          <w:szCs w:val="24"/>
        </w:rPr>
        <w:t xml:space="preserve"> </w:t>
      </w:r>
      <w:r w:rsidRPr="004C6217">
        <w:rPr>
          <w:rFonts w:ascii="Times New Roman" w:hAnsi="Times New Roman"/>
          <w:noProof/>
          <w:szCs w:val="24"/>
        </w:rPr>
        <w:t>In addition</w:t>
      </w:r>
      <w:r w:rsidRPr="004C6217">
        <w:rPr>
          <w:rFonts w:ascii="Times New Roman" w:hAnsi="Times New Roman"/>
          <w:szCs w:val="24"/>
        </w:rPr>
        <w:t xml:space="preserve">, the increased significance of access to education which led to </w:t>
      </w:r>
      <w:r w:rsidRPr="004C6217">
        <w:rPr>
          <w:rFonts w:ascii="Times New Roman" w:hAnsi="Times New Roman"/>
          <w:noProof/>
          <w:szCs w:val="24"/>
        </w:rPr>
        <w:t>the rise in the number of women engaged in</w:t>
      </w:r>
      <w:r w:rsidRPr="004C6217">
        <w:rPr>
          <w:rFonts w:ascii="Times New Roman" w:hAnsi="Times New Roman"/>
          <w:szCs w:val="24"/>
        </w:rPr>
        <w:t xml:space="preserve"> the </w:t>
      </w:r>
      <w:r w:rsidRPr="004C6217">
        <w:rPr>
          <w:rFonts w:ascii="Times New Roman" w:hAnsi="Times New Roman"/>
          <w:noProof/>
          <w:szCs w:val="24"/>
        </w:rPr>
        <w:t>professional</w:t>
      </w:r>
      <w:r w:rsidRPr="004C6217">
        <w:rPr>
          <w:rFonts w:ascii="Times New Roman" w:hAnsi="Times New Roman"/>
          <w:szCs w:val="24"/>
        </w:rPr>
        <w:t xml:space="preserve"> workforce also had </w:t>
      </w:r>
      <w:r w:rsidRPr="004C6217">
        <w:rPr>
          <w:rFonts w:ascii="Times New Roman" w:hAnsi="Times New Roman"/>
          <w:noProof/>
          <w:szCs w:val="24"/>
        </w:rPr>
        <w:t>a notable influence.</w:t>
      </w:r>
      <w:r w:rsidRPr="004C6217">
        <w:rPr>
          <w:rFonts w:ascii="Times New Roman" w:hAnsi="Times New Roman"/>
          <w:szCs w:val="24"/>
        </w:rPr>
        <w:t xml:space="preserve"> With more women in work, roles such as caring for the young and elderly, previously considered exclusively and traditionally as ‘women’s work’ are now increasingly conducted by paid staff (for example nurseries and care workers).</w:t>
      </w:r>
    </w:p>
    <w:p w14:paraId="3EB3AFCF" w14:textId="77777777" w:rsidR="00811DBD" w:rsidRPr="004C6217" w:rsidRDefault="00811DBD" w:rsidP="00811DBD">
      <w:pPr>
        <w:jc w:val="both"/>
        <w:rPr>
          <w:rFonts w:ascii="Times New Roman" w:hAnsi="Times New Roman"/>
          <w:szCs w:val="24"/>
        </w:rPr>
      </w:pPr>
      <w:r w:rsidRPr="00821B77">
        <w:rPr>
          <w:rFonts w:ascii="Times New Roman" w:hAnsi="Times New Roman"/>
          <w:szCs w:val="24"/>
        </w:rPr>
        <w:t>Over the last four decades, the proportion of women in paid employment in the UK has cont</w:t>
      </w:r>
      <w:r w:rsidRPr="00A444C2">
        <w:rPr>
          <w:rFonts w:ascii="Times New Roman" w:hAnsi="Times New Roman"/>
          <w:szCs w:val="24"/>
        </w:rPr>
        <w:t xml:space="preserve">inued to rise. </w:t>
      </w:r>
      <w:r w:rsidRPr="004C6217">
        <w:rPr>
          <w:rFonts w:ascii="Times New Roman" w:hAnsi="Times New Roman"/>
          <w:szCs w:val="24"/>
        </w:rPr>
        <w:t xml:space="preserve">For example, figures from the </w:t>
      </w:r>
      <w:r>
        <w:rPr>
          <w:rFonts w:ascii="Times New Roman" w:hAnsi="Times New Roman"/>
          <w:szCs w:val="24"/>
        </w:rPr>
        <w:t xml:space="preserve">ONS’ 2018 </w:t>
      </w:r>
      <w:r w:rsidRPr="004C6217">
        <w:rPr>
          <w:rFonts w:ascii="Times New Roman" w:hAnsi="Times New Roman"/>
          <w:szCs w:val="24"/>
        </w:rPr>
        <w:t xml:space="preserve">Labour Force Survey shows that the rate of women aged 25-54 years old in paid employment was 78% in </w:t>
      </w:r>
      <w:r w:rsidRPr="004C6217">
        <w:rPr>
          <w:rFonts w:ascii="Times New Roman" w:hAnsi="Times New Roman"/>
          <w:szCs w:val="24"/>
        </w:rPr>
        <w:lastRenderedPageBreak/>
        <w:t xml:space="preserve">2017, up from 57% in 1975. The same report </w:t>
      </w:r>
      <w:r>
        <w:rPr>
          <w:rFonts w:ascii="Times New Roman" w:hAnsi="Times New Roman"/>
          <w:szCs w:val="24"/>
        </w:rPr>
        <w:t xml:space="preserve">also </w:t>
      </w:r>
      <w:r w:rsidRPr="004C6217">
        <w:rPr>
          <w:rFonts w:ascii="Times New Roman" w:hAnsi="Times New Roman"/>
          <w:szCs w:val="24"/>
        </w:rPr>
        <w:t>suggests that about 44% of women were in full-time employment in 2018 compared to 29% recorded in 1985 (ONS, 2018). Other factors that have contributed to more women taking up paid employment include having fewer children and delaying childbearing compared to previous decades (McKie and Jyrkinen, 2018)</w:t>
      </w:r>
      <w:r>
        <w:rPr>
          <w:rFonts w:ascii="Times New Roman" w:hAnsi="Times New Roman"/>
          <w:szCs w:val="24"/>
        </w:rPr>
        <w:t xml:space="preserve">. </w:t>
      </w:r>
      <w:r w:rsidRPr="004C6217">
        <w:rPr>
          <w:rFonts w:ascii="Times New Roman" w:hAnsi="Times New Roman"/>
          <w:szCs w:val="24"/>
        </w:rPr>
        <w:t xml:space="preserve">However, it is not only the numbers of women in paid work that is of interest with respect to the increased demand of migrant nurses and HCAs because the social care sector </w:t>
      </w:r>
      <w:r w:rsidRPr="004C6217">
        <w:rPr>
          <w:rFonts w:ascii="Times New Roman" w:hAnsi="Times New Roman"/>
          <w:noProof/>
          <w:szCs w:val="24"/>
        </w:rPr>
        <w:t>is characterised</w:t>
      </w:r>
      <w:r w:rsidRPr="004C6217">
        <w:rPr>
          <w:rFonts w:ascii="Times New Roman" w:hAnsi="Times New Roman"/>
          <w:szCs w:val="24"/>
        </w:rPr>
        <w:t xml:space="preserve"> by extreme occupational gender segregation. </w:t>
      </w:r>
      <w:r w:rsidRPr="004C6217">
        <w:rPr>
          <w:rFonts w:ascii="Times New Roman" w:hAnsi="Times New Roman"/>
          <w:noProof/>
          <w:szCs w:val="24"/>
        </w:rPr>
        <w:t>This</w:t>
      </w:r>
      <w:r w:rsidRPr="004C6217">
        <w:rPr>
          <w:rFonts w:ascii="Times New Roman" w:hAnsi="Times New Roman"/>
          <w:szCs w:val="24"/>
        </w:rPr>
        <w:t xml:space="preserve"> segregation </w:t>
      </w:r>
      <w:r w:rsidRPr="004C6217">
        <w:rPr>
          <w:rFonts w:ascii="Times New Roman" w:hAnsi="Times New Roman"/>
          <w:noProof/>
          <w:szCs w:val="24"/>
        </w:rPr>
        <w:t>is illustrated</w:t>
      </w:r>
      <w:r w:rsidRPr="004C6217">
        <w:rPr>
          <w:rFonts w:ascii="Times New Roman" w:hAnsi="Times New Roman"/>
          <w:szCs w:val="24"/>
        </w:rPr>
        <w:t xml:space="preserve"> by the fact that while men comprise around 54% of the UK economically active population (Self and Zealey 2008), they make up only 16% of those working in social care (Skills for Care</w:t>
      </w:r>
      <w:r>
        <w:rPr>
          <w:rFonts w:ascii="Times New Roman" w:hAnsi="Times New Roman"/>
          <w:szCs w:val="24"/>
        </w:rPr>
        <w:t>,</w:t>
      </w:r>
      <w:r w:rsidRPr="004C6217">
        <w:rPr>
          <w:rFonts w:ascii="Times New Roman" w:hAnsi="Times New Roman"/>
          <w:szCs w:val="24"/>
        </w:rPr>
        <w:t xml:space="preserve"> 2007). In some occupations, such as nursery nurses or </w:t>
      </w:r>
      <w:r w:rsidRPr="004C6217">
        <w:rPr>
          <w:rFonts w:ascii="Times New Roman" w:hAnsi="Times New Roman"/>
          <w:noProof/>
          <w:szCs w:val="24"/>
        </w:rPr>
        <w:t>childminders</w:t>
      </w:r>
      <w:r w:rsidRPr="004C6217">
        <w:rPr>
          <w:rFonts w:ascii="Times New Roman" w:hAnsi="Times New Roman"/>
          <w:szCs w:val="24"/>
        </w:rPr>
        <w:t>, the proportion is even smaller (</w:t>
      </w:r>
      <w:r w:rsidRPr="004C6217">
        <w:rPr>
          <w:rFonts w:ascii="Times New Roman" w:hAnsi="Times New Roman"/>
          <w:bCs/>
          <w:szCs w:val="24"/>
        </w:rPr>
        <w:t xml:space="preserve">Cameron, 2001; Cameron </w:t>
      </w:r>
      <w:r w:rsidRPr="00C55F53">
        <w:rPr>
          <w:rFonts w:ascii="Times New Roman" w:hAnsi="Times New Roman"/>
          <w:bCs/>
          <w:i/>
          <w:iCs/>
          <w:szCs w:val="24"/>
        </w:rPr>
        <w:t>et al.</w:t>
      </w:r>
      <w:r w:rsidRPr="004C6217">
        <w:rPr>
          <w:rFonts w:ascii="Times New Roman" w:hAnsi="Times New Roman"/>
          <w:bCs/>
          <w:szCs w:val="24"/>
        </w:rPr>
        <w:t xml:space="preserve">, 2001; </w:t>
      </w:r>
      <w:r w:rsidRPr="004C6217">
        <w:rPr>
          <w:rFonts w:ascii="Times New Roman" w:hAnsi="Times New Roman"/>
          <w:szCs w:val="24"/>
        </w:rPr>
        <w:t xml:space="preserve">Rolfe </w:t>
      </w:r>
      <w:r w:rsidRPr="00C55F53">
        <w:rPr>
          <w:rFonts w:ascii="Times New Roman" w:hAnsi="Times New Roman"/>
          <w:i/>
          <w:iCs/>
          <w:szCs w:val="24"/>
        </w:rPr>
        <w:t>et al.</w:t>
      </w:r>
      <w:r w:rsidRPr="004C6217">
        <w:rPr>
          <w:rFonts w:ascii="Times New Roman" w:hAnsi="Times New Roman"/>
          <w:szCs w:val="24"/>
        </w:rPr>
        <w:t>, 2003; Rolfe, 2005).</w:t>
      </w:r>
    </w:p>
    <w:p w14:paraId="0E6C5BDD" w14:textId="77777777" w:rsidR="00811DBD" w:rsidRPr="004C6217" w:rsidRDefault="00811DBD" w:rsidP="006869A3">
      <w:pPr>
        <w:pStyle w:val="Heading3"/>
      </w:pPr>
      <w:bookmarkStart w:id="62" w:name="_Hlk51449741"/>
      <w:bookmarkStart w:id="63" w:name="_Toc86417250"/>
      <w:r w:rsidRPr="004C6217">
        <w:t>2.5.4. Low status and unattractive nature of care work</w:t>
      </w:r>
      <w:bookmarkEnd w:id="62"/>
      <w:bookmarkEnd w:id="63"/>
    </w:p>
    <w:p w14:paraId="6E0CE195" w14:textId="77777777" w:rsidR="00811DBD" w:rsidRDefault="00811DBD" w:rsidP="00811DBD">
      <w:pPr>
        <w:jc w:val="both"/>
        <w:rPr>
          <w:rFonts w:ascii="Times New Roman" w:hAnsi="Times New Roman"/>
          <w:szCs w:val="24"/>
        </w:rPr>
      </w:pPr>
      <w:r w:rsidRPr="004C6217">
        <w:rPr>
          <w:rFonts w:ascii="Times New Roman" w:hAnsi="Times New Roman"/>
          <w:szCs w:val="24"/>
        </w:rPr>
        <w:t>The recruitment of care workers by care institutions and the NHS to provide care for PLWD relatively occurs regularly because of the high turnover of staff attributed to the nature of the role and the low status of the job (Skills for Care, 2019).</w:t>
      </w:r>
      <w:r w:rsidRPr="004C6217" w:rsidDel="00113675">
        <w:rPr>
          <w:rFonts w:ascii="Times New Roman" w:hAnsi="Times New Roman"/>
          <w:szCs w:val="24"/>
        </w:rPr>
        <w:t xml:space="preserve"> </w:t>
      </w:r>
      <w:r w:rsidRPr="004C6217">
        <w:rPr>
          <w:rFonts w:ascii="Times New Roman" w:hAnsi="Times New Roman"/>
          <w:szCs w:val="24"/>
        </w:rPr>
        <w:t xml:space="preserve">Generally, jobs in the health and social care sector have </w:t>
      </w:r>
      <w:r w:rsidRPr="004C6217">
        <w:rPr>
          <w:rFonts w:ascii="Times New Roman" w:hAnsi="Times New Roman"/>
          <w:noProof/>
          <w:szCs w:val="24"/>
        </w:rPr>
        <w:t>been identified</w:t>
      </w:r>
      <w:r w:rsidRPr="004C6217">
        <w:rPr>
          <w:rFonts w:ascii="Times New Roman" w:hAnsi="Times New Roman"/>
          <w:szCs w:val="24"/>
        </w:rPr>
        <w:t xml:space="preserve"> as one of the low-paid jobs that UK-born workers are reluctant to take (Duffy, 2011; Van Hooren, 2012; Duffy, Albelda and Hammonds, 2013). </w:t>
      </w:r>
      <w:r w:rsidRPr="004C6217">
        <w:rPr>
          <w:rFonts w:ascii="Times New Roman" w:hAnsi="Times New Roman"/>
          <w:noProof/>
          <w:szCs w:val="24"/>
        </w:rPr>
        <w:t>This</w:t>
      </w:r>
      <w:r w:rsidRPr="004C6217">
        <w:rPr>
          <w:rFonts w:ascii="Times New Roman" w:hAnsi="Times New Roman"/>
          <w:szCs w:val="24"/>
        </w:rPr>
        <w:t xml:space="preserve"> is partly </w:t>
      </w:r>
      <w:r w:rsidRPr="004C6217">
        <w:rPr>
          <w:rFonts w:ascii="Times New Roman" w:hAnsi="Times New Roman"/>
          <w:noProof/>
          <w:szCs w:val="24"/>
        </w:rPr>
        <w:t>due to</w:t>
      </w:r>
      <w:r w:rsidRPr="004C6217">
        <w:rPr>
          <w:rFonts w:ascii="Times New Roman" w:hAnsi="Times New Roman"/>
          <w:szCs w:val="24"/>
        </w:rPr>
        <w:t xml:space="preserve"> the </w:t>
      </w:r>
      <w:r w:rsidRPr="004C6217">
        <w:rPr>
          <w:rFonts w:ascii="Times New Roman" w:hAnsi="Times New Roman"/>
          <w:noProof/>
          <w:szCs w:val="24"/>
        </w:rPr>
        <w:t>perceived</w:t>
      </w:r>
      <w:r w:rsidRPr="004C6217">
        <w:rPr>
          <w:rFonts w:ascii="Times New Roman" w:hAnsi="Times New Roman"/>
          <w:szCs w:val="24"/>
        </w:rPr>
        <w:t xml:space="preserve"> association of the care work role to ‘dirty work’, because of the bodywork (i.e., </w:t>
      </w:r>
      <w:r w:rsidRPr="004C6217">
        <w:rPr>
          <w:rFonts w:ascii="Times New Roman" w:hAnsi="Times New Roman"/>
          <w:noProof/>
          <w:szCs w:val="24"/>
        </w:rPr>
        <w:t>the physical</w:t>
      </w:r>
      <w:r>
        <w:rPr>
          <w:rFonts w:ascii="Times New Roman" w:hAnsi="Times New Roman"/>
          <w:noProof/>
          <w:szCs w:val="24"/>
        </w:rPr>
        <w:t xml:space="preserve"> and</w:t>
      </w:r>
      <w:r w:rsidRPr="004C6217">
        <w:rPr>
          <w:rFonts w:ascii="Times New Roman" w:hAnsi="Times New Roman"/>
          <w:noProof/>
          <w:szCs w:val="24"/>
        </w:rPr>
        <w:t xml:space="preserve"> personal</w:t>
      </w:r>
      <w:r w:rsidRPr="004C6217">
        <w:rPr>
          <w:rFonts w:ascii="Times New Roman" w:hAnsi="Times New Roman"/>
          <w:szCs w:val="24"/>
        </w:rPr>
        <w:t xml:space="preserve"> care of the bodies of others) that is inherent within caring for older adults (Van Iersel </w:t>
      </w:r>
      <w:r w:rsidRPr="00C55F53">
        <w:rPr>
          <w:rFonts w:ascii="Times New Roman" w:hAnsi="Times New Roman"/>
          <w:i/>
          <w:iCs/>
          <w:szCs w:val="24"/>
        </w:rPr>
        <w:t>et al.</w:t>
      </w:r>
      <w:r w:rsidRPr="004C6217">
        <w:rPr>
          <w:rFonts w:ascii="Times New Roman" w:hAnsi="Times New Roman"/>
          <w:szCs w:val="24"/>
        </w:rPr>
        <w:t>, 201</w:t>
      </w:r>
      <w:r>
        <w:rPr>
          <w:rFonts w:ascii="Times New Roman" w:hAnsi="Times New Roman"/>
          <w:szCs w:val="24"/>
        </w:rPr>
        <w:t>8</w:t>
      </w:r>
      <w:r w:rsidRPr="004C6217">
        <w:rPr>
          <w:rFonts w:ascii="Times New Roman" w:hAnsi="Times New Roman"/>
          <w:szCs w:val="24"/>
        </w:rPr>
        <w:t xml:space="preserve">; Hussein, 2018) (this </w:t>
      </w:r>
      <w:r w:rsidRPr="004C6217">
        <w:rPr>
          <w:rFonts w:ascii="Times New Roman" w:hAnsi="Times New Roman"/>
          <w:noProof/>
          <w:szCs w:val="24"/>
        </w:rPr>
        <w:t>is discussed</w:t>
      </w:r>
      <w:r w:rsidRPr="004C6217">
        <w:rPr>
          <w:rFonts w:ascii="Times New Roman" w:hAnsi="Times New Roman"/>
          <w:szCs w:val="24"/>
        </w:rPr>
        <w:t xml:space="preserve"> in more detail </w:t>
      </w:r>
      <w:r>
        <w:rPr>
          <w:rFonts w:ascii="Times New Roman" w:hAnsi="Times New Roman"/>
          <w:szCs w:val="24"/>
        </w:rPr>
        <w:t>under</w:t>
      </w:r>
      <w:r w:rsidRPr="004C6217">
        <w:rPr>
          <w:rFonts w:ascii="Times New Roman" w:hAnsi="Times New Roman"/>
          <w:szCs w:val="24"/>
        </w:rPr>
        <w:t xml:space="preserve"> the findings of my study in Chapter </w:t>
      </w:r>
      <w:r>
        <w:rPr>
          <w:rFonts w:ascii="Times New Roman" w:hAnsi="Times New Roman"/>
          <w:szCs w:val="24"/>
        </w:rPr>
        <w:t>9</w:t>
      </w:r>
      <w:r w:rsidRPr="004C6217">
        <w:rPr>
          <w:rFonts w:ascii="Times New Roman" w:hAnsi="Times New Roman"/>
          <w:szCs w:val="24"/>
        </w:rPr>
        <w:t>). Moreover, work</w:t>
      </w:r>
      <w:r>
        <w:rPr>
          <w:rFonts w:ascii="Times New Roman" w:hAnsi="Times New Roman"/>
          <w:szCs w:val="24"/>
        </w:rPr>
        <w:t>ing</w:t>
      </w:r>
      <w:r w:rsidRPr="004C6217">
        <w:rPr>
          <w:rFonts w:ascii="Times New Roman" w:hAnsi="Times New Roman"/>
          <w:szCs w:val="24"/>
        </w:rPr>
        <w:t xml:space="preserve"> with older people is often seen to have a lower status than other care work. For example, in a mixed-method study conducted by Rusbridge and Ahmed (2017), </w:t>
      </w:r>
      <w:r w:rsidRPr="004C6217">
        <w:rPr>
          <w:rFonts w:ascii="Times New Roman" w:hAnsi="Times New Roman"/>
          <w:noProof/>
          <w:szCs w:val="24"/>
        </w:rPr>
        <w:t>the</w:t>
      </w:r>
      <w:r w:rsidRPr="004C6217">
        <w:rPr>
          <w:rFonts w:ascii="Times New Roman" w:hAnsi="Times New Roman"/>
          <w:szCs w:val="24"/>
        </w:rPr>
        <w:t xml:space="preserve"> perception of students training to work in the health and social care sector were examined, </w:t>
      </w:r>
      <w:r w:rsidRPr="004C6217">
        <w:rPr>
          <w:rFonts w:ascii="Times New Roman" w:hAnsi="Times New Roman"/>
          <w:noProof/>
          <w:szCs w:val="24"/>
        </w:rPr>
        <w:t>and</w:t>
      </w:r>
      <w:r w:rsidRPr="004C6217">
        <w:rPr>
          <w:rFonts w:ascii="Times New Roman" w:hAnsi="Times New Roman"/>
          <w:szCs w:val="24"/>
        </w:rPr>
        <w:t xml:space="preserve"> the researchers found that students on the health and social care courses considered working with an </w:t>
      </w:r>
      <w:r w:rsidRPr="004C6217">
        <w:rPr>
          <w:rFonts w:ascii="Times New Roman" w:hAnsi="Times New Roman"/>
          <w:noProof/>
          <w:szCs w:val="24"/>
        </w:rPr>
        <w:t>older</w:t>
      </w:r>
      <w:r w:rsidRPr="004C6217">
        <w:rPr>
          <w:rFonts w:ascii="Times New Roman" w:hAnsi="Times New Roman"/>
          <w:szCs w:val="24"/>
        </w:rPr>
        <w:t xml:space="preserve"> adult to be unattractive.</w:t>
      </w:r>
    </w:p>
    <w:p w14:paraId="7F370916" w14:textId="77777777" w:rsidR="00811DBD" w:rsidRPr="004C6217" w:rsidRDefault="00811DBD" w:rsidP="00811DBD">
      <w:pPr>
        <w:jc w:val="both"/>
        <w:rPr>
          <w:rFonts w:ascii="Times New Roman" w:hAnsi="Times New Roman"/>
          <w:szCs w:val="24"/>
        </w:rPr>
      </w:pPr>
      <w:r w:rsidRPr="004C6217">
        <w:rPr>
          <w:rFonts w:ascii="Times New Roman" w:hAnsi="Times New Roman"/>
          <w:szCs w:val="24"/>
        </w:rPr>
        <w:t xml:space="preserve">The findings from the study highlighted the apparent lack of interest in care work among young students as one of the factors that contribute to the increasing staff shortage experienced in the social care sector (Moriarty </w:t>
      </w:r>
      <w:r w:rsidRPr="00C55F53">
        <w:rPr>
          <w:rFonts w:ascii="Times New Roman" w:hAnsi="Times New Roman"/>
          <w:i/>
          <w:iCs/>
          <w:szCs w:val="24"/>
        </w:rPr>
        <w:t>et al.</w:t>
      </w:r>
      <w:r w:rsidRPr="004C6217">
        <w:rPr>
          <w:rFonts w:ascii="Times New Roman" w:hAnsi="Times New Roman"/>
          <w:szCs w:val="24"/>
        </w:rPr>
        <w:t xml:space="preserve">, 2009; Van Iersel </w:t>
      </w:r>
      <w:r w:rsidRPr="00C55F53">
        <w:rPr>
          <w:rFonts w:ascii="Times New Roman" w:hAnsi="Times New Roman"/>
          <w:i/>
          <w:iCs/>
          <w:szCs w:val="24"/>
        </w:rPr>
        <w:t>et al.</w:t>
      </w:r>
      <w:r w:rsidRPr="004C6217">
        <w:rPr>
          <w:rFonts w:ascii="Times New Roman" w:hAnsi="Times New Roman"/>
          <w:szCs w:val="24"/>
        </w:rPr>
        <w:t xml:space="preserve">, </w:t>
      </w:r>
      <w:r w:rsidRPr="004C6217">
        <w:rPr>
          <w:rFonts w:ascii="Times New Roman" w:hAnsi="Times New Roman"/>
          <w:szCs w:val="24"/>
        </w:rPr>
        <w:lastRenderedPageBreak/>
        <w:t>2016). This might, in turn, have a far-reaching impact on the number of natives (UK-born citizens) available to work in the sector which invariably leads the care institutions to look for an alternative source to recruit care workers (Aluttis, Bishaw and Frank, 2014). As noted earlier, the pool of migrant willing to work serves as an alternative source to fill the shortage of care workers (Anderson and Ruhs, 2010).</w:t>
      </w:r>
    </w:p>
    <w:p w14:paraId="7D6489D9" w14:textId="77777777" w:rsidR="00811DBD" w:rsidRPr="004C6217" w:rsidRDefault="00811DBD" w:rsidP="006869A3">
      <w:pPr>
        <w:pStyle w:val="Heading2"/>
      </w:pPr>
      <w:bookmarkStart w:id="64" w:name="_Toc86417251"/>
      <w:r w:rsidRPr="004C6217">
        <w:t>2.6. Summary</w:t>
      </w:r>
      <w:bookmarkEnd w:id="64"/>
    </w:p>
    <w:p w14:paraId="1286AD60" w14:textId="20C5D3B4" w:rsidR="00E642FA" w:rsidRDefault="00811DBD" w:rsidP="006869A3">
      <w:pPr>
        <w:jc w:val="both"/>
      </w:pPr>
      <w:r w:rsidRPr="004C6217">
        <w:rPr>
          <w:rFonts w:ascii="Times New Roman" w:hAnsi="Times New Roman"/>
          <w:szCs w:val="24"/>
        </w:rPr>
        <w:t xml:space="preserve">This chapter discussed some of the dominant theories that could be used to explain the migration of migrant workers. The chapter also considered some of the demographic changes that have led to the increased demand for care workers. Nevertheless, from the review, no one theory appears to suitably explain migrant care workers motivation to move because of the complexity of migration. The next </w:t>
      </w:r>
      <w:r w:rsidRPr="004C6217">
        <w:rPr>
          <w:rFonts w:ascii="Times New Roman" w:hAnsi="Times New Roman"/>
          <w:noProof/>
          <w:szCs w:val="24"/>
        </w:rPr>
        <w:t>chapter</w:t>
      </w:r>
      <w:r w:rsidRPr="004C6217">
        <w:rPr>
          <w:rFonts w:ascii="Times New Roman" w:hAnsi="Times New Roman"/>
          <w:szCs w:val="24"/>
        </w:rPr>
        <w:t xml:space="preserve"> considers what motivates people to become carers and examines some of the main theories of work migration that might be extended to understand the motivation to assume and continue in the role of caregiving.</w:t>
      </w:r>
    </w:p>
    <w:p w14:paraId="141EE775" w14:textId="77777777" w:rsidR="006869A3" w:rsidRDefault="006869A3">
      <w:pPr>
        <w:spacing w:after="0" w:line="240" w:lineRule="auto"/>
        <w:rPr>
          <w:rFonts w:ascii="Times New Roman" w:eastAsia="MS Mincho" w:hAnsi="Times New Roman"/>
          <w:b/>
          <w:szCs w:val="24"/>
        </w:rPr>
      </w:pPr>
      <w:r>
        <w:rPr>
          <w:rFonts w:ascii="Times New Roman" w:eastAsia="MS Mincho" w:hAnsi="Times New Roman"/>
          <w:b/>
          <w:szCs w:val="24"/>
        </w:rPr>
        <w:br w:type="page"/>
      </w:r>
    </w:p>
    <w:p w14:paraId="4DEFBDFA" w14:textId="60576733" w:rsidR="00811DBD" w:rsidRPr="001331D3" w:rsidRDefault="00811DBD" w:rsidP="006869A3">
      <w:pPr>
        <w:pStyle w:val="Heading1"/>
        <w:rPr>
          <w:rFonts w:eastAsia="MS Mincho"/>
        </w:rPr>
      </w:pPr>
      <w:bookmarkStart w:id="65" w:name="_Toc86417252"/>
      <w:r w:rsidRPr="001331D3">
        <w:rPr>
          <w:rFonts w:eastAsia="MS Mincho"/>
        </w:rPr>
        <w:lastRenderedPageBreak/>
        <w:t>CHAPTER THREE</w:t>
      </w:r>
      <w:bookmarkEnd w:id="65"/>
    </w:p>
    <w:p w14:paraId="01580880" w14:textId="77777777" w:rsidR="00811DBD" w:rsidRPr="001331D3" w:rsidRDefault="00811DBD" w:rsidP="00811DBD">
      <w:pPr>
        <w:spacing w:after="0"/>
        <w:jc w:val="center"/>
        <w:textAlignment w:val="baseline"/>
        <w:rPr>
          <w:rFonts w:ascii="Times New Roman" w:hAnsi="Times New Roman"/>
          <w:b/>
          <w:szCs w:val="24"/>
        </w:rPr>
      </w:pPr>
      <w:r w:rsidRPr="001331D3">
        <w:rPr>
          <w:rFonts w:ascii="Times New Roman" w:eastAsia="MS Mincho" w:hAnsi="Times New Roman"/>
          <w:b/>
          <w:szCs w:val="24"/>
        </w:rPr>
        <w:t>MOTIVATION FOR CAREGIVING</w:t>
      </w:r>
    </w:p>
    <w:p w14:paraId="294AC076" w14:textId="77777777" w:rsidR="00811DBD" w:rsidRPr="001331D3" w:rsidRDefault="00811DBD" w:rsidP="006869A3">
      <w:pPr>
        <w:pStyle w:val="Heading2"/>
      </w:pPr>
      <w:bookmarkStart w:id="66" w:name="_Toc86417253"/>
      <w:r w:rsidRPr="001331D3">
        <w:rPr>
          <w:rFonts w:eastAsia="MS Mincho"/>
        </w:rPr>
        <w:t>3.1. Introduction</w:t>
      </w:r>
      <w:bookmarkEnd w:id="66"/>
    </w:p>
    <w:p w14:paraId="33C63DEB" w14:textId="0C589FBE" w:rsidR="00811DBD" w:rsidRPr="001331D3" w:rsidRDefault="00811DBD" w:rsidP="00811DBD">
      <w:pPr>
        <w:spacing w:before="240"/>
        <w:jc w:val="both"/>
        <w:rPr>
          <w:rFonts w:ascii="Times New Roman" w:hAnsi="Times New Roman"/>
          <w:szCs w:val="24"/>
        </w:rPr>
      </w:pPr>
      <w:r w:rsidRPr="001331D3">
        <w:rPr>
          <w:rFonts w:ascii="Times New Roman" w:hAnsi="Times New Roman"/>
          <w:noProof/>
          <w:szCs w:val="24"/>
        </w:rPr>
        <w:t>T</w:t>
      </w:r>
      <w:r w:rsidRPr="001331D3">
        <w:rPr>
          <w:rFonts w:ascii="Times New Roman" w:hAnsi="Times New Roman"/>
          <w:szCs w:val="24"/>
        </w:rPr>
        <w:t>his chapter gives an overview of some of the theories of work motivation and examines their relevance to the motivation of migrants to become care workers in the UK. It concludes with a brief discussion of the influence of culture on motivation to care and a summary of the chapter.</w:t>
      </w:r>
    </w:p>
    <w:p w14:paraId="5742378D" w14:textId="3EF4F3B3" w:rsidR="00811DBD" w:rsidRPr="001331D3" w:rsidRDefault="00811DBD" w:rsidP="006869A3">
      <w:pPr>
        <w:pStyle w:val="Heading2"/>
      </w:pPr>
      <w:bookmarkStart w:id="67" w:name="_Toc86417254"/>
      <w:r w:rsidRPr="001331D3">
        <w:t>3.2. Defining motivation and the motivation to care</w:t>
      </w:r>
      <w:bookmarkEnd w:id="67"/>
    </w:p>
    <w:p w14:paraId="2259EFE2"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There is a wide-ranging literature on the motivation to work and there are different definitions for the term, ‘motivation’. Guay </w:t>
      </w:r>
      <w:r w:rsidRPr="00635A18">
        <w:rPr>
          <w:rFonts w:ascii="Times New Roman" w:hAnsi="Times New Roman"/>
          <w:i/>
          <w:iCs/>
          <w:szCs w:val="24"/>
        </w:rPr>
        <w:t>et al.</w:t>
      </w:r>
      <w:r w:rsidRPr="001331D3">
        <w:rPr>
          <w:rFonts w:ascii="Times New Roman" w:hAnsi="Times New Roman"/>
          <w:szCs w:val="24"/>
        </w:rPr>
        <w:t xml:space="preserve"> (2010, p.712) defined motivation as </w:t>
      </w:r>
      <w:r w:rsidRPr="001331D3">
        <w:rPr>
          <w:rFonts w:ascii="Times New Roman" w:hAnsi="Times New Roman"/>
          <w:noProof/>
          <w:szCs w:val="24"/>
        </w:rPr>
        <w:t>“</w:t>
      </w:r>
      <w:r w:rsidRPr="001331D3">
        <w:rPr>
          <w:rFonts w:ascii="Times New Roman" w:hAnsi="Times New Roman"/>
          <w:i/>
          <w:szCs w:val="24"/>
        </w:rPr>
        <w:t xml:space="preserve">the reasons underlying </w:t>
      </w:r>
      <w:r w:rsidRPr="001331D3">
        <w:rPr>
          <w:rFonts w:ascii="Times New Roman" w:hAnsi="Times New Roman"/>
          <w:i/>
          <w:noProof/>
          <w:szCs w:val="24"/>
        </w:rPr>
        <w:t>behavior</w:t>
      </w:r>
      <w:r w:rsidRPr="001331D3">
        <w:rPr>
          <w:rFonts w:ascii="Times New Roman" w:hAnsi="Times New Roman"/>
          <w:szCs w:val="24"/>
        </w:rPr>
        <w:t>”, that is, it explains the motive for a behaviour. This notion of behaviour suggests that motivation is a psychological construct (</w:t>
      </w:r>
      <w:r w:rsidRPr="001331D3">
        <w:rPr>
          <w:rFonts w:ascii="Times New Roman" w:hAnsi="Times New Roman"/>
          <w:szCs w:val="24"/>
          <w:bdr w:val="none" w:sz="0" w:space="0" w:color="auto" w:frame="1"/>
        </w:rPr>
        <w:t xml:space="preserve">Menninghaus </w:t>
      </w:r>
      <w:r w:rsidRPr="00635A18">
        <w:rPr>
          <w:rFonts w:ascii="Times New Roman" w:hAnsi="Times New Roman"/>
          <w:i/>
          <w:iCs/>
          <w:szCs w:val="24"/>
          <w:bdr w:val="none" w:sz="0" w:space="0" w:color="auto" w:frame="1"/>
        </w:rPr>
        <w:t>et al.</w:t>
      </w:r>
      <w:r w:rsidRPr="001331D3">
        <w:rPr>
          <w:rFonts w:ascii="Times New Roman" w:hAnsi="Times New Roman"/>
          <w:szCs w:val="24"/>
        </w:rPr>
        <w:t>, 2015) and suggests that it comprises of "</w:t>
      </w:r>
      <w:r w:rsidRPr="001331D3">
        <w:rPr>
          <w:rFonts w:ascii="Times New Roman" w:hAnsi="Times New Roman"/>
          <w:i/>
          <w:szCs w:val="24"/>
        </w:rPr>
        <w:t>various factors which incite an individual's actions</w:t>
      </w:r>
      <w:r w:rsidRPr="001331D3">
        <w:rPr>
          <w:rFonts w:ascii="Times New Roman" w:hAnsi="Times New Roman"/>
          <w:szCs w:val="24"/>
        </w:rPr>
        <w:t xml:space="preserve">" (Atkinson, 1964, p.1), explaining why an individual engages in a particular act (such as the act of caring for someone). Significantly, motivation may arise from inner desire to do a task, or from </w:t>
      </w:r>
      <w:r w:rsidRPr="001331D3">
        <w:rPr>
          <w:rFonts w:ascii="Times New Roman" w:hAnsi="Times New Roman"/>
          <w:noProof/>
          <w:szCs w:val="24"/>
        </w:rPr>
        <w:t>outside</w:t>
      </w:r>
      <w:r w:rsidRPr="001331D3">
        <w:rPr>
          <w:rFonts w:ascii="Times New Roman" w:hAnsi="Times New Roman"/>
          <w:szCs w:val="24"/>
        </w:rPr>
        <w:t xml:space="preserve"> pressures, caused, for example by the expectations placed on an individual to act (Guay </w:t>
      </w:r>
      <w:r w:rsidRPr="00635A18">
        <w:rPr>
          <w:rFonts w:ascii="Times New Roman" w:hAnsi="Times New Roman"/>
          <w:i/>
          <w:iCs/>
          <w:szCs w:val="24"/>
        </w:rPr>
        <w:t>et al.</w:t>
      </w:r>
      <w:r w:rsidRPr="001331D3">
        <w:rPr>
          <w:rFonts w:ascii="Times New Roman" w:hAnsi="Times New Roman"/>
          <w:szCs w:val="24"/>
        </w:rPr>
        <w:t>, 2010).</w:t>
      </w:r>
    </w:p>
    <w:p w14:paraId="6F547030" w14:textId="77777777" w:rsidR="00811DBD" w:rsidRPr="001331D3" w:rsidRDefault="00811DBD" w:rsidP="00811DBD">
      <w:pPr>
        <w:jc w:val="both"/>
        <w:rPr>
          <w:rFonts w:ascii="Times New Roman" w:hAnsi="Times New Roman"/>
          <w:b/>
          <w:szCs w:val="24"/>
        </w:rPr>
      </w:pPr>
      <w:r w:rsidRPr="001331D3">
        <w:rPr>
          <w:rFonts w:ascii="Times New Roman" w:hAnsi="Times New Roman"/>
          <w:szCs w:val="24"/>
        </w:rPr>
        <w:t>As suggested above, caregiving in general and caring for PLWD, both paid carers and unpaid care workers may be motivated to provide care for several reasons (Bernard and Guar</w:t>
      </w:r>
      <w:r>
        <w:rPr>
          <w:rFonts w:ascii="Times New Roman" w:hAnsi="Times New Roman"/>
          <w:szCs w:val="24"/>
        </w:rPr>
        <w:t>n</w:t>
      </w:r>
      <w:r w:rsidRPr="001331D3">
        <w:rPr>
          <w:rFonts w:ascii="Times New Roman" w:hAnsi="Times New Roman"/>
          <w:szCs w:val="24"/>
        </w:rPr>
        <w:t>accia, 2003). They may be motivated by intrinsic reasons (such as a sense of love and reciprocity, spiritual fulfilment, responsibility, a feeling of duty or expectation) and extrinsic reasons (such as financial benefits, guilt or social pressures) (Bernard and Guar</w:t>
      </w:r>
      <w:r>
        <w:rPr>
          <w:rFonts w:ascii="Times New Roman" w:hAnsi="Times New Roman"/>
          <w:szCs w:val="24"/>
        </w:rPr>
        <w:t>n</w:t>
      </w:r>
      <w:r w:rsidRPr="001331D3">
        <w:rPr>
          <w:rFonts w:ascii="Times New Roman" w:hAnsi="Times New Roman"/>
          <w:szCs w:val="24"/>
        </w:rPr>
        <w:t xml:space="preserve">accia, 2003; </w:t>
      </w:r>
      <w:r w:rsidRPr="001331D3">
        <w:rPr>
          <w:rFonts w:ascii="Times New Roman" w:hAnsi="Times New Roman"/>
          <w:iCs/>
          <w:szCs w:val="24"/>
        </w:rPr>
        <w:t>Brodaty and Donkin, 2009</w:t>
      </w:r>
      <w:r w:rsidRPr="001331D3">
        <w:rPr>
          <w:rFonts w:ascii="Times New Roman" w:hAnsi="Times New Roman"/>
          <w:szCs w:val="24"/>
        </w:rPr>
        <w:t xml:space="preserve">). What </w:t>
      </w:r>
      <w:r w:rsidRPr="001331D3">
        <w:rPr>
          <w:rFonts w:ascii="Times New Roman" w:hAnsi="Times New Roman"/>
          <w:noProof/>
          <w:szCs w:val="24"/>
        </w:rPr>
        <w:t>distinguishes</w:t>
      </w:r>
      <w:r w:rsidRPr="001331D3">
        <w:rPr>
          <w:rFonts w:ascii="Times New Roman" w:hAnsi="Times New Roman"/>
          <w:szCs w:val="24"/>
        </w:rPr>
        <w:t xml:space="preserve"> an unpaid carer from a paid carer (or care worker) is the relationship to the care recipient. Whereas carers are family members and friends, care worker have no filial relationship to the care recipient (Kennedy and Gheera, 2018). </w:t>
      </w:r>
      <w:r w:rsidRPr="001331D3">
        <w:rPr>
          <w:rFonts w:ascii="Times New Roman" w:hAnsi="Times New Roman"/>
          <w:noProof/>
          <w:szCs w:val="24"/>
        </w:rPr>
        <w:t>In addition</w:t>
      </w:r>
      <w:r w:rsidRPr="001331D3">
        <w:rPr>
          <w:rFonts w:ascii="Times New Roman" w:hAnsi="Times New Roman"/>
          <w:szCs w:val="24"/>
        </w:rPr>
        <w:t>, care workers are paid to care whereas family carers are mostly not paid for the care they provide but they get paid in some instance (Department of Health, 1999; Kietzman, Benjamin and Matthias, 2013; Kennedy and Gheera, 2018).</w:t>
      </w:r>
    </w:p>
    <w:p w14:paraId="1560DF65"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lastRenderedPageBreak/>
        <w:t xml:space="preserve">Although most studies on motivation for caregiving has focused on family carers, research suggests that many of the theories applied to family carers may also apply to care workers (Essex and Hong, 2005; Gallagher-Thompson and Coon, 2007) and there is a growing ‘professional’ literature on the role of caring motivation in health and social care (Kietzman, Benjamin and Matthias, 2013). Before discussing different work motivation theories that can be extended to explain caregiving motivation amongst care workers caring for PLWD, it is important </w:t>
      </w:r>
      <w:r w:rsidRPr="001331D3">
        <w:rPr>
          <w:rFonts w:ascii="Times New Roman" w:hAnsi="Times New Roman"/>
          <w:noProof/>
          <w:szCs w:val="24"/>
        </w:rPr>
        <w:t>to consider</w:t>
      </w:r>
      <w:r w:rsidRPr="001331D3">
        <w:rPr>
          <w:rFonts w:ascii="Times New Roman" w:hAnsi="Times New Roman"/>
          <w:szCs w:val="24"/>
        </w:rPr>
        <w:t xml:space="preserve"> what motivation is and how it applies to paid caregiving.</w:t>
      </w:r>
    </w:p>
    <w:p w14:paraId="4066E634"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Authors from different fields of studies have developed theories of motivation to care, including social psychology, behavioural sciences, nursing research and economics (Deci and Ryan,1980; Benson and Dundis, 2003; Moody and Pesut, 2006; De Groot and Steg, 2010; Atkins and Michie, 2013). In reviewing the literature on the motivation, I adopted a broad interdisciplinary approach represented by different theories of motivation. In the next section, these theories are discussed with specific emphasis on their relevance to the motivation to work as a carer or care worker for PLWD.</w:t>
      </w:r>
    </w:p>
    <w:p w14:paraId="469A41CA" w14:textId="77777777" w:rsidR="00811DBD" w:rsidRPr="001331D3" w:rsidRDefault="00811DBD" w:rsidP="006869A3">
      <w:pPr>
        <w:pStyle w:val="Heading2"/>
      </w:pPr>
      <w:bookmarkStart w:id="68" w:name="_Toc86417255"/>
      <w:r w:rsidRPr="001331D3">
        <w:t>3.3. Economic, social exchange and needs-based perspectives on work motivation</w:t>
      </w:r>
      <w:bookmarkEnd w:id="68"/>
    </w:p>
    <w:p w14:paraId="26DAC79D" w14:textId="77777777" w:rsidR="00811DBD" w:rsidRPr="001331D3" w:rsidRDefault="00811DBD" w:rsidP="00811DBD">
      <w:pPr>
        <w:jc w:val="both"/>
        <w:rPr>
          <w:rFonts w:ascii="Times New Roman" w:hAnsi="Times New Roman"/>
          <w:szCs w:val="24"/>
        </w:rPr>
      </w:pPr>
      <w:r w:rsidRPr="001331D3">
        <w:rPr>
          <w:rFonts w:ascii="Times New Roman" w:hAnsi="Times New Roman"/>
          <w:noProof/>
          <w:szCs w:val="24"/>
        </w:rPr>
        <w:t xml:space="preserve">Because my own study focuses on caring in the context of employment, I will take a brief look at some of the theories that account </w:t>
      </w:r>
      <w:r w:rsidRPr="001331D3">
        <w:rPr>
          <w:rFonts w:ascii="Times New Roman" w:hAnsi="Times New Roman"/>
          <w:szCs w:val="24"/>
        </w:rPr>
        <w:t xml:space="preserve">for general work motivation, although perspectives and work practices have shifted </w:t>
      </w:r>
      <w:r w:rsidRPr="001331D3">
        <w:rPr>
          <w:rFonts w:ascii="Times New Roman" w:hAnsi="Times New Roman"/>
          <w:noProof/>
          <w:szCs w:val="24"/>
        </w:rPr>
        <w:t>from</w:t>
      </w:r>
      <w:r w:rsidRPr="001331D3">
        <w:rPr>
          <w:rFonts w:ascii="Times New Roman" w:hAnsi="Times New Roman"/>
          <w:szCs w:val="24"/>
        </w:rPr>
        <w:t xml:space="preserve"> the 20</w:t>
      </w:r>
      <w:r w:rsidRPr="001331D3">
        <w:rPr>
          <w:rFonts w:ascii="Times New Roman" w:hAnsi="Times New Roman"/>
          <w:szCs w:val="24"/>
          <w:vertAlign w:val="superscript"/>
        </w:rPr>
        <w:t>th</w:t>
      </w:r>
      <w:r w:rsidRPr="001331D3">
        <w:rPr>
          <w:rFonts w:ascii="Times New Roman" w:hAnsi="Times New Roman"/>
          <w:szCs w:val="24"/>
        </w:rPr>
        <w:t xml:space="preserve"> to the 21</w:t>
      </w:r>
      <w:r w:rsidRPr="001331D3">
        <w:rPr>
          <w:rFonts w:ascii="Times New Roman" w:hAnsi="Times New Roman"/>
          <w:szCs w:val="24"/>
          <w:vertAlign w:val="superscript"/>
        </w:rPr>
        <w:t>st</w:t>
      </w:r>
      <w:r w:rsidRPr="001331D3">
        <w:rPr>
          <w:rFonts w:ascii="Times New Roman" w:hAnsi="Times New Roman"/>
          <w:szCs w:val="24"/>
        </w:rPr>
        <w:t xml:space="preserve"> century. It is notable that many of the theories on work motivation reduced it to financial inducement or material gains (</w:t>
      </w:r>
      <w:r w:rsidRPr="001331D3">
        <w:rPr>
          <w:rFonts w:ascii="Times New Roman" w:hAnsi="Times New Roman"/>
          <w:szCs w:val="24"/>
          <w:bdr w:val="none" w:sz="0" w:space="0" w:color="auto" w:frame="1"/>
        </w:rPr>
        <w:t>Shafritz, Russell and Borick</w:t>
      </w:r>
      <w:r w:rsidRPr="001331D3">
        <w:rPr>
          <w:rFonts w:ascii="Times New Roman" w:hAnsi="Times New Roman"/>
          <w:szCs w:val="24"/>
        </w:rPr>
        <w:t>, 2015), and most have been influenced by Frederick Taylor’s principles of scientific management, otherwise referred to as ‘Taylorism’, developed in the 1880s and 1890s (</w:t>
      </w:r>
      <w:r w:rsidRPr="001331D3">
        <w:rPr>
          <w:rFonts w:ascii="Times New Roman" w:hAnsi="Times New Roman"/>
          <w:szCs w:val="24"/>
          <w:bdr w:val="none" w:sz="0" w:space="0" w:color="auto" w:frame="1"/>
        </w:rPr>
        <w:t>Shafritz, Russell and Borick</w:t>
      </w:r>
      <w:r w:rsidRPr="001331D3">
        <w:rPr>
          <w:rFonts w:ascii="Times New Roman" w:hAnsi="Times New Roman"/>
          <w:szCs w:val="24"/>
        </w:rPr>
        <w:t>, 2015).</w:t>
      </w:r>
    </w:p>
    <w:p w14:paraId="322894B9" w14:textId="77777777" w:rsidR="00811DBD" w:rsidRPr="001331D3" w:rsidRDefault="00811DBD" w:rsidP="006869A3">
      <w:pPr>
        <w:pStyle w:val="Heading3"/>
      </w:pPr>
      <w:bookmarkStart w:id="69" w:name="_Toc86417256"/>
      <w:r w:rsidRPr="001331D3">
        <w:t>3.3.1. Taylorism</w:t>
      </w:r>
      <w:bookmarkEnd w:id="69"/>
    </w:p>
    <w:p w14:paraId="59DE4A02"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Taylorism was designed</w:t>
      </w:r>
      <w:r w:rsidRPr="001331D3">
        <w:rPr>
          <w:rFonts w:ascii="Times New Roman" w:hAnsi="Times New Roman"/>
          <w:noProof/>
          <w:szCs w:val="24"/>
        </w:rPr>
        <w:t xml:space="preserve"> to increase</w:t>
      </w:r>
      <w:r w:rsidRPr="001331D3">
        <w:rPr>
          <w:rFonts w:ascii="Times New Roman" w:hAnsi="Times New Roman"/>
          <w:szCs w:val="24"/>
        </w:rPr>
        <w:t xml:space="preserve"> productivity and efficiency in the manufacturing industry, and it did lead to a direct increase in productivity. However, in order to improve efficiency, Taylor removed the autonomy related to the work of the craftsmen and instead made one </w:t>
      </w:r>
      <w:r w:rsidRPr="001331D3">
        <w:rPr>
          <w:rFonts w:ascii="Times New Roman" w:hAnsi="Times New Roman"/>
          <w:noProof/>
          <w:szCs w:val="24"/>
        </w:rPr>
        <w:t>craftsman</w:t>
      </w:r>
      <w:r w:rsidRPr="001331D3">
        <w:rPr>
          <w:rFonts w:ascii="Times New Roman" w:hAnsi="Times New Roman"/>
          <w:szCs w:val="24"/>
        </w:rPr>
        <w:t xml:space="preserve"> repeat only a particular task in a production line, which </w:t>
      </w:r>
      <w:r w:rsidRPr="001331D3">
        <w:rPr>
          <w:rFonts w:ascii="Times New Roman" w:hAnsi="Times New Roman"/>
          <w:noProof/>
          <w:szCs w:val="24"/>
        </w:rPr>
        <w:t>consisted</w:t>
      </w:r>
      <w:r w:rsidRPr="001331D3">
        <w:rPr>
          <w:rFonts w:ascii="Times New Roman" w:hAnsi="Times New Roman"/>
          <w:szCs w:val="24"/>
        </w:rPr>
        <w:t xml:space="preserve"> </w:t>
      </w:r>
      <w:r w:rsidRPr="001331D3">
        <w:rPr>
          <w:rFonts w:ascii="Times New Roman" w:hAnsi="Times New Roman"/>
          <w:noProof/>
          <w:szCs w:val="24"/>
        </w:rPr>
        <w:t>of</w:t>
      </w:r>
      <w:r w:rsidRPr="001331D3">
        <w:rPr>
          <w:rFonts w:ascii="Times New Roman" w:hAnsi="Times New Roman"/>
          <w:szCs w:val="24"/>
        </w:rPr>
        <w:t xml:space="preserve"> several other small unskilled and simplified tasks (</w:t>
      </w:r>
      <w:r w:rsidRPr="001331D3">
        <w:rPr>
          <w:rFonts w:ascii="Times New Roman" w:hAnsi="Times New Roman"/>
          <w:bCs/>
          <w:szCs w:val="24"/>
        </w:rPr>
        <w:t xml:space="preserve">Rahman, 2012; </w:t>
      </w:r>
      <w:r w:rsidRPr="001331D3">
        <w:rPr>
          <w:rFonts w:ascii="Times New Roman" w:hAnsi="Times New Roman"/>
          <w:szCs w:val="24"/>
        </w:rPr>
        <w:lastRenderedPageBreak/>
        <w:t>Ndaguba</w:t>
      </w:r>
      <w:r>
        <w:rPr>
          <w:rFonts w:ascii="Times New Roman" w:hAnsi="Times New Roman"/>
          <w:szCs w:val="24"/>
        </w:rPr>
        <w:t>,</w:t>
      </w:r>
      <w:r w:rsidRPr="001331D3">
        <w:rPr>
          <w:rFonts w:ascii="Times New Roman" w:hAnsi="Times New Roman"/>
          <w:szCs w:val="24"/>
        </w:rPr>
        <w:t xml:space="preserve"> 2018). Each worker stayed focused on the given </w:t>
      </w:r>
      <w:r w:rsidRPr="001331D3">
        <w:rPr>
          <w:rFonts w:ascii="Times New Roman" w:hAnsi="Times New Roman"/>
          <w:noProof/>
          <w:szCs w:val="24"/>
        </w:rPr>
        <w:t>role</w:t>
      </w:r>
      <w:r w:rsidRPr="001331D3">
        <w:rPr>
          <w:rFonts w:ascii="Times New Roman" w:hAnsi="Times New Roman"/>
          <w:szCs w:val="24"/>
        </w:rPr>
        <w:t xml:space="preserve"> and gained expertise through the repetition of routine, </w:t>
      </w:r>
      <w:r w:rsidRPr="001331D3">
        <w:rPr>
          <w:rFonts w:ascii="Times New Roman" w:hAnsi="Times New Roman"/>
          <w:noProof/>
          <w:szCs w:val="24"/>
        </w:rPr>
        <w:t>but</w:t>
      </w:r>
      <w:r w:rsidRPr="001331D3">
        <w:rPr>
          <w:rFonts w:ascii="Times New Roman" w:hAnsi="Times New Roman"/>
          <w:szCs w:val="24"/>
        </w:rPr>
        <w:t xml:space="preserve"> they lacked </w:t>
      </w:r>
      <w:r w:rsidRPr="001331D3">
        <w:rPr>
          <w:rFonts w:ascii="Times New Roman" w:hAnsi="Times New Roman"/>
          <w:noProof/>
          <w:szCs w:val="24"/>
        </w:rPr>
        <w:t>complete</w:t>
      </w:r>
      <w:r w:rsidRPr="001331D3">
        <w:rPr>
          <w:rFonts w:ascii="Times New Roman" w:hAnsi="Times New Roman"/>
          <w:szCs w:val="24"/>
        </w:rPr>
        <w:t xml:space="preserve"> knowledge of the whole product output. On his analysis of this process, Taylor assumed that workers </w:t>
      </w:r>
      <w:r w:rsidRPr="001331D3">
        <w:rPr>
          <w:rFonts w:ascii="Times New Roman" w:hAnsi="Times New Roman"/>
          <w:noProof/>
          <w:szCs w:val="24"/>
        </w:rPr>
        <w:t>were only motivated</w:t>
      </w:r>
      <w:r w:rsidRPr="001331D3">
        <w:rPr>
          <w:rFonts w:ascii="Times New Roman" w:hAnsi="Times New Roman"/>
          <w:szCs w:val="24"/>
        </w:rPr>
        <w:t xml:space="preserve"> by self-interest and that they require financial incentives to work effectively, otherwise they are bound to perform below productivity (</w:t>
      </w:r>
      <w:r w:rsidRPr="001331D3">
        <w:rPr>
          <w:rFonts w:ascii="Times New Roman" w:hAnsi="Times New Roman"/>
          <w:szCs w:val="24"/>
          <w:bdr w:val="none" w:sz="0" w:space="0" w:color="auto" w:frame="1"/>
        </w:rPr>
        <w:t>Shafritz, Russell and Borick</w:t>
      </w:r>
      <w:r w:rsidRPr="001331D3">
        <w:rPr>
          <w:rFonts w:ascii="Times New Roman" w:hAnsi="Times New Roman"/>
          <w:szCs w:val="24"/>
        </w:rPr>
        <w:t xml:space="preserve">, 2015). Taylor espoused that the use of a pay system that rewards (or </w:t>
      </w:r>
      <w:r w:rsidRPr="001331D3">
        <w:rPr>
          <w:rFonts w:ascii="Times New Roman" w:hAnsi="Times New Roman"/>
          <w:noProof/>
          <w:szCs w:val="24"/>
        </w:rPr>
        <w:t>punishes)</w:t>
      </w:r>
      <w:r w:rsidRPr="001331D3">
        <w:rPr>
          <w:rFonts w:ascii="Times New Roman" w:hAnsi="Times New Roman"/>
          <w:szCs w:val="24"/>
        </w:rPr>
        <w:t xml:space="preserve"> workers according to their measured outputs, would result in the highest level of productivity.</w:t>
      </w:r>
    </w:p>
    <w:p w14:paraId="3FCA0F89"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Although Taylorism worked to some extent in promoting work efficiency, it overemphasised the role of financial incentives on individual work motivation and much of the literature, which considered it as the sole motivator gave limited attention to the effect of meeting other needs that the workers may have (O'Neill, 2017; Cassar and Meier, 2018). It also placed little value on group productivity, suggesting that “</w:t>
      </w:r>
      <w:r w:rsidRPr="001331D3">
        <w:rPr>
          <w:rFonts w:ascii="Times New Roman" w:hAnsi="Times New Roman"/>
          <w:i/>
          <w:szCs w:val="24"/>
        </w:rPr>
        <w:t>personal ambition always has been and will remain a more powerful incentive to exertion than a desire for the general welfare</w:t>
      </w:r>
      <w:r w:rsidRPr="001331D3">
        <w:rPr>
          <w:rFonts w:ascii="Times New Roman" w:hAnsi="Times New Roman"/>
          <w:szCs w:val="24"/>
        </w:rPr>
        <w:t xml:space="preserve">” (Taylor, 1911, p. 95). However, despite these criticisms, Taylorism is still seen in many commercial care settings, for example, within some local authorities in the UK, only 15-minutes care slots are allocated for care workers to provide domiciliary care, a practice that </w:t>
      </w:r>
      <w:r w:rsidRPr="001331D3">
        <w:rPr>
          <w:rFonts w:ascii="Times New Roman" w:hAnsi="Times New Roman"/>
          <w:noProof/>
          <w:szCs w:val="24"/>
        </w:rPr>
        <w:t>is not necessarily based</w:t>
      </w:r>
      <w:r w:rsidRPr="001331D3">
        <w:rPr>
          <w:rFonts w:ascii="Times New Roman" w:hAnsi="Times New Roman"/>
          <w:szCs w:val="24"/>
        </w:rPr>
        <w:t xml:space="preserve"> on care needs but on meeting organisational targets (</w:t>
      </w:r>
      <w:r w:rsidRPr="001331D3">
        <w:rPr>
          <w:rFonts w:ascii="Times New Roman" w:hAnsi="Times New Roman"/>
          <w:szCs w:val="24"/>
          <w:bdr w:val="none" w:sz="0" w:space="0" w:color="auto" w:frame="1"/>
        </w:rPr>
        <w:t xml:space="preserve">Fiscella and Epstein, 2008; </w:t>
      </w:r>
      <w:r w:rsidRPr="001331D3">
        <w:rPr>
          <w:rFonts w:ascii="Times New Roman" w:eastAsia="MS Mincho" w:hAnsi="Times New Roman"/>
          <w:szCs w:val="24"/>
          <w:bdr w:val="none" w:sz="0" w:space="0" w:color="auto" w:frame="1"/>
        </w:rPr>
        <w:t>Glasper</w:t>
      </w:r>
      <w:r w:rsidRPr="001331D3">
        <w:rPr>
          <w:rFonts w:ascii="Times New Roman" w:hAnsi="Times New Roman"/>
          <w:szCs w:val="24"/>
          <w:bdr w:val="none" w:sz="0" w:space="0" w:color="auto" w:frame="1"/>
        </w:rPr>
        <w:t>, 2013</w:t>
      </w:r>
      <w:r w:rsidRPr="001331D3">
        <w:rPr>
          <w:rFonts w:ascii="Times New Roman" w:hAnsi="Times New Roman"/>
          <w:szCs w:val="24"/>
        </w:rPr>
        <w:t>; Pennycook</w:t>
      </w:r>
      <w:r>
        <w:rPr>
          <w:rFonts w:ascii="Times New Roman" w:hAnsi="Times New Roman"/>
          <w:szCs w:val="24"/>
        </w:rPr>
        <w:t>,</w:t>
      </w:r>
      <w:r w:rsidRPr="001331D3">
        <w:rPr>
          <w:rFonts w:ascii="Times New Roman" w:hAnsi="Times New Roman"/>
          <w:szCs w:val="24"/>
        </w:rPr>
        <w:t xml:space="preserve"> 2013). </w:t>
      </w:r>
    </w:p>
    <w:p w14:paraId="45C2C852"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Although this approach might serve the organisational </w:t>
      </w:r>
      <w:r w:rsidRPr="001331D3">
        <w:rPr>
          <w:rFonts w:ascii="Times New Roman" w:hAnsi="Times New Roman"/>
          <w:noProof/>
          <w:szCs w:val="24"/>
        </w:rPr>
        <w:t>good</w:t>
      </w:r>
      <w:r w:rsidRPr="001331D3">
        <w:rPr>
          <w:rFonts w:ascii="Times New Roman" w:hAnsi="Times New Roman"/>
          <w:szCs w:val="24"/>
        </w:rPr>
        <w:t xml:space="preserve"> to maximise staff efficiency (and increase profit), it might also be detrimental to the person in need of care, as well as the care worker.</w:t>
      </w:r>
    </w:p>
    <w:p w14:paraId="5C8BCB8D" w14:textId="6060E4E9" w:rsidR="00811DBD" w:rsidRPr="001331D3" w:rsidRDefault="00811DBD" w:rsidP="006869A3">
      <w:pPr>
        <w:pStyle w:val="Heading3"/>
      </w:pPr>
      <w:bookmarkStart w:id="70" w:name="_Toc86417257"/>
      <w:r w:rsidRPr="001331D3">
        <w:t xml:space="preserve">3.3.2. Social </w:t>
      </w:r>
      <w:r w:rsidR="00287CA6">
        <w:t>E</w:t>
      </w:r>
      <w:r w:rsidRPr="001331D3">
        <w:t xml:space="preserve">xchange </w:t>
      </w:r>
      <w:r w:rsidR="00287CA6">
        <w:t>T</w:t>
      </w:r>
      <w:r w:rsidRPr="001331D3">
        <w:t>heory</w:t>
      </w:r>
      <w:bookmarkEnd w:id="70"/>
    </w:p>
    <w:p w14:paraId="7A0CD149" w14:textId="77777777" w:rsidR="00811DBD" w:rsidRPr="001331D3" w:rsidRDefault="00811DBD" w:rsidP="00811DBD">
      <w:pPr>
        <w:jc w:val="both"/>
        <w:rPr>
          <w:rFonts w:ascii="Times New Roman" w:hAnsi="Times New Roman"/>
          <w:szCs w:val="24"/>
          <w:lang w:val="en-US" w:eastAsia="fr-FR"/>
        </w:rPr>
      </w:pPr>
      <w:r w:rsidRPr="001331D3">
        <w:rPr>
          <w:rFonts w:ascii="Times New Roman" w:hAnsi="Times New Roman"/>
          <w:szCs w:val="24"/>
          <w:lang w:val="en-US" w:eastAsia="fr-FR"/>
        </w:rPr>
        <w:t xml:space="preserve">Other economic perspectives on work motivation have been influenced by the ‘social exchange theory’, which considers work motivation as a product of the worker’s subjective cost-benefit analysis of the present social and economic realities in comparison with other alternatives (Cook </w:t>
      </w:r>
      <w:r w:rsidRPr="00635A18">
        <w:rPr>
          <w:rFonts w:ascii="Times New Roman" w:hAnsi="Times New Roman"/>
          <w:i/>
          <w:iCs/>
          <w:szCs w:val="24"/>
          <w:lang w:val="en-US" w:eastAsia="fr-FR"/>
        </w:rPr>
        <w:t>et al.</w:t>
      </w:r>
      <w:r w:rsidRPr="001331D3">
        <w:rPr>
          <w:rFonts w:ascii="Times New Roman" w:hAnsi="Times New Roman"/>
          <w:szCs w:val="24"/>
          <w:lang w:val="en-US" w:eastAsia="fr-FR"/>
        </w:rPr>
        <w:t xml:space="preserve">, 2013). Social exchange theory (SET) is an interdisciplinary macro-theoretical framework that considers the interactions between two or more individuals (or organizations), in a reciprocal relationship (Emerson, 1976; </w:t>
      </w:r>
      <w:r w:rsidRPr="001331D3">
        <w:rPr>
          <w:rFonts w:ascii="Times New Roman" w:hAnsi="Times New Roman"/>
          <w:szCs w:val="24"/>
        </w:rPr>
        <w:t xml:space="preserve">Cook </w:t>
      </w:r>
      <w:r w:rsidRPr="00635A18">
        <w:rPr>
          <w:rFonts w:ascii="Times New Roman" w:hAnsi="Times New Roman"/>
          <w:i/>
          <w:iCs/>
          <w:szCs w:val="24"/>
        </w:rPr>
        <w:t>et al.</w:t>
      </w:r>
      <w:r w:rsidRPr="001331D3">
        <w:rPr>
          <w:rFonts w:ascii="Times New Roman" w:hAnsi="Times New Roman"/>
          <w:szCs w:val="24"/>
        </w:rPr>
        <w:t>, 2013</w:t>
      </w:r>
      <w:r w:rsidRPr="001331D3">
        <w:rPr>
          <w:rFonts w:ascii="Times New Roman" w:hAnsi="Times New Roman"/>
          <w:szCs w:val="24"/>
          <w:lang w:val="en-US" w:eastAsia="fr-FR"/>
        </w:rPr>
        <w:t xml:space="preserve">). This theory suggests that interaction produces an </w:t>
      </w:r>
      <w:r w:rsidRPr="001331D3">
        <w:rPr>
          <w:rFonts w:ascii="Times New Roman" w:hAnsi="Times New Roman"/>
          <w:szCs w:val="24"/>
          <w:lang w:val="en-US" w:eastAsia="fr-FR"/>
        </w:rPr>
        <w:lastRenderedPageBreak/>
        <w:t xml:space="preserve">obligation for one party to repay the other with something of equal value, or something that typifies fairness in the exchange and invariably justifies a continuation of that exchange (Blau, 1964; Gouldner, 1960; Cropanzano and Mitchell, 2005). Being a collection of conceptual models rather than a single theory (Cropanzano and Mitchell, 2005), the SET has </w:t>
      </w:r>
      <w:r w:rsidRPr="001331D3">
        <w:rPr>
          <w:rFonts w:ascii="Times New Roman" w:hAnsi="Times New Roman"/>
          <w:noProof/>
          <w:szCs w:val="24"/>
          <w:lang w:val="en-US" w:eastAsia="fr-FR"/>
        </w:rPr>
        <w:t>been used</w:t>
      </w:r>
      <w:r w:rsidRPr="001331D3">
        <w:rPr>
          <w:rFonts w:ascii="Times New Roman" w:hAnsi="Times New Roman"/>
          <w:szCs w:val="24"/>
          <w:lang w:val="en-US" w:eastAsia="fr-FR"/>
        </w:rPr>
        <w:t xml:space="preserve"> widely in management research (</w:t>
      </w:r>
      <w:r w:rsidRPr="001331D3">
        <w:rPr>
          <w:rFonts w:ascii="Times New Roman" w:hAnsi="Times New Roman"/>
          <w:bCs/>
          <w:szCs w:val="24"/>
        </w:rPr>
        <w:t xml:space="preserve">Erdogan and Liden, 2002; </w:t>
      </w:r>
      <w:r w:rsidRPr="001331D3">
        <w:rPr>
          <w:rFonts w:ascii="Times New Roman" w:hAnsi="Times New Roman"/>
          <w:szCs w:val="24"/>
          <w:lang w:val="en-US" w:eastAsia="fr-FR"/>
        </w:rPr>
        <w:t>Cohen-Charash and Mueller, 2007; El Akremi, Vandenberghe and Camerman, 2010).</w:t>
      </w:r>
    </w:p>
    <w:p w14:paraId="58C5E164" w14:textId="77777777" w:rsidR="00811DBD" w:rsidRPr="001331D3" w:rsidRDefault="00811DBD" w:rsidP="00811DBD">
      <w:pPr>
        <w:jc w:val="both"/>
        <w:rPr>
          <w:rFonts w:ascii="Times New Roman" w:hAnsi="Times New Roman"/>
          <w:szCs w:val="24"/>
          <w:lang w:val="en-US" w:eastAsia="fr-FR"/>
        </w:rPr>
      </w:pPr>
      <w:r w:rsidRPr="001331D3">
        <w:rPr>
          <w:rFonts w:ascii="Times New Roman" w:hAnsi="Times New Roman"/>
          <w:szCs w:val="24"/>
          <w:lang w:val="en-US" w:eastAsia="fr-FR"/>
        </w:rPr>
        <w:t xml:space="preserve">Applied to the concept of care work, the SET could be used to explain the reward that an individual derives from engaging in a particular activity (like caregiving) as a product of the choice they made to maximize rewards (positive aspects of caring) and minimize costs (demands of the role) (Mitchell, Cropanzano and Quisenberry, 2012). </w:t>
      </w:r>
      <w:r w:rsidRPr="001331D3">
        <w:rPr>
          <w:rFonts w:ascii="Times New Roman" w:hAnsi="Times New Roman"/>
          <w:noProof/>
          <w:szCs w:val="24"/>
          <w:lang w:val="en-US" w:eastAsia="fr-FR"/>
        </w:rPr>
        <w:t xml:space="preserve">This process of reciprocity is reflected in the three main features of the SET with which most proponents concur. An actor’s (potentially the care worker) initial action toward a target individual (the care recipient), the target’s reciprocal responses (behaviours and attitudes) to the action and the subsequent forming of relationships that inform more exchanges (Cropanzano </w:t>
      </w:r>
      <w:r w:rsidRPr="00635A18">
        <w:rPr>
          <w:rFonts w:ascii="Times New Roman" w:hAnsi="Times New Roman"/>
          <w:i/>
          <w:iCs/>
          <w:noProof/>
          <w:szCs w:val="24"/>
          <w:lang w:val="en-US" w:eastAsia="fr-FR"/>
        </w:rPr>
        <w:t>et al.</w:t>
      </w:r>
      <w:r w:rsidRPr="001331D3">
        <w:rPr>
          <w:rFonts w:ascii="Times New Roman" w:hAnsi="Times New Roman"/>
          <w:noProof/>
          <w:szCs w:val="24"/>
          <w:lang w:val="en-US" w:eastAsia="fr-FR"/>
        </w:rPr>
        <w:t>, 2017).</w:t>
      </w:r>
      <w:r w:rsidRPr="001331D3">
        <w:rPr>
          <w:rFonts w:ascii="Times New Roman" w:hAnsi="Times New Roman"/>
          <w:szCs w:val="24"/>
          <w:lang w:val="en-US" w:eastAsia="fr-FR"/>
        </w:rPr>
        <w:t xml:space="preserve"> Thus, in care work, the social exchange begins when the care worker’s act of care (whether positive or negative), initiates a response from the care recipient, which may lead the care worker to consider it as a </w:t>
      </w:r>
      <w:r w:rsidRPr="001331D3">
        <w:rPr>
          <w:rFonts w:ascii="Times New Roman" w:hAnsi="Times New Roman"/>
          <w:noProof/>
          <w:szCs w:val="24"/>
          <w:lang w:val="en-US" w:eastAsia="fr-FR"/>
        </w:rPr>
        <w:t>positive</w:t>
      </w:r>
      <w:r w:rsidRPr="001331D3">
        <w:rPr>
          <w:rFonts w:ascii="Times New Roman" w:hAnsi="Times New Roman"/>
          <w:szCs w:val="24"/>
          <w:lang w:val="en-US" w:eastAsia="fr-FR"/>
        </w:rPr>
        <w:t xml:space="preserve"> or negative reward. SET theory has been applied to research, for instance, Trybou </w:t>
      </w:r>
      <w:r w:rsidRPr="00635A18">
        <w:rPr>
          <w:rFonts w:ascii="Times New Roman" w:hAnsi="Times New Roman"/>
          <w:i/>
          <w:iCs/>
          <w:szCs w:val="24"/>
          <w:lang w:val="en-US" w:eastAsia="fr-FR"/>
        </w:rPr>
        <w:t>et al.</w:t>
      </w:r>
      <w:r w:rsidRPr="001331D3">
        <w:rPr>
          <w:rFonts w:ascii="Times New Roman" w:hAnsi="Times New Roman"/>
          <w:szCs w:val="24"/>
          <w:lang w:val="en-US" w:eastAsia="fr-FR"/>
        </w:rPr>
        <w:t xml:space="preserve"> (2014) applied it to study staffs (nurses and health care assistants) working in care homes and found that those who perceived a high level of SET, were prepared to work more productively in the organization compared to those who had a </w:t>
      </w:r>
      <w:r w:rsidRPr="001331D3">
        <w:rPr>
          <w:rFonts w:ascii="Times New Roman" w:hAnsi="Times New Roman"/>
          <w:noProof/>
          <w:szCs w:val="24"/>
          <w:lang w:val="en-US" w:eastAsia="fr-FR"/>
        </w:rPr>
        <w:t>low</w:t>
      </w:r>
      <w:r w:rsidRPr="001331D3">
        <w:rPr>
          <w:rFonts w:ascii="Times New Roman" w:hAnsi="Times New Roman"/>
          <w:szCs w:val="24"/>
          <w:lang w:val="en-US" w:eastAsia="fr-FR"/>
        </w:rPr>
        <w:t xml:space="preserve"> level of SET. Although Trybou </w:t>
      </w:r>
      <w:r w:rsidRPr="00635A18">
        <w:rPr>
          <w:rFonts w:ascii="Times New Roman" w:hAnsi="Times New Roman"/>
          <w:i/>
          <w:iCs/>
          <w:szCs w:val="24"/>
          <w:lang w:val="en-US" w:eastAsia="fr-FR"/>
        </w:rPr>
        <w:t>et al.</w:t>
      </w:r>
      <w:r w:rsidRPr="001331D3">
        <w:rPr>
          <w:rFonts w:ascii="Times New Roman" w:hAnsi="Times New Roman"/>
          <w:szCs w:val="24"/>
          <w:lang w:val="en-US" w:eastAsia="fr-FR"/>
        </w:rPr>
        <w:t xml:space="preserve"> (2014) did not consider the effect of the exchange that takes place between these care workers and their care recipients, other authors have examined SET in care settings. For example, </w:t>
      </w:r>
      <w:r w:rsidRPr="001331D3">
        <w:rPr>
          <w:rFonts w:ascii="Times New Roman" w:hAnsi="Times New Roman"/>
          <w:noProof/>
          <w:szCs w:val="24"/>
          <w:lang w:val="en-US" w:eastAsia="fr-FR"/>
        </w:rPr>
        <w:t>Nelson (2000) opined that the nature of dependence and control inherent in care homes might eliminate the fair exchange between the care worker  and the care recipient in the context of the SET. Higgs and Gilleard (2015) referred to the observation as ‘abjection’ experienced by staff and care recipients in care homes, who may feel that they are without power in the exchange.</w:t>
      </w:r>
    </w:p>
    <w:p w14:paraId="3A64AD8B" w14:textId="77777777" w:rsidR="00811DBD" w:rsidRPr="001331D3" w:rsidRDefault="00811DBD" w:rsidP="00811DBD">
      <w:pPr>
        <w:jc w:val="both"/>
        <w:rPr>
          <w:rFonts w:ascii="Times New Roman" w:hAnsi="Times New Roman"/>
          <w:szCs w:val="24"/>
        </w:rPr>
      </w:pPr>
      <w:r w:rsidRPr="001331D3">
        <w:rPr>
          <w:rFonts w:ascii="Times New Roman" w:hAnsi="Times New Roman"/>
          <w:noProof/>
          <w:szCs w:val="24"/>
          <w:lang w:val="en-US" w:eastAsia="fr-FR"/>
        </w:rPr>
        <w:t>Moreover, with</w:t>
      </w:r>
      <w:r w:rsidRPr="001331D3">
        <w:rPr>
          <w:rFonts w:ascii="Times New Roman" w:hAnsi="Times New Roman"/>
          <w:szCs w:val="24"/>
          <w:lang w:val="en-US" w:eastAsia="fr-FR"/>
        </w:rPr>
        <w:t xml:space="preserve"> caring for PLWD whose cognitive capacity deteriorates progressively, it might be difficult to put their response to caregiving into context. In which case the </w:t>
      </w:r>
      <w:r w:rsidRPr="001331D3">
        <w:rPr>
          <w:rFonts w:ascii="Times New Roman" w:hAnsi="Times New Roman"/>
          <w:szCs w:val="24"/>
          <w:lang w:val="en-US" w:eastAsia="fr-FR"/>
        </w:rPr>
        <w:lastRenderedPageBreak/>
        <w:t xml:space="preserve">exchange the care worker receives is not limited to the </w:t>
      </w:r>
      <w:r w:rsidRPr="001331D3">
        <w:rPr>
          <w:rFonts w:ascii="Times New Roman" w:hAnsi="Times New Roman"/>
          <w:noProof/>
          <w:szCs w:val="24"/>
          <w:lang w:val="en-US" w:eastAsia="fr-FR"/>
        </w:rPr>
        <w:t>interaction</w:t>
      </w:r>
      <w:r w:rsidRPr="001331D3">
        <w:rPr>
          <w:rFonts w:ascii="Times New Roman" w:hAnsi="Times New Roman"/>
          <w:szCs w:val="24"/>
          <w:lang w:val="en-US" w:eastAsia="fr-FR"/>
        </w:rPr>
        <w:t xml:space="preserve"> they have with the care recipients. Hence, the SET differs from Taylorism in that it does not reduce workers motivation to monetary gains. However, one of its drawbacks is its failure to completely account for the differences between actions and inactions, as it inherently assumes that the absence of a positive reward, equals the </w:t>
      </w:r>
      <w:r w:rsidRPr="001331D3">
        <w:rPr>
          <w:rFonts w:ascii="Times New Roman" w:hAnsi="Times New Roman"/>
          <w:noProof/>
          <w:szCs w:val="24"/>
          <w:lang w:val="en-US" w:eastAsia="fr-FR"/>
        </w:rPr>
        <w:t>lack</w:t>
      </w:r>
      <w:r w:rsidRPr="001331D3">
        <w:rPr>
          <w:rFonts w:ascii="Times New Roman" w:hAnsi="Times New Roman"/>
          <w:szCs w:val="24"/>
          <w:lang w:val="en-US" w:eastAsia="fr-FR"/>
        </w:rPr>
        <w:t xml:space="preserve"> of a </w:t>
      </w:r>
      <w:r w:rsidRPr="001331D3">
        <w:rPr>
          <w:rFonts w:ascii="Times New Roman" w:hAnsi="Times New Roman"/>
          <w:noProof/>
          <w:szCs w:val="24"/>
          <w:lang w:val="en-US" w:eastAsia="fr-FR"/>
        </w:rPr>
        <w:t xml:space="preserve">desirable </w:t>
      </w:r>
      <w:r w:rsidRPr="001331D3">
        <w:rPr>
          <w:rFonts w:ascii="Times New Roman" w:hAnsi="Times New Roman"/>
          <w:szCs w:val="24"/>
          <w:lang w:val="en-US" w:eastAsia="fr-FR"/>
        </w:rPr>
        <w:t xml:space="preserve">cost (Lawler, 2001), which research </w:t>
      </w:r>
      <w:r w:rsidRPr="001331D3">
        <w:rPr>
          <w:rFonts w:ascii="Times New Roman" w:hAnsi="Times New Roman"/>
          <w:noProof/>
          <w:szCs w:val="24"/>
          <w:lang w:val="en-US" w:eastAsia="fr-FR"/>
        </w:rPr>
        <w:t>suggests</w:t>
      </w:r>
      <w:r w:rsidRPr="001331D3">
        <w:rPr>
          <w:rFonts w:ascii="Times New Roman" w:hAnsi="Times New Roman"/>
          <w:szCs w:val="24"/>
          <w:lang w:val="en-US" w:eastAsia="fr-FR"/>
        </w:rPr>
        <w:t xml:space="preserve"> is not always the case (Robinson, 1996). Another major criticism is that it offers behavioural predictions that are overly simplistic, and it does not apply to all kinds of exchanges because of the limitations created by roles and social structures (Cropanzano </w:t>
      </w:r>
      <w:r w:rsidRPr="00635A18">
        <w:rPr>
          <w:rFonts w:ascii="Times New Roman" w:hAnsi="Times New Roman"/>
          <w:i/>
          <w:iCs/>
          <w:szCs w:val="24"/>
          <w:lang w:val="en-US" w:eastAsia="fr-FR"/>
        </w:rPr>
        <w:t>et al.</w:t>
      </w:r>
      <w:r w:rsidRPr="001331D3">
        <w:rPr>
          <w:rFonts w:ascii="Times New Roman" w:hAnsi="Times New Roman"/>
          <w:szCs w:val="24"/>
          <w:lang w:val="en-US" w:eastAsia="fr-FR"/>
        </w:rPr>
        <w:t xml:space="preserve">, 2017). For instance, some </w:t>
      </w:r>
      <w:r w:rsidRPr="001331D3">
        <w:rPr>
          <w:rFonts w:ascii="Times New Roman" w:hAnsi="Times New Roman"/>
          <w:noProof/>
          <w:szCs w:val="24"/>
          <w:lang w:val="en-US" w:eastAsia="fr-FR"/>
        </w:rPr>
        <w:t>exchanges</w:t>
      </w:r>
      <w:r w:rsidRPr="001331D3">
        <w:rPr>
          <w:rFonts w:ascii="Times New Roman" w:hAnsi="Times New Roman"/>
          <w:szCs w:val="24"/>
          <w:lang w:val="en-US" w:eastAsia="fr-FR"/>
        </w:rPr>
        <w:t xml:space="preserve"> take place without the individual having to negotiate or assess cost and reward, </w:t>
      </w:r>
      <w:r w:rsidRPr="001331D3">
        <w:rPr>
          <w:rFonts w:ascii="Times New Roman" w:hAnsi="Times New Roman"/>
          <w:noProof/>
          <w:szCs w:val="24"/>
          <w:lang w:val="en-US" w:eastAsia="fr-FR"/>
        </w:rPr>
        <w:t>and</w:t>
      </w:r>
      <w:r w:rsidRPr="001331D3">
        <w:rPr>
          <w:rFonts w:ascii="Times New Roman" w:hAnsi="Times New Roman"/>
          <w:szCs w:val="24"/>
          <w:lang w:val="en-US" w:eastAsia="fr-FR"/>
        </w:rPr>
        <w:t xml:space="preserve"> this may be applied </w:t>
      </w:r>
      <w:r w:rsidRPr="001331D3">
        <w:rPr>
          <w:rFonts w:ascii="Times New Roman" w:hAnsi="Times New Roman"/>
          <w:noProof/>
          <w:szCs w:val="24"/>
          <w:lang w:val="en-US" w:eastAsia="fr-FR"/>
        </w:rPr>
        <w:t>to</w:t>
      </w:r>
      <w:r w:rsidRPr="001331D3">
        <w:rPr>
          <w:rFonts w:ascii="Times New Roman" w:hAnsi="Times New Roman"/>
          <w:szCs w:val="24"/>
          <w:lang w:val="en-US" w:eastAsia="fr-FR"/>
        </w:rPr>
        <w:t xml:space="preserve"> family caregiving (</w:t>
      </w:r>
      <w:r w:rsidRPr="001331D3">
        <w:rPr>
          <w:rFonts w:ascii="Times New Roman" w:hAnsi="Times New Roman"/>
          <w:szCs w:val="24"/>
        </w:rPr>
        <w:t xml:space="preserve">Garand </w:t>
      </w:r>
      <w:r w:rsidRPr="00635A18">
        <w:rPr>
          <w:rFonts w:ascii="Times New Roman" w:hAnsi="Times New Roman"/>
          <w:i/>
          <w:iCs/>
          <w:szCs w:val="24"/>
        </w:rPr>
        <w:t>et al.</w:t>
      </w:r>
      <w:r w:rsidRPr="001331D3">
        <w:rPr>
          <w:rFonts w:ascii="Times New Roman" w:hAnsi="Times New Roman"/>
          <w:szCs w:val="24"/>
        </w:rPr>
        <w:t>, 2007</w:t>
      </w:r>
      <w:r w:rsidRPr="001331D3">
        <w:rPr>
          <w:rFonts w:ascii="Times New Roman" w:hAnsi="Times New Roman"/>
          <w:szCs w:val="24"/>
          <w:lang w:val="en-US" w:eastAsia="fr-FR"/>
        </w:rPr>
        <w:t xml:space="preserve">). </w:t>
      </w:r>
      <w:r w:rsidRPr="001331D3">
        <w:rPr>
          <w:rFonts w:ascii="Times New Roman" w:hAnsi="Times New Roman"/>
          <w:szCs w:val="24"/>
        </w:rPr>
        <w:t xml:space="preserve">The central concepts of the SET </w:t>
      </w:r>
      <w:r w:rsidRPr="001331D3">
        <w:rPr>
          <w:rFonts w:ascii="Times New Roman" w:hAnsi="Times New Roman"/>
          <w:noProof/>
          <w:szCs w:val="24"/>
        </w:rPr>
        <w:t>suggest</w:t>
      </w:r>
      <w:r w:rsidRPr="001331D3">
        <w:rPr>
          <w:rFonts w:ascii="Times New Roman" w:hAnsi="Times New Roman"/>
          <w:szCs w:val="24"/>
        </w:rPr>
        <w:t xml:space="preserve"> </w:t>
      </w:r>
      <w:r w:rsidRPr="001331D3">
        <w:rPr>
          <w:rFonts w:ascii="Times New Roman" w:hAnsi="Times New Roman"/>
          <w:szCs w:val="24"/>
          <w:lang w:eastAsia="fr-FR"/>
        </w:rPr>
        <w:t xml:space="preserve">that workers are motivated tacticians looking out for their best interest (Haslam, 2004), </w:t>
      </w:r>
      <w:r w:rsidRPr="001331D3">
        <w:rPr>
          <w:rFonts w:ascii="Times New Roman" w:hAnsi="Times New Roman"/>
          <w:noProof/>
          <w:szCs w:val="24"/>
          <w:lang w:eastAsia="fr-FR"/>
        </w:rPr>
        <w:t>and</w:t>
      </w:r>
      <w:r w:rsidRPr="001331D3">
        <w:rPr>
          <w:rFonts w:ascii="Times New Roman" w:hAnsi="Times New Roman"/>
          <w:szCs w:val="24"/>
          <w:lang w:eastAsia="fr-FR"/>
        </w:rPr>
        <w:t xml:space="preserve"> it is on this premise that many psychological perspectives and theories of motivation are based (Fiske and Taylor, 1991; 2013; </w:t>
      </w:r>
      <w:r w:rsidRPr="001331D3">
        <w:rPr>
          <w:rFonts w:ascii="Times New Roman" w:hAnsi="Times New Roman"/>
          <w:szCs w:val="24"/>
        </w:rPr>
        <w:t xml:space="preserve">Poveda </w:t>
      </w:r>
      <w:r w:rsidRPr="00635A18">
        <w:rPr>
          <w:rFonts w:ascii="Times New Roman" w:hAnsi="Times New Roman"/>
          <w:i/>
          <w:iCs/>
          <w:szCs w:val="24"/>
        </w:rPr>
        <w:t>et al.</w:t>
      </w:r>
      <w:r w:rsidRPr="001331D3">
        <w:rPr>
          <w:rFonts w:ascii="Times New Roman" w:hAnsi="Times New Roman"/>
          <w:szCs w:val="24"/>
        </w:rPr>
        <w:t>, 2017</w:t>
      </w:r>
      <w:r w:rsidRPr="001331D3">
        <w:rPr>
          <w:rFonts w:ascii="Times New Roman" w:hAnsi="Times New Roman"/>
          <w:szCs w:val="24"/>
          <w:lang w:eastAsia="fr-FR"/>
        </w:rPr>
        <w:t>).</w:t>
      </w:r>
    </w:p>
    <w:p w14:paraId="43627CC5" w14:textId="77777777" w:rsidR="00811DBD" w:rsidRPr="001331D3" w:rsidRDefault="00811DBD" w:rsidP="006869A3">
      <w:pPr>
        <w:pStyle w:val="Heading3"/>
      </w:pPr>
      <w:bookmarkStart w:id="71" w:name="_Toc86417258"/>
      <w:r w:rsidRPr="001331D3">
        <w:t>3.3.3. Maslow’s Hierarchy of Needs</w:t>
      </w:r>
      <w:bookmarkEnd w:id="71"/>
    </w:p>
    <w:p w14:paraId="34597226"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Another well-known theory that considers work motivation is the Maslow’s ‘Hierarchy of Needs’, which is also known as the theory of human motivation. It is one of the </w:t>
      </w:r>
      <w:r w:rsidRPr="001331D3">
        <w:rPr>
          <w:rFonts w:ascii="Times New Roman" w:hAnsi="Times New Roman"/>
          <w:noProof/>
          <w:szCs w:val="24"/>
        </w:rPr>
        <w:t>first</w:t>
      </w:r>
      <w:r w:rsidRPr="001331D3">
        <w:rPr>
          <w:rFonts w:ascii="Times New Roman" w:hAnsi="Times New Roman"/>
          <w:szCs w:val="24"/>
        </w:rPr>
        <w:t xml:space="preserve"> psychological need-based theories that offered an alternative to the reductionist approach to work motivation underpinning Taylorism. Developed by Abraham Maslow, this theory created a </w:t>
      </w:r>
      <w:r w:rsidRPr="001331D3">
        <w:rPr>
          <w:rFonts w:ascii="Times New Roman" w:hAnsi="Times New Roman"/>
          <w:noProof/>
          <w:szCs w:val="24"/>
        </w:rPr>
        <w:t>pyramid-shaped</w:t>
      </w:r>
      <w:r w:rsidRPr="001331D3">
        <w:rPr>
          <w:rFonts w:ascii="Times New Roman" w:hAnsi="Times New Roman"/>
          <w:szCs w:val="24"/>
        </w:rPr>
        <w:t xml:space="preserve"> hierarchy (see Figure 3.1), which displays an individual’s need(s) and what motivates the individual to achieve a specific task </w:t>
      </w:r>
      <w:r w:rsidRPr="001331D3">
        <w:rPr>
          <w:rFonts w:ascii="Times New Roman" w:hAnsi="Times New Roman"/>
          <w:noProof/>
          <w:szCs w:val="24"/>
        </w:rPr>
        <w:t>to</w:t>
      </w:r>
      <w:r w:rsidRPr="001331D3">
        <w:rPr>
          <w:rFonts w:ascii="Times New Roman" w:hAnsi="Times New Roman"/>
          <w:szCs w:val="24"/>
        </w:rPr>
        <w:t xml:space="preserve"> satisfy the need (Maslow, 1943).</w:t>
      </w:r>
    </w:p>
    <w:p w14:paraId="667CFAD0"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In the hierarchy, needs </w:t>
      </w:r>
      <w:r w:rsidRPr="001331D3">
        <w:rPr>
          <w:rFonts w:ascii="Times New Roman" w:hAnsi="Times New Roman"/>
          <w:noProof/>
          <w:szCs w:val="24"/>
        </w:rPr>
        <w:t xml:space="preserve">are </w:t>
      </w:r>
      <w:r w:rsidRPr="001331D3">
        <w:rPr>
          <w:rFonts w:ascii="Times New Roman" w:hAnsi="Times New Roman"/>
          <w:szCs w:val="24"/>
        </w:rPr>
        <w:t xml:space="preserve">in levels ranging from basic animal needs for food, security and shelter, to social needs that </w:t>
      </w:r>
      <w:r w:rsidRPr="001331D3">
        <w:rPr>
          <w:rFonts w:ascii="Times New Roman" w:hAnsi="Times New Roman"/>
          <w:noProof/>
          <w:szCs w:val="24"/>
        </w:rPr>
        <w:t>demand</w:t>
      </w:r>
      <w:r w:rsidRPr="001331D3">
        <w:rPr>
          <w:rFonts w:ascii="Times New Roman" w:hAnsi="Times New Roman"/>
          <w:szCs w:val="24"/>
        </w:rPr>
        <w:t xml:space="preserve"> the expression of love and a sense of belonging, and then to higher human needs such as self-esteem and self-actualisation. The working logic of Maslow’s hierarchy of needs is that the key motivators of human behaviour in any setting </w:t>
      </w:r>
      <w:r w:rsidRPr="001331D3">
        <w:rPr>
          <w:rFonts w:ascii="Times New Roman" w:hAnsi="Times New Roman"/>
          <w:noProof/>
          <w:szCs w:val="24"/>
        </w:rPr>
        <w:t>are</w:t>
      </w:r>
      <w:r w:rsidRPr="001331D3">
        <w:rPr>
          <w:rFonts w:ascii="Times New Roman" w:hAnsi="Times New Roman"/>
          <w:szCs w:val="24"/>
        </w:rPr>
        <w:t xml:space="preserve"> their level of unsatisfied need, such that it </w:t>
      </w:r>
      <w:r w:rsidRPr="001331D3">
        <w:rPr>
          <w:rFonts w:ascii="Times New Roman" w:hAnsi="Times New Roman"/>
          <w:noProof/>
          <w:szCs w:val="24"/>
        </w:rPr>
        <w:t>is the needs</w:t>
      </w:r>
      <w:r w:rsidRPr="001331D3">
        <w:rPr>
          <w:rFonts w:ascii="Times New Roman" w:hAnsi="Times New Roman"/>
          <w:szCs w:val="24"/>
        </w:rPr>
        <w:t xml:space="preserve"> that </w:t>
      </w:r>
      <w:r w:rsidRPr="001331D3">
        <w:rPr>
          <w:rFonts w:ascii="Times New Roman" w:hAnsi="Times New Roman"/>
          <w:noProof/>
          <w:szCs w:val="24"/>
        </w:rPr>
        <w:t>are</w:t>
      </w:r>
      <w:r w:rsidRPr="001331D3">
        <w:rPr>
          <w:rFonts w:ascii="Times New Roman" w:hAnsi="Times New Roman"/>
          <w:szCs w:val="24"/>
        </w:rPr>
        <w:t xml:space="preserve"> not satisfied that motivate the individuals, rather than needs that are already satisfied (Acevedo, 2018). Thus, while financial incentives are essential to motivating a </w:t>
      </w:r>
      <w:r w:rsidRPr="001331D3">
        <w:rPr>
          <w:rFonts w:ascii="Times New Roman" w:hAnsi="Times New Roman"/>
          <w:noProof/>
          <w:szCs w:val="24"/>
        </w:rPr>
        <w:lastRenderedPageBreak/>
        <w:t>workforce</w:t>
      </w:r>
      <w:r w:rsidRPr="001331D3">
        <w:rPr>
          <w:rFonts w:ascii="Times New Roman" w:hAnsi="Times New Roman"/>
          <w:szCs w:val="24"/>
        </w:rPr>
        <w:t xml:space="preserve"> (Wisener and Eva, 2018), the effect is not straight forward and once people are in receipt of a sufficient, regular income, the impact of their income is likely to be as Haslam (2004, p.61) pointed, “</w:t>
      </w:r>
      <w:r w:rsidRPr="001331D3">
        <w:rPr>
          <w:rFonts w:ascii="Times New Roman" w:hAnsi="Times New Roman"/>
          <w:i/>
          <w:iCs/>
          <w:szCs w:val="24"/>
        </w:rPr>
        <w:t>an indirect consequence of its capacity to satisfy other needs, like a need for respect and self-esteem</w:t>
      </w:r>
      <w:r w:rsidRPr="001331D3">
        <w:rPr>
          <w:rFonts w:ascii="Times New Roman" w:hAnsi="Times New Roman"/>
          <w:szCs w:val="24"/>
        </w:rPr>
        <w:t xml:space="preserve">”. </w:t>
      </w:r>
      <w:r w:rsidRPr="001331D3">
        <w:rPr>
          <w:rFonts w:ascii="Times New Roman" w:hAnsi="Times New Roman"/>
          <w:noProof/>
          <w:szCs w:val="24"/>
        </w:rPr>
        <w:t xml:space="preserve">Therefore, while the economic and social exchange perspectives discussed so far consider workers as motivated tacticians driven by the need to maximise reward, in contrast, the need-based theories (e.g. Maslow’s hierarchy of needs) take a more organic theoretical approach to human motivation because they view a worker’s disposition to personal growth as an integral part of a greater whole (Sheldon </w:t>
      </w:r>
      <w:r w:rsidRPr="00635A18">
        <w:rPr>
          <w:rFonts w:ascii="Times New Roman" w:hAnsi="Times New Roman"/>
          <w:i/>
          <w:iCs/>
          <w:noProof/>
          <w:szCs w:val="24"/>
        </w:rPr>
        <w:t>et al.</w:t>
      </w:r>
      <w:r w:rsidRPr="001331D3">
        <w:rPr>
          <w:rFonts w:ascii="Times New Roman" w:hAnsi="Times New Roman"/>
          <w:noProof/>
          <w:szCs w:val="24"/>
        </w:rPr>
        <w:t xml:space="preserve">, 2003; </w:t>
      </w:r>
      <w:r w:rsidRPr="001331D3">
        <w:rPr>
          <w:rFonts w:ascii="Times New Roman" w:hAnsi="Times New Roman"/>
          <w:szCs w:val="24"/>
          <w:bdr w:val="none" w:sz="0" w:space="0" w:color="auto" w:frame="1"/>
        </w:rPr>
        <w:t>Sheldon, Arndt and Houser-Marko, 2003</w:t>
      </w:r>
      <w:r w:rsidRPr="001331D3">
        <w:rPr>
          <w:rFonts w:ascii="Times New Roman" w:hAnsi="Times New Roman"/>
          <w:noProof/>
          <w:szCs w:val="24"/>
        </w:rPr>
        <w:t>).</w:t>
      </w:r>
    </w:p>
    <w:p w14:paraId="63AEE3B0" w14:textId="77777777" w:rsidR="00811DBD" w:rsidRPr="001331D3" w:rsidRDefault="00811DBD" w:rsidP="00811DBD">
      <w:pPr>
        <w:jc w:val="both"/>
        <w:rPr>
          <w:rFonts w:ascii="Times New Roman" w:hAnsi="Times New Roman"/>
          <w:szCs w:val="24"/>
        </w:rPr>
      </w:pPr>
      <w:r w:rsidRPr="001331D3">
        <w:rPr>
          <w:rFonts w:ascii="Times New Roman" w:hAnsi="Times New Roman"/>
          <w:noProof/>
          <w:color w:val="0000FF"/>
          <w:szCs w:val="24"/>
        </w:rPr>
        <w:drawing>
          <wp:inline distT="0" distB="0" distL="0" distR="0" wp14:anchorId="27629D4F" wp14:editId="0D399A85">
            <wp:extent cx="4238625" cy="3155765"/>
            <wp:effectExtent l="0" t="0" r="0" b="6985"/>
            <wp:docPr id="332" name="Picture 332" descr="P598#yIS1">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descr="P598#yIS1">
                      <a:hlinkClick r:id="rId15" tgtFrame="&quot;_blank&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4633" cy="3167684"/>
                    </a:xfrm>
                    <a:prstGeom prst="rect">
                      <a:avLst/>
                    </a:prstGeom>
                    <a:noFill/>
                    <a:ln>
                      <a:noFill/>
                    </a:ln>
                  </pic:spPr>
                </pic:pic>
              </a:graphicData>
            </a:graphic>
          </wp:inline>
        </w:drawing>
      </w:r>
    </w:p>
    <w:p w14:paraId="4761C6E1" w14:textId="77777777" w:rsidR="00811DBD" w:rsidRPr="00410E75" w:rsidRDefault="00811DBD" w:rsidP="00811DBD">
      <w:pPr>
        <w:jc w:val="both"/>
        <w:rPr>
          <w:rFonts w:ascii="Times New Roman" w:hAnsi="Times New Roman"/>
          <w:bCs/>
          <w:szCs w:val="24"/>
        </w:rPr>
      </w:pPr>
      <w:r w:rsidRPr="00410E75">
        <w:rPr>
          <w:rFonts w:ascii="Times New Roman" w:hAnsi="Times New Roman"/>
          <w:b/>
          <w:szCs w:val="24"/>
        </w:rPr>
        <w:t>Figure 3.1: Maslow’s Hierarchy of Needs</w:t>
      </w:r>
      <w:r w:rsidRPr="00410E75">
        <w:rPr>
          <w:rFonts w:ascii="Times New Roman" w:hAnsi="Times New Roman"/>
          <w:bCs/>
          <w:szCs w:val="24"/>
        </w:rPr>
        <w:t xml:space="preserve"> (also known as Maslow’s Theory of Motivation). Adapted from Maslow (1943, p.375). (Image courtesy of McLeod, 2018)</w:t>
      </w:r>
    </w:p>
    <w:p w14:paraId="0D178DD1" w14:textId="77777777" w:rsidR="00811DBD" w:rsidRPr="001331D3" w:rsidRDefault="00811DBD" w:rsidP="00811DBD">
      <w:pPr>
        <w:jc w:val="both"/>
        <w:rPr>
          <w:rFonts w:ascii="Times New Roman" w:hAnsi="Times New Roman"/>
          <w:szCs w:val="24"/>
        </w:rPr>
      </w:pPr>
      <w:r w:rsidRPr="001331D3">
        <w:rPr>
          <w:rFonts w:ascii="Times New Roman" w:hAnsi="Times New Roman"/>
          <w:noProof/>
          <w:szCs w:val="24"/>
        </w:rPr>
        <w:t xml:space="preserve">Although Maslow’s theory provided a new perspective to human motivation at the time it was developed, it appeared overly simplistic, assuming that everyone has the same needs. It presumes that before other needs in the hierarchy are achieved, basic physiological needs must first be attained (King-Hill, 2015). </w:t>
      </w:r>
      <w:r w:rsidRPr="001331D3">
        <w:rPr>
          <w:rFonts w:ascii="Times New Roman" w:hAnsi="Times New Roman"/>
          <w:szCs w:val="24"/>
        </w:rPr>
        <w:t>However, Maslow’s theory of motivation, like other theories in social psychology, examines motivation with an emphasis on ‘</w:t>
      </w:r>
      <w:r w:rsidRPr="001331D3">
        <w:rPr>
          <w:rFonts w:ascii="Times New Roman" w:hAnsi="Times New Roman"/>
          <w:i/>
          <w:szCs w:val="24"/>
        </w:rPr>
        <w:t>how’</w:t>
      </w:r>
      <w:r w:rsidRPr="001331D3">
        <w:rPr>
          <w:rFonts w:ascii="Times New Roman" w:hAnsi="Times New Roman"/>
          <w:szCs w:val="24"/>
        </w:rPr>
        <w:t xml:space="preserve"> and ‘</w:t>
      </w:r>
      <w:r w:rsidRPr="001331D3">
        <w:rPr>
          <w:rFonts w:ascii="Times New Roman" w:hAnsi="Times New Roman"/>
          <w:i/>
          <w:szCs w:val="24"/>
        </w:rPr>
        <w:t>why’</w:t>
      </w:r>
      <w:r w:rsidRPr="001331D3">
        <w:rPr>
          <w:rFonts w:ascii="Times New Roman" w:hAnsi="Times New Roman"/>
          <w:szCs w:val="24"/>
        </w:rPr>
        <w:t xml:space="preserve"> people are motivated to initiate certain behaviours in some particular circumstances (Markus and Kitayama, 1991). It is this ‘initiated </w:t>
      </w:r>
      <w:r w:rsidRPr="001331D3">
        <w:rPr>
          <w:rFonts w:ascii="Times New Roman" w:hAnsi="Times New Roman"/>
          <w:szCs w:val="24"/>
        </w:rPr>
        <w:lastRenderedPageBreak/>
        <w:t xml:space="preserve">behaviour’ that makes an individual want to do something </w:t>
      </w:r>
      <w:r w:rsidRPr="001331D3">
        <w:rPr>
          <w:rFonts w:ascii="Times New Roman" w:hAnsi="Times New Roman"/>
          <w:noProof/>
          <w:szCs w:val="24"/>
        </w:rPr>
        <w:t>to</w:t>
      </w:r>
      <w:r w:rsidRPr="001331D3">
        <w:rPr>
          <w:rFonts w:ascii="Times New Roman" w:hAnsi="Times New Roman"/>
          <w:szCs w:val="24"/>
        </w:rPr>
        <w:t xml:space="preserve"> achieve or attain what Deci and Ryan (2000) described as a desire or willingness.</w:t>
      </w:r>
    </w:p>
    <w:p w14:paraId="5BA849DD"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Relating </w:t>
      </w:r>
      <w:r w:rsidRPr="001331D3">
        <w:rPr>
          <w:rFonts w:ascii="Times New Roman" w:hAnsi="Times New Roman"/>
          <w:noProof/>
          <w:szCs w:val="24"/>
        </w:rPr>
        <w:t>carers</w:t>
      </w:r>
      <w:r w:rsidRPr="001331D3">
        <w:rPr>
          <w:rFonts w:ascii="Times New Roman" w:hAnsi="Times New Roman"/>
          <w:szCs w:val="24"/>
        </w:rPr>
        <w:t xml:space="preserve"> experiences to Maslow’s hierarchy of needs, clearly, it cannot be assumed that there is a common experience because not all carers are motivated to care for the same reasons. For example, a carer may be providing care for a purely altruistic reason, whereas another carer may be motivated by the sense of responsibility and duty to care because of societal expectation (</w:t>
      </w:r>
      <w:r w:rsidRPr="001331D3">
        <w:rPr>
          <w:rFonts w:ascii="Times New Roman" w:hAnsi="Times New Roman"/>
          <w:szCs w:val="24"/>
          <w:lang w:val="en-US"/>
        </w:rPr>
        <w:t>Tay and Diener, 2011</w:t>
      </w:r>
      <w:r w:rsidRPr="001331D3">
        <w:rPr>
          <w:rFonts w:ascii="Times New Roman" w:hAnsi="Times New Roman"/>
          <w:szCs w:val="24"/>
        </w:rPr>
        <w:t xml:space="preserve">). </w:t>
      </w:r>
    </w:p>
    <w:p w14:paraId="6226934D" w14:textId="77777777" w:rsidR="00811DBD" w:rsidRPr="001331D3" w:rsidRDefault="00811DBD" w:rsidP="00811DBD">
      <w:pPr>
        <w:jc w:val="both"/>
        <w:rPr>
          <w:rFonts w:eastAsia="MS Mincho"/>
          <w:b/>
        </w:rPr>
      </w:pPr>
      <w:r w:rsidRPr="001331D3">
        <w:rPr>
          <w:rFonts w:ascii="Times New Roman" w:hAnsi="Times New Roman"/>
          <w:szCs w:val="24"/>
        </w:rPr>
        <w:t xml:space="preserve"> </w:t>
      </w:r>
      <w:r w:rsidRPr="001331D3">
        <w:rPr>
          <w:rFonts w:ascii="Times New Roman" w:hAnsi="Times New Roman"/>
          <w:noProof/>
          <w:szCs w:val="24"/>
        </w:rPr>
        <w:t>The next sections examines</w:t>
      </w:r>
      <w:r w:rsidRPr="001331D3">
        <w:rPr>
          <w:rFonts w:ascii="Times New Roman" w:hAnsi="Times New Roman"/>
          <w:szCs w:val="24"/>
        </w:rPr>
        <w:t xml:space="preserve"> the motivation to care within the context of the two main types of caring motivation </w:t>
      </w:r>
      <w:r w:rsidRPr="001331D3">
        <w:rPr>
          <w:rFonts w:ascii="Times New Roman" w:hAnsi="Times New Roman"/>
          <w:noProof/>
          <w:szCs w:val="24"/>
        </w:rPr>
        <w:t>and</w:t>
      </w:r>
      <w:r w:rsidRPr="001331D3">
        <w:rPr>
          <w:rFonts w:ascii="Times New Roman" w:hAnsi="Times New Roman"/>
          <w:szCs w:val="24"/>
        </w:rPr>
        <w:t xml:space="preserve"> </w:t>
      </w:r>
      <w:r w:rsidRPr="001331D3">
        <w:rPr>
          <w:rFonts w:ascii="Times New Roman" w:hAnsi="Times New Roman"/>
          <w:noProof/>
          <w:szCs w:val="24"/>
        </w:rPr>
        <w:t>explores some of the relevant</w:t>
      </w:r>
      <w:r w:rsidRPr="001331D3">
        <w:rPr>
          <w:rFonts w:ascii="Times New Roman" w:hAnsi="Times New Roman"/>
          <w:szCs w:val="24"/>
        </w:rPr>
        <w:t xml:space="preserve"> theories </w:t>
      </w:r>
      <w:r w:rsidRPr="001331D3">
        <w:rPr>
          <w:rFonts w:ascii="Times New Roman" w:hAnsi="Times New Roman"/>
          <w:noProof/>
          <w:szCs w:val="24"/>
        </w:rPr>
        <w:t>and</w:t>
      </w:r>
      <w:r w:rsidRPr="001331D3">
        <w:rPr>
          <w:rFonts w:ascii="Times New Roman" w:hAnsi="Times New Roman"/>
          <w:szCs w:val="24"/>
        </w:rPr>
        <w:t xml:space="preserve"> deba</w:t>
      </w:r>
      <w:r w:rsidRPr="001331D3">
        <w:rPr>
          <w:rFonts w:ascii="Times New Roman" w:hAnsi="Times New Roman"/>
          <w:noProof/>
          <w:szCs w:val="24"/>
        </w:rPr>
        <w:t>tes on motivation</w:t>
      </w:r>
      <w:r w:rsidRPr="001331D3">
        <w:rPr>
          <w:rFonts w:ascii="Times New Roman" w:hAnsi="Times New Roman"/>
          <w:szCs w:val="24"/>
        </w:rPr>
        <w:t>.</w:t>
      </w:r>
    </w:p>
    <w:p w14:paraId="7CEDE003" w14:textId="77777777" w:rsidR="00811DBD" w:rsidRPr="001331D3" w:rsidRDefault="00811DBD" w:rsidP="006869A3">
      <w:pPr>
        <w:pStyle w:val="Heading2"/>
      </w:pPr>
      <w:bookmarkStart w:id="72" w:name="_Toc86417259"/>
      <w:r w:rsidRPr="001331D3">
        <w:t>3.4. Theories on the extrinsic motivation and intrinsic motivation for caregiving</w:t>
      </w:r>
      <w:bookmarkEnd w:id="72"/>
    </w:p>
    <w:p w14:paraId="4CB7DAA2" w14:textId="77777777" w:rsidR="00811DBD" w:rsidRPr="001331D3" w:rsidRDefault="00811DBD" w:rsidP="00811DBD">
      <w:pPr>
        <w:jc w:val="both"/>
        <w:rPr>
          <w:rFonts w:ascii="Times New Roman" w:hAnsi="Times New Roman"/>
          <w:szCs w:val="24"/>
        </w:rPr>
      </w:pPr>
      <w:r w:rsidRPr="001331D3">
        <w:rPr>
          <w:rFonts w:ascii="Times New Roman" w:hAnsi="Times New Roman"/>
          <w:noProof/>
          <w:szCs w:val="24"/>
        </w:rPr>
        <w:t>The motivation</w:t>
      </w:r>
      <w:r w:rsidRPr="001331D3">
        <w:rPr>
          <w:rFonts w:ascii="Times New Roman" w:hAnsi="Times New Roman"/>
          <w:szCs w:val="24"/>
        </w:rPr>
        <w:t xml:space="preserve"> for caregiving </w:t>
      </w:r>
      <w:r w:rsidRPr="001331D3">
        <w:rPr>
          <w:rFonts w:ascii="Times New Roman" w:hAnsi="Times New Roman"/>
          <w:noProof/>
          <w:szCs w:val="24"/>
        </w:rPr>
        <w:t>is usually discussed in terms of extrinsic and intrinsic motivation</w:t>
      </w:r>
      <w:r w:rsidRPr="001331D3">
        <w:rPr>
          <w:rFonts w:ascii="Times New Roman" w:hAnsi="Times New Roman"/>
          <w:szCs w:val="24"/>
        </w:rPr>
        <w:t>. Intrinsic motivation (IM) stems from an individual engaging in an activity/role “</w:t>
      </w:r>
      <w:r w:rsidRPr="001331D3">
        <w:rPr>
          <w:rFonts w:ascii="Times New Roman" w:hAnsi="Times New Roman"/>
          <w:i/>
          <w:szCs w:val="24"/>
        </w:rPr>
        <w:t>for the inherent satisfaction of the activity itself</w:t>
      </w:r>
      <w:r w:rsidRPr="001331D3">
        <w:rPr>
          <w:rFonts w:ascii="Times New Roman" w:hAnsi="Times New Roman"/>
          <w:szCs w:val="24"/>
        </w:rPr>
        <w:t xml:space="preserve">” (Ryan and Deci, 2000a, p.71), the individual </w:t>
      </w:r>
      <w:r w:rsidRPr="001331D3">
        <w:rPr>
          <w:rFonts w:ascii="Times New Roman" w:hAnsi="Times New Roman"/>
          <w:noProof/>
          <w:szCs w:val="24"/>
        </w:rPr>
        <w:t>performs</w:t>
      </w:r>
      <w:r w:rsidRPr="001331D3">
        <w:rPr>
          <w:rFonts w:ascii="Times New Roman" w:hAnsi="Times New Roman"/>
          <w:szCs w:val="24"/>
        </w:rPr>
        <w:t xml:space="preserve"> a behaviour voluntarily even in the absence of reward or external constraints. </w:t>
      </w:r>
      <w:r w:rsidRPr="001331D3">
        <w:rPr>
          <w:rFonts w:ascii="Times New Roman" w:hAnsi="Times New Roman"/>
          <w:noProof/>
          <w:szCs w:val="24"/>
        </w:rPr>
        <w:t>Deci and Ryan (2000) hold that IM stems from the need for competence and self-determination. In contrast, extrinsic motivation (EM) “</w:t>
      </w:r>
      <w:r w:rsidRPr="001331D3">
        <w:rPr>
          <w:rFonts w:ascii="Times New Roman" w:hAnsi="Times New Roman"/>
          <w:i/>
          <w:noProof/>
          <w:szCs w:val="24"/>
        </w:rPr>
        <w:t>requires an instrumentality between the activity and some separable consequences such as tangible or verbal rewards, so satisfaction comes not from the activity itself but rather from the extrinsic consequences to which the activity leads</w:t>
      </w:r>
      <w:r w:rsidRPr="001331D3">
        <w:rPr>
          <w:rFonts w:ascii="Times New Roman" w:hAnsi="Times New Roman"/>
          <w:noProof/>
          <w:szCs w:val="24"/>
        </w:rPr>
        <w:t>” (</w:t>
      </w:r>
      <w:r w:rsidRPr="001331D3">
        <w:rPr>
          <w:rFonts w:ascii="Times New Roman" w:hAnsi="Times New Roman"/>
          <w:szCs w:val="24"/>
          <w:bdr w:val="none" w:sz="0" w:space="0" w:color="auto" w:frame="1"/>
        </w:rPr>
        <w:t>Gagné</w:t>
      </w:r>
      <w:r w:rsidRPr="001331D3">
        <w:rPr>
          <w:rFonts w:ascii="Times New Roman" w:hAnsi="Times New Roman"/>
          <w:noProof/>
          <w:szCs w:val="24"/>
        </w:rPr>
        <w:t xml:space="preserve"> and Deci, 2005, p.331).</w:t>
      </w:r>
      <w:r w:rsidRPr="001331D3">
        <w:rPr>
          <w:rFonts w:ascii="Times New Roman" w:hAnsi="Times New Roman"/>
          <w:szCs w:val="24"/>
        </w:rPr>
        <w:t xml:space="preserve"> EM includes external influences on an individual which </w:t>
      </w:r>
      <w:r w:rsidRPr="001331D3">
        <w:rPr>
          <w:rFonts w:ascii="Times New Roman" w:hAnsi="Times New Roman"/>
          <w:noProof/>
          <w:szCs w:val="24"/>
        </w:rPr>
        <w:t>may</w:t>
      </w:r>
      <w:r w:rsidRPr="001331D3">
        <w:rPr>
          <w:rFonts w:ascii="Times New Roman" w:hAnsi="Times New Roman"/>
          <w:szCs w:val="24"/>
        </w:rPr>
        <w:t xml:space="preserve"> be social and/or environmental factors (</w:t>
      </w:r>
      <w:r w:rsidRPr="001331D3">
        <w:rPr>
          <w:rFonts w:ascii="Times New Roman" w:hAnsi="Times New Roman"/>
          <w:iCs/>
          <w:szCs w:val="24"/>
        </w:rPr>
        <w:t>Brodaty and Donkin, 2009</w:t>
      </w:r>
      <w:r w:rsidRPr="001331D3">
        <w:rPr>
          <w:rFonts w:ascii="Times New Roman" w:hAnsi="Times New Roman"/>
          <w:szCs w:val="24"/>
        </w:rPr>
        <w:t>). Such motivat</w:t>
      </w:r>
      <w:r w:rsidRPr="001331D3">
        <w:rPr>
          <w:rFonts w:ascii="Times New Roman" w:hAnsi="Times New Roman"/>
          <w:noProof/>
          <w:szCs w:val="24"/>
        </w:rPr>
        <w:t>ion maybe the financial reward derived</w:t>
      </w:r>
      <w:r w:rsidRPr="001331D3">
        <w:rPr>
          <w:rFonts w:ascii="Times New Roman" w:hAnsi="Times New Roman"/>
          <w:szCs w:val="24"/>
        </w:rPr>
        <w:t xml:space="preserve"> from caregiving. </w:t>
      </w:r>
    </w:p>
    <w:p w14:paraId="444B6952"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In </w:t>
      </w:r>
      <w:r w:rsidRPr="001331D3">
        <w:rPr>
          <w:rFonts w:ascii="Times New Roman" w:hAnsi="Times New Roman"/>
          <w:noProof/>
          <w:szCs w:val="24"/>
        </w:rPr>
        <w:t>IM for caregiving,  the carer may seem to derive pleasure in the role. Gottfried</w:t>
      </w:r>
      <w:r>
        <w:rPr>
          <w:rFonts w:ascii="Times New Roman" w:hAnsi="Times New Roman"/>
          <w:noProof/>
          <w:szCs w:val="24"/>
        </w:rPr>
        <w:t>, Fleming and</w:t>
      </w:r>
      <w:r w:rsidRPr="001331D3">
        <w:rPr>
          <w:rFonts w:ascii="Times New Roman" w:hAnsi="Times New Roman"/>
          <w:noProof/>
          <w:szCs w:val="24"/>
        </w:rPr>
        <w:t xml:space="preserve"> </w:t>
      </w:r>
      <w:r>
        <w:rPr>
          <w:rFonts w:ascii="Times New Roman" w:hAnsi="Times New Roman"/>
          <w:noProof/>
          <w:szCs w:val="24"/>
        </w:rPr>
        <w:t>Gottfried</w:t>
      </w:r>
      <w:r w:rsidRPr="001331D3">
        <w:rPr>
          <w:rFonts w:ascii="Times New Roman" w:hAnsi="Times New Roman"/>
          <w:noProof/>
          <w:szCs w:val="24"/>
        </w:rPr>
        <w:t xml:space="preserve"> (1998) described IM as “</w:t>
      </w:r>
      <w:r w:rsidRPr="001331D3">
        <w:rPr>
          <w:rFonts w:ascii="Times New Roman" w:hAnsi="Times New Roman"/>
          <w:i/>
          <w:iCs/>
          <w:noProof/>
          <w:szCs w:val="24"/>
        </w:rPr>
        <w:t>the performance of activities for their own sake in which pleasure is inherent in the activity itself</w:t>
      </w:r>
      <w:r w:rsidRPr="001331D3">
        <w:rPr>
          <w:rFonts w:ascii="Times New Roman" w:hAnsi="Times New Roman"/>
          <w:noProof/>
          <w:szCs w:val="24"/>
        </w:rPr>
        <w:t>” (p.1448).</w:t>
      </w:r>
      <w:r w:rsidRPr="001331D3">
        <w:rPr>
          <w:rFonts w:ascii="Times New Roman" w:hAnsi="Times New Roman"/>
          <w:szCs w:val="24"/>
        </w:rPr>
        <w:t xml:space="preserve"> The difference between intrinsic and extrinsic motivation for caring </w:t>
      </w:r>
      <w:r w:rsidRPr="001331D3">
        <w:rPr>
          <w:rFonts w:ascii="Times New Roman" w:hAnsi="Times New Roman"/>
          <w:noProof/>
          <w:szCs w:val="24"/>
        </w:rPr>
        <w:t>is</w:t>
      </w:r>
      <w:r w:rsidRPr="001331D3">
        <w:rPr>
          <w:rFonts w:ascii="Times New Roman" w:hAnsi="Times New Roman"/>
          <w:szCs w:val="24"/>
        </w:rPr>
        <w:t xml:space="preserve"> the source of the behaviour or desire to care (</w:t>
      </w:r>
      <w:r w:rsidRPr="001331D3">
        <w:rPr>
          <w:rFonts w:ascii="Times New Roman" w:hAnsi="Times New Roman"/>
          <w:iCs/>
          <w:szCs w:val="24"/>
        </w:rPr>
        <w:t>Brodaty and Donkin, 2009</w:t>
      </w:r>
      <w:r w:rsidRPr="001331D3">
        <w:rPr>
          <w:rFonts w:ascii="Times New Roman" w:hAnsi="Times New Roman"/>
          <w:szCs w:val="24"/>
        </w:rPr>
        <w:t xml:space="preserve">). Whereas individuals motivated extrinsically do so because of what they derive from undertaking the caring role, individuals </w:t>
      </w:r>
      <w:r w:rsidRPr="001331D3">
        <w:rPr>
          <w:rFonts w:ascii="Times New Roman" w:hAnsi="Times New Roman"/>
          <w:szCs w:val="24"/>
        </w:rPr>
        <w:lastRenderedPageBreak/>
        <w:t xml:space="preserve">motivated by a </w:t>
      </w:r>
      <w:r w:rsidRPr="001331D3">
        <w:rPr>
          <w:rFonts w:ascii="Times New Roman" w:hAnsi="Times New Roman"/>
          <w:noProof/>
          <w:szCs w:val="24"/>
        </w:rPr>
        <w:t>personal</w:t>
      </w:r>
      <w:r w:rsidRPr="001331D3">
        <w:rPr>
          <w:rFonts w:ascii="Times New Roman" w:hAnsi="Times New Roman"/>
          <w:szCs w:val="24"/>
        </w:rPr>
        <w:t xml:space="preserve"> desire to care for people do so based on their convictions (</w:t>
      </w:r>
      <w:r w:rsidRPr="001331D3">
        <w:rPr>
          <w:rFonts w:ascii="Times New Roman" w:hAnsi="Times New Roman"/>
          <w:iCs/>
          <w:szCs w:val="24"/>
        </w:rPr>
        <w:t>Brodaty and Donkin, 2009</w:t>
      </w:r>
      <w:r w:rsidRPr="001331D3">
        <w:rPr>
          <w:rFonts w:ascii="Times New Roman" w:hAnsi="Times New Roman"/>
          <w:szCs w:val="24"/>
        </w:rPr>
        <w:t xml:space="preserve">). It is important to note that although care workers </w:t>
      </w:r>
      <w:r w:rsidRPr="001331D3">
        <w:rPr>
          <w:rFonts w:ascii="Times New Roman" w:hAnsi="Times New Roman"/>
          <w:noProof/>
          <w:szCs w:val="24"/>
        </w:rPr>
        <w:t>get paid</w:t>
      </w:r>
      <w:r w:rsidRPr="001331D3">
        <w:rPr>
          <w:rFonts w:ascii="Times New Roman" w:hAnsi="Times New Roman"/>
          <w:szCs w:val="24"/>
        </w:rPr>
        <w:t xml:space="preserve">, the pay they receive is relatively low (Low Pay Commission, 2014; Skills for Care, 2018), and therefore financial gain for undertaking the role may have little influence on </w:t>
      </w:r>
      <w:r w:rsidRPr="001331D3">
        <w:rPr>
          <w:rFonts w:ascii="Times New Roman" w:hAnsi="Times New Roman"/>
          <w:noProof/>
          <w:szCs w:val="24"/>
        </w:rPr>
        <w:t>why</w:t>
      </w:r>
      <w:r w:rsidRPr="001331D3">
        <w:rPr>
          <w:rFonts w:ascii="Times New Roman" w:hAnsi="Times New Roman"/>
          <w:szCs w:val="24"/>
        </w:rPr>
        <w:t xml:space="preserve"> they continue in the role (Rakovski and Price-Glynn, 2010; Morgan, Dill and Kalleberg, 2013). </w:t>
      </w:r>
    </w:p>
    <w:p w14:paraId="1C143AEB"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In the UK care workers have often reported that they </w:t>
      </w:r>
      <w:r w:rsidRPr="001331D3">
        <w:rPr>
          <w:rFonts w:ascii="Times New Roman" w:hAnsi="Times New Roman"/>
          <w:noProof/>
          <w:szCs w:val="24"/>
        </w:rPr>
        <w:t>receive</w:t>
      </w:r>
      <w:r w:rsidRPr="001331D3">
        <w:rPr>
          <w:rFonts w:ascii="Times New Roman" w:hAnsi="Times New Roman"/>
          <w:szCs w:val="24"/>
        </w:rPr>
        <w:t xml:space="preserve"> </w:t>
      </w:r>
      <w:r w:rsidRPr="001331D3">
        <w:rPr>
          <w:rFonts w:ascii="Times New Roman" w:hAnsi="Times New Roman"/>
          <w:noProof/>
          <w:szCs w:val="24"/>
        </w:rPr>
        <w:t>low</w:t>
      </w:r>
      <w:r w:rsidRPr="001331D3">
        <w:rPr>
          <w:rFonts w:ascii="Times New Roman" w:hAnsi="Times New Roman"/>
          <w:szCs w:val="24"/>
        </w:rPr>
        <w:t xml:space="preserve"> wages (Hirsch and Manzella, 2014; Hussein, 2017). For example, in a study conducted by Hussein (2017), between 10 to 13% of care workers working in the long-term care sector were paid less than the national minimum wage, yet, they often accepted low pay as part of their job. This </w:t>
      </w:r>
      <w:r w:rsidRPr="001331D3">
        <w:rPr>
          <w:rFonts w:ascii="Times New Roman" w:hAnsi="Times New Roman"/>
          <w:noProof/>
          <w:szCs w:val="24"/>
        </w:rPr>
        <w:t>could</w:t>
      </w:r>
      <w:r w:rsidRPr="001331D3">
        <w:rPr>
          <w:rFonts w:ascii="Times New Roman" w:hAnsi="Times New Roman"/>
          <w:szCs w:val="24"/>
        </w:rPr>
        <w:t xml:space="preserve"> </w:t>
      </w:r>
      <w:r w:rsidRPr="001331D3">
        <w:rPr>
          <w:rFonts w:ascii="Times New Roman" w:hAnsi="Times New Roman"/>
          <w:noProof/>
          <w:szCs w:val="24"/>
        </w:rPr>
        <w:t>be explained</w:t>
      </w:r>
      <w:r w:rsidRPr="001331D3">
        <w:rPr>
          <w:rFonts w:ascii="Times New Roman" w:hAnsi="Times New Roman"/>
          <w:szCs w:val="24"/>
        </w:rPr>
        <w:t xml:space="preserve"> in the context of emotional labour, which is consistent with the ‘prisoners of love’ framework (England, 2005). The ‘prisoner of love’ framework argues that employers often exploit </w:t>
      </w:r>
      <w:r w:rsidRPr="001331D3">
        <w:rPr>
          <w:rFonts w:ascii="Times New Roman" w:hAnsi="Times New Roman"/>
          <w:noProof/>
          <w:szCs w:val="24"/>
        </w:rPr>
        <w:t xml:space="preserve">care workers </w:t>
      </w:r>
      <w:r w:rsidRPr="001331D3">
        <w:rPr>
          <w:rFonts w:ascii="Times New Roman" w:hAnsi="Times New Roman"/>
          <w:szCs w:val="24"/>
        </w:rPr>
        <w:t>because of the intrinsic nature of caregiving (England, Allison and Wu, 2007; Hirsch and Manzella, 2014).</w:t>
      </w:r>
    </w:p>
    <w:p w14:paraId="4F2511D3"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In the next section, both intrinsic and extrinsic motivation are discussed further within the context of the self-determination theory (SDT).</w:t>
      </w:r>
    </w:p>
    <w:p w14:paraId="5C29BE4B" w14:textId="7F11F31E" w:rsidR="00811DBD" w:rsidRPr="001331D3" w:rsidRDefault="00811DBD" w:rsidP="006869A3">
      <w:pPr>
        <w:pStyle w:val="Heading3"/>
      </w:pPr>
      <w:bookmarkStart w:id="73" w:name="_Toc86417260"/>
      <w:r w:rsidRPr="001331D3">
        <w:t xml:space="preserve">3.4.1. The </w:t>
      </w:r>
      <w:r w:rsidR="00287CA6">
        <w:t>S</w:t>
      </w:r>
      <w:r w:rsidRPr="001331D3">
        <w:t>elf-</w:t>
      </w:r>
      <w:r w:rsidR="00287CA6">
        <w:t>D</w:t>
      </w:r>
      <w:r w:rsidRPr="001331D3">
        <w:t xml:space="preserve">etermination </w:t>
      </w:r>
      <w:r w:rsidR="00287CA6">
        <w:t>T</w:t>
      </w:r>
      <w:r w:rsidRPr="001331D3">
        <w:t>heory</w:t>
      </w:r>
      <w:bookmarkEnd w:id="73"/>
    </w:p>
    <w:p w14:paraId="487619A3"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An alternative psychological theory of human motivation used to explain individual behaviours is the self-determination theory (SDT) (Deci and Ryan, 1985a; Ryan and Deci, 2000b). SDT has gained empirical support over recent decades and holds that individuals are inherently self-motivated with natural predispositions to grow and pursue personal wellbeing (Deci and Ryan, 1985b; Ryan and Deci, 2000a). Hence, as an approach to understanding motivation, the SDT does not only attempt to account for the “</w:t>
      </w:r>
      <w:r w:rsidRPr="001331D3">
        <w:rPr>
          <w:rFonts w:ascii="Times New Roman" w:hAnsi="Times New Roman"/>
          <w:i/>
          <w:szCs w:val="24"/>
        </w:rPr>
        <w:t>why</w:t>
      </w:r>
      <w:r w:rsidRPr="001331D3">
        <w:rPr>
          <w:rFonts w:ascii="Times New Roman" w:hAnsi="Times New Roman"/>
          <w:szCs w:val="24"/>
        </w:rPr>
        <w:t>” people do what they do but also “</w:t>
      </w:r>
      <w:r w:rsidRPr="001331D3">
        <w:rPr>
          <w:rFonts w:ascii="Times New Roman" w:hAnsi="Times New Roman"/>
          <w:i/>
          <w:szCs w:val="24"/>
        </w:rPr>
        <w:t>what</w:t>
      </w:r>
      <w:r w:rsidRPr="001331D3">
        <w:rPr>
          <w:rFonts w:ascii="Times New Roman" w:hAnsi="Times New Roman"/>
          <w:szCs w:val="24"/>
        </w:rPr>
        <w:t xml:space="preserve">” behaviours underlies their actions (Sheldon </w:t>
      </w:r>
      <w:r w:rsidRPr="00635A18">
        <w:rPr>
          <w:rFonts w:ascii="Times New Roman" w:hAnsi="Times New Roman"/>
          <w:i/>
          <w:iCs/>
          <w:szCs w:val="24"/>
        </w:rPr>
        <w:t>et al.</w:t>
      </w:r>
      <w:r w:rsidRPr="001331D3">
        <w:rPr>
          <w:rFonts w:ascii="Times New Roman" w:hAnsi="Times New Roman"/>
          <w:szCs w:val="24"/>
        </w:rPr>
        <w:t>, 2004).</w:t>
      </w:r>
    </w:p>
    <w:p w14:paraId="75C26C9C"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The “</w:t>
      </w:r>
      <w:r w:rsidRPr="001331D3">
        <w:rPr>
          <w:rFonts w:ascii="Times New Roman" w:hAnsi="Times New Roman"/>
          <w:i/>
          <w:szCs w:val="24"/>
        </w:rPr>
        <w:t>why</w:t>
      </w:r>
      <w:r w:rsidRPr="001331D3">
        <w:rPr>
          <w:rFonts w:ascii="Times New Roman" w:hAnsi="Times New Roman"/>
          <w:szCs w:val="24"/>
        </w:rPr>
        <w:t>” of behaviour encompasses the diverse reasons that make individuals act, while the “</w:t>
      </w:r>
      <w:r w:rsidRPr="001331D3">
        <w:rPr>
          <w:rFonts w:ascii="Times New Roman" w:hAnsi="Times New Roman"/>
          <w:i/>
          <w:szCs w:val="24"/>
        </w:rPr>
        <w:t>what</w:t>
      </w:r>
      <w:r w:rsidRPr="001331D3">
        <w:rPr>
          <w:rFonts w:ascii="Times New Roman" w:hAnsi="Times New Roman"/>
          <w:szCs w:val="24"/>
        </w:rPr>
        <w:t xml:space="preserve">” of behaviour refers to the nature of individuals’ goals. Although both concepts </w:t>
      </w:r>
      <w:r w:rsidRPr="001331D3">
        <w:rPr>
          <w:rFonts w:ascii="Times New Roman" w:hAnsi="Times New Roman"/>
          <w:noProof/>
          <w:szCs w:val="24"/>
        </w:rPr>
        <w:t>are linked,</w:t>
      </w:r>
      <w:r w:rsidRPr="001331D3">
        <w:rPr>
          <w:rFonts w:ascii="Times New Roman" w:hAnsi="Times New Roman"/>
          <w:szCs w:val="24"/>
        </w:rPr>
        <w:t xml:space="preserve"> in the case of care work, SDT recognises the need to separate motivations from goals and this may help us </w:t>
      </w:r>
      <w:r w:rsidRPr="001331D3">
        <w:rPr>
          <w:rFonts w:ascii="Times New Roman" w:hAnsi="Times New Roman"/>
          <w:noProof/>
          <w:szCs w:val="24"/>
        </w:rPr>
        <w:t>to</w:t>
      </w:r>
      <w:r w:rsidRPr="001331D3">
        <w:rPr>
          <w:rFonts w:ascii="Times New Roman" w:hAnsi="Times New Roman"/>
          <w:szCs w:val="24"/>
        </w:rPr>
        <w:t xml:space="preserve"> understand why care workers undertake </w:t>
      </w:r>
      <w:r w:rsidRPr="001331D3">
        <w:rPr>
          <w:rFonts w:ascii="Times New Roman" w:hAnsi="Times New Roman"/>
          <w:szCs w:val="24"/>
        </w:rPr>
        <w:lastRenderedPageBreak/>
        <w:t xml:space="preserve">their jobs. Individual motivation has been shown to have different effects, with some care workers experiencing the negative impact of care work while others derive personal satisfaction from caring (Deci and Ryan, 2000; Sheldon </w:t>
      </w:r>
      <w:r w:rsidRPr="00635A18">
        <w:rPr>
          <w:rFonts w:ascii="Times New Roman" w:hAnsi="Times New Roman"/>
          <w:i/>
          <w:iCs/>
          <w:szCs w:val="24"/>
        </w:rPr>
        <w:t>et al.</w:t>
      </w:r>
      <w:r w:rsidRPr="001331D3">
        <w:rPr>
          <w:rFonts w:ascii="Times New Roman" w:hAnsi="Times New Roman"/>
          <w:szCs w:val="24"/>
        </w:rPr>
        <w:t>, 2004).</w:t>
      </w:r>
    </w:p>
    <w:p w14:paraId="70A093C6" w14:textId="6233516E" w:rsidR="00811DBD" w:rsidRPr="001331D3" w:rsidRDefault="00811DBD" w:rsidP="00811DBD">
      <w:pPr>
        <w:jc w:val="both"/>
        <w:rPr>
          <w:rFonts w:ascii="Times New Roman" w:hAnsi="Times New Roman"/>
          <w:szCs w:val="24"/>
        </w:rPr>
      </w:pPr>
      <w:r w:rsidRPr="001331D3">
        <w:rPr>
          <w:rFonts w:ascii="Times New Roman" w:hAnsi="Times New Roman"/>
          <w:szCs w:val="24"/>
        </w:rPr>
        <w:t>On the “</w:t>
      </w:r>
      <w:r w:rsidRPr="001331D3">
        <w:rPr>
          <w:rFonts w:ascii="Times New Roman" w:hAnsi="Times New Roman"/>
          <w:i/>
          <w:szCs w:val="24"/>
        </w:rPr>
        <w:t>why</w:t>
      </w:r>
      <w:r w:rsidRPr="001331D3">
        <w:rPr>
          <w:rFonts w:ascii="Times New Roman" w:hAnsi="Times New Roman"/>
          <w:szCs w:val="24"/>
        </w:rPr>
        <w:t xml:space="preserve">” of motivation, SDT emphasises the need to identify the source of </w:t>
      </w:r>
      <w:r w:rsidRPr="001331D3">
        <w:rPr>
          <w:rFonts w:ascii="Times New Roman" w:hAnsi="Times New Roman"/>
          <w:noProof/>
          <w:szCs w:val="24"/>
        </w:rPr>
        <w:t>individual</w:t>
      </w:r>
      <w:r w:rsidRPr="001331D3">
        <w:rPr>
          <w:rFonts w:ascii="Times New Roman" w:hAnsi="Times New Roman"/>
          <w:szCs w:val="24"/>
        </w:rPr>
        <w:t xml:space="preserve"> behaviour to separate </w:t>
      </w:r>
      <w:r w:rsidRPr="001331D3">
        <w:rPr>
          <w:rFonts w:ascii="Times New Roman" w:hAnsi="Times New Roman"/>
          <w:noProof/>
          <w:szCs w:val="24"/>
        </w:rPr>
        <w:t>intrinsic</w:t>
      </w:r>
      <w:r w:rsidRPr="001331D3">
        <w:rPr>
          <w:rFonts w:ascii="Times New Roman" w:hAnsi="Times New Roman"/>
          <w:szCs w:val="24"/>
        </w:rPr>
        <w:t xml:space="preserve"> behaviours from behaviours that originate externally.  Deci and Ryan (2000) argued that if the </w:t>
      </w:r>
      <w:r w:rsidRPr="001331D3">
        <w:rPr>
          <w:rFonts w:ascii="Times New Roman" w:hAnsi="Times New Roman"/>
          <w:noProof/>
          <w:szCs w:val="24"/>
        </w:rPr>
        <w:t>source</w:t>
      </w:r>
      <w:r w:rsidRPr="001331D3">
        <w:rPr>
          <w:rFonts w:ascii="Times New Roman" w:hAnsi="Times New Roman"/>
          <w:szCs w:val="24"/>
        </w:rPr>
        <w:t xml:space="preserve"> of the </w:t>
      </w:r>
      <w:r w:rsidRPr="001331D3">
        <w:rPr>
          <w:rFonts w:ascii="Times New Roman" w:hAnsi="Times New Roman"/>
          <w:noProof/>
          <w:szCs w:val="24"/>
        </w:rPr>
        <w:t>behaviour</w:t>
      </w:r>
      <w:r w:rsidRPr="001331D3">
        <w:rPr>
          <w:rFonts w:ascii="Times New Roman" w:hAnsi="Times New Roman"/>
          <w:szCs w:val="24"/>
        </w:rPr>
        <w:t xml:space="preserve"> was from the self (internally), the individual has endorsed the </w:t>
      </w:r>
      <w:r w:rsidRPr="001331D3">
        <w:rPr>
          <w:rFonts w:ascii="Times New Roman" w:hAnsi="Times New Roman"/>
          <w:noProof/>
          <w:szCs w:val="24"/>
        </w:rPr>
        <w:t>behaviour</w:t>
      </w:r>
      <w:r w:rsidRPr="001331D3">
        <w:rPr>
          <w:rFonts w:ascii="Times New Roman" w:hAnsi="Times New Roman"/>
          <w:szCs w:val="24"/>
        </w:rPr>
        <w:t xml:space="preserve"> and has integrated (that is, made it part of their life). Conversely, if the source of the </w:t>
      </w:r>
      <w:r w:rsidRPr="001331D3">
        <w:rPr>
          <w:rFonts w:ascii="Times New Roman" w:hAnsi="Times New Roman"/>
          <w:noProof/>
          <w:szCs w:val="24"/>
        </w:rPr>
        <w:t>behaviour</w:t>
      </w:r>
      <w:r w:rsidRPr="001331D3">
        <w:rPr>
          <w:rFonts w:ascii="Times New Roman" w:hAnsi="Times New Roman"/>
          <w:szCs w:val="24"/>
        </w:rPr>
        <w:t xml:space="preserve"> is outside of self, the individual has not fully identified with the </w:t>
      </w:r>
      <w:r w:rsidRPr="001331D3">
        <w:rPr>
          <w:rFonts w:ascii="Times New Roman" w:hAnsi="Times New Roman"/>
          <w:noProof/>
          <w:szCs w:val="24"/>
        </w:rPr>
        <w:t>behaviour</w:t>
      </w:r>
      <w:r w:rsidRPr="001331D3">
        <w:rPr>
          <w:rFonts w:ascii="Times New Roman" w:hAnsi="Times New Roman"/>
          <w:szCs w:val="24"/>
        </w:rPr>
        <w:t xml:space="preserve"> or has not integrated or </w:t>
      </w:r>
      <w:r w:rsidRPr="001331D3">
        <w:rPr>
          <w:rFonts w:ascii="Times New Roman" w:hAnsi="Times New Roman"/>
          <w:noProof/>
          <w:szCs w:val="24"/>
        </w:rPr>
        <w:t>internalised</w:t>
      </w:r>
      <w:r w:rsidRPr="001331D3">
        <w:rPr>
          <w:rFonts w:ascii="Times New Roman" w:hAnsi="Times New Roman"/>
          <w:szCs w:val="24"/>
        </w:rPr>
        <w:t xml:space="preserve"> it in any way (</w:t>
      </w:r>
      <w:r w:rsidRPr="001331D3">
        <w:rPr>
          <w:rFonts w:ascii="Times New Roman" w:hAnsi="Times New Roman"/>
          <w:szCs w:val="24"/>
          <w:bdr w:val="none" w:sz="0" w:space="0" w:color="auto" w:frame="1"/>
        </w:rPr>
        <w:t>Gagné</w:t>
      </w:r>
      <w:r w:rsidRPr="001331D3">
        <w:rPr>
          <w:rFonts w:ascii="Times New Roman" w:hAnsi="Times New Roman"/>
          <w:szCs w:val="24"/>
        </w:rPr>
        <w:t xml:space="preserve"> and Deci, 2005). In this context, the internalisation of </w:t>
      </w:r>
      <w:r w:rsidRPr="001331D3">
        <w:rPr>
          <w:rFonts w:ascii="Times New Roman" w:hAnsi="Times New Roman"/>
          <w:noProof/>
          <w:szCs w:val="24"/>
        </w:rPr>
        <w:t>behaviour</w:t>
      </w:r>
      <w:r w:rsidRPr="001331D3">
        <w:rPr>
          <w:rFonts w:ascii="Times New Roman" w:hAnsi="Times New Roman"/>
          <w:szCs w:val="24"/>
        </w:rPr>
        <w:t xml:space="preserve"> means an individual approves of the </w:t>
      </w:r>
      <w:r w:rsidRPr="001331D3">
        <w:rPr>
          <w:rFonts w:ascii="Times New Roman" w:hAnsi="Times New Roman"/>
          <w:noProof/>
          <w:szCs w:val="24"/>
        </w:rPr>
        <w:t>behaviour</w:t>
      </w:r>
      <w:r w:rsidRPr="001331D3">
        <w:rPr>
          <w:rFonts w:ascii="Times New Roman" w:hAnsi="Times New Roman"/>
          <w:szCs w:val="24"/>
        </w:rPr>
        <w:t xml:space="preserve">, which </w:t>
      </w:r>
      <w:r w:rsidRPr="001331D3">
        <w:rPr>
          <w:rFonts w:ascii="Times New Roman" w:hAnsi="Times New Roman"/>
          <w:noProof/>
          <w:szCs w:val="24"/>
        </w:rPr>
        <w:t>with reference to</w:t>
      </w:r>
      <w:r w:rsidRPr="001331D3">
        <w:rPr>
          <w:rFonts w:ascii="Times New Roman" w:hAnsi="Times New Roman"/>
          <w:szCs w:val="24"/>
        </w:rPr>
        <w:t xml:space="preserve"> care work would be an individual engaging in caring for people. This dichotomy that SDT proposed in the internalisation of behaviour creates three main types of motivation; extrinsic, intrinsic, and </w:t>
      </w:r>
      <w:r w:rsidRPr="001331D3">
        <w:rPr>
          <w:rFonts w:ascii="Times New Roman" w:hAnsi="Times New Roman"/>
          <w:noProof/>
          <w:szCs w:val="24"/>
        </w:rPr>
        <w:t>‘amotivation’</w:t>
      </w:r>
      <w:r w:rsidRPr="001331D3">
        <w:rPr>
          <w:rFonts w:ascii="Times New Roman" w:hAnsi="Times New Roman"/>
          <w:szCs w:val="24"/>
        </w:rPr>
        <w:t xml:space="preserve"> (lack of motivation), which are on a continuum, from self-determined (amotivation, external and introjected) and non-self-determined forms of behavioural regulation (identified, integrated and intrinsic). Introjected regulation refers to engaging in an activity that one has not fully accepted as one’s own. In the continuum, it is next to identified and integrated forms of non-self-determined regulations. As shown in </w:t>
      </w:r>
      <w:r w:rsidRPr="001331D3">
        <w:rPr>
          <w:rFonts w:ascii="Times New Roman" w:hAnsi="Times New Roman"/>
          <w:noProof/>
          <w:szCs w:val="24"/>
        </w:rPr>
        <w:t>Figure</w:t>
      </w:r>
      <w:r w:rsidRPr="001331D3">
        <w:rPr>
          <w:rFonts w:ascii="Times New Roman" w:hAnsi="Times New Roman"/>
          <w:szCs w:val="24"/>
        </w:rPr>
        <w:t xml:space="preserve"> 3.1, individuals who are on the non-self-determined part of the continuum would engage in an activity, e.g.</w:t>
      </w:r>
      <w:r>
        <w:rPr>
          <w:rFonts w:ascii="Times New Roman" w:hAnsi="Times New Roman"/>
          <w:szCs w:val="24"/>
        </w:rPr>
        <w:t>,</w:t>
      </w:r>
      <w:r w:rsidRPr="001331D3">
        <w:rPr>
          <w:rFonts w:ascii="Times New Roman" w:hAnsi="Times New Roman"/>
          <w:szCs w:val="24"/>
        </w:rPr>
        <w:t xml:space="preserve"> caregiving, to maintain self-worth, obtain rewards, avoid shame or punishment because they are more or less controlled or compelled to do so. On the other hand, individuals who are on the self-determined part of the continuum do not feel controlled but have autonomous control over what they do and do so because it is consistent with what they consider to be their life’s purpose and value (Deci and Ryan, 2000; </w:t>
      </w:r>
      <w:r w:rsidRPr="001331D3">
        <w:rPr>
          <w:rFonts w:ascii="Times New Roman" w:hAnsi="Times New Roman"/>
          <w:szCs w:val="24"/>
          <w:bdr w:val="none" w:sz="0" w:space="0" w:color="auto" w:frame="1"/>
        </w:rPr>
        <w:t xml:space="preserve">Gagné </w:t>
      </w:r>
      <w:r w:rsidRPr="00635A18">
        <w:rPr>
          <w:rFonts w:ascii="Times New Roman" w:hAnsi="Times New Roman"/>
          <w:i/>
          <w:iCs/>
          <w:szCs w:val="24"/>
          <w:bdr w:val="none" w:sz="0" w:space="0" w:color="auto" w:frame="1"/>
        </w:rPr>
        <w:t>et al.</w:t>
      </w:r>
      <w:r w:rsidRPr="001331D3">
        <w:rPr>
          <w:rFonts w:ascii="Times New Roman" w:hAnsi="Times New Roman"/>
          <w:szCs w:val="24"/>
          <w:bdr w:val="none" w:sz="0" w:space="0" w:color="auto" w:frame="1"/>
        </w:rPr>
        <w:t>, 2015</w:t>
      </w:r>
      <w:r w:rsidRPr="001331D3">
        <w:rPr>
          <w:rFonts w:ascii="Times New Roman" w:hAnsi="Times New Roman"/>
          <w:szCs w:val="24"/>
        </w:rPr>
        <w:t>).</w:t>
      </w:r>
    </w:p>
    <w:p w14:paraId="76EB6EB7" w14:textId="4876E1A2" w:rsidR="00811DBD" w:rsidRPr="001331D3" w:rsidRDefault="00D210D9" w:rsidP="00811DBD">
      <w:pPr>
        <w:jc w:val="both"/>
        <w:rPr>
          <w:rFonts w:ascii="Times New Roman" w:hAnsi="Times New Roman"/>
          <w:szCs w:val="24"/>
        </w:rPr>
      </w:pPr>
      <w:r>
        <w:rPr>
          <w:noProof/>
        </w:rPr>
        <mc:AlternateContent>
          <mc:Choice Requires="wpg">
            <w:drawing>
              <wp:inline distT="0" distB="0" distL="0" distR="0" wp14:anchorId="6CE241E5" wp14:editId="055F3483">
                <wp:extent cx="4867275" cy="584200"/>
                <wp:effectExtent l="0" t="0" r="28575" b="25400"/>
                <wp:docPr id="217" name="Group 1" descr="P612#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7275" cy="584200"/>
                          <a:chOff x="0" y="0"/>
                          <a:chExt cx="48672" cy="5842"/>
                        </a:xfrm>
                      </wpg:grpSpPr>
                      <wps:wsp>
                        <wps:cNvPr id="218" name="Straight Arrow Connector 328"/>
                        <wps:cNvCnPr>
                          <a:cxnSpLocks noChangeShapeType="1"/>
                        </wps:cNvCnPr>
                        <wps:spPr bwMode="auto">
                          <a:xfrm flipV="1">
                            <a:off x="11430" y="2667"/>
                            <a:ext cx="25400" cy="457"/>
                          </a:xfrm>
                          <a:prstGeom prst="straightConnector1">
                            <a:avLst/>
                          </a:prstGeom>
                          <a:noFill/>
                          <a:ln w="6350">
                            <a:solidFill>
                              <a:srgbClr val="000000"/>
                            </a:solidFill>
                            <a:miter lim="800000"/>
                            <a:headEnd type="triangle" w="med" len="med"/>
                            <a:tailEnd type="triangle" w="med" len="med"/>
                          </a:ln>
                        </wps:spPr>
                        <wps:bodyPr/>
                      </wps:wsp>
                      <wps:wsp>
                        <wps:cNvPr id="225" name="Rounded Rectangle 4"/>
                        <wps:cNvSpPr>
                          <a:spLocks noChangeArrowheads="1"/>
                        </wps:cNvSpPr>
                        <wps:spPr bwMode="auto">
                          <a:xfrm>
                            <a:off x="0" y="317"/>
                            <a:ext cx="11525" cy="5334"/>
                          </a:xfrm>
                          <a:prstGeom prst="roundRect">
                            <a:avLst>
                              <a:gd name="adj" fmla="val 16667"/>
                            </a:avLst>
                          </a:prstGeom>
                          <a:solidFill>
                            <a:srgbClr val="ED7D31"/>
                          </a:solidFill>
                          <a:ln w="12700">
                            <a:solidFill>
                              <a:srgbClr val="823B0B"/>
                            </a:solidFill>
                            <a:miter lim="800000"/>
                            <a:headEnd/>
                            <a:tailEnd/>
                          </a:ln>
                        </wps:spPr>
                        <wps:txbx>
                          <w:txbxContent>
                            <w:p w14:paraId="37AFCDE6" w14:textId="77777777" w:rsidR="00811DBD" w:rsidRDefault="00811DBD" w:rsidP="00811DBD">
                              <w:pPr>
                                <w:jc w:val="center"/>
                              </w:pPr>
                              <w:r>
                                <w:rPr>
                                  <w:rFonts w:ascii="Times New Roman" w:hAnsi="Times New Roman"/>
                                </w:rPr>
                                <w:t>Amotivation</w:t>
                              </w:r>
                            </w:p>
                          </w:txbxContent>
                        </wps:txbx>
                        <wps:bodyPr rot="0" vert="horz" wrap="square" lIns="91440" tIns="45720" rIns="91440" bIns="45720" anchor="ctr" anchorCtr="0" upright="1">
                          <a:noAutofit/>
                        </wps:bodyPr>
                      </wps:wsp>
                      <wps:wsp>
                        <wps:cNvPr id="226" name="Rounded Rectangle 5"/>
                        <wps:cNvSpPr>
                          <a:spLocks noChangeArrowheads="1"/>
                        </wps:cNvSpPr>
                        <wps:spPr bwMode="auto">
                          <a:xfrm>
                            <a:off x="18415" y="127"/>
                            <a:ext cx="11525" cy="5715"/>
                          </a:xfrm>
                          <a:prstGeom prst="roundRect">
                            <a:avLst>
                              <a:gd name="adj" fmla="val 16667"/>
                            </a:avLst>
                          </a:prstGeom>
                          <a:solidFill>
                            <a:srgbClr val="ED7D31"/>
                          </a:solidFill>
                          <a:ln w="12700">
                            <a:solidFill>
                              <a:srgbClr val="823B0B"/>
                            </a:solidFill>
                            <a:miter lim="800000"/>
                            <a:headEnd/>
                            <a:tailEnd/>
                          </a:ln>
                        </wps:spPr>
                        <wps:txbx>
                          <w:txbxContent>
                            <w:p w14:paraId="6E7ABEED" w14:textId="77777777" w:rsidR="00811DBD" w:rsidRDefault="00811DBD" w:rsidP="00811DBD">
                              <w:pPr>
                                <w:jc w:val="center"/>
                              </w:pPr>
                              <w:r>
                                <w:rPr>
                                  <w:rFonts w:ascii="Times New Roman" w:hAnsi="Times New Roman"/>
                                </w:rPr>
                                <w:t>Extrinsic motivation</w:t>
                              </w:r>
                            </w:p>
                          </w:txbxContent>
                        </wps:txbx>
                        <wps:bodyPr rot="0" vert="horz" wrap="square" lIns="91440" tIns="45720" rIns="91440" bIns="45720" anchor="ctr" anchorCtr="0" upright="1">
                          <a:noAutofit/>
                        </wps:bodyPr>
                      </wps:wsp>
                      <wps:wsp>
                        <wps:cNvPr id="227" name="Rounded Rectangle 6"/>
                        <wps:cNvSpPr>
                          <a:spLocks noChangeArrowheads="1"/>
                        </wps:cNvSpPr>
                        <wps:spPr bwMode="auto">
                          <a:xfrm>
                            <a:off x="36766" y="0"/>
                            <a:ext cx="11906" cy="5715"/>
                          </a:xfrm>
                          <a:prstGeom prst="roundRect">
                            <a:avLst>
                              <a:gd name="adj" fmla="val 16667"/>
                            </a:avLst>
                          </a:prstGeom>
                          <a:solidFill>
                            <a:srgbClr val="ED7D31"/>
                          </a:solidFill>
                          <a:ln w="12700">
                            <a:solidFill>
                              <a:srgbClr val="823B0B"/>
                            </a:solidFill>
                            <a:miter lim="800000"/>
                            <a:headEnd/>
                            <a:tailEnd/>
                          </a:ln>
                        </wps:spPr>
                        <wps:txbx>
                          <w:txbxContent>
                            <w:p w14:paraId="75FB8A26" w14:textId="77777777" w:rsidR="00811DBD" w:rsidRDefault="00811DBD" w:rsidP="00811DBD">
                              <w:pPr>
                                <w:jc w:val="center"/>
                              </w:pPr>
                              <w:r>
                                <w:rPr>
                                  <w:rFonts w:ascii="Times New Roman" w:hAnsi="Times New Roman"/>
                                </w:rPr>
                                <w:t>Intrinsic motivation</w:t>
                              </w:r>
                            </w:p>
                          </w:txbxContent>
                        </wps:txbx>
                        <wps:bodyPr rot="0" vert="horz" wrap="square" lIns="91440" tIns="45720" rIns="91440" bIns="45720" anchor="ctr" anchorCtr="0" upright="1">
                          <a:noAutofit/>
                        </wps:bodyPr>
                      </wps:wsp>
                    </wpg:wgp>
                  </a:graphicData>
                </a:graphic>
              </wp:inline>
            </w:drawing>
          </mc:Choice>
          <mc:Fallback>
            <w:pict>
              <v:group w14:anchorId="6CE241E5" id="Group 1" o:spid="_x0000_s1032" alt="P612#y1" style="width:383.25pt;height:46pt;mso-position-horizontal-relative:char;mso-position-vertical-relative:line" coordsize="48672,5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8t1gMAAE4OAAAOAAAAZHJzL2Uyb0RvYy54bWzsl99v2zYQx98H7H8guOdFlmTLrhClaJ00&#10;GNBtQdP2nSapHxtFaiQd2f3rdyQlRU6aYuuwDgPiB4PUkUfe9z48SucvD61Ad1ybRskCx2cLjLik&#10;ijWyKvCH929+3GBkLJGMCCV5gY/c4JcX33933nc5T1StBOMagRNp8r4rcG1tl0eRoTVviTlTHZdg&#10;LJVuiYWuriKmSQ/eWxEli0UW9UqzTivKjYGnl8GIL7z/suTU/lqWhlskCgx7s/5f+/+d+48uzkle&#10;adLVDR22Qb5iFy1pJCw6uboklqC9bh65ahuqlVGlPaOqjVRZNpT7GCCaePEgmmut9p2Ppcr7qptk&#10;Amkf6PTVbukvdzcaNazASbzGSJIWkuTXRTFGjBsKYt1kcfLDMXZi9V2Vw5xr3d12NzpEDM23iv5u&#10;wBw9tLt+FQajXf+zYuCe7K3yYh1K3ToXIAM6+Jwcp5zwg0UUHi432TpZrzCiYFttlpD0kDRaQ2Yf&#10;TaP11Xzi/TQ3KSJ5WNJvc9iWiwnYM/fymn8m721NOu6zZpxUk7xwEoK8t1aTpqoteqW16tFWSQmc&#10;Ko3SZBM09hO3MghMD3IQGEm1rYmsuF/i/bEDMX1WIJ7ZFNcxkJ3PC45K0XQf3cSZ9HG8TOF4gMRJ&#10;lq2DwGMGktUSNPf6L1feNulI8k4be81Vi1yjwGYIbYoprELu3hobEjBOcItL9aYRAp6TXEjUFzhL&#10;Vwu/LaNEw5zR2Yyudluh0R1xh9j/hmyeDGsbC6VENG2BN9MgktecsCvJkPVyWd2AgIJjt1zLGUaC&#10;Q+FyLb8PSxrxV0eDDEJ65oPegaSdYscb7YIduPpWgCVwSAJg79ReMs7QO8DKR4uWLroBkvHgmnBq&#10;J6g8jU4t4P+EqjDhy1TNWAocpVBOvKIjRnG8cjv0xzhN/Yae5ggKn2Ru+54Gj49boWJDhIT9hlHZ&#10;CqjVQAWKs4Fa8DgMhtYctRNSToC6ulxfpiFeQG3OXWAyTtaAv+dwbjzxsUnS14vXLl5Y9sTHl6H0&#10;Ag3IhcmfAcoedgdfodMxiQExpFW4zuD6hUat9CegGq4yOIZ/7IkGxsVPEpL5Il4u3d3nO3CEE+jo&#10;uWU3txBJwVWBqdUYhc7Whhtz32lXt8baIdUrqORl40+2wyPs6z8gP3ua/NUoGpTif5v8eLOMAXGo&#10;ogDN0/SvYVDI9ngBjqQOVfSZfnd9hYI10T+VsGf6w2U/vlgAak/W/ewb0p9m6wwO4uNXuDh+sQCD&#10;r/zP7IfXkb9X+aci9v9h379iw0eLvxKHDyz3VTTv+5vi/jPw4k8AAAD//wMAUEsDBBQABgAIAAAA&#10;IQBwPOsY3QAAAAQBAAAPAAAAZHJzL2Rvd25yZXYueG1sTI9Ba8JAEIXvhf6HZQq91U0U0zbNRkRs&#10;TyKohdLbmB2TYHY2ZNck/vtue7GXgcd7vPdNthhNI3rqXG1ZQTyJQBAXVtdcKvg8vD+9gHAeWWNj&#10;mRRcycEiv7/LMNV24B31e1+KUMIuRQWV920qpSsqMugmtiUO3sl2Bn2QXSl1h0MoN42cRlEiDdYc&#10;FipsaVVRcd5fjIKPAYflLF73m/Npdf0+zLdfm5iUenwYl28gPI3+FoZf/IAOeWA62gtrJxoF4RH/&#10;d4P3nCRzEEcFr9MIZJ7J//D5DwAAAP//AwBQSwECLQAUAAYACAAAACEAtoM4kv4AAADhAQAAEwAA&#10;AAAAAAAAAAAAAAAAAAAAW0NvbnRlbnRfVHlwZXNdLnhtbFBLAQItABQABgAIAAAAIQA4/SH/1gAA&#10;AJQBAAALAAAAAAAAAAAAAAAAAC8BAABfcmVscy8ucmVsc1BLAQItABQABgAIAAAAIQBgUU8t1gMA&#10;AE4OAAAOAAAAAAAAAAAAAAAAAC4CAABkcnMvZTJvRG9jLnhtbFBLAQItABQABgAIAAAAIQBwPOsY&#10;3QAAAAQBAAAPAAAAAAAAAAAAAAAAADAGAABkcnMvZG93bnJldi54bWxQSwUGAAAAAAQABADzAAAA&#10;OgcAAAAA&#10;">
                <v:shape id="Straight Arrow Connector 328" o:spid="_x0000_s1033" type="#_x0000_t32" style="position:absolute;left:11430;top:2667;width:25400;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qpLwAAAANwAAAAPAAAAZHJzL2Rvd25yZXYueG1sRE/Pa8Iw&#10;FL4P/B/CE7zN1Ag6q1F0TNitqAOvz+bZFpuXkkSt//1yGOz48f1ebXrbigf50DjWMBlnIIhLZxqu&#10;NPyc9u8fIEJENtg6Jg0vCrBZD95WmBv35AM9jrESKYRDjhrqGLtcylDWZDGMXUecuKvzFmOCvpLG&#10;4zOF21aqLJtJiw2nhho7+qypvB3vVsNOTZvi1RbF6fK1n839QoX7WWk9GvbbJYhIffwX/7m/jQY1&#10;SWvTmXQE5PoXAAD//wMAUEsBAi0AFAAGAAgAAAAhANvh9svuAAAAhQEAABMAAAAAAAAAAAAAAAAA&#10;AAAAAFtDb250ZW50X1R5cGVzXS54bWxQSwECLQAUAAYACAAAACEAWvQsW78AAAAVAQAACwAAAAAA&#10;AAAAAAAAAAAfAQAAX3JlbHMvLnJlbHNQSwECLQAUAAYACAAAACEAklKqS8AAAADcAAAADwAAAAAA&#10;AAAAAAAAAAAHAgAAZHJzL2Rvd25yZXYueG1sUEsFBgAAAAADAAMAtwAAAPQCAAAAAA==&#10;" strokeweight=".5pt">
                  <v:stroke startarrow="block" endarrow="block" joinstyle="miter"/>
                </v:shape>
                <v:roundrect id="Rounded Rectangle 4" o:spid="_x0000_s1034" style="position:absolute;top:317;width:11525;height:5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aGqxQAAANwAAAAPAAAAZHJzL2Rvd25yZXYueG1sRI/dasJA&#10;FITvC32H5Qi9qxtT6k90laItqFCKPw9wyB6TkOzZsLvV+PauIHg5zMw3zGzRmUacyfnKsoJBPwFB&#10;nFtdcaHgePh5H4PwAVljY5kUXMnDYv76MsNM2wvv6LwPhYgQ9hkqKENoMyl9XpJB37ctcfRO1hkM&#10;UbpCaoeXCDeNTJNkKA1WHBdKbGlZUl7v/42Cup5870bXLY6PfjTZHFZ/7vdDKvXW676mIAJ14Rl+&#10;tNdaQZp+wv1MPAJyfgMAAP//AwBQSwECLQAUAAYACAAAACEA2+H2y+4AAACFAQAAEwAAAAAAAAAA&#10;AAAAAAAAAAAAW0NvbnRlbnRfVHlwZXNdLnhtbFBLAQItABQABgAIAAAAIQBa9CxbvwAAABUBAAAL&#10;AAAAAAAAAAAAAAAAAB8BAABfcmVscy8ucmVsc1BLAQItABQABgAIAAAAIQCgsaGqxQAAANwAAAAP&#10;AAAAAAAAAAAAAAAAAAcCAABkcnMvZG93bnJldi54bWxQSwUGAAAAAAMAAwC3AAAA+QIAAAAA&#10;" fillcolor="#ed7d31" strokecolor="#823b0b" strokeweight="1pt">
                  <v:stroke joinstyle="miter"/>
                  <v:textbox>
                    <w:txbxContent>
                      <w:p w14:paraId="37AFCDE6" w14:textId="77777777" w:rsidR="00811DBD" w:rsidRDefault="00811DBD" w:rsidP="00811DBD">
                        <w:pPr>
                          <w:jc w:val="center"/>
                        </w:pPr>
                        <w:r>
                          <w:rPr>
                            <w:rFonts w:ascii="Times New Roman" w:hAnsi="Times New Roman"/>
                          </w:rPr>
                          <w:t>Amotivation</w:t>
                        </w:r>
                      </w:p>
                    </w:txbxContent>
                  </v:textbox>
                </v:roundrect>
                <v:roundrect id="Rounded Rectangle 5" o:spid="_x0000_s1035" style="position:absolute;left:18415;top:127;width:11525;height:5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z/dxQAAANwAAAAPAAAAZHJzL2Rvd25yZXYueG1sRI/dasJA&#10;FITvhb7Dcgq9040RNKauItZCK0jx5wEO2WMSkj0bdrca375bELwcZuYbZrHqTSuu5HxtWcF4lIAg&#10;LqyuuVRwPn0OMxA+IGtsLZOCO3lYLV8GC8y1vfGBrsdQighhn6OCKoQul9IXFRn0I9sRR+9incEQ&#10;pSuldniLcNPKNEmm0mDNcaHCjjYVFc3x1yhomvn2MLvvMDv72fz79PHj9hOp1Ntrv34HEagPz/Cj&#10;/aUVpOkU/s/EIyCXfwAAAP//AwBQSwECLQAUAAYACAAAACEA2+H2y+4AAACFAQAAEwAAAAAAAAAA&#10;AAAAAAAAAAAAW0NvbnRlbnRfVHlwZXNdLnhtbFBLAQItABQABgAIAAAAIQBa9CxbvwAAABUBAAAL&#10;AAAAAAAAAAAAAAAAAB8BAABfcmVscy8ucmVsc1BLAQItABQABgAIAAAAIQBQYz/dxQAAANwAAAAP&#10;AAAAAAAAAAAAAAAAAAcCAABkcnMvZG93bnJldi54bWxQSwUGAAAAAAMAAwC3AAAA+QIAAAAA&#10;" fillcolor="#ed7d31" strokecolor="#823b0b" strokeweight="1pt">
                  <v:stroke joinstyle="miter"/>
                  <v:textbox>
                    <w:txbxContent>
                      <w:p w14:paraId="6E7ABEED" w14:textId="77777777" w:rsidR="00811DBD" w:rsidRDefault="00811DBD" w:rsidP="00811DBD">
                        <w:pPr>
                          <w:jc w:val="center"/>
                        </w:pPr>
                        <w:r>
                          <w:rPr>
                            <w:rFonts w:ascii="Times New Roman" w:hAnsi="Times New Roman"/>
                          </w:rPr>
                          <w:t>Extrinsic motivation</w:t>
                        </w:r>
                      </w:p>
                    </w:txbxContent>
                  </v:textbox>
                </v:roundrect>
                <v:roundrect id="Rounded Rectangle 6" o:spid="_x0000_s1036" style="position:absolute;left:36766;width:11906;height:5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pGxQAAANwAAAAPAAAAZHJzL2Rvd25yZXYueG1sRI/dasJA&#10;FITvBd9hOYXe6aYpNJq6iqiFWhDx5wEO2dMkJHs27K4a374rFLwcZuYbZrboTSuu5HxtWcHbOAFB&#10;XFhdc6ngfPoaTUD4gKyxtUwK7uRhMR8OZphre+MDXY+hFBHCPkcFVQhdLqUvKjLox7Yjjt6vdQZD&#10;lK6U2uEtwk0r0yT5kAZrjgsVdrSqqGiOF6OgaaabQ3b/wcnZZ9Ptab13u3ep1OtLv/wEEagPz/B/&#10;+1srSNMMHmfiEZDzPwAAAP//AwBQSwECLQAUAAYACAAAACEA2+H2y+4AAACFAQAAEwAAAAAAAAAA&#10;AAAAAAAAAAAAW0NvbnRlbnRfVHlwZXNdLnhtbFBLAQItABQABgAIAAAAIQBa9CxbvwAAABUBAAAL&#10;AAAAAAAAAAAAAAAAAB8BAABfcmVscy8ucmVsc1BLAQItABQABgAIAAAAIQA/L5pGxQAAANwAAAAP&#10;AAAAAAAAAAAAAAAAAAcCAABkcnMvZG93bnJldi54bWxQSwUGAAAAAAMAAwC3AAAA+QIAAAAA&#10;" fillcolor="#ed7d31" strokecolor="#823b0b" strokeweight="1pt">
                  <v:stroke joinstyle="miter"/>
                  <v:textbox>
                    <w:txbxContent>
                      <w:p w14:paraId="75FB8A26" w14:textId="77777777" w:rsidR="00811DBD" w:rsidRDefault="00811DBD" w:rsidP="00811DBD">
                        <w:pPr>
                          <w:jc w:val="center"/>
                        </w:pPr>
                        <w:r>
                          <w:rPr>
                            <w:rFonts w:ascii="Times New Roman" w:hAnsi="Times New Roman"/>
                          </w:rPr>
                          <w:t>Intrinsic motivation</w:t>
                        </w:r>
                      </w:p>
                    </w:txbxContent>
                  </v:textbox>
                </v:roundrect>
                <w10:anchorlock/>
              </v:group>
            </w:pict>
          </mc:Fallback>
        </mc:AlternateContent>
      </w:r>
      <w:r w:rsidR="00811DBD" w:rsidRPr="001331D3">
        <w:rPr>
          <w:rFonts w:ascii="Times New Roman" w:hAnsi="Times New Roman"/>
          <w:szCs w:val="24"/>
        </w:rPr>
        <w:tab/>
      </w:r>
    </w:p>
    <w:p w14:paraId="4103483C" w14:textId="77777777" w:rsidR="00811DBD" w:rsidRPr="001331D3" w:rsidRDefault="00811DBD" w:rsidP="00811DBD">
      <w:pPr>
        <w:jc w:val="both"/>
        <w:rPr>
          <w:rFonts w:ascii="Times New Roman" w:hAnsi="Times New Roman"/>
          <w:szCs w:val="24"/>
        </w:rPr>
      </w:pPr>
      <w:r w:rsidRPr="001331D3">
        <w:rPr>
          <w:rFonts w:ascii="Times New Roman" w:hAnsi="Times New Roman"/>
          <w:b/>
          <w:szCs w:val="24"/>
        </w:rPr>
        <w:t>Figure 3.2:</w:t>
      </w:r>
      <w:r w:rsidRPr="004C4470">
        <w:rPr>
          <w:rFonts w:ascii="Times New Roman" w:hAnsi="Times New Roman"/>
          <w:b/>
          <w:bCs/>
          <w:szCs w:val="24"/>
        </w:rPr>
        <w:t xml:space="preserve"> The self-determination continuum showing the three main types of motivation</w:t>
      </w:r>
      <w:r w:rsidRPr="001331D3">
        <w:rPr>
          <w:rFonts w:ascii="Times New Roman" w:hAnsi="Times New Roman"/>
          <w:szCs w:val="24"/>
        </w:rPr>
        <w:t xml:space="preserve"> (Adapted fro</w:t>
      </w:r>
      <w:bookmarkStart w:id="74" w:name="_Hlk50897885"/>
      <w:r w:rsidRPr="001331D3">
        <w:rPr>
          <w:rFonts w:ascii="Times New Roman" w:hAnsi="Times New Roman"/>
          <w:szCs w:val="24"/>
        </w:rPr>
        <w:t xml:space="preserve">m </w:t>
      </w:r>
      <w:bookmarkEnd w:id="74"/>
      <w:r w:rsidRPr="001331D3">
        <w:rPr>
          <w:rFonts w:ascii="Times New Roman" w:hAnsi="Times New Roman"/>
          <w:szCs w:val="24"/>
          <w:bdr w:val="none" w:sz="0" w:space="0" w:color="auto" w:frame="1"/>
        </w:rPr>
        <w:t>Gagné</w:t>
      </w:r>
      <w:r w:rsidRPr="001331D3">
        <w:rPr>
          <w:rFonts w:ascii="Times New Roman" w:hAnsi="Times New Roman"/>
          <w:szCs w:val="24"/>
        </w:rPr>
        <w:t xml:space="preserve"> and Deci, 2005, p.336)</w:t>
      </w:r>
    </w:p>
    <w:p w14:paraId="35F6F30D"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lastRenderedPageBreak/>
        <w:t>In contrast, the “</w:t>
      </w:r>
      <w:r w:rsidRPr="001331D3">
        <w:rPr>
          <w:rFonts w:ascii="Times New Roman" w:hAnsi="Times New Roman"/>
          <w:i/>
          <w:szCs w:val="24"/>
        </w:rPr>
        <w:t>what</w:t>
      </w:r>
      <w:r w:rsidRPr="001331D3">
        <w:rPr>
          <w:rFonts w:ascii="Times New Roman" w:hAnsi="Times New Roman"/>
          <w:szCs w:val="24"/>
        </w:rPr>
        <w:t xml:space="preserve">” of caregiving motivation, relates to the specific nature of the goal that the care worker seeks to pursue and according to the SDT individuals may pursue intrinsic or extrinsic goals (Vansteenkiste, Lens and Deci, 2006). While </w:t>
      </w:r>
      <w:r w:rsidRPr="001331D3">
        <w:rPr>
          <w:rFonts w:ascii="Times New Roman" w:hAnsi="Times New Roman"/>
          <w:noProof/>
          <w:szCs w:val="24"/>
        </w:rPr>
        <w:t>intrinsic</w:t>
      </w:r>
      <w:r w:rsidRPr="001331D3">
        <w:rPr>
          <w:rFonts w:ascii="Times New Roman" w:hAnsi="Times New Roman"/>
          <w:szCs w:val="24"/>
        </w:rPr>
        <w:t xml:space="preserve"> goals (such as personal growth and wellbeing)</w:t>
      </w:r>
      <w:r w:rsidRPr="001331D3">
        <w:rPr>
          <w:rFonts w:ascii="Times New Roman" w:hAnsi="Times New Roman"/>
          <w:noProof/>
          <w:szCs w:val="24"/>
        </w:rPr>
        <w:t xml:space="preserve"> derives</w:t>
      </w:r>
      <w:r w:rsidRPr="001331D3">
        <w:rPr>
          <w:rFonts w:ascii="Times New Roman" w:hAnsi="Times New Roman"/>
          <w:szCs w:val="24"/>
        </w:rPr>
        <w:t xml:space="preserve"> from individuals’ propensity, to grow and connect with others, it is more inwardly </w:t>
      </w:r>
      <w:r w:rsidRPr="001331D3">
        <w:rPr>
          <w:rFonts w:ascii="Times New Roman" w:hAnsi="Times New Roman"/>
          <w:noProof/>
          <w:szCs w:val="24"/>
        </w:rPr>
        <w:t>oriented,</w:t>
      </w:r>
      <w:r w:rsidRPr="001331D3">
        <w:rPr>
          <w:rFonts w:ascii="Times New Roman" w:hAnsi="Times New Roman"/>
          <w:szCs w:val="24"/>
        </w:rPr>
        <w:t xml:space="preserve"> since it tends to focus on the individual actualising their interest which is believed to be inherently related to satisfying the three basic psychological needs of autonomy, competence and relatedness (Deci and Ryan, 2008).</w:t>
      </w:r>
    </w:p>
    <w:p w14:paraId="5DD6F79D"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On the other hand, extrinsic goals (e.g.</w:t>
      </w:r>
      <w:r>
        <w:rPr>
          <w:rFonts w:ascii="Times New Roman" w:hAnsi="Times New Roman"/>
          <w:szCs w:val="24"/>
        </w:rPr>
        <w:t>,</w:t>
      </w:r>
      <w:r w:rsidRPr="001331D3">
        <w:rPr>
          <w:rFonts w:ascii="Times New Roman" w:hAnsi="Times New Roman"/>
          <w:szCs w:val="24"/>
        </w:rPr>
        <w:t xml:space="preserve"> better pay) </w:t>
      </w:r>
      <w:r w:rsidRPr="001331D3">
        <w:rPr>
          <w:rFonts w:ascii="Times New Roman" w:hAnsi="Times New Roman"/>
          <w:noProof/>
          <w:szCs w:val="24"/>
        </w:rPr>
        <w:t>are outwardly oriented</w:t>
      </w:r>
      <w:r w:rsidRPr="001331D3">
        <w:rPr>
          <w:rFonts w:ascii="Times New Roman" w:hAnsi="Times New Roman"/>
          <w:szCs w:val="24"/>
        </w:rPr>
        <w:t xml:space="preserve"> because they focus on what the individual can achieve outside of </w:t>
      </w:r>
      <w:r w:rsidRPr="001331D3">
        <w:rPr>
          <w:rFonts w:ascii="Times New Roman" w:hAnsi="Times New Roman"/>
          <w:noProof/>
          <w:szCs w:val="24"/>
        </w:rPr>
        <w:t>inward-oriented</w:t>
      </w:r>
      <w:r w:rsidRPr="001331D3">
        <w:rPr>
          <w:rFonts w:ascii="Times New Roman" w:hAnsi="Times New Roman"/>
          <w:szCs w:val="24"/>
        </w:rPr>
        <w:t xml:space="preserve"> goals. However, Deci and Ryan (2000) observed that </w:t>
      </w:r>
      <w:r w:rsidRPr="001331D3">
        <w:rPr>
          <w:rFonts w:ascii="Times New Roman" w:hAnsi="Times New Roman"/>
          <w:noProof/>
          <w:szCs w:val="24"/>
        </w:rPr>
        <w:t>pursuing</w:t>
      </w:r>
      <w:r w:rsidRPr="001331D3">
        <w:rPr>
          <w:rFonts w:ascii="Times New Roman" w:hAnsi="Times New Roman"/>
          <w:szCs w:val="24"/>
        </w:rPr>
        <w:t xml:space="preserve"> extrinsic goals can also diminish the ability of the individual to </w:t>
      </w:r>
      <w:r w:rsidRPr="001331D3">
        <w:rPr>
          <w:rFonts w:ascii="Times New Roman" w:hAnsi="Times New Roman"/>
          <w:noProof/>
          <w:szCs w:val="24"/>
        </w:rPr>
        <w:t>achieve</w:t>
      </w:r>
      <w:r w:rsidRPr="001331D3">
        <w:rPr>
          <w:rFonts w:ascii="Times New Roman" w:hAnsi="Times New Roman"/>
          <w:szCs w:val="24"/>
        </w:rPr>
        <w:t xml:space="preserve"> the three basic psychological needs addressed by </w:t>
      </w:r>
      <w:r w:rsidRPr="001331D3">
        <w:rPr>
          <w:rFonts w:ascii="Times New Roman" w:hAnsi="Times New Roman"/>
          <w:noProof/>
          <w:szCs w:val="24"/>
        </w:rPr>
        <w:t>intrinsic</w:t>
      </w:r>
      <w:r w:rsidRPr="001331D3">
        <w:rPr>
          <w:rFonts w:ascii="Times New Roman" w:hAnsi="Times New Roman"/>
          <w:szCs w:val="24"/>
        </w:rPr>
        <w:t xml:space="preserve"> goals. It </w:t>
      </w:r>
      <w:r w:rsidRPr="001331D3">
        <w:rPr>
          <w:rFonts w:ascii="Times New Roman" w:hAnsi="Times New Roman"/>
          <w:noProof/>
          <w:szCs w:val="24"/>
        </w:rPr>
        <w:t>is thought</w:t>
      </w:r>
      <w:r w:rsidRPr="001331D3">
        <w:rPr>
          <w:rFonts w:ascii="Times New Roman" w:hAnsi="Times New Roman"/>
          <w:szCs w:val="24"/>
        </w:rPr>
        <w:t xml:space="preserve"> that the </w:t>
      </w:r>
      <w:r w:rsidRPr="001331D3">
        <w:rPr>
          <w:rFonts w:ascii="Times New Roman" w:hAnsi="Times New Roman"/>
          <w:noProof/>
          <w:szCs w:val="24"/>
        </w:rPr>
        <w:t>extrinsic</w:t>
      </w:r>
      <w:r w:rsidRPr="001331D3">
        <w:rPr>
          <w:rFonts w:ascii="Times New Roman" w:hAnsi="Times New Roman"/>
          <w:szCs w:val="24"/>
        </w:rPr>
        <w:t xml:space="preserve"> goals can </w:t>
      </w:r>
      <w:r w:rsidRPr="001331D3">
        <w:rPr>
          <w:rFonts w:ascii="Times New Roman" w:hAnsi="Times New Roman"/>
          <w:noProof/>
          <w:szCs w:val="24"/>
        </w:rPr>
        <w:t>decrease</w:t>
      </w:r>
      <w:r w:rsidRPr="001331D3">
        <w:rPr>
          <w:rFonts w:ascii="Times New Roman" w:hAnsi="Times New Roman"/>
          <w:szCs w:val="24"/>
        </w:rPr>
        <w:t xml:space="preserve"> </w:t>
      </w:r>
      <w:r w:rsidRPr="001331D3">
        <w:rPr>
          <w:rFonts w:ascii="Times New Roman" w:hAnsi="Times New Roman"/>
          <w:noProof/>
          <w:szCs w:val="24"/>
        </w:rPr>
        <w:t>intrinsic</w:t>
      </w:r>
      <w:r w:rsidRPr="001331D3">
        <w:rPr>
          <w:rFonts w:ascii="Times New Roman" w:hAnsi="Times New Roman"/>
          <w:szCs w:val="24"/>
        </w:rPr>
        <w:t xml:space="preserve"> goals because they act as false needs that </w:t>
      </w:r>
      <w:r w:rsidRPr="001331D3">
        <w:rPr>
          <w:rFonts w:ascii="Times New Roman" w:hAnsi="Times New Roman"/>
          <w:noProof/>
          <w:szCs w:val="24"/>
        </w:rPr>
        <w:t>are not genuinely required</w:t>
      </w:r>
      <w:r w:rsidRPr="001331D3">
        <w:rPr>
          <w:rFonts w:ascii="Times New Roman" w:hAnsi="Times New Roman"/>
          <w:szCs w:val="24"/>
        </w:rPr>
        <w:t xml:space="preserve"> for personal growth and wellbeing. The SDT’s continuum of motivational regulation also </w:t>
      </w:r>
      <w:r w:rsidRPr="001331D3">
        <w:rPr>
          <w:rFonts w:ascii="Times New Roman" w:hAnsi="Times New Roman"/>
          <w:noProof/>
          <w:szCs w:val="24"/>
        </w:rPr>
        <w:t>accounts</w:t>
      </w:r>
      <w:r w:rsidRPr="001331D3">
        <w:rPr>
          <w:rFonts w:ascii="Times New Roman" w:hAnsi="Times New Roman"/>
          <w:szCs w:val="24"/>
        </w:rPr>
        <w:t xml:space="preserve"> for why it is possible for an individual to have different goals or motives to care as some of the motivational </w:t>
      </w:r>
      <w:r w:rsidRPr="001331D3">
        <w:rPr>
          <w:rFonts w:ascii="Times New Roman" w:hAnsi="Times New Roman"/>
          <w:noProof/>
          <w:szCs w:val="24"/>
        </w:rPr>
        <w:t>regulations</w:t>
      </w:r>
      <w:r w:rsidRPr="001331D3">
        <w:rPr>
          <w:rFonts w:ascii="Times New Roman" w:hAnsi="Times New Roman"/>
          <w:szCs w:val="24"/>
        </w:rPr>
        <w:t xml:space="preserve"> are being more or less autonomous than others and some are more intrinsic while some are more extrinsic (Deci and Ryan, 2008). </w:t>
      </w:r>
    </w:p>
    <w:p w14:paraId="1AE61D3A" w14:textId="77777777" w:rsidR="00811DBD" w:rsidRPr="001331D3" w:rsidRDefault="00811DBD" w:rsidP="00811DBD">
      <w:pPr>
        <w:jc w:val="both"/>
        <w:rPr>
          <w:rFonts w:ascii="Times New Roman" w:hAnsi="Times New Roman"/>
          <w:szCs w:val="24"/>
        </w:rPr>
      </w:pPr>
      <w:r w:rsidRPr="001331D3">
        <w:rPr>
          <w:rFonts w:ascii="Times New Roman" w:hAnsi="Times New Roman"/>
          <w:noProof/>
          <w:szCs w:val="24"/>
        </w:rPr>
        <w:t>While</w:t>
      </w:r>
      <w:r w:rsidRPr="001331D3">
        <w:rPr>
          <w:rFonts w:ascii="Times New Roman" w:hAnsi="Times New Roman"/>
          <w:szCs w:val="24"/>
        </w:rPr>
        <w:t xml:space="preserve"> Maslow’s hierarchy of needs emphasises the importance of satisfying lower-level needs (such as biological and safety/security needs) before higher-level, </w:t>
      </w:r>
      <w:r w:rsidRPr="001331D3">
        <w:rPr>
          <w:rFonts w:ascii="Times New Roman" w:hAnsi="Times New Roman"/>
          <w:noProof/>
          <w:szCs w:val="24"/>
        </w:rPr>
        <w:t>or</w:t>
      </w:r>
      <w:r w:rsidRPr="001331D3">
        <w:rPr>
          <w:rFonts w:ascii="Times New Roman" w:hAnsi="Times New Roman"/>
          <w:szCs w:val="24"/>
        </w:rPr>
        <w:t xml:space="preserve"> more psychological needs (e.g.</w:t>
      </w:r>
      <w:r>
        <w:rPr>
          <w:rFonts w:ascii="Times New Roman" w:hAnsi="Times New Roman"/>
          <w:szCs w:val="24"/>
        </w:rPr>
        <w:t>,</w:t>
      </w:r>
      <w:r w:rsidRPr="001331D3">
        <w:rPr>
          <w:rFonts w:ascii="Times New Roman" w:hAnsi="Times New Roman"/>
          <w:szCs w:val="24"/>
        </w:rPr>
        <w:t xml:space="preserve"> self-esteem and self-actualisation) are satisfied, the SDT takes a different stance. Maslow theory suggests that there is a moderator relationship between lower-level needs and higher-level needs such that an individual cannot turn attention to higher needs without first achieving lower ones and conversely, having unsatisfied lower-level needs limits the effects of higher-level needs. On the contrary, the three psychological needs featured in the SDT (competence, relatedness and autonomy) represents Maslow’s higher-level needs (self-esteem, love and self-actualisation) nonetheless, where competence=self-esteem, relatedness=love and autonomy=self-actualisation (Rasskazova, Ivanova and Sheldon, 2016). </w:t>
      </w:r>
    </w:p>
    <w:p w14:paraId="08FBEFB9"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lastRenderedPageBreak/>
        <w:t xml:space="preserve">Despite some of the weaknesses </w:t>
      </w:r>
      <w:r w:rsidRPr="001331D3">
        <w:rPr>
          <w:rFonts w:ascii="Times New Roman" w:hAnsi="Times New Roman"/>
          <w:noProof/>
          <w:szCs w:val="24"/>
        </w:rPr>
        <w:t>identified</w:t>
      </w:r>
      <w:r w:rsidRPr="001331D3">
        <w:rPr>
          <w:rFonts w:ascii="Times New Roman" w:hAnsi="Times New Roman"/>
          <w:szCs w:val="24"/>
        </w:rPr>
        <w:t>, SDT offers some insight into the different extrinsic and intrinsic factors, which may be useful to explain why paid Nigerian migrant care workers assume and remain as carers for PLWD. Furthermore, another theory, the Herzberg Two-Factor Theory of work motivation, suggest that both IM and EM can influence one for another (Herzberg, 1968).</w:t>
      </w:r>
    </w:p>
    <w:p w14:paraId="442841C8" w14:textId="77777777" w:rsidR="00811DBD" w:rsidRPr="001331D3" w:rsidRDefault="00811DBD" w:rsidP="006869A3">
      <w:pPr>
        <w:pStyle w:val="Heading3"/>
      </w:pPr>
      <w:bookmarkStart w:id="75" w:name="_Toc86417261"/>
      <w:r w:rsidRPr="001331D3">
        <w:t>3.4.2. Herzberg Two Factor Theory</w:t>
      </w:r>
      <w:bookmarkEnd w:id="75"/>
    </w:p>
    <w:p w14:paraId="57706AA0"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Another theory that could </w:t>
      </w:r>
      <w:r w:rsidRPr="001331D3">
        <w:rPr>
          <w:rFonts w:ascii="Times New Roman" w:hAnsi="Times New Roman"/>
          <w:noProof/>
          <w:szCs w:val="24"/>
        </w:rPr>
        <w:t>be applied</w:t>
      </w:r>
      <w:r w:rsidRPr="001331D3">
        <w:rPr>
          <w:rFonts w:ascii="Times New Roman" w:hAnsi="Times New Roman"/>
          <w:szCs w:val="24"/>
        </w:rPr>
        <w:t xml:space="preserve"> to the experience of paid Nigerian migrant care workers is </w:t>
      </w:r>
      <w:r w:rsidRPr="001331D3">
        <w:rPr>
          <w:rFonts w:ascii="Times New Roman" w:hAnsi="Times New Roman"/>
          <w:noProof/>
          <w:szCs w:val="24"/>
        </w:rPr>
        <w:t>the Herzberg’s</w:t>
      </w:r>
      <w:r w:rsidRPr="001331D3">
        <w:rPr>
          <w:rFonts w:ascii="Times New Roman" w:hAnsi="Times New Roman"/>
          <w:szCs w:val="24"/>
        </w:rPr>
        <w:t xml:space="preserve"> Two-Factor Theory (HTFT) (Herzberg, 1968; </w:t>
      </w:r>
      <w:r w:rsidRPr="001331D3">
        <w:rPr>
          <w:rFonts w:ascii="Times New Roman" w:hAnsi="Times New Roman"/>
          <w:szCs w:val="24"/>
          <w:lang w:val="en"/>
        </w:rPr>
        <w:t>Bassett</w:t>
      </w:r>
      <w:r>
        <w:rPr>
          <w:rFonts w:ascii="Times New Roman" w:hAnsi="Times New Roman"/>
          <w:szCs w:val="24"/>
          <w:lang w:val="en"/>
        </w:rPr>
        <w:t>-</w:t>
      </w:r>
      <w:r w:rsidRPr="001331D3">
        <w:rPr>
          <w:rFonts w:ascii="Times New Roman" w:hAnsi="Times New Roman"/>
          <w:szCs w:val="24"/>
          <w:lang w:val="en"/>
        </w:rPr>
        <w:t>Jones and Lloyd, 2010</w:t>
      </w:r>
      <w:r w:rsidRPr="001331D3">
        <w:rPr>
          <w:rFonts w:ascii="Times New Roman" w:hAnsi="Times New Roman"/>
          <w:szCs w:val="24"/>
        </w:rPr>
        <w:t xml:space="preserve">). Also known as Herzberg’s motivational hygiene theory, it holds that an individual will perceive a job as satisfying or dissatisfying depending on the range of discrete intrinsic and extrinsic variables (Herzberg, 1974a, 1974b). The focus of this theory is that one of the </w:t>
      </w:r>
      <w:r w:rsidRPr="001331D3">
        <w:rPr>
          <w:rFonts w:ascii="Times New Roman" w:hAnsi="Times New Roman"/>
          <w:noProof/>
          <w:szCs w:val="24"/>
        </w:rPr>
        <w:t>intrinsic</w:t>
      </w:r>
      <w:r w:rsidRPr="001331D3">
        <w:rPr>
          <w:rFonts w:ascii="Times New Roman" w:hAnsi="Times New Roman"/>
          <w:szCs w:val="24"/>
        </w:rPr>
        <w:t xml:space="preserve"> or extrinsic variables can either influence the worker’s satisfaction or dissatisfaction with the job but not both (Herzberg, 1974a). Herzberg, using his experience in occupational settings, found that factors associated with satisfaction could </w:t>
      </w:r>
      <w:r w:rsidRPr="001331D3">
        <w:rPr>
          <w:rFonts w:ascii="Times New Roman" w:hAnsi="Times New Roman"/>
          <w:noProof/>
          <w:szCs w:val="24"/>
        </w:rPr>
        <w:t>be placed</w:t>
      </w:r>
      <w:r w:rsidRPr="001331D3">
        <w:rPr>
          <w:rFonts w:ascii="Times New Roman" w:hAnsi="Times New Roman"/>
          <w:szCs w:val="24"/>
        </w:rPr>
        <w:t xml:space="preserve"> in two subgroups defined as the “</w:t>
      </w:r>
      <w:r w:rsidRPr="001331D3">
        <w:rPr>
          <w:rFonts w:ascii="Times New Roman" w:hAnsi="Times New Roman"/>
          <w:i/>
          <w:szCs w:val="24"/>
        </w:rPr>
        <w:t>motivators</w:t>
      </w:r>
      <w:r w:rsidRPr="001331D3">
        <w:rPr>
          <w:rFonts w:ascii="Times New Roman" w:hAnsi="Times New Roman"/>
          <w:szCs w:val="24"/>
        </w:rPr>
        <w:t>” and “</w:t>
      </w:r>
      <w:r w:rsidRPr="001331D3">
        <w:rPr>
          <w:rFonts w:ascii="Times New Roman" w:hAnsi="Times New Roman"/>
          <w:i/>
          <w:szCs w:val="24"/>
        </w:rPr>
        <w:t>hygiene</w:t>
      </w:r>
      <w:r w:rsidRPr="001331D3">
        <w:rPr>
          <w:rFonts w:ascii="Times New Roman" w:hAnsi="Times New Roman"/>
          <w:szCs w:val="24"/>
        </w:rPr>
        <w:t>” factors.</w:t>
      </w:r>
    </w:p>
    <w:p w14:paraId="0EB75538"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This theory suggests that ‘motivators’ are </w:t>
      </w:r>
      <w:r w:rsidRPr="001331D3">
        <w:rPr>
          <w:rFonts w:ascii="Times New Roman" w:hAnsi="Times New Roman"/>
          <w:noProof/>
          <w:szCs w:val="24"/>
        </w:rPr>
        <w:t>more intrinsic factors</w:t>
      </w:r>
      <w:r w:rsidRPr="001331D3">
        <w:rPr>
          <w:rFonts w:ascii="Times New Roman" w:hAnsi="Times New Roman"/>
          <w:szCs w:val="24"/>
        </w:rPr>
        <w:t xml:space="preserve"> (including such attributes as achievement, recognition and responsibilities), and they are capable of increasing job motivation and satisfaction when they are present, </w:t>
      </w:r>
      <w:r w:rsidRPr="001331D3">
        <w:rPr>
          <w:rFonts w:ascii="Times New Roman" w:hAnsi="Times New Roman"/>
          <w:noProof/>
          <w:szCs w:val="24"/>
        </w:rPr>
        <w:t>but</w:t>
      </w:r>
      <w:r w:rsidRPr="001331D3">
        <w:rPr>
          <w:rFonts w:ascii="Times New Roman" w:hAnsi="Times New Roman"/>
          <w:szCs w:val="24"/>
        </w:rPr>
        <w:t xml:space="preserve"> they may not cause dissatisfaction when absent. Contrarily, the ‘hygiene factors’ are extrinsic environmental factors such as organizational policy, work status and a feeling of security, whose presence does not necessarily increase satisfaction but when absent, increases dissatisfaction leading to lower motivation (Herzberg, 1974a).</w:t>
      </w:r>
    </w:p>
    <w:p w14:paraId="2A4CF7B2"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A distinctive characteristic of the Herzberg Two Factor </w:t>
      </w:r>
      <w:r w:rsidRPr="001331D3">
        <w:rPr>
          <w:rFonts w:ascii="Times New Roman" w:hAnsi="Times New Roman"/>
          <w:noProof/>
          <w:szCs w:val="24"/>
        </w:rPr>
        <w:t>Theory</w:t>
      </w:r>
      <w:r w:rsidRPr="001331D3">
        <w:rPr>
          <w:rFonts w:ascii="Times New Roman" w:hAnsi="Times New Roman"/>
          <w:szCs w:val="24"/>
        </w:rPr>
        <w:t xml:space="preserve"> is its antagonistic feature, which allows it to challenge the notion that satisfaction and dissatisfaction are two mutually exclusive concepts that are one-dimensional and </w:t>
      </w:r>
      <w:r w:rsidRPr="001331D3">
        <w:rPr>
          <w:rFonts w:ascii="Times New Roman" w:hAnsi="Times New Roman"/>
          <w:noProof/>
          <w:szCs w:val="24"/>
        </w:rPr>
        <w:t>opposites</w:t>
      </w:r>
      <w:r w:rsidRPr="001331D3">
        <w:rPr>
          <w:rFonts w:ascii="Times New Roman" w:hAnsi="Times New Roman"/>
          <w:szCs w:val="24"/>
        </w:rPr>
        <w:t xml:space="preserve">. The theory also accounts for the possibility, that one variable that may function as a </w:t>
      </w:r>
      <w:r w:rsidRPr="001331D3">
        <w:rPr>
          <w:rFonts w:ascii="Times New Roman" w:hAnsi="Times New Roman"/>
          <w:noProof/>
          <w:szCs w:val="24"/>
        </w:rPr>
        <w:t>motivator</w:t>
      </w:r>
      <w:r w:rsidRPr="001331D3">
        <w:rPr>
          <w:rFonts w:ascii="Times New Roman" w:hAnsi="Times New Roman"/>
          <w:szCs w:val="24"/>
        </w:rPr>
        <w:t xml:space="preserve"> does not necessarily </w:t>
      </w:r>
      <w:r w:rsidRPr="001331D3">
        <w:rPr>
          <w:rFonts w:ascii="Times New Roman" w:hAnsi="Times New Roman"/>
          <w:noProof/>
          <w:szCs w:val="24"/>
        </w:rPr>
        <w:t>function</w:t>
      </w:r>
      <w:r w:rsidRPr="001331D3">
        <w:rPr>
          <w:rFonts w:ascii="Times New Roman" w:hAnsi="Times New Roman"/>
          <w:szCs w:val="24"/>
        </w:rPr>
        <w:t xml:space="preserve"> as a </w:t>
      </w:r>
      <w:r w:rsidRPr="001331D3">
        <w:rPr>
          <w:rFonts w:ascii="Times New Roman" w:hAnsi="Times New Roman"/>
          <w:noProof/>
          <w:szCs w:val="24"/>
        </w:rPr>
        <w:t>hygiene</w:t>
      </w:r>
      <w:r w:rsidRPr="001331D3">
        <w:rPr>
          <w:rFonts w:ascii="Times New Roman" w:hAnsi="Times New Roman"/>
          <w:szCs w:val="24"/>
        </w:rPr>
        <w:t xml:space="preserve"> factor (Herzberg, Mausner and Snyderman, 1959). The theory has </w:t>
      </w:r>
      <w:r w:rsidRPr="001331D3">
        <w:rPr>
          <w:rFonts w:ascii="Times New Roman" w:hAnsi="Times New Roman"/>
          <w:noProof/>
          <w:szCs w:val="24"/>
        </w:rPr>
        <w:t>been applied</w:t>
      </w:r>
      <w:r w:rsidRPr="001331D3">
        <w:rPr>
          <w:rFonts w:ascii="Times New Roman" w:hAnsi="Times New Roman"/>
          <w:szCs w:val="24"/>
        </w:rPr>
        <w:t xml:space="preserve"> in industry and other different occupational settings including such as health care (Shortell and Kaluzny, 2006).</w:t>
      </w:r>
    </w:p>
    <w:p w14:paraId="65C743E6"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lastRenderedPageBreak/>
        <w:t xml:space="preserve">This is interesting in terms of care work. For example, research by Sharp (2008) and Decker, Harris-Kojetin and Bercovitz (2009) demonstrated how the theory </w:t>
      </w:r>
      <w:r w:rsidRPr="001331D3">
        <w:rPr>
          <w:rFonts w:ascii="Times New Roman" w:hAnsi="Times New Roman"/>
          <w:noProof/>
          <w:szCs w:val="24"/>
        </w:rPr>
        <w:t>could</w:t>
      </w:r>
      <w:r w:rsidRPr="001331D3">
        <w:rPr>
          <w:rFonts w:ascii="Times New Roman" w:hAnsi="Times New Roman"/>
          <w:szCs w:val="24"/>
        </w:rPr>
        <w:t xml:space="preserve"> be applied to understand the retention of registered mental health nurses and nursing assistants (same as health care assistants) overall satisfaction and intention to leave their job respectively. Sharp (2008) found that the psychiatric registered nurses surveyed expressed overall satisfaction with their jobs, citing a chance to utilise their ability </w:t>
      </w:r>
      <w:r w:rsidRPr="001331D3">
        <w:rPr>
          <w:rFonts w:ascii="Times New Roman" w:hAnsi="Times New Roman"/>
          <w:noProof/>
          <w:szCs w:val="24"/>
        </w:rPr>
        <w:t>(which is intrinsic)</w:t>
      </w:r>
      <w:r w:rsidRPr="001331D3">
        <w:rPr>
          <w:rFonts w:ascii="Times New Roman" w:hAnsi="Times New Roman"/>
          <w:szCs w:val="24"/>
        </w:rPr>
        <w:t xml:space="preserve"> and achievement as what they found most satisfying about their </w:t>
      </w:r>
      <w:r w:rsidRPr="001331D3">
        <w:rPr>
          <w:rFonts w:ascii="Times New Roman" w:hAnsi="Times New Roman"/>
          <w:noProof/>
          <w:szCs w:val="24"/>
        </w:rPr>
        <w:t>job.</w:t>
      </w:r>
      <w:r w:rsidRPr="001331D3">
        <w:rPr>
          <w:rFonts w:ascii="Times New Roman" w:hAnsi="Times New Roman"/>
          <w:szCs w:val="24"/>
        </w:rPr>
        <w:t xml:space="preserve"> They also reported being least satisfied with the compensation (pay) and although the nurses were least satisfied with their pay, it had little influence on their overall satisfaction with the job. It appears the satisfying aspects (motivators) of the job overweigh the least satisfying </w:t>
      </w:r>
      <w:r w:rsidRPr="001331D3">
        <w:rPr>
          <w:rFonts w:ascii="Times New Roman" w:hAnsi="Times New Roman"/>
          <w:noProof/>
          <w:szCs w:val="24"/>
        </w:rPr>
        <w:t>aspects</w:t>
      </w:r>
      <w:r w:rsidRPr="001331D3">
        <w:rPr>
          <w:rFonts w:ascii="Times New Roman" w:hAnsi="Times New Roman"/>
          <w:szCs w:val="24"/>
        </w:rPr>
        <w:t xml:space="preserve">. Decker, Harris-Kojetin and Bercovitz (2009) reported similar findings as Sharp (2008). In a study of nursing assistants working in a care home, they found that both extrinsic factors such as the nursing assistants’ supervisor’s behaviour and their wage </w:t>
      </w:r>
      <w:r w:rsidRPr="001331D3">
        <w:rPr>
          <w:rFonts w:ascii="Times New Roman" w:hAnsi="Times New Roman"/>
          <w:noProof/>
          <w:szCs w:val="24"/>
        </w:rPr>
        <w:t>were associated</w:t>
      </w:r>
      <w:r w:rsidRPr="001331D3">
        <w:rPr>
          <w:rFonts w:ascii="Times New Roman" w:hAnsi="Times New Roman"/>
          <w:szCs w:val="24"/>
        </w:rPr>
        <w:t xml:space="preserve"> with intrinsic satisfaction.</w:t>
      </w:r>
    </w:p>
    <w:p w14:paraId="2884BF66"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Despite the strength of the Herzberg’s theory, it is not without </w:t>
      </w:r>
      <w:r w:rsidRPr="001331D3">
        <w:rPr>
          <w:rFonts w:ascii="Times New Roman" w:hAnsi="Times New Roman"/>
          <w:noProof/>
          <w:szCs w:val="24"/>
        </w:rPr>
        <w:t>drawbacks</w:t>
      </w:r>
      <w:r w:rsidRPr="001331D3">
        <w:rPr>
          <w:rFonts w:ascii="Times New Roman" w:hAnsi="Times New Roman"/>
          <w:szCs w:val="24"/>
        </w:rPr>
        <w:t xml:space="preserve">, the main one being </w:t>
      </w:r>
      <w:r w:rsidRPr="001331D3">
        <w:rPr>
          <w:rFonts w:ascii="Times New Roman" w:hAnsi="Times New Roman"/>
          <w:noProof/>
          <w:szCs w:val="24"/>
        </w:rPr>
        <w:t>that</w:t>
      </w:r>
      <w:r w:rsidRPr="001331D3">
        <w:rPr>
          <w:rFonts w:ascii="Times New Roman" w:hAnsi="Times New Roman"/>
          <w:szCs w:val="24"/>
        </w:rPr>
        <w:t xml:space="preserve"> it focuses on skilled and professional workers making it less suitable for application to studies on workers in unskilled jobs, where work schedules are </w:t>
      </w:r>
      <w:r w:rsidRPr="001331D3">
        <w:rPr>
          <w:rFonts w:ascii="Times New Roman" w:hAnsi="Times New Roman"/>
          <w:noProof/>
          <w:szCs w:val="24"/>
        </w:rPr>
        <w:t>mostly</w:t>
      </w:r>
      <w:r w:rsidRPr="001331D3">
        <w:rPr>
          <w:rFonts w:ascii="Times New Roman" w:hAnsi="Times New Roman"/>
          <w:szCs w:val="24"/>
        </w:rPr>
        <w:t xml:space="preserve"> repetitive, uninteresting and monotonous. Herzberg Two-Factor Theory emphasised the role of satisfaction in productivity and appeared to suggest that the two variables </w:t>
      </w:r>
      <w:r w:rsidRPr="001331D3">
        <w:rPr>
          <w:rFonts w:ascii="Times New Roman" w:hAnsi="Times New Roman"/>
          <w:noProof/>
          <w:szCs w:val="24"/>
        </w:rPr>
        <w:t>have to</w:t>
      </w:r>
      <w:r w:rsidRPr="001331D3">
        <w:rPr>
          <w:rFonts w:ascii="Times New Roman" w:hAnsi="Times New Roman"/>
          <w:szCs w:val="24"/>
        </w:rPr>
        <w:t xml:space="preserve"> correlate one to another, </w:t>
      </w:r>
      <w:r w:rsidRPr="001331D3">
        <w:rPr>
          <w:rFonts w:ascii="Times New Roman" w:hAnsi="Times New Roman"/>
          <w:noProof/>
          <w:szCs w:val="24"/>
        </w:rPr>
        <w:t>but</w:t>
      </w:r>
      <w:r w:rsidRPr="001331D3">
        <w:rPr>
          <w:rFonts w:ascii="Times New Roman" w:hAnsi="Times New Roman"/>
          <w:szCs w:val="24"/>
        </w:rPr>
        <w:t xml:space="preserve"> it has </w:t>
      </w:r>
      <w:r w:rsidRPr="001331D3">
        <w:rPr>
          <w:rFonts w:ascii="Times New Roman" w:hAnsi="Times New Roman"/>
          <w:noProof/>
          <w:szCs w:val="24"/>
        </w:rPr>
        <w:t>been shown</w:t>
      </w:r>
      <w:r w:rsidRPr="001331D3">
        <w:rPr>
          <w:rFonts w:ascii="Times New Roman" w:hAnsi="Times New Roman"/>
          <w:szCs w:val="24"/>
        </w:rPr>
        <w:t xml:space="preserve"> that </w:t>
      </w:r>
      <w:r w:rsidRPr="001331D3">
        <w:rPr>
          <w:rFonts w:ascii="Times New Roman" w:hAnsi="Times New Roman"/>
          <w:noProof/>
          <w:szCs w:val="24"/>
        </w:rPr>
        <w:t>satisfaction</w:t>
      </w:r>
      <w:r w:rsidRPr="001331D3">
        <w:rPr>
          <w:rFonts w:ascii="Times New Roman" w:hAnsi="Times New Roman"/>
          <w:szCs w:val="24"/>
        </w:rPr>
        <w:t xml:space="preserve"> does not necessarily impact on productivity (Sanjeev and Surya, 2016).</w:t>
      </w:r>
    </w:p>
    <w:p w14:paraId="07AF74AA"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In the current study, both the Herzberg Two-Factor Theory and the SDT may offer explanations for the motivation and experience of paid Nigerian migrant care workers as the two theories address individual and environmental workplace needs that might be essential to understanding their experience of caregiving.</w:t>
      </w:r>
    </w:p>
    <w:p w14:paraId="711B519B" w14:textId="77777777" w:rsidR="00811DBD" w:rsidRPr="001331D3" w:rsidRDefault="00811DBD" w:rsidP="006869A3">
      <w:pPr>
        <w:pStyle w:val="Heading2"/>
      </w:pPr>
      <w:bookmarkStart w:id="76" w:name="_Toc86417262"/>
      <w:r w:rsidRPr="001331D3">
        <w:t xml:space="preserve">3.5. Other </w:t>
      </w:r>
      <w:r w:rsidRPr="001331D3">
        <w:rPr>
          <w:noProof/>
        </w:rPr>
        <w:t>theories</w:t>
      </w:r>
      <w:r w:rsidRPr="001331D3">
        <w:t xml:space="preserve"> on caregiving motivation</w:t>
      </w:r>
      <w:bookmarkEnd w:id="76"/>
    </w:p>
    <w:p w14:paraId="40169BD3"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Apart from the theories above, there are other theories which explore aspects of motivation. Most of these focuses on individual components of caregiving motivation, without providing a unified multidirectional approach. </w:t>
      </w:r>
      <w:r w:rsidRPr="001331D3">
        <w:rPr>
          <w:rFonts w:ascii="Times New Roman" w:hAnsi="Times New Roman"/>
          <w:noProof/>
          <w:szCs w:val="24"/>
        </w:rPr>
        <w:t>While</w:t>
      </w:r>
      <w:r w:rsidRPr="001331D3">
        <w:rPr>
          <w:rFonts w:ascii="Times New Roman" w:hAnsi="Times New Roman"/>
          <w:szCs w:val="24"/>
        </w:rPr>
        <w:t xml:space="preserve"> </w:t>
      </w:r>
      <w:r w:rsidRPr="001331D3">
        <w:rPr>
          <w:rFonts w:ascii="Times New Roman" w:hAnsi="Times New Roman"/>
          <w:noProof/>
          <w:szCs w:val="24"/>
        </w:rPr>
        <w:t>psychological</w:t>
      </w:r>
      <w:r w:rsidRPr="001331D3">
        <w:rPr>
          <w:rFonts w:ascii="Times New Roman" w:hAnsi="Times New Roman"/>
          <w:szCs w:val="24"/>
        </w:rPr>
        <w:t xml:space="preserve"> theory of motivation focuses on the role of the individual, the sociological aspect pictures the </w:t>
      </w:r>
      <w:r w:rsidRPr="001331D3">
        <w:rPr>
          <w:rFonts w:ascii="Times New Roman" w:hAnsi="Times New Roman"/>
          <w:szCs w:val="24"/>
        </w:rPr>
        <w:lastRenderedPageBreak/>
        <w:t xml:space="preserve">individual within a </w:t>
      </w:r>
      <w:r w:rsidRPr="001331D3">
        <w:rPr>
          <w:rFonts w:ascii="Times New Roman" w:hAnsi="Times New Roman"/>
          <w:noProof/>
          <w:szCs w:val="24"/>
        </w:rPr>
        <w:t>wider</w:t>
      </w:r>
      <w:r w:rsidRPr="001331D3">
        <w:rPr>
          <w:rFonts w:ascii="Times New Roman" w:hAnsi="Times New Roman"/>
          <w:szCs w:val="24"/>
        </w:rPr>
        <w:t xml:space="preserve"> socio-structural context. Since motivation may be culturally oriented, the influence of culture on caregiving motivation is also considered (</w:t>
      </w:r>
      <w:r w:rsidRPr="001331D3">
        <w:rPr>
          <w:rFonts w:ascii="Times New Roman" w:hAnsi="Times New Roman"/>
          <w:iCs/>
          <w:szCs w:val="24"/>
        </w:rPr>
        <w:t>Brodaty and Donkin, 2009</w:t>
      </w:r>
      <w:r w:rsidRPr="001331D3">
        <w:rPr>
          <w:rFonts w:ascii="Times New Roman" w:hAnsi="Times New Roman"/>
          <w:szCs w:val="24"/>
        </w:rPr>
        <w:t>).</w:t>
      </w:r>
    </w:p>
    <w:p w14:paraId="3E64B283" w14:textId="77777777"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Psychological theories on the motivation to care seeks to explain the emotional or </w:t>
      </w:r>
      <w:r w:rsidRPr="001331D3">
        <w:rPr>
          <w:rFonts w:ascii="Times New Roman" w:hAnsi="Times New Roman"/>
          <w:noProof/>
          <w:szCs w:val="24"/>
        </w:rPr>
        <w:t>psychological</w:t>
      </w:r>
      <w:r w:rsidRPr="001331D3">
        <w:rPr>
          <w:rFonts w:ascii="Times New Roman" w:hAnsi="Times New Roman"/>
          <w:szCs w:val="24"/>
        </w:rPr>
        <w:t xml:space="preserve"> factors that </w:t>
      </w:r>
      <w:r w:rsidRPr="001331D3">
        <w:rPr>
          <w:rFonts w:ascii="Times New Roman" w:hAnsi="Times New Roman"/>
          <w:noProof/>
          <w:szCs w:val="24"/>
        </w:rPr>
        <w:t>make</w:t>
      </w:r>
      <w:r w:rsidRPr="001331D3">
        <w:rPr>
          <w:rFonts w:ascii="Times New Roman" w:hAnsi="Times New Roman"/>
          <w:szCs w:val="24"/>
        </w:rPr>
        <w:t xml:space="preserve"> a care worker to assume their caregiving role. It is interesting to note that some theorists </w:t>
      </w:r>
      <w:r w:rsidRPr="001331D3">
        <w:rPr>
          <w:rFonts w:ascii="Times New Roman" w:hAnsi="Times New Roman"/>
          <w:noProof/>
          <w:szCs w:val="24"/>
        </w:rPr>
        <w:t>have</w:t>
      </w:r>
      <w:r w:rsidRPr="001331D3">
        <w:rPr>
          <w:rFonts w:ascii="Times New Roman" w:hAnsi="Times New Roman"/>
          <w:szCs w:val="24"/>
        </w:rPr>
        <w:t xml:space="preserve"> focused on the less benevolent motivations for caring. For example, Maner and Gailliot (2007) and Simpson and Willer (2008) have suggested that there can be ‘egoistic or self-serving’ motivation, ‘distress/arousal reducing egoistic’ motivation and ‘empathically evoked altruistic’ motivation (de Waal, 2008), with the first two types of motivation shown to lead to negative motivation while the last shows positive motivation. Egoistic or self-serving motivation and distress/arousal reducing egoistic motivation are often described as negative motivations because they are not inspired by a selfless attitude to help. It is </w:t>
      </w:r>
      <w:r w:rsidRPr="001331D3">
        <w:rPr>
          <w:rFonts w:ascii="Times New Roman" w:hAnsi="Times New Roman"/>
          <w:noProof/>
          <w:szCs w:val="24"/>
        </w:rPr>
        <w:t>inspired</w:t>
      </w:r>
      <w:r w:rsidRPr="001331D3">
        <w:rPr>
          <w:rFonts w:ascii="Times New Roman" w:hAnsi="Times New Roman"/>
          <w:szCs w:val="24"/>
        </w:rPr>
        <w:t xml:space="preserve"> by the carer’s desire to obtain rewards or to reduce personal anxiety and distress. </w:t>
      </w:r>
      <w:r w:rsidRPr="001331D3">
        <w:rPr>
          <w:rFonts w:ascii="Times New Roman" w:hAnsi="Times New Roman"/>
          <w:noProof/>
          <w:szCs w:val="24"/>
        </w:rPr>
        <w:t>Although</w:t>
      </w:r>
      <w:r w:rsidRPr="001331D3">
        <w:rPr>
          <w:rFonts w:ascii="Times New Roman" w:hAnsi="Times New Roman"/>
          <w:szCs w:val="24"/>
        </w:rPr>
        <w:t xml:space="preserve"> this </w:t>
      </w:r>
      <w:r w:rsidRPr="001331D3">
        <w:rPr>
          <w:rFonts w:ascii="Times New Roman" w:hAnsi="Times New Roman"/>
          <w:noProof/>
          <w:szCs w:val="24"/>
        </w:rPr>
        <w:t>was mostly examined</w:t>
      </w:r>
      <w:r w:rsidRPr="001331D3">
        <w:rPr>
          <w:rFonts w:ascii="Times New Roman" w:hAnsi="Times New Roman"/>
          <w:szCs w:val="24"/>
        </w:rPr>
        <w:t xml:space="preserve"> within the context of unpaid caregiving, it might also </w:t>
      </w:r>
      <w:r w:rsidRPr="001331D3">
        <w:rPr>
          <w:rFonts w:ascii="Times New Roman" w:hAnsi="Times New Roman"/>
          <w:noProof/>
          <w:szCs w:val="24"/>
        </w:rPr>
        <w:t>be applied</w:t>
      </w:r>
      <w:r w:rsidRPr="001331D3">
        <w:rPr>
          <w:rFonts w:ascii="Times New Roman" w:hAnsi="Times New Roman"/>
          <w:szCs w:val="24"/>
        </w:rPr>
        <w:t xml:space="preserve"> to paid care workers who might be motivated by extrinsic reasons to care (Quinn, Clare and Wood, 2010).</w:t>
      </w:r>
    </w:p>
    <w:p w14:paraId="382122A8" w14:textId="51775AAA"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In contrast, emphatically inspired ‘altruistic motivation’ is a positive motivation because the care worker is driven by a genuine desire and empathy to help others (Revenson </w:t>
      </w:r>
      <w:r w:rsidRPr="00635A18">
        <w:rPr>
          <w:rFonts w:ascii="Times New Roman" w:hAnsi="Times New Roman"/>
          <w:i/>
          <w:iCs/>
          <w:szCs w:val="24"/>
        </w:rPr>
        <w:t>et al.</w:t>
      </w:r>
      <w:r w:rsidRPr="001331D3">
        <w:rPr>
          <w:rFonts w:ascii="Times New Roman" w:hAnsi="Times New Roman"/>
          <w:szCs w:val="24"/>
        </w:rPr>
        <w:t>, 2016</w:t>
      </w:r>
      <w:r w:rsidR="005D48C9">
        <w:rPr>
          <w:rFonts w:ascii="Times New Roman" w:hAnsi="Times New Roman"/>
          <w:szCs w:val="24"/>
        </w:rPr>
        <w:t>a</w:t>
      </w:r>
      <w:r w:rsidRPr="001331D3">
        <w:rPr>
          <w:rFonts w:ascii="Times New Roman" w:hAnsi="Times New Roman"/>
          <w:szCs w:val="24"/>
        </w:rPr>
        <w:t xml:space="preserve">). One vital factor that is often discussed in the literature on the psychological motivations for </w:t>
      </w:r>
      <w:r w:rsidRPr="001331D3">
        <w:rPr>
          <w:rFonts w:ascii="Times New Roman" w:hAnsi="Times New Roman"/>
          <w:noProof/>
          <w:szCs w:val="24"/>
        </w:rPr>
        <w:t>caring</w:t>
      </w:r>
      <w:r w:rsidRPr="001331D3">
        <w:rPr>
          <w:rFonts w:ascii="Times New Roman" w:hAnsi="Times New Roman"/>
          <w:szCs w:val="24"/>
        </w:rPr>
        <w:t xml:space="preserve"> is the mutual exclusivity of the individual motivating factors. It maybe that they relate to one another such that a carer can both empathise and still obtain rewards from their helping behaviours (Quinn, Clare and Wood, 2010). </w:t>
      </w:r>
      <w:r w:rsidRPr="001331D3">
        <w:rPr>
          <w:rFonts w:ascii="Times New Roman" w:hAnsi="Times New Roman"/>
          <w:noProof/>
          <w:szCs w:val="24"/>
        </w:rPr>
        <w:t>This</w:t>
      </w:r>
      <w:r w:rsidRPr="001331D3">
        <w:rPr>
          <w:rFonts w:ascii="Times New Roman" w:hAnsi="Times New Roman"/>
          <w:szCs w:val="24"/>
        </w:rPr>
        <w:t xml:space="preserve"> would also apply to care workers who take on caregiving responsibility knowing they would </w:t>
      </w:r>
      <w:r w:rsidRPr="001331D3">
        <w:rPr>
          <w:rFonts w:ascii="Times New Roman" w:hAnsi="Times New Roman"/>
          <w:noProof/>
          <w:szCs w:val="24"/>
        </w:rPr>
        <w:t>be paid</w:t>
      </w:r>
      <w:r w:rsidRPr="001331D3">
        <w:rPr>
          <w:rFonts w:ascii="Times New Roman" w:hAnsi="Times New Roman"/>
          <w:szCs w:val="24"/>
        </w:rPr>
        <w:t>. A look at the altruistic motivation for caregiving offers further insight.</w:t>
      </w:r>
    </w:p>
    <w:p w14:paraId="6A3B636A" w14:textId="77777777" w:rsidR="00811DBD" w:rsidRPr="001331D3" w:rsidRDefault="00811DBD" w:rsidP="006869A3">
      <w:pPr>
        <w:pStyle w:val="Heading3"/>
      </w:pPr>
      <w:bookmarkStart w:id="77" w:name="_Toc86417263"/>
      <w:r w:rsidRPr="001331D3">
        <w:t>3.5.1. Altruistic motivation</w:t>
      </w:r>
      <w:bookmarkEnd w:id="77"/>
    </w:p>
    <w:p w14:paraId="0361D84A" w14:textId="6A60FDDC" w:rsidR="00811DBD" w:rsidRPr="001331D3" w:rsidRDefault="00811DBD" w:rsidP="00811DBD">
      <w:pPr>
        <w:jc w:val="both"/>
        <w:rPr>
          <w:rFonts w:ascii="Times New Roman" w:hAnsi="Times New Roman"/>
          <w:szCs w:val="24"/>
        </w:rPr>
      </w:pPr>
      <w:r w:rsidRPr="001331D3">
        <w:rPr>
          <w:rFonts w:ascii="Times New Roman" w:hAnsi="Times New Roman"/>
          <w:szCs w:val="24"/>
        </w:rPr>
        <w:t xml:space="preserve">The altruistic motivation for caring focuses on the emotional content of caring. If carers derive positive satisfactions for caring, it may be that the motivation, though emotional cannot </w:t>
      </w:r>
      <w:r w:rsidRPr="001331D3">
        <w:rPr>
          <w:rFonts w:ascii="Times New Roman" w:hAnsi="Times New Roman"/>
          <w:noProof/>
          <w:szCs w:val="24"/>
        </w:rPr>
        <w:t>be described</w:t>
      </w:r>
      <w:r w:rsidRPr="001331D3">
        <w:rPr>
          <w:rFonts w:ascii="Times New Roman" w:hAnsi="Times New Roman"/>
          <w:szCs w:val="24"/>
        </w:rPr>
        <w:t xml:space="preserve"> as </w:t>
      </w:r>
      <w:r w:rsidRPr="001331D3">
        <w:rPr>
          <w:rFonts w:ascii="Times New Roman" w:hAnsi="Times New Roman"/>
          <w:noProof/>
          <w:szCs w:val="24"/>
        </w:rPr>
        <w:t>altruistic</w:t>
      </w:r>
      <w:r w:rsidRPr="001331D3">
        <w:rPr>
          <w:rFonts w:ascii="Times New Roman" w:hAnsi="Times New Roman"/>
          <w:szCs w:val="24"/>
        </w:rPr>
        <w:t xml:space="preserve">. Altruism has a distinctive feature of being selfless. It </w:t>
      </w:r>
      <w:r w:rsidRPr="001331D3">
        <w:rPr>
          <w:rFonts w:ascii="Times New Roman" w:hAnsi="Times New Roman"/>
          <w:szCs w:val="24"/>
        </w:rPr>
        <w:lastRenderedPageBreak/>
        <w:t xml:space="preserve">serves to care for an individual’s welfare selflessly (Batson and Powell, 2003). It has been suggested that people by nature can be altruistic, but they </w:t>
      </w:r>
      <w:r w:rsidR="001C13B7">
        <w:rPr>
          <w:rFonts w:ascii="Times New Roman" w:hAnsi="Times New Roman"/>
          <w:szCs w:val="24"/>
        </w:rPr>
        <w:t>are</w:t>
      </w:r>
      <w:r w:rsidRPr="001331D3">
        <w:rPr>
          <w:rFonts w:ascii="Times New Roman" w:hAnsi="Times New Roman"/>
          <w:noProof/>
          <w:szCs w:val="24"/>
        </w:rPr>
        <w:t xml:space="preserve"> drawn</w:t>
      </w:r>
      <w:r w:rsidRPr="001331D3">
        <w:rPr>
          <w:rFonts w:ascii="Times New Roman" w:hAnsi="Times New Roman"/>
          <w:szCs w:val="24"/>
        </w:rPr>
        <w:t xml:space="preserve"> into exercising altruism, not because they are biologically endowed with an innate capacity to be </w:t>
      </w:r>
      <w:r w:rsidRPr="001331D3">
        <w:rPr>
          <w:rFonts w:ascii="Times New Roman" w:hAnsi="Times New Roman"/>
          <w:noProof/>
          <w:szCs w:val="24"/>
        </w:rPr>
        <w:t>altruistic</w:t>
      </w:r>
      <w:r w:rsidRPr="001331D3">
        <w:rPr>
          <w:rFonts w:ascii="Times New Roman" w:hAnsi="Times New Roman"/>
          <w:szCs w:val="24"/>
        </w:rPr>
        <w:t xml:space="preserve"> but because they have learnt to be </w:t>
      </w:r>
      <w:r w:rsidRPr="001331D3">
        <w:rPr>
          <w:rFonts w:ascii="Times New Roman" w:hAnsi="Times New Roman"/>
          <w:noProof/>
          <w:szCs w:val="24"/>
        </w:rPr>
        <w:t>altruistic</w:t>
      </w:r>
      <w:r w:rsidRPr="001331D3">
        <w:rPr>
          <w:rFonts w:ascii="Times New Roman" w:hAnsi="Times New Roman"/>
          <w:szCs w:val="24"/>
        </w:rPr>
        <w:t xml:space="preserve">, just as they would with any other human social attributes (Rachlin, 2002; Carbonnier, 2014). Hence, altruism can be learned but Barasch </w:t>
      </w:r>
      <w:r w:rsidRPr="00635A18">
        <w:rPr>
          <w:rFonts w:ascii="Times New Roman" w:hAnsi="Times New Roman"/>
          <w:i/>
          <w:iCs/>
          <w:szCs w:val="24"/>
        </w:rPr>
        <w:t>et al.</w:t>
      </w:r>
      <w:r w:rsidRPr="001331D3">
        <w:rPr>
          <w:rFonts w:ascii="Times New Roman" w:hAnsi="Times New Roman"/>
          <w:szCs w:val="24"/>
        </w:rPr>
        <w:t xml:space="preserve"> (2014) </w:t>
      </w:r>
      <w:r w:rsidRPr="001331D3">
        <w:rPr>
          <w:rFonts w:ascii="Times New Roman" w:hAnsi="Times New Roman"/>
          <w:noProof/>
          <w:szCs w:val="24"/>
        </w:rPr>
        <w:t>suggest</w:t>
      </w:r>
      <w:r w:rsidRPr="001331D3">
        <w:rPr>
          <w:rFonts w:ascii="Times New Roman" w:hAnsi="Times New Roman"/>
          <w:szCs w:val="24"/>
        </w:rPr>
        <w:t xml:space="preserve"> that altruism is morally judged in </w:t>
      </w:r>
      <w:r w:rsidRPr="001331D3">
        <w:rPr>
          <w:rFonts w:ascii="Times New Roman" w:hAnsi="Times New Roman"/>
          <w:noProof/>
          <w:szCs w:val="24"/>
        </w:rPr>
        <w:t>different ways</w:t>
      </w:r>
      <w:r w:rsidRPr="001331D3">
        <w:rPr>
          <w:rFonts w:ascii="Times New Roman" w:hAnsi="Times New Roman"/>
          <w:szCs w:val="24"/>
        </w:rPr>
        <w:t xml:space="preserve"> depending on the motivation of the actor, although altruism </w:t>
      </w:r>
      <w:r w:rsidRPr="001331D3">
        <w:rPr>
          <w:rFonts w:ascii="Times New Roman" w:hAnsi="Times New Roman"/>
          <w:noProof/>
          <w:szCs w:val="24"/>
        </w:rPr>
        <w:t>is not always</w:t>
      </w:r>
      <w:r w:rsidRPr="001331D3">
        <w:rPr>
          <w:rFonts w:ascii="Times New Roman" w:hAnsi="Times New Roman"/>
          <w:szCs w:val="24"/>
        </w:rPr>
        <w:t xml:space="preserve"> compatible with benefits to the self. </w:t>
      </w:r>
    </w:p>
    <w:p w14:paraId="6C4F5E89" w14:textId="5712F5E2" w:rsidR="004F028A" w:rsidRPr="001331D3" w:rsidRDefault="00811DBD" w:rsidP="00811DBD">
      <w:pPr>
        <w:jc w:val="both"/>
        <w:rPr>
          <w:rFonts w:ascii="Times New Roman" w:hAnsi="Times New Roman"/>
          <w:szCs w:val="24"/>
        </w:rPr>
      </w:pPr>
      <w:r w:rsidRPr="001331D3">
        <w:rPr>
          <w:rFonts w:ascii="Times New Roman" w:hAnsi="Times New Roman"/>
          <w:szCs w:val="24"/>
        </w:rPr>
        <w:t xml:space="preserve">Emotion has long </w:t>
      </w:r>
      <w:r w:rsidRPr="001331D3">
        <w:rPr>
          <w:rFonts w:ascii="Times New Roman" w:hAnsi="Times New Roman"/>
          <w:noProof/>
          <w:szCs w:val="24"/>
        </w:rPr>
        <w:t>been equated</w:t>
      </w:r>
      <w:r w:rsidRPr="001331D3">
        <w:rPr>
          <w:rFonts w:ascii="Times New Roman" w:hAnsi="Times New Roman"/>
          <w:szCs w:val="24"/>
        </w:rPr>
        <w:t xml:space="preserve"> with caring motivation (Batson, 1990, 1991; Slovic, 2007). Loewenstein and Small (2007) opined that the </w:t>
      </w:r>
      <w:r w:rsidRPr="001331D3">
        <w:rPr>
          <w:rFonts w:ascii="Times New Roman" w:hAnsi="Times New Roman"/>
          <w:noProof/>
          <w:szCs w:val="24"/>
        </w:rPr>
        <w:t>feeling</w:t>
      </w:r>
      <w:r w:rsidRPr="001331D3">
        <w:rPr>
          <w:rFonts w:ascii="Times New Roman" w:hAnsi="Times New Roman"/>
          <w:szCs w:val="24"/>
        </w:rPr>
        <w:t xml:space="preserve"> of </w:t>
      </w:r>
      <w:r w:rsidRPr="001331D3">
        <w:rPr>
          <w:rFonts w:ascii="Times New Roman" w:hAnsi="Times New Roman"/>
          <w:noProof/>
          <w:szCs w:val="24"/>
        </w:rPr>
        <w:t>sympathy</w:t>
      </w:r>
      <w:r w:rsidRPr="001331D3">
        <w:rPr>
          <w:rFonts w:ascii="Times New Roman" w:hAnsi="Times New Roman"/>
          <w:szCs w:val="24"/>
        </w:rPr>
        <w:t xml:space="preserve"> </w:t>
      </w:r>
      <w:r w:rsidRPr="001331D3">
        <w:rPr>
          <w:rFonts w:ascii="Times New Roman" w:hAnsi="Times New Roman"/>
          <w:noProof/>
          <w:szCs w:val="24"/>
        </w:rPr>
        <w:t>could</w:t>
      </w:r>
      <w:r w:rsidRPr="001331D3">
        <w:rPr>
          <w:rFonts w:ascii="Times New Roman" w:hAnsi="Times New Roman"/>
          <w:szCs w:val="24"/>
        </w:rPr>
        <w:t xml:space="preserve"> act as a motive for an individual’s decision to take on caregiving responsibilities. Though this might be true of informal carers, it might not apply to care workers, who have no </w:t>
      </w:r>
      <w:r w:rsidRPr="001331D3">
        <w:rPr>
          <w:rFonts w:ascii="Times New Roman" w:hAnsi="Times New Roman"/>
          <w:noProof/>
          <w:szCs w:val="24"/>
        </w:rPr>
        <w:t>filial</w:t>
      </w:r>
      <w:r w:rsidRPr="001331D3">
        <w:rPr>
          <w:rFonts w:ascii="Times New Roman" w:hAnsi="Times New Roman"/>
          <w:szCs w:val="24"/>
        </w:rPr>
        <w:t xml:space="preserve"> relationship or association. However, Slovic (2007) considers emotion as the most basic form of feeling that ascribes the quality of being good or bad to a thing. The fact that people often feel good after helping calls </w:t>
      </w:r>
      <w:r w:rsidRPr="001331D3">
        <w:rPr>
          <w:rFonts w:ascii="Times New Roman" w:hAnsi="Times New Roman"/>
          <w:noProof/>
          <w:szCs w:val="24"/>
        </w:rPr>
        <w:t>to question</w:t>
      </w:r>
      <w:r w:rsidRPr="001331D3">
        <w:rPr>
          <w:rFonts w:ascii="Times New Roman" w:hAnsi="Times New Roman"/>
          <w:szCs w:val="24"/>
        </w:rPr>
        <w:t xml:space="preserve"> the </w:t>
      </w:r>
      <w:r w:rsidRPr="001331D3">
        <w:rPr>
          <w:rFonts w:ascii="Times New Roman" w:hAnsi="Times New Roman"/>
          <w:noProof/>
          <w:szCs w:val="24"/>
        </w:rPr>
        <w:t>real</w:t>
      </w:r>
      <w:r w:rsidRPr="001331D3">
        <w:rPr>
          <w:rFonts w:ascii="Times New Roman" w:hAnsi="Times New Roman"/>
          <w:szCs w:val="24"/>
        </w:rPr>
        <w:t xml:space="preserve"> motivation for their behaviour which may </w:t>
      </w:r>
      <w:r w:rsidRPr="001331D3">
        <w:rPr>
          <w:rFonts w:ascii="Times New Roman" w:hAnsi="Times New Roman"/>
          <w:noProof/>
          <w:szCs w:val="24"/>
        </w:rPr>
        <w:t>be explained</w:t>
      </w:r>
      <w:r w:rsidRPr="001331D3">
        <w:rPr>
          <w:rFonts w:ascii="Times New Roman" w:hAnsi="Times New Roman"/>
          <w:szCs w:val="24"/>
        </w:rPr>
        <w:t xml:space="preserve"> in terms of attachment theory.</w:t>
      </w:r>
    </w:p>
    <w:p w14:paraId="08F3FEDA" w14:textId="77777777" w:rsidR="00811DBD" w:rsidRPr="001331D3" w:rsidRDefault="00811DBD" w:rsidP="006869A3">
      <w:pPr>
        <w:pStyle w:val="Heading3"/>
      </w:pPr>
      <w:bookmarkStart w:id="78" w:name="_Toc86417264"/>
      <w:r w:rsidRPr="001331D3">
        <w:t>3.5.2. The Attachment Theory</w:t>
      </w:r>
      <w:bookmarkEnd w:id="78"/>
    </w:p>
    <w:p w14:paraId="1384B84E" w14:textId="0D6FC109" w:rsidR="00811DBD" w:rsidRDefault="00811DBD" w:rsidP="00811DBD">
      <w:pPr>
        <w:jc w:val="both"/>
        <w:rPr>
          <w:rFonts w:ascii="Times New Roman" w:hAnsi="Times New Roman"/>
          <w:szCs w:val="24"/>
        </w:rPr>
      </w:pPr>
      <w:r w:rsidRPr="001331D3">
        <w:rPr>
          <w:rFonts w:ascii="Times New Roman" w:hAnsi="Times New Roman"/>
          <w:szCs w:val="24"/>
        </w:rPr>
        <w:t xml:space="preserve">Attachment theory may also contribute to understanding caregiving motivation. It </w:t>
      </w:r>
      <w:r w:rsidRPr="001331D3">
        <w:rPr>
          <w:rFonts w:ascii="Times New Roman" w:hAnsi="Times New Roman"/>
          <w:noProof/>
          <w:szCs w:val="24"/>
        </w:rPr>
        <w:t>is based</w:t>
      </w:r>
      <w:r w:rsidRPr="001331D3">
        <w:rPr>
          <w:rFonts w:ascii="Times New Roman" w:hAnsi="Times New Roman"/>
          <w:szCs w:val="24"/>
        </w:rPr>
        <w:t xml:space="preserve"> on the belief that the provision of care by a carer arises from the emotional attachment that exists between carer and care recipient. Providing care to the care recipient depends on the carer’s previous experiences of receiving care (Feeney and Collins, 2001; 2019), a relationship which is also </w:t>
      </w:r>
      <w:r w:rsidRPr="001331D3">
        <w:rPr>
          <w:rFonts w:ascii="Times New Roman" w:hAnsi="Times New Roman"/>
          <w:noProof/>
          <w:szCs w:val="24"/>
        </w:rPr>
        <w:t>essential</w:t>
      </w:r>
      <w:r w:rsidRPr="001331D3">
        <w:rPr>
          <w:rFonts w:ascii="Times New Roman" w:hAnsi="Times New Roman"/>
          <w:szCs w:val="24"/>
        </w:rPr>
        <w:t xml:space="preserve"> when taking up caregiving responsibilities. Kolmer </w:t>
      </w:r>
      <w:r w:rsidRPr="00635A18">
        <w:rPr>
          <w:rFonts w:ascii="Times New Roman" w:hAnsi="Times New Roman"/>
          <w:i/>
          <w:iCs/>
          <w:szCs w:val="24"/>
        </w:rPr>
        <w:t>et al.</w:t>
      </w:r>
      <w:r w:rsidRPr="001331D3">
        <w:rPr>
          <w:rFonts w:ascii="Times New Roman" w:hAnsi="Times New Roman"/>
          <w:szCs w:val="24"/>
        </w:rPr>
        <w:t xml:space="preserve"> (2008) found that </w:t>
      </w:r>
      <w:r w:rsidRPr="001331D3">
        <w:rPr>
          <w:rFonts w:ascii="Times New Roman" w:hAnsi="Times New Roman"/>
          <w:noProof/>
          <w:szCs w:val="24"/>
        </w:rPr>
        <w:t>their relationship with the care recipient primarily motivated informal carers</w:t>
      </w:r>
      <w:r w:rsidRPr="001331D3">
        <w:rPr>
          <w:rFonts w:ascii="Times New Roman" w:hAnsi="Times New Roman"/>
          <w:szCs w:val="24"/>
        </w:rPr>
        <w:t xml:space="preserve"> and it was the relational connection that prompted them to begin caregiving. However, in the case of paid care workers, there is little evidence of the role of attachment theory in becoming one, </w:t>
      </w:r>
      <w:r w:rsidRPr="001331D3">
        <w:rPr>
          <w:rFonts w:ascii="Times New Roman" w:hAnsi="Times New Roman"/>
          <w:noProof/>
          <w:szCs w:val="24"/>
        </w:rPr>
        <w:t>but</w:t>
      </w:r>
      <w:r w:rsidRPr="001331D3">
        <w:rPr>
          <w:rFonts w:ascii="Times New Roman" w:hAnsi="Times New Roman"/>
          <w:szCs w:val="24"/>
        </w:rPr>
        <w:t xml:space="preserve"> it may be a reason for a care worker to continue in the </w:t>
      </w:r>
      <w:r w:rsidRPr="001331D3">
        <w:rPr>
          <w:rFonts w:ascii="Times New Roman" w:hAnsi="Times New Roman"/>
          <w:noProof/>
          <w:szCs w:val="24"/>
        </w:rPr>
        <w:t>role</w:t>
      </w:r>
      <w:r w:rsidRPr="001331D3">
        <w:rPr>
          <w:rFonts w:ascii="Times New Roman" w:hAnsi="Times New Roman"/>
          <w:szCs w:val="24"/>
        </w:rPr>
        <w:t xml:space="preserve"> (Browne and Shlosberg, 2006). The next section </w:t>
      </w:r>
      <w:r w:rsidRPr="001331D3">
        <w:rPr>
          <w:rFonts w:ascii="Times New Roman" w:hAnsi="Times New Roman"/>
          <w:noProof/>
          <w:szCs w:val="24"/>
        </w:rPr>
        <w:t>highlights</w:t>
      </w:r>
      <w:r w:rsidRPr="001331D3">
        <w:rPr>
          <w:rFonts w:ascii="Times New Roman" w:hAnsi="Times New Roman"/>
          <w:szCs w:val="24"/>
        </w:rPr>
        <w:t xml:space="preserve"> other factors that might motivate a paid care worker to care.</w:t>
      </w:r>
    </w:p>
    <w:p w14:paraId="134D3942" w14:textId="77777777" w:rsidR="006869A3" w:rsidRPr="001331D3" w:rsidRDefault="006869A3" w:rsidP="00811DBD">
      <w:pPr>
        <w:jc w:val="both"/>
        <w:rPr>
          <w:rFonts w:ascii="Times New Roman" w:hAnsi="Times New Roman"/>
          <w:szCs w:val="24"/>
        </w:rPr>
      </w:pPr>
    </w:p>
    <w:p w14:paraId="659F4A45" w14:textId="77777777" w:rsidR="00811DBD" w:rsidRPr="001331D3" w:rsidRDefault="00811DBD" w:rsidP="006869A3">
      <w:pPr>
        <w:pStyle w:val="Heading2"/>
      </w:pPr>
      <w:bookmarkStart w:id="79" w:name="_Toc86417265"/>
      <w:r w:rsidRPr="001331D3">
        <w:lastRenderedPageBreak/>
        <w:t>3.6. Other factors that might motivate care workers</w:t>
      </w:r>
      <w:bookmarkEnd w:id="79"/>
    </w:p>
    <w:p w14:paraId="2AF13347" w14:textId="77777777" w:rsidR="00811DBD" w:rsidRPr="001331D3" w:rsidRDefault="00811DBD" w:rsidP="00EF6AF7">
      <w:pPr>
        <w:autoSpaceDE w:val="0"/>
        <w:autoSpaceDN w:val="0"/>
        <w:adjustRightInd w:val="0"/>
        <w:jc w:val="both"/>
        <w:rPr>
          <w:rFonts w:ascii="Times New Roman" w:hAnsi="Times New Roman"/>
          <w:szCs w:val="24"/>
        </w:rPr>
      </w:pPr>
      <w:r w:rsidRPr="001331D3">
        <w:rPr>
          <w:rFonts w:ascii="Times New Roman" w:hAnsi="Times New Roman"/>
          <w:szCs w:val="24"/>
        </w:rPr>
        <w:t xml:space="preserve">Mickus, Luz and Hogan (2004) conducted a survey with 1,100 care workers to consider the factors responsible for the entrance of care workers into care work and they discovered that there are often positive accounts for their participants’ involvement in care work. They found that care workers had a range of reasons for engaging in care work including: the desire to help others, relationships with others, </w:t>
      </w:r>
      <w:r w:rsidRPr="001331D3">
        <w:rPr>
          <w:rFonts w:ascii="Times New Roman" w:hAnsi="Times New Roman"/>
          <w:noProof/>
          <w:szCs w:val="24"/>
        </w:rPr>
        <w:t>willingness</w:t>
      </w:r>
      <w:r w:rsidRPr="001331D3">
        <w:rPr>
          <w:rFonts w:ascii="Times New Roman" w:hAnsi="Times New Roman"/>
          <w:szCs w:val="24"/>
        </w:rPr>
        <w:t xml:space="preserve"> to engage in meaningful work, preference for part-time and flexible hours, and work commitment.</w:t>
      </w:r>
    </w:p>
    <w:p w14:paraId="0248E817" w14:textId="77777777" w:rsidR="00811DBD" w:rsidRPr="001331D3" w:rsidRDefault="00811DBD" w:rsidP="00811DBD">
      <w:pPr>
        <w:autoSpaceDE w:val="0"/>
        <w:autoSpaceDN w:val="0"/>
        <w:adjustRightInd w:val="0"/>
        <w:jc w:val="both"/>
        <w:rPr>
          <w:rFonts w:ascii="Times New Roman" w:hAnsi="Times New Roman"/>
          <w:szCs w:val="24"/>
        </w:rPr>
      </w:pPr>
      <w:r w:rsidRPr="001331D3">
        <w:rPr>
          <w:rFonts w:ascii="Times New Roman" w:hAnsi="Times New Roman"/>
          <w:szCs w:val="24"/>
        </w:rPr>
        <w:t xml:space="preserve">Lindquist </w:t>
      </w:r>
      <w:r w:rsidRPr="00635A18">
        <w:rPr>
          <w:rFonts w:ascii="Times New Roman" w:hAnsi="Times New Roman"/>
          <w:i/>
          <w:iCs/>
          <w:szCs w:val="24"/>
        </w:rPr>
        <w:t>et al.</w:t>
      </w:r>
      <w:r w:rsidRPr="001331D3">
        <w:rPr>
          <w:rFonts w:ascii="Times New Roman" w:hAnsi="Times New Roman"/>
          <w:szCs w:val="24"/>
        </w:rPr>
        <w:t xml:space="preserve"> (2012) examined the motivation of individuals who chose the low paying job of paid care in the USA and found that most of the care workers chose their occupation </w:t>
      </w:r>
      <w:r w:rsidRPr="001331D3">
        <w:rPr>
          <w:rFonts w:ascii="Times New Roman" w:hAnsi="Times New Roman"/>
          <w:noProof/>
          <w:szCs w:val="24"/>
        </w:rPr>
        <w:t>because of their personal preference of being with seniors, or</w:t>
      </w:r>
      <w:r w:rsidRPr="001331D3">
        <w:rPr>
          <w:rFonts w:ascii="Times New Roman" w:hAnsi="Times New Roman"/>
          <w:szCs w:val="24"/>
        </w:rPr>
        <w:t xml:space="preserve"> because it was the best work that they could find. The researchers also found that the salary the care workers received, flexible working hours and ease of workload were the best part of their job. This research appears to suggest that the desire to care for older adults was the primary motivating factor to take up the job but what made them continue in it was the financial reward that comes from it and the </w:t>
      </w:r>
      <w:r w:rsidRPr="001331D3">
        <w:rPr>
          <w:rFonts w:ascii="Times New Roman" w:hAnsi="Times New Roman"/>
          <w:noProof/>
          <w:szCs w:val="24"/>
        </w:rPr>
        <w:t>characteristic</w:t>
      </w:r>
      <w:r w:rsidRPr="001331D3">
        <w:rPr>
          <w:rFonts w:ascii="Times New Roman" w:hAnsi="Times New Roman"/>
          <w:szCs w:val="24"/>
        </w:rPr>
        <w:t xml:space="preserve"> flexible nature of the work. Although Lindquist </w:t>
      </w:r>
      <w:r w:rsidRPr="00635A18">
        <w:rPr>
          <w:rFonts w:ascii="Times New Roman" w:hAnsi="Times New Roman"/>
          <w:i/>
          <w:iCs/>
          <w:szCs w:val="24"/>
        </w:rPr>
        <w:t>et al.</w:t>
      </w:r>
      <w:r w:rsidRPr="001331D3">
        <w:rPr>
          <w:rFonts w:ascii="Times New Roman" w:hAnsi="Times New Roman"/>
          <w:szCs w:val="24"/>
        </w:rPr>
        <w:t xml:space="preserve"> (2012) reported that over 60.2% of care workers were motivated to become care workers because of their love to be with older adults, over a quarter (26.5%) of their participants cited financial reasons as the motives for taking up the role while only 8.2% considered the salary as the key motivator for staying in the </w:t>
      </w:r>
      <w:r w:rsidRPr="001331D3">
        <w:rPr>
          <w:rFonts w:ascii="Times New Roman" w:hAnsi="Times New Roman"/>
          <w:noProof/>
          <w:szCs w:val="24"/>
        </w:rPr>
        <w:t>role</w:t>
      </w:r>
      <w:r w:rsidRPr="001331D3">
        <w:rPr>
          <w:rFonts w:ascii="Times New Roman" w:hAnsi="Times New Roman"/>
          <w:szCs w:val="24"/>
        </w:rPr>
        <w:t>.</w:t>
      </w:r>
    </w:p>
    <w:p w14:paraId="41FC5DCC" w14:textId="3097AF74" w:rsidR="00811DBD" w:rsidRPr="001331D3" w:rsidRDefault="00811DBD" w:rsidP="00811DBD">
      <w:pPr>
        <w:autoSpaceDE w:val="0"/>
        <w:autoSpaceDN w:val="0"/>
        <w:adjustRightInd w:val="0"/>
        <w:jc w:val="both"/>
        <w:rPr>
          <w:rFonts w:ascii="Times New Roman" w:hAnsi="Times New Roman"/>
          <w:szCs w:val="24"/>
        </w:rPr>
      </w:pPr>
      <w:r w:rsidRPr="001331D3">
        <w:rPr>
          <w:rFonts w:ascii="Times New Roman" w:hAnsi="Times New Roman"/>
          <w:szCs w:val="24"/>
        </w:rPr>
        <w:t xml:space="preserve">The motivating factors for caregiving highlighted by Lindquist </w:t>
      </w:r>
      <w:r w:rsidRPr="00635A18">
        <w:rPr>
          <w:rFonts w:ascii="Times New Roman" w:hAnsi="Times New Roman"/>
          <w:i/>
          <w:iCs/>
          <w:szCs w:val="24"/>
        </w:rPr>
        <w:t>et al.</w:t>
      </w:r>
      <w:r w:rsidRPr="001331D3">
        <w:rPr>
          <w:rFonts w:ascii="Times New Roman" w:hAnsi="Times New Roman"/>
          <w:szCs w:val="24"/>
        </w:rPr>
        <w:t xml:space="preserve"> (2012) and other researchers such as Mickus, Luz and Hogan (2004) </w:t>
      </w:r>
      <w:r w:rsidR="004F028A" w:rsidRPr="001331D3">
        <w:rPr>
          <w:rFonts w:ascii="Times New Roman" w:hAnsi="Times New Roman"/>
          <w:szCs w:val="24"/>
        </w:rPr>
        <w:t>fit</w:t>
      </w:r>
      <w:r w:rsidRPr="001331D3">
        <w:rPr>
          <w:rFonts w:ascii="Times New Roman" w:hAnsi="Times New Roman"/>
          <w:szCs w:val="24"/>
        </w:rPr>
        <w:t xml:space="preserve"> into the intrinsic and extrinsic classes of motivation. Feldman, Sapienza and Kane (1994) noted that </w:t>
      </w:r>
      <w:r w:rsidRPr="001331D3">
        <w:rPr>
          <w:rFonts w:ascii="Times New Roman" w:hAnsi="Times New Roman"/>
          <w:noProof/>
          <w:szCs w:val="24"/>
        </w:rPr>
        <w:t>intrinsic</w:t>
      </w:r>
      <w:r w:rsidRPr="001331D3">
        <w:rPr>
          <w:rFonts w:ascii="Times New Roman" w:hAnsi="Times New Roman"/>
          <w:szCs w:val="24"/>
        </w:rPr>
        <w:t xml:space="preserve"> motivating factors, such as a sense of personal responsibility and the gratification of their clients </w:t>
      </w:r>
      <w:r w:rsidRPr="001331D3">
        <w:rPr>
          <w:rFonts w:ascii="Times New Roman" w:hAnsi="Times New Roman"/>
          <w:noProof/>
          <w:szCs w:val="24"/>
        </w:rPr>
        <w:t>are</w:t>
      </w:r>
      <w:r w:rsidRPr="001331D3">
        <w:rPr>
          <w:rFonts w:ascii="Times New Roman" w:hAnsi="Times New Roman"/>
          <w:szCs w:val="24"/>
        </w:rPr>
        <w:t xml:space="preserve"> what motivate many care workers to assume and remain committed to their caregiving roles. For example, Gambino (2010), in a study exploring the relationships between registered nurses’ motivation for entering the profession, occupational commitment and their intent to remain found that many of the nurses cited interest in health care as their motivation to enter the profession. </w:t>
      </w:r>
      <w:r w:rsidRPr="001331D3">
        <w:rPr>
          <w:rFonts w:ascii="Times New Roman" w:hAnsi="Times New Roman"/>
          <w:noProof/>
          <w:szCs w:val="24"/>
        </w:rPr>
        <w:t xml:space="preserve">Although wages were </w:t>
      </w:r>
      <w:r w:rsidRPr="001331D3">
        <w:rPr>
          <w:rFonts w:ascii="Times New Roman" w:hAnsi="Times New Roman"/>
          <w:noProof/>
          <w:szCs w:val="24"/>
        </w:rPr>
        <w:lastRenderedPageBreak/>
        <w:t>not reported to be the most important factor influencing their decision to care, it is difficult to know what role monetary motivation plays in the motivation to take up and continue in paid caregiving roles. In addition, the motives are not mutually exclusive (i.e. people may enter paid caregiving because they like caring for others and they need paid employment).</w:t>
      </w:r>
    </w:p>
    <w:p w14:paraId="09A731BC" w14:textId="77777777" w:rsidR="00811DBD" w:rsidRPr="001331D3" w:rsidRDefault="00811DBD" w:rsidP="00811DBD">
      <w:pPr>
        <w:autoSpaceDE w:val="0"/>
        <w:autoSpaceDN w:val="0"/>
        <w:adjustRightInd w:val="0"/>
        <w:jc w:val="both"/>
        <w:rPr>
          <w:rFonts w:ascii="Times New Roman" w:hAnsi="Times New Roman"/>
          <w:szCs w:val="24"/>
        </w:rPr>
      </w:pPr>
      <w:r w:rsidRPr="001331D3">
        <w:rPr>
          <w:rFonts w:ascii="Times New Roman" w:hAnsi="Times New Roman"/>
          <w:szCs w:val="24"/>
        </w:rPr>
        <w:t xml:space="preserve">One other factor to consider in the motivation of paid care workers is the cultural differences in caregiving that has </w:t>
      </w:r>
      <w:r w:rsidRPr="001331D3">
        <w:rPr>
          <w:rFonts w:ascii="Times New Roman" w:hAnsi="Times New Roman"/>
          <w:noProof/>
          <w:szCs w:val="24"/>
        </w:rPr>
        <w:t>been observed</w:t>
      </w:r>
      <w:r w:rsidRPr="001331D3">
        <w:rPr>
          <w:rFonts w:ascii="Times New Roman" w:hAnsi="Times New Roman"/>
          <w:szCs w:val="24"/>
        </w:rPr>
        <w:t xml:space="preserve"> in the literature, </w:t>
      </w:r>
      <w:r w:rsidRPr="001331D3">
        <w:rPr>
          <w:rFonts w:ascii="Times New Roman" w:hAnsi="Times New Roman"/>
          <w:noProof/>
          <w:szCs w:val="24"/>
        </w:rPr>
        <w:t>and</w:t>
      </w:r>
      <w:r w:rsidRPr="001331D3">
        <w:rPr>
          <w:rFonts w:ascii="Times New Roman" w:hAnsi="Times New Roman"/>
          <w:szCs w:val="24"/>
        </w:rPr>
        <w:t xml:space="preserve"> this </w:t>
      </w:r>
      <w:r w:rsidRPr="001331D3">
        <w:rPr>
          <w:rFonts w:ascii="Times New Roman" w:hAnsi="Times New Roman"/>
          <w:noProof/>
          <w:szCs w:val="24"/>
        </w:rPr>
        <w:t>is discussed</w:t>
      </w:r>
      <w:r w:rsidRPr="001331D3">
        <w:rPr>
          <w:rFonts w:ascii="Times New Roman" w:hAnsi="Times New Roman"/>
          <w:szCs w:val="24"/>
        </w:rPr>
        <w:t xml:space="preserve"> in the next section.</w:t>
      </w:r>
    </w:p>
    <w:p w14:paraId="6E2B9C83" w14:textId="77777777" w:rsidR="00811DBD" w:rsidRPr="001331D3" w:rsidRDefault="00811DBD" w:rsidP="006869A3">
      <w:pPr>
        <w:pStyle w:val="Heading2"/>
      </w:pPr>
      <w:bookmarkStart w:id="80" w:name="_Toc86417266"/>
      <w:r w:rsidRPr="001331D3">
        <w:t>3.7. Cultural differences in motivation to care</w:t>
      </w:r>
      <w:bookmarkEnd w:id="80"/>
    </w:p>
    <w:p w14:paraId="1A2035AB" w14:textId="34F85A1C" w:rsidR="00811DBD" w:rsidRDefault="00811DBD" w:rsidP="00811DBD">
      <w:pPr>
        <w:jc w:val="both"/>
        <w:rPr>
          <w:rFonts w:ascii="Times New Roman" w:hAnsi="Times New Roman"/>
          <w:szCs w:val="24"/>
        </w:rPr>
      </w:pPr>
      <w:r w:rsidRPr="001331D3">
        <w:rPr>
          <w:rFonts w:ascii="Times New Roman" w:hAnsi="Times New Roman"/>
          <w:szCs w:val="24"/>
        </w:rPr>
        <w:t xml:space="preserve">The motivation to care can </w:t>
      </w:r>
      <w:r w:rsidRPr="001331D3">
        <w:rPr>
          <w:rFonts w:ascii="Times New Roman" w:hAnsi="Times New Roman"/>
          <w:noProof/>
          <w:szCs w:val="24"/>
        </w:rPr>
        <w:t>be influenced</w:t>
      </w:r>
      <w:r w:rsidRPr="001331D3">
        <w:rPr>
          <w:rFonts w:ascii="Times New Roman" w:hAnsi="Times New Roman"/>
          <w:szCs w:val="24"/>
        </w:rPr>
        <w:t xml:space="preserve"> by </w:t>
      </w:r>
      <w:r w:rsidRPr="001331D3">
        <w:rPr>
          <w:rFonts w:ascii="Times New Roman" w:hAnsi="Times New Roman"/>
          <w:noProof/>
          <w:szCs w:val="24"/>
        </w:rPr>
        <w:t>a number of</w:t>
      </w:r>
      <w:r w:rsidRPr="001331D3">
        <w:rPr>
          <w:rFonts w:ascii="Times New Roman" w:hAnsi="Times New Roman"/>
          <w:szCs w:val="24"/>
        </w:rPr>
        <w:t xml:space="preserve"> factors including the social and cultural context of peoples’ lives (Dilworth-Anderson and Gibson, 2002). </w:t>
      </w:r>
      <w:r w:rsidRPr="001331D3">
        <w:rPr>
          <w:rFonts w:ascii="Times New Roman" w:hAnsi="Times New Roman"/>
          <w:noProof/>
          <w:szCs w:val="24"/>
        </w:rPr>
        <w:t>This</w:t>
      </w:r>
      <w:r w:rsidRPr="001331D3">
        <w:rPr>
          <w:rFonts w:ascii="Times New Roman" w:hAnsi="Times New Roman"/>
          <w:szCs w:val="24"/>
        </w:rPr>
        <w:t xml:space="preserve"> is due in part to the cultural expectations in some societies which requires younger family members to care for older relatives, and in part to the availability of care services. For example, research suggests that in many Western cultures, spouses of the care recipient are most likely to become carers, followed by adult children of the care recipient (Camden, Livingston and Cooper, 2011). In addition, studies indicate that even among adult children, a daughter, most likely the oldest, is expected to be the carer (Quinn, Clare and Woods, 2010</w:t>
      </w:r>
      <w:r w:rsidRPr="001331D3">
        <w:rPr>
          <w:rFonts w:ascii="Times New Roman" w:hAnsi="Times New Roman"/>
          <w:szCs w:val="24"/>
          <w:bdr w:val="none" w:sz="0" w:space="0" w:color="auto" w:frame="1"/>
        </w:rPr>
        <w:t xml:space="preserve">; Schwarz </w:t>
      </w:r>
      <w:r w:rsidRPr="00635A18">
        <w:rPr>
          <w:rFonts w:ascii="Times New Roman" w:hAnsi="Times New Roman"/>
          <w:i/>
          <w:iCs/>
          <w:szCs w:val="24"/>
          <w:bdr w:val="none" w:sz="0" w:space="0" w:color="auto" w:frame="1"/>
        </w:rPr>
        <w:t>et al.</w:t>
      </w:r>
      <w:r w:rsidRPr="001331D3">
        <w:rPr>
          <w:rFonts w:ascii="Times New Roman" w:hAnsi="Times New Roman"/>
          <w:szCs w:val="24"/>
          <w:bdr w:val="none" w:sz="0" w:space="0" w:color="auto" w:frame="1"/>
        </w:rPr>
        <w:t>, 2010</w:t>
      </w:r>
      <w:r w:rsidRPr="001331D3">
        <w:rPr>
          <w:rFonts w:ascii="Times New Roman" w:hAnsi="Times New Roman"/>
          <w:szCs w:val="24"/>
        </w:rPr>
        <w:t xml:space="preserve">). </w:t>
      </w:r>
      <w:r w:rsidRPr="001331D3">
        <w:rPr>
          <w:rFonts w:ascii="Times New Roman" w:hAnsi="Times New Roman"/>
          <w:szCs w:val="24"/>
          <w:bdr w:val="none" w:sz="0" w:space="0" w:color="auto" w:frame="1"/>
        </w:rPr>
        <w:t xml:space="preserve">However, this expectation may </w:t>
      </w:r>
      <w:r w:rsidRPr="001331D3">
        <w:rPr>
          <w:rFonts w:ascii="Times New Roman" w:hAnsi="Times New Roman"/>
          <w:szCs w:val="24"/>
        </w:rPr>
        <w:t xml:space="preserve">vary amongst carers of different ethnicities and cultures. For instance, carers of Greek origin were more likely to be motivated by expectations bestowed on them by their religion, while Korean carers were more motivated by filial responsibilities than American carers (Lee and Sung, 1997; Kabitsi and Powers, 2002). The kin relationship also determined motivation, with daughters more likely than </w:t>
      </w:r>
      <w:r w:rsidRPr="001331D3">
        <w:rPr>
          <w:rFonts w:ascii="Times New Roman" w:hAnsi="Times New Roman"/>
          <w:noProof/>
          <w:szCs w:val="24"/>
        </w:rPr>
        <w:t>daughters-in-law</w:t>
      </w:r>
      <w:r w:rsidRPr="001331D3">
        <w:rPr>
          <w:rFonts w:ascii="Times New Roman" w:hAnsi="Times New Roman"/>
          <w:szCs w:val="24"/>
        </w:rPr>
        <w:t xml:space="preserve"> to report affection. In one study, carers who cited fewer personal reasons and more external pressures motivating them to care reported more mental health problems (Romero-Morena </w:t>
      </w:r>
      <w:r w:rsidRPr="00635A18">
        <w:rPr>
          <w:rFonts w:ascii="Times New Roman" w:hAnsi="Times New Roman"/>
          <w:i/>
          <w:iCs/>
          <w:szCs w:val="24"/>
        </w:rPr>
        <w:t>et al.</w:t>
      </w:r>
      <w:r w:rsidRPr="001331D3">
        <w:rPr>
          <w:rFonts w:ascii="Times New Roman" w:hAnsi="Times New Roman"/>
          <w:szCs w:val="24"/>
        </w:rPr>
        <w:t xml:space="preserve">, 2010). A detailed consideration of the influence of culture on caregiving </w:t>
      </w:r>
      <w:r w:rsidRPr="001331D3">
        <w:rPr>
          <w:rFonts w:ascii="Times New Roman" w:hAnsi="Times New Roman"/>
          <w:noProof/>
          <w:szCs w:val="24"/>
        </w:rPr>
        <w:t>is presented</w:t>
      </w:r>
      <w:r w:rsidRPr="001331D3">
        <w:rPr>
          <w:rFonts w:ascii="Times New Roman" w:hAnsi="Times New Roman"/>
          <w:szCs w:val="24"/>
        </w:rPr>
        <w:t xml:space="preserve"> in the next chapter.</w:t>
      </w:r>
    </w:p>
    <w:p w14:paraId="36A5BBC4" w14:textId="0F210EA5" w:rsidR="006869A3" w:rsidRDefault="006869A3" w:rsidP="00811DBD">
      <w:pPr>
        <w:jc w:val="both"/>
        <w:rPr>
          <w:rFonts w:ascii="Times New Roman" w:hAnsi="Times New Roman"/>
          <w:szCs w:val="24"/>
        </w:rPr>
      </w:pPr>
    </w:p>
    <w:p w14:paraId="023B8B83" w14:textId="77777777" w:rsidR="006869A3" w:rsidRPr="001331D3" w:rsidRDefault="006869A3" w:rsidP="00811DBD">
      <w:pPr>
        <w:jc w:val="both"/>
        <w:rPr>
          <w:rFonts w:ascii="Times New Roman" w:hAnsi="Times New Roman"/>
          <w:szCs w:val="24"/>
        </w:rPr>
      </w:pPr>
    </w:p>
    <w:p w14:paraId="60B7A022" w14:textId="77777777" w:rsidR="00811DBD" w:rsidRDefault="00811DBD" w:rsidP="006869A3">
      <w:pPr>
        <w:pStyle w:val="Heading2"/>
        <w:rPr>
          <w:lang w:val="en-US"/>
        </w:rPr>
      </w:pPr>
      <w:bookmarkStart w:id="81" w:name="_Toc86417267"/>
      <w:r w:rsidRPr="001331D3">
        <w:rPr>
          <w:lang w:val="en-US"/>
        </w:rPr>
        <w:lastRenderedPageBreak/>
        <w:t>3.8. Summary</w:t>
      </w:r>
      <w:bookmarkEnd w:id="81"/>
    </w:p>
    <w:p w14:paraId="68F61E2F" w14:textId="363EA414" w:rsidR="003C395C" w:rsidRPr="006869A3" w:rsidRDefault="00811DBD" w:rsidP="006869A3">
      <w:pPr>
        <w:spacing w:before="100" w:beforeAutospacing="1" w:after="100" w:afterAutospacing="1"/>
        <w:jc w:val="both"/>
        <w:rPr>
          <w:rFonts w:ascii="Times New Roman" w:hAnsi="Times New Roman"/>
          <w:b/>
          <w:szCs w:val="24"/>
          <w:lang w:val="en-US"/>
        </w:rPr>
      </w:pPr>
      <w:r w:rsidRPr="00084D22">
        <w:rPr>
          <w:rFonts w:ascii="Times New Roman" w:hAnsi="Times New Roman"/>
        </w:rPr>
        <w:t xml:space="preserve">In this </w:t>
      </w:r>
      <w:r w:rsidRPr="00084D22">
        <w:rPr>
          <w:rFonts w:ascii="Times New Roman" w:hAnsi="Times New Roman"/>
          <w:noProof/>
        </w:rPr>
        <w:t>chapter,</w:t>
      </w:r>
      <w:r w:rsidRPr="00084D22">
        <w:rPr>
          <w:rFonts w:ascii="Times New Roman" w:hAnsi="Times New Roman"/>
        </w:rPr>
        <w:t xml:space="preserve"> I explored some theories of work motivation that could explain the motivation of paid Nigerian migrant nurses and HCA (care workers) caring for PLWD. </w:t>
      </w:r>
      <w:r w:rsidR="00D10AB3">
        <w:rPr>
          <w:rFonts w:ascii="Times New Roman" w:hAnsi="Times New Roman"/>
        </w:rPr>
        <w:t>T</w:t>
      </w:r>
      <w:r w:rsidRPr="00084D22">
        <w:rPr>
          <w:rFonts w:ascii="Times New Roman" w:hAnsi="Times New Roman"/>
        </w:rPr>
        <w:t>he economic</w:t>
      </w:r>
      <w:r w:rsidR="00864285">
        <w:rPr>
          <w:rFonts w:ascii="Times New Roman" w:hAnsi="Times New Roman"/>
        </w:rPr>
        <w:t>/</w:t>
      </w:r>
      <w:r w:rsidRPr="00084D22">
        <w:rPr>
          <w:rFonts w:ascii="Times New Roman" w:hAnsi="Times New Roman"/>
        </w:rPr>
        <w:t>social exchange theoretical perspective</w:t>
      </w:r>
      <w:r w:rsidR="00D10AB3">
        <w:rPr>
          <w:rFonts w:ascii="Times New Roman" w:hAnsi="Times New Roman"/>
        </w:rPr>
        <w:t xml:space="preserve"> </w:t>
      </w:r>
      <w:r w:rsidR="00864285">
        <w:rPr>
          <w:rFonts w:ascii="Times New Roman" w:hAnsi="Times New Roman"/>
        </w:rPr>
        <w:t>on</w:t>
      </w:r>
      <w:r w:rsidRPr="00084D22">
        <w:rPr>
          <w:rFonts w:ascii="Times New Roman" w:hAnsi="Times New Roman"/>
        </w:rPr>
        <w:t xml:space="preserve"> work motivation </w:t>
      </w:r>
      <w:r w:rsidR="00864285">
        <w:rPr>
          <w:rFonts w:ascii="Times New Roman" w:hAnsi="Times New Roman"/>
        </w:rPr>
        <w:t>considers it</w:t>
      </w:r>
      <w:r w:rsidRPr="00084D22">
        <w:rPr>
          <w:rFonts w:ascii="Times New Roman" w:hAnsi="Times New Roman"/>
        </w:rPr>
        <w:t xml:space="preserve"> a product of monetary inducement</w:t>
      </w:r>
      <w:r w:rsidR="00A50D40">
        <w:rPr>
          <w:rFonts w:ascii="Times New Roman" w:hAnsi="Times New Roman"/>
        </w:rPr>
        <w:t xml:space="preserve"> whereas</w:t>
      </w:r>
      <w:r w:rsidRPr="00084D22">
        <w:rPr>
          <w:rFonts w:ascii="Times New Roman" w:hAnsi="Times New Roman"/>
        </w:rPr>
        <w:t xml:space="preserve"> needs-based theories </w:t>
      </w:r>
      <w:r w:rsidR="00864285">
        <w:rPr>
          <w:rFonts w:ascii="Times New Roman" w:hAnsi="Times New Roman"/>
        </w:rPr>
        <w:t>view</w:t>
      </w:r>
      <w:r w:rsidR="00D10AB3">
        <w:rPr>
          <w:rFonts w:ascii="Times New Roman" w:hAnsi="Times New Roman"/>
        </w:rPr>
        <w:t xml:space="preserve"> </w:t>
      </w:r>
      <w:r w:rsidR="00864285">
        <w:rPr>
          <w:rFonts w:ascii="Times New Roman" w:hAnsi="Times New Roman"/>
        </w:rPr>
        <w:t>it</w:t>
      </w:r>
      <w:r w:rsidRPr="00084D22">
        <w:rPr>
          <w:rFonts w:ascii="Times New Roman" w:hAnsi="Times New Roman"/>
        </w:rPr>
        <w:t xml:space="preserve"> </w:t>
      </w:r>
      <w:r w:rsidR="00D10AB3">
        <w:rPr>
          <w:rFonts w:ascii="Times New Roman" w:hAnsi="Times New Roman"/>
        </w:rPr>
        <w:t xml:space="preserve">as </w:t>
      </w:r>
      <w:r w:rsidRPr="00084D22">
        <w:rPr>
          <w:rFonts w:ascii="Times New Roman" w:hAnsi="Times New Roman"/>
        </w:rPr>
        <w:t>a consequence of unmet need</w:t>
      </w:r>
      <w:r w:rsidR="00D10AB3">
        <w:rPr>
          <w:rFonts w:ascii="Times New Roman" w:hAnsi="Times New Roman"/>
        </w:rPr>
        <w:t>.</w:t>
      </w:r>
      <w:r w:rsidRPr="00084D22">
        <w:rPr>
          <w:rFonts w:ascii="Times New Roman" w:hAnsi="Times New Roman"/>
        </w:rPr>
        <w:t xml:space="preserve"> </w:t>
      </w:r>
      <w:r w:rsidR="00D10AB3">
        <w:rPr>
          <w:rFonts w:ascii="Times New Roman" w:hAnsi="Times New Roman"/>
        </w:rPr>
        <w:t>Considering these and</w:t>
      </w:r>
      <w:r w:rsidRPr="00084D22">
        <w:rPr>
          <w:rFonts w:ascii="Times New Roman" w:hAnsi="Times New Roman"/>
        </w:rPr>
        <w:t xml:space="preserve"> other subsequent theoretical modifications, I conclude</w:t>
      </w:r>
      <w:r w:rsidR="00D10AB3">
        <w:rPr>
          <w:rFonts w:ascii="Times New Roman" w:hAnsi="Times New Roman"/>
        </w:rPr>
        <w:t>d</w:t>
      </w:r>
      <w:r w:rsidRPr="00084D22">
        <w:rPr>
          <w:rFonts w:ascii="Times New Roman" w:hAnsi="Times New Roman"/>
        </w:rPr>
        <w:t xml:space="preserve"> that no </w:t>
      </w:r>
      <w:r w:rsidR="00D10AB3">
        <w:rPr>
          <w:rFonts w:ascii="Times New Roman" w:hAnsi="Times New Roman"/>
        </w:rPr>
        <w:t>specific</w:t>
      </w:r>
      <w:r w:rsidRPr="00084D22">
        <w:rPr>
          <w:rFonts w:ascii="Times New Roman" w:hAnsi="Times New Roman"/>
        </w:rPr>
        <w:t xml:space="preserve"> theory can completely explain care work motivation due to the complexities of people’s needs and motives. However, while the motivational theories may have different levels of explanatory power, it is in the lived experience of care workers that we may find a deeper insight into their motivations and experiences of caring. Therefore, using a phenomenological approach, my thesis has sought to understand both the motivations and experiences of Nigerian care workers. In the next chapter, I continue to review the literature in the field looking at the positive and negative aspects of caring for PLWD, as well as the influence of cultural beliefs, values and practices on caregiving.</w:t>
      </w:r>
    </w:p>
    <w:p w14:paraId="781866D8" w14:textId="77777777" w:rsidR="006869A3" w:rsidRDefault="006869A3">
      <w:pPr>
        <w:spacing w:after="0" w:line="240" w:lineRule="auto"/>
        <w:rPr>
          <w:rFonts w:ascii="Times New Roman" w:hAnsi="Times New Roman"/>
          <w:b/>
          <w:bCs/>
          <w:color w:val="000000"/>
          <w:szCs w:val="24"/>
          <w:lang w:val="en-US"/>
        </w:rPr>
      </w:pPr>
      <w:r>
        <w:rPr>
          <w:rFonts w:ascii="Times New Roman" w:hAnsi="Times New Roman"/>
          <w:b/>
          <w:bCs/>
          <w:color w:val="000000"/>
          <w:szCs w:val="24"/>
          <w:lang w:val="en-US"/>
        </w:rPr>
        <w:br w:type="page"/>
      </w:r>
    </w:p>
    <w:p w14:paraId="06021187" w14:textId="1C295115" w:rsidR="00811DBD" w:rsidRPr="001E360A" w:rsidRDefault="00811DBD" w:rsidP="006869A3">
      <w:pPr>
        <w:pStyle w:val="Heading1"/>
      </w:pPr>
      <w:bookmarkStart w:id="82" w:name="_Toc86417268"/>
      <w:r w:rsidRPr="001E360A">
        <w:rPr>
          <w:lang w:val="en-US"/>
        </w:rPr>
        <w:lastRenderedPageBreak/>
        <w:t>CHAPTER FOUR</w:t>
      </w:r>
      <w:bookmarkEnd w:id="82"/>
    </w:p>
    <w:p w14:paraId="186729E8" w14:textId="77777777" w:rsidR="00811DBD" w:rsidRPr="001E360A" w:rsidRDefault="00811DBD" w:rsidP="00811DBD">
      <w:pPr>
        <w:jc w:val="center"/>
        <w:textAlignment w:val="baseline"/>
        <w:rPr>
          <w:rFonts w:ascii="Times New Roman" w:hAnsi="Times New Roman"/>
          <w:color w:val="000000"/>
          <w:szCs w:val="24"/>
        </w:rPr>
      </w:pPr>
      <w:r>
        <w:rPr>
          <w:rFonts w:ascii="Times New Roman" w:hAnsi="Times New Roman"/>
          <w:b/>
          <w:bCs/>
          <w:color w:val="000000"/>
          <w:szCs w:val="24"/>
        </w:rPr>
        <w:t xml:space="preserve">THE EXPERIENCES OF DEMENTIA </w:t>
      </w:r>
      <w:r w:rsidRPr="001E360A">
        <w:rPr>
          <w:rFonts w:ascii="Times New Roman" w:hAnsi="Times New Roman"/>
          <w:b/>
          <w:bCs/>
          <w:color w:val="000000"/>
          <w:szCs w:val="24"/>
        </w:rPr>
        <w:t xml:space="preserve">CAREGIVING AND </w:t>
      </w:r>
      <w:r>
        <w:rPr>
          <w:rFonts w:ascii="Times New Roman" w:hAnsi="Times New Roman"/>
          <w:b/>
          <w:bCs/>
          <w:color w:val="000000"/>
          <w:szCs w:val="24"/>
        </w:rPr>
        <w:t xml:space="preserve">THE </w:t>
      </w:r>
      <w:r w:rsidRPr="001E360A">
        <w:rPr>
          <w:rFonts w:ascii="Times New Roman" w:hAnsi="Times New Roman"/>
          <w:b/>
          <w:bCs/>
          <w:color w:val="000000"/>
          <w:szCs w:val="24"/>
        </w:rPr>
        <w:t>CULTURAL PERSPECTIVES TO CAREGIVING</w:t>
      </w:r>
    </w:p>
    <w:p w14:paraId="48BF7628" w14:textId="77777777" w:rsidR="00811DBD" w:rsidRPr="001E360A" w:rsidRDefault="00811DBD" w:rsidP="006869A3">
      <w:pPr>
        <w:pStyle w:val="Heading2"/>
      </w:pPr>
      <w:bookmarkStart w:id="83" w:name="_Toc86417269"/>
      <w:r w:rsidRPr="001E360A">
        <w:t>4.1. Introduction</w:t>
      </w:r>
      <w:bookmarkEnd w:id="83"/>
    </w:p>
    <w:p w14:paraId="7424C44E"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 previous chapter examined some of the debates concerning people’s motivation for caregiving. In this chapter, the first section focuses on the literature regarding the impact and experience of caring for peop</w:t>
      </w:r>
      <w:r>
        <w:rPr>
          <w:rFonts w:ascii="Times New Roman" w:hAnsi="Times New Roman"/>
          <w:color w:val="000000"/>
          <w:szCs w:val="24"/>
        </w:rPr>
        <w:t>le living with dementia (PLWD)</w:t>
      </w:r>
      <w:r w:rsidRPr="001E360A">
        <w:rPr>
          <w:rFonts w:ascii="Times New Roman" w:hAnsi="Times New Roman"/>
          <w:color w:val="000000"/>
          <w:szCs w:val="24"/>
        </w:rPr>
        <w:t xml:space="preserve"> while the second section examines some of the debates </w:t>
      </w:r>
      <w:r>
        <w:rPr>
          <w:rFonts w:ascii="Times New Roman" w:hAnsi="Times New Roman"/>
          <w:color w:val="000000"/>
          <w:szCs w:val="24"/>
        </w:rPr>
        <w:t>on</w:t>
      </w:r>
      <w:r w:rsidRPr="001E360A">
        <w:rPr>
          <w:rFonts w:ascii="Times New Roman" w:hAnsi="Times New Roman"/>
          <w:color w:val="000000"/>
          <w:szCs w:val="24"/>
        </w:rPr>
        <w:t xml:space="preserve"> culture and caregiving as well as the cultural perspective on dementia. T</w:t>
      </w:r>
      <w:r w:rsidRPr="001E360A">
        <w:rPr>
          <w:rFonts w:ascii="Times New Roman" w:hAnsi="Times New Roman"/>
          <w:color w:val="000000"/>
          <w:szCs w:val="24"/>
          <w:lang w:val="en"/>
        </w:rPr>
        <w:t xml:space="preserve">here is limited research on the experience of </w:t>
      </w:r>
      <w:r>
        <w:rPr>
          <w:rFonts w:ascii="Times New Roman" w:hAnsi="Times New Roman"/>
          <w:color w:val="000000"/>
          <w:szCs w:val="24"/>
          <w:lang w:val="en"/>
        </w:rPr>
        <w:t xml:space="preserve">paid </w:t>
      </w:r>
      <w:r w:rsidRPr="001E360A">
        <w:rPr>
          <w:rFonts w:ascii="Times New Roman" w:hAnsi="Times New Roman"/>
          <w:color w:val="000000"/>
          <w:szCs w:val="24"/>
          <w:lang w:val="en"/>
        </w:rPr>
        <w:t xml:space="preserve">care workers (Lloyds, Patterson and Muers, 2016; </w:t>
      </w:r>
      <w:r w:rsidRPr="001E360A">
        <w:rPr>
          <w:rFonts w:ascii="Times New Roman" w:hAnsi="Times New Roman"/>
          <w:color w:val="000000"/>
          <w:szCs w:val="24"/>
        </w:rPr>
        <w:t>Yu, Cheng and Wang, 2018</w:t>
      </w:r>
      <w:r w:rsidRPr="001E360A">
        <w:rPr>
          <w:rFonts w:ascii="Times New Roman" w:hAnsi="Times New Roman"/>
          <w:color w:val="000000"/>
          <w:szCs w:val="24"/>
          <w:lang w:val="en"/>
        </w:rPr>
        <w:t>).</w:t>
      </w:r>
      <w:r>
        <w:rPr>
          <w:rFonts w:ascii="Times New Roman" w:hAnsi="Times New Roman"/>
          <w:color w:val="000000"/>
          <w:szCs w:val="24"/>
        </w:rPr>
        <w:t xml:space="preserve"> M</w:t>
      </w:r>
      <w:r w:rsidRPr="001E360A">
        <w:rPr>
          <w:rFonts w:ascii="Times New Roman" w:hAnsi="Times New Roman"/>
          <w:color w:val="000000"/>
          <w:szCs w:val="24"/>
        </w:rPr>
        <w:t xml:space="preserve">ost of the literature on caregiving focuses on the experiences of family </w:t>
      </w:r>
      <w:r>
        <w:rPr>
          <w:rFonts w:ascii="Times New Roman" w:hAnsi="Times New Roman"/>
          <w:color w:val="000000"/>
          <w:szCs w:val="24"/>
        </w:rPr>
        <w:t>carers.</w:t>
      </w:r>
      <w:r w:rsidRPr="001E360A">
        <w:rPr>
          <w:rFonts w:ascii="Times New Roman" w:hAnsi="Times New Roman"/>
          <w:color w:val="000000"/>
          <w:szCs w:val="24"/>
        </w:rPr>
        <w:t xml:space="preserve"> </w:t>
      </w:r>
      <w:r>
        <w:rPr>
          <w:rFonts w:ascii="Times New Roman" w:hAnsi="Times New Roman"/>
          <w:color w:val="000000"/>
          <w:szCs w:val="24"/>
        </w:rPr>
        <w:t>This</w:t>
      </w:r>
      <w:r w:rsidRPr="001E360A">
        <w:rPr>
          <w:rFonts w:ascii="Times New Roman" w:hAnsi="Times New Roman"/>
          <w:color w:val="000000"/>
          <w:szCs w:val="24"/>
        </w:rPr>
        <w:t xml:space="preserve"> is nevertheless pertinent to this thesis because my findings (</w:t>
      </w:r>
      <w:r>
        <w:rPr>
          <w:rFonts w:ascii="Times New Roman" w:hAnsi="Times New Roman"/>
          <w:color w:val="000000"/>
          <w:szCs w:val="24"/>
        </w:rPr>
        <w:t>presented</w:t>
      </w:r>
      <w:r w:rsidRPr="001E360A">
        <w:rPr>
          <w:rFonts w:ascii="Times New Roman" w:hAnsi="Times New Roman"/>
          <w:color w:val="000000"/>
          <w:szCs w:val="24"/>
        </w:rPr>
        <w:t xml:space="preserve"> in later chapters) indicate</w:t>
      </w:r>
      <w:r>
        <w:rPr>
          <w:rFonts w:ascii="Times New Roman" w:hAnsi="Times New Roman"/>
          <w:color w:val="000000"/>
          <w:szCs w:val="24"/>
        </w:rPr>
        <w:t xml:space="preserve"> that</w:t>
      </w:r>
      <w:r w:rsidRPr="001E360A">
        <w:rPr>
          <w:rFonts w:ascii="Times New Roman" w:hAnsi="Times New Roman"/>
          <w:color w:val="000000"/>
          <w:szCs w:val="24"/>
        </w:rPr>
        <w:t xml:space="preserve"> many of the experiences </w:t>
      </w:r>
      <w:r>
        <w:rPr>
          <w:rFonts w:ascii="Times New Roman" w:hAnsi="Times New Roman"/>
          <w:color w:val="000000"/>
          <w:szCs w:val="24"/>
        </w:rPr>
        <w:t>of</w:t>
      </w:r>
      <w:r w:rsidRPr="001E360A">
        <w:rPr>
          <w:rFonts w:ascii="Times New Roman" w:hAnsi="Times New Roman"/>
          <w:color w:val="000000"/>
          <w:szCs w:val="24"/>
        </w:rPr>
        <w:t xml:space="preserve"> un</w:t>
      </w:r>
      <w:r>
        <w:rPr>
          <w:rFonts w:ascii="Times New Roman" w:hAnsi="Times New Roman"/>
          <w:color w:val="000000"/>
          <w:szCs w:val="24"/>
        </w:rPr>
        <w:t xml:space="preserve">paid </w:t>
      </w:r>
      <w:r w:rsidRPr="001E360A">
        <w:rPr>
          <w:rFonts w:ascii="Times New Roman" w:hAnsi="Times New Roman"/>
          <w:color w:val="000000"/>
          <w:szCs w:val="24"/>
        </w:rPr>
        <w:t>care</w:t>
      </w:r>
      <w:r>
        <w:rPr>
          <w:rFonts w:ascii="Times New Roman" w:hAnsi="Times New Roman"/>
          <w:color w:val="000000"/>
          <w:szCs w:val="24"/>
        </w:rPr>
        <w:t xml:space="preserve">rs </w:t>
      </w:r>
      <w:r w:rsidRPr="001E360A">
        <w:rPr>
          <w:rFonts w:ascii="Times New Roman" w:hAnsi="Times New Roman"/>
          <w:color w:val="000000"/>
          <w:szCs w:val="24"/>
        </w:rPr>
        <w:t xml:space="preserve">highlighted in the literature also </w:t>
      </w:r>
      <w:r>
        <w:rPr>
          <w:rFonts w:ascii="Times New Roman" w:hAnsi="Times New Roman"/>
          <w:color w:val="000000"/>
          <w:szCs w:val="24"/>
        </w:rPr>
        <w:t xml:space="preserve">resonate </w:t>
      </w:r>
      <w:r w:rsidRPr="001E360A">
        <w:rPr>
          <w:rFonts w:ascii="Times New Roman" w:hAnsi="Times New Roman"/>
          <w:color w:val="000000"/>
          <w:szCs w:val="24"/>
        </w:rPr>
        <w:t>with care workers</w:t>
      </w:r>
      <w:r>
        <w:rPr>
          <w:rFonts w:ascii="Times New Roman" w:hAnsi="Times New Roman"/>
          <w:color w:val="000000"/>
          <w:szCs w:val="24"/>
        </w:rPr>
        <w:t xml:space="preserve"> (formal or paid caregivers)</w:t>
      </w:r>
      <w:r w:rsidRPr="001E360A">
        <w:rPr>
          <w:rFonts w:ascii="Times New Roman" w:hAnsi="Times New Roman"/>
          <w:color w:val="000000"/>
          <w:szCs w:val="24"/>
        </w:rPr>
        <w:t>.</w:t>
      </w:r>
    </w:p>
    <w:p w14:paraId="418BD421" w14:textId="77777777" w:rsidR="00811DBD" w:rsidRPr="001E360A" w:rsidRDefault="00811DBD" w:rsidP="006869A3">
      <w:pPr>
        <w:pStyle w:val="Heading2"/>
      </w:pPr>
      <w:bookmarkStart w:id="84" w:name="_Toc86417270"/>
      <w:r w:rsidRPr="001E360A">
        <w:t>4.2. The impact of caregiving</w:t>
      </w:r>
      <w:bookmarkEnd w:id="84"/>
    </w:p>
    <w:p w14:paraId="2C55D021" w14:textId="77777777" w:rsidR="00811DBD" w:rsidRDefault="00811DBD" w:rsidP="00811DBD">
      <w:pPr>
        <w:jc w:val="both"/>
        <w:textAlignment w:val="baseline"/>
        <w:rPr>
          <w:rFonts w:ascii="Times New Roman" w:hAnsi="Times New Roman"/>
          <w:color w:val="000000"/>
          <w:szCs w:val="24"/>
          <w:lang w:val="en"/>
        </w:rPr>
      </w:pPr>
      <w:r w:rsidRPr="001E360A">
        <w:rPr>
          <w:rFonts w:ascii="Times New Roman" w:hAnsi="Times New Roman"/>
          <w:color w:val="000000"/>
          <w:szCs w:val="24"/>
          <w:lang w:val="en"/>
        </w:rPr>
        <w:t xml:space="preserve">While some of the literature on the effects of caregiving dichotomizes the ‘positive’ and ‘negative’ aspects of the caring role, most of the research literature recognises that the caring role involves different dimensions (Cohen, Colantonio and Vernich, 2002; </w:t>
      </w:r>
      <w:r w:rsidRPr="001E360A">
        <w:rPr>
          <w:rFonts w:ascii="Times New Roman" w:hAnsi="Times New Roman"/>
          <w:color w:val="000000"/>
          <w:szCs w:val="24"/>
        </w:rPr>
        <w:t>Hatton and Emerson, 2003; Blacher, Neece and Paczkowski, 2005; López, López-Arrieta and Crespo, 2005</w:t>
      </w:r>
      <w:r w:rsidRPr="001E360A">
        <w:rPr>
          <w:rFonts w:ascii="Times New Roman" w:hAnsi="Times New Roman"/>
          <w:color w:val="000000"/>
          <w:szCs w:val="24"/>
          <w:lang w:val="en"/>
        </w:rPr>
        <w:t>).</w:t>
      </w:r>
      <w:r>
        <w:rPr>
          <w:rFonts w:ascii="Times New Roman" w:hAnsi="Times New Roman"/>
          <w:color w:val="000000"/>
          <w:szCs w:val="24"/>
          <w:lang w:val="en"/>
        </w:rPr>
        <w:t xml:space="preserve"> </w:t>
      </w:r>
      <w:r w:rsidRPr="00704FBC">
        <w:rPr>
          <w:rFonts w:ascii="Times New Roman" w:hAnsi="Times New Roman"/>
          <w:color w:val="000000"/>
          <w:szCs w:val="24"/>
        </w:rPr>
        <w:t>It is notable that much of the research literature on dementia caregiving seems to be constructed around the ‘burden of care’, whereas there appears to be a relative paucity of research that explores the positive aspects of caregiving.</w:t>
      </w:r>
      <w:r>
        <w:rPr>
          <w:rFonts w:ascii="Times New Roman" w:hAnsi="Times New Roman"/>
          <w:color w:val="000000"/>
          <w:szCs w:val="24"/>
        </w:rPr>
        <w:t xml:space="preserve"> </w:t>
      </w:r>
      <w:r w:rsidRPr="00704FBC">
        <w:rPr>
          <w:rFonts w:ascii="Times New Roman" w:hAnsi="Times New Roman"/>
          <w:color w:val="000000"/>
          <w:szCs w:val="24"/>
        </w:rPr>
        <w:t xml:space="preserve">While only a limited number of studies have been conducted, most of them indicate that both family carers and care workers not only cope with the burden that is inherent in caring for someone with dementia, but they also consider the role satisfying and rewarding (Farran </w:t>
      </w:r>
      <w:r w:rsidRPr="00E97718">
        <w:rPr>
          <w:rFonts w:ascii="Times New Roman" w:hAnsi="Times New Roman"/>
          <w:i/>
          <w:iCs/>
          <w:color w:val="000000"/>
          <w:szCs w:val="24"/>
        </w:rPr>
        <w:t>et al.</w:t>
      </w:r>
      <w:r w:rsidRPr="001E360A">
        <w:rPr>
          <w:rFonts w:ascii="Times New Roman" w:hAnsi="Times New Roman"/>
          <w:color w:val="000000"/>
          <w:szCs w:val="24"/>
        </w:rPr>
        <w:t xml:space="preserve">, 1991; Cohen, Colantonio and Vernich, 2002), </w:t>
      </w:r>
      <w:r>
        <w:rPr>
          <w:rFonts w:ascii="Times New Roman" w:hAnsi="Times New Roman"/>
          <w:color w:val="000000"/>
          <w:szCs w:val="24"/>
        </w:rPr>
        <w:t xml:space="preserve">howbeit, </w:t>
      </w:r>
      <w:r w:rsidRPr="001E360A">
        <w:rPr>
          <w:rFonts w:ascii="Times New Roman" w:hAnsi="Times New Roman"/>
          <w:color w:val="000000"/>
          <w:szCs w:val="24"/>
        </w:rPr>
        <w:t xml:space="preserve">most of these studies focused more on family carers rather than care workers. The wider caregiving </w:t>
      </w:r>
      <w:r>
        <w:rPr>
          <w:rFonts w:ascii="Times New Roman" w:hAnsi="Times New Roman"/>
          <w:color w:val="000000"/>
          <w:szCs w:val="24"/>
        </w:rPr>
        <w:t>literature</w:t>
      </w:r>
      <w:r w:rsidRPr="001E360A">
        <w:rPr>
          <w:rFonts w:ascii="Times New Roman" w:hAnsi="Times New Roman"/>
          <w:color w:val="000000"/>
          <w:szCs w:val="24"/>
        </w:rPr>
        <w:t xml:space="preserve"> focus</w:t>
      </w:r>
      <w:r>
        <w:rPr>
          <w:rFonts w:ascii="Times New Roman" w:hAnsi="Times New Roman"/>
          <w:color w:val="000000"/>
          <w:szCs w:val="24"/>
        </w:rPr>
        <w:t>es</w:t>
      </w:r>
      <w:r w:rsidRPr="001E360A">
        <w:rPr>
          <w:rFonts w:ascii="Times New Roman" w:hAnsi="Times New Roman"/>
          <w:color w:val="000000"/>
          <w:szCs w:val="24"/>
        </w:rPr>
        <w:t xml:space="preserve"> on family carers</w:t>
      </w:r>
      <w:r>
        <w:rPr>
          <w:rFonts w:ascii="Times New Roman" w:hAnsi="Times New Roman"/>
          <w:color w:val="000000"/>
          <w:szCs w:val="24"/>
        </w:rPr>
        <w:t xml:space="preserve"> probably</w:t>
      </w:r>
      <w:r w:rsidRPr="001E360A">
        <w:rPr>
          <w:rFonts w:ascii="Times New Roman" w:hAnsi="Times New Roman"/>
          <w:color w:val="000000"/>
          <w:szCs w:val="24"/>
        </w:rPr>
        <w:t xml:space="preserve"> because of the role they </w:t>
      </w:r>
      <w:r>
        <w:rPr>
          <w:rFonts w:ascii="Times New Roman" w:hAnsi="Times New Roman"/>
          <w:color w:val="000000"/>
          <w:szCs w:val="24"/>
        </w:rPr>
        <w:t>play</w:t>
      </w:r>
      <w:r w:rsidRPr="001E360A">
        <w:rPr>
          <w:rFonts w:ascii="Times New Roman" w:hAnsi="Times New Roman"/>
          <w:color w:val="000000"/>
          <w:szCs w:val="24"/>
        </w:rPr>
        <w:t xml:space="preserve"> in helping to reduce the care burden and cost for the health services (Buckner and Yeandle, 2011</w:t>
      </w:r>
      <w:r>
        <w:rPr>
          <w:rFonts w:ascii="Times New Roman" w:hAnsi="Times New Roman"/>
          <w:color w:val="000000"/>
          <w:szCs w:val="24"/>
        </w:rPr>
        <w:t>,</w:t>
      </w:r>
      <w:r w:rsidRPr="001E360A">
        <w:rPr>
          <w:rFonts w:ascii="Times New Roman" w:hAnsi="Times New Roman"/>
          <w:color w:val="000000"/>
          <w:szCs w:val="24"/>
        </w:rPr>
        <w:t xml:space="preserve"> 2015).</w:t>
      </w:r>
    </w:p>
    <w:p w14:paraId="731E492B"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lang w:val="en"/>
        </w:rPr>
        <w:lastRenderedPageBreak/>
        <w:t>The literature covers a wide range of themes, some of which have been highlighted below.</w:t>
      </w:r>
    </w:p>
    <w:p w14:paraId="6BE9E5E3" w14:textId="77777777" w:rsidR="00811DBD" w:rsidRDefault="00811DBD" w:rsidP="006869A3">
      <w:pPr>
        <w:pStyle w:val="Heading3"/>
        <w:rPr>
          <w:lang w:val="en"/>
        </w:rPr>
      </w:pPr>
      <w:bookmarkStart w:id="85" w:name="_Toc86417271"/>
      <w:r w:rsidRPr="001E360A">
        <w:t xml:space="preserve">4.2.1. </w:t>
      </w:r>
      <w:r w:rsidRPr="008A1B03">
        <w:rPr>
          <w:lang w:val="en"/>
        </w:rPr>
        <w:t>Positive emotions</w:t>
      </w:r>
      <w:bookmarkEnd w:id="85"/>
    </w:p>
    <w:p w14:paraId="07252BA1"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lang w:val="en"/>
        </w:rPr>
        <w:t xml:space="preserve">Research suggests that the caregiving role can elicit a feeling of fulfilment </w:t>
      </w:r>
      <w:r>
        <w:rPr>
          <w:rFonts w:ascii="Times New Roman" w:hAnsi="Times New Roman"/>
          <w:color w:val="000000"/>
          <w:szCs w:val="24"/>
          <w:lang w:val="en"/>
        </w:rPr>
        <w:t>which</w:t>
      </w:r>
      <w:r w:rsidRPr="001E360A">
        <w:rPr>
          <w:rFonts w:ascii="Times New Roman" w:hAnsi="Times New Roman"/>
          <w:color w:val="000000"/>
          <w:szCs w:val="24"/>
          <w:lang w:val="en"/>
        </w:rPr>
        <w:t xml:space="preserve"> can lower levels of depression and anxiety for carers (Cohen, Colantonio and Vernich, 2002</w:t>
      </w:r>
      <w:r w:rsidRPr="001E360A">
        <w:rPr>
          <w:rFonts w:ascii="Times New Roman" w:hAnsi="Times New Roman"/>
          <w:color w:val="000000"/>
          <w:szCs w:val="24"/>
        </w:rPr>
        <w:t xml:space="preserve">; López, López-Arrieta and Crespo, 2005; Mausbach </w:t>
      </w:r>
      <w:r w:rsidRPr="00E97718">
        <w:rPr>
          <w:rFonts w:ascii="Times New Roman" w:hAnsi="Times New Roman"/>
          <w:i/>
          <w:iCs/>
          <w:color w:val="000000"/>
          <w:szCs w:val="24"/>
        </w:rPr>
        <w:t>et al.</w:t>
      </w:r>
      <w:r w:rsidRPr="001E360A">
        <w:rPr>
          <w:rFonts w:ascii="Times New Roman" w:hAnsi="Times New Roman"/>
          <w:color w:val="000000"/>
          <w:szCs w:val="24"/>
        </w:rPr>
        <w:t xml:space="preserve">, 2006). </w:t>
      </w:r>
      <w:r>
        <w:rPr>
          <w:rFonts w:ascii="Times New Roman" w:hAnsi="Times New Roman"/>
          <w:color w:val="000000"/>
          <w:szCs w:val="24"/>
        </w:rPr>
        <w:t>It</w:t>
      </w:r>
      <w:r w:rsidRPr="001E360A">
        <w:rPr>
          <w:rFonts w:ascii="Times New Roman" w:hAnsi="Times New Roman"/>
          <w:color w:val="000000"/>
          <w:szCs w:val="24"/>
        </w:rPr>
        <w:t xml:space="preserve"> </w:t>
      </w:r>
      <w:r>
        <w:rPr>
          <w:rFonts w:ascii="Times New Roman" w:hAnsi="Times New Roman"/>
          <w:color w:val="000000"/>
          <w:szCs w:val="24"/>
        </w:rPr>
        <w:t xml:space="preserve">is </w:t>
      </w:r>
      <w:r w:rsidRPr="001E360A">
        <w:rPr>
          <w:rFonts w:ascii="Times New Roman" w:hAnsi="Times New Roman"/>
          <w:color w:val="000000"/>
          <w:szCs w:val="24"/>
        </w:rPr>
        <w:t>also suggest</w:t>
      </w:r>
      <w:r>
        <w:rPr>
          <w:rFonts w:ascii="Times New Roman" w:hAnsi="Times New Roman"/>
          <w:color w:val="000000"/>
          <w:szCs w:val="24"/>
        </w:rPr>
        <w:t>ed</w:t>
      </w:r>
      <w:r w:rsidRPr="001E360A">
        <w:rPr>
          <w:rFonts w:ascii="Times New Roman" w:hAnsi="Times New Roman"/>
          <w:color w:val="000000"/>
          <w:szCs w:val="24"/>
        </w:rPr>
        <w:t xml:space="preserve"> that </w:t>
      </w:r>
      <w:r>
        <w:rPr>
          <w:rFonts w:ascii="Times New Roman" w:hAnsi="Times New Roman"/>
          <w:color w:val="000000"/>
          <w:szCs w:val="24"/>
        </w:rPr>
        <w:t>those</w:t>
      </w:r>
      <w:r w:rsidRPr="001E360A">
        <w:rPr>
          <w:rFonts w:ascii="Times New Roman" w:hAnsi="Times New Roman"/>
          <w:color w:val="000000"/>
          <w:szCs w:val="24"/>
        </w:rPr>
        <w:t xml:space="preserve"> who </w:t>
      </w:r>
      <w:r>
        <w:rPr>
          <w:rFonts w:ascii="Times New Roman" w:hAnsi="Times New Roman"/>
          <w:color w:val="000000"/>
          <w:szCs w:val="24"/>
        </w:rPr>
        <w:t>had</w:t>
      </w:r>
      <w:r w:rsidRPr="001E360A">
        <w:rPr>
          <w:rFonts w:ascii="Times New Roman" w:hAnsi="Times New Roman"/>
          <w:color w:val="000000"/>
          <w:szCs w:val="24"/>
        </w:rPr>
        <w:t xml:space="preserve"> a positive feeling about their caregiving role</w:t>
      </w:r>
      <w:r>
        <w:rPr>
          <w:rFonts w:ascii="Times New Roman" w:hAnsi="Times New Roman"/>
          <w:color w:val="000000"/>
          <w:szCs w:val="24"/>
        </w:rPr>
        <w:t xml:space="preserve"> were</w:t>
      </w:r>
      <w:r w:rsidRPr="001E360A">
        <w:rPr>
          <w:rFonts w:ascii="Times New Roman" w:hAnsi="Times New Roman"/>
          <w:color w:val="000000"/>
          <w:szCs w:val="24"/>
        </w:rPr>
        <w:t xml:space="preserve"> often less affected by the care recipient’s ‘problem’ behaviours (Pinquart and Sorensen, 2004). Th</w:t>
      </w:r>
      <w:r>
        <w:rPr>
          <w:rFonts w:ascii="Times New Roman" w:hAnsi="Times New Roman"/>
          <w:color w:val="000000"/>
          <w:szCs w:val="24"/>
        </w:rPr>
        <w:t>is</w:t>
      </w:r>
      <w:r w:rsidRPr="001E360A">
        <w:rPr>
          <w:rFonts w:ascii="Times New Roman" w:hAnsi="Times New Roman"/>
          <w:color w:val="000000"/>
          <w:szCs w:val="24"/>
        </w:rPr>
        <w:t xml:space="preserve"> </w:t>
      </w:r>
      <w:r>
        <w:rPr>
          <w:rFonts w:ascii="Times New Roman" w:hAnsi="Times New Roman"/>
          <w:color w:val="000000"/>
          <w:szCs w:val="24"/>
        </w:rPr>
        <w:t xml:space="preserve">might </w:t>
      </w:r>
      <w:r w:rsidRPr="001E360A">
        <w:rPr>
          <w:rFonts w:ascii="Times New Roman" w:hAnsi="Times New Roman"/>
          <w:color w:val="000000"/>
          <w:szCs w:val="24"/>
        </w:rPr>
        <w:t xml:space="preserve">be linked to the carer’s ability to manage the care recipient’s problem behaviours (Hirshfield, 1983), which </w:t>
      </w:r>
      <w:r>
        <w:rPr>
          <w:rFonts w:ascii="Times New Roman" w:hAnsi="Times New Roman"/>
          <w:color w:val="000000"/>
          <w:szCs w:val="24"/>
        </w:rPr>
        <w:t>has been</w:t>
      </w:r>
      <w:r w:rsidRPr="001E360A">
        <w:rPr>
          <w:rFonts w:ascii="Times New Roman" w:hAnsi="Times New Roman"/>
          <w:color w:val="000000"/>
          <w:szCs w:val="24"/>
        </w:rPr>
        <w:t xml:space="preserve"> associated with the meaning the</w:t>
      </w:r>
      <w:r>
        <w:rPr>
          <w:rFonts w:ascii="Times New Roman" w:hAnsi="Times New Roman"/>
          <w:color w:val="000000"/>
          <w:szCs w:val="24"/>
        </w:rPr>
        <w:t>y</w:t>
      </w:r>
      <w:r w:rsidRPr="001E360A">
        <w:rPr>
          <w:rFonts w:ascii="Times New Roman" w:hAnsi="Times New Roman"/>
          <w:color w:val="000000"/>
          <w:szCs w:val="24"/>
        </w:rPr>
        <w:t xml:space="preserve"> attach to their role and the satisfaction they derive from it</w:t>
      </w:r>
      <w:r>
        <w:rPr>
          <w:rFonts w:ascii="Times New Roman" w:hAnsi="Times New Roman"/>
          <w:color w:val="000000"/>
          <w:szCs w:val="24"/>
        </w:rPr>
        <w:t xml:space="preserve"> </w:t>
      </w:r>
      <w:r w:rsidRPr="001E360A">
        <w:rPr>
          <w:rFonts w:ascii="Times New Roman" w:hAnsi="Times New Roman"/>
          <w:color w:val="000000"/>
          <w:szCs w:val="24"/>
        </w:rPr>
        <w:t xml:space="preserve">(Feast </w:t>
      </w:r>
      <w:r w:rsidRPr="00E97718">
        <w:rPr>
          <w:rFonts w:ascii="Times New Roman" w:hAnsi="Times New Roman"/>
          <w:i/>
          <w:iCs/>
          <w:color w:val="000000"/>
          <w:szCs w:val="24"/>
        </w:rPr>
        <w:t>et al.</w:t>
      </w:r>
      <w:r w:rsidRPr="001E360A">
        <w:rPr>
          <w:rFonts w:ascii="Times New Roman" w:hAnsi="Times New Roman"/>
          <w:color w:val="000000"/>
          <w:szCs w:val="24"/>
        </w:rPr>
        <w:t xml:space="preserve">, 2016). Notably, family carers who reported high satisfaction in their role as carers </w:t>
      </w:r>
      <w:r>
        <w:rPr>
          <w:rFonts w:ascii="Times New Roman" w:hAnsi="Times New Roman"/>
          <w:color w:val="000000"/>
          <w:szCs w:val="24"/>
        </w:rPr>
        <w:t>we</w:t>
      </w:r>
      <w:r w:rsidRPr="001E360A">
        <w:rPr>
          <w:rFonts w:ascii="Times New Roman" w:hAnsi="Times New Roman"/>
          <w:color w:val="000000"/>
          <w:szCs w:val="24"/>
        </w:rPr>
        <w:t xml:space="preserve">re often willing to continue </w:t>
      </w:r>
      <w:r>
        <w:rPr>
          <w:rFonts w:ascii="Times New Roman" w:hAnsi="Times New Roman"/>
          <w:color w:val="000000"/>
          <w:szCs w:val="24"/>
        </w:rPr>
        <w:t>to do so</w:t>
      </w:r>
      <w:r w:rsidRPr="001E360A">
        <w:rPr>
          <w:rFonts w:ascii="Times New Roman" w:hAnsi="Times New Roman"/>
          <w:color w:val="000000"/>
          <w:szCs w:val="24"/>
        </w:rPr>
        <w:t xml:space="preserve"> and less likely to place their relative in institutional care (Roff </w:t>
      </w:r>
      <w:r w:rsidRPr="00E97718">
        <w:rPr>
          <w:rFonts w:ascii="Times New Roman" w:hAnsi="Times New Roman"/>
          <w:i/>
          <w:iCs/>
          <w:color w:val="000000"/>
          <w:szCs w:val="24"/>
        </w:rPr>
        <w:t>et al.</w:t>
      </w:r>
      <w:r w:rsidRPr="001E360A">
        <w:rPr>
          <w:rFonts w:ascii="Times New Roman" w:hAnsi="Times New Roman"/>
          <w:color w:val="000000"/>
          <w:szCs w:val="24"/>
        </w:rPr>
        <w:t xml:space="preserve">, 2004). </w:t>
      </w:r>
      <w:r>
        <w:rPr>
          <w:rFonts w:ascii="Times New Roman" w:hAnsi="Times New Roman"/>
          <w:color w:val="000000"/>
          <w:szCs w:val="24"/>
        </w:rPr>
        <w:t>In addition</w:t>
      </w:r>
      <w:r w:rsidRPr="001E360A">
        <w:rPr>
          <w:rFonts w:ascii="Times New Roman" w:hAnsi="Times New Roman"/>
          <w:color w:val="000000"/>
          <w:szCs w:val="24"/>
        </w:rPr>
        <w:t>, maintaining a positive attitude towards caregiving, finding meaning in and deriving gratification from the caregiving experience has also been associated with increased morale and a feeling of being more able to manage caregiving stress (Rapp and Chao, 2000).</w:t>
      </w:r>
    </w:p>
    <w:p w14:paraId="38078433" w14:textId="77777777" w:rsidR="00811DBD" w:rsidRDefault="00811DBD" w:rsidP="00811DBD">
      <w:pPr>
        <w:jc w:val="both"/>
        <w:textAlignment w:val="baseline"/>
        <w:rPr>
          <w:rFonts w:ascii="Times New Roman" w:hAnsi="Times New Roman"/>
          <w:color w:val="000000"/>
          <w:szCs w:val="24"/>
        </w:rPr>
      </w:pPr>
      <w:r>
        <w:rPr>
          <w:rFonts w:ascii="Times New Roman" w:hAnsi="Times New Roman"/>
          <w:color w:val="000000"/>
          <w:szCs w:val="24"/>
        </w:rPr>
        <w:t>R</w:t>
      </w:r>
      <w:r w:rsidRPr="001E360A">
        <w:rPr>
          <w:rFonts w:ascii="Times New Roman" w:hAnsi="Times New Roman"/>
          <w:color w:val="000000"/>
          <w:szCs w:val="24"/>
        </w:rPr>
        <w:t xml:space="preserve">esearch suggests that there may be different cultural variation in attitudes to caregiving. For example, Roff </w:t>
      </w:r>
      <w:r w:rsidRPr="00E97718">
        <w:rPr>
          <w:rFonts w:ascii="Times New Roman" w:hAnsi="Times New Roman"/>
          <w:i/>
          <w:iCs/>
          <w:color w:val="000000"/>
          <w:szCs w:val="24"/>
        </w:rPr>
        <w:t>et al.</w:t>
      </w:r>
      <w:r w:rsidRPr="001E360A">
        <w:rPr>
          <w:rFonts w:ascii="Times New Roman" w:hAnsi="Times New Roman"/>
          <w:color w:val="000000"/>
          <w:szCs w:val="24"/>
        </w:rPr>
        <w:t xml:space="preserve"> (2004) examined differences in the report of the positive aspects of caregiving among African American and White (non-Latino) carers as part of </w:t>
      </w:r>
      <w:r>
        <w:rPr>
          <w:rFonts w:ascii="Times New Roman" w:hAnsi="Times New Roman"/>
          <w:color w:val="000000"/>
          <w:szCs w:val="24"/>
        </w:rPr>
        <w:t>the</w:t>
      </w:r>
      <w:r w:rsidRPr="001E360A">
        <w:rPr>
          <w:rFonts w:ascii="Times New Roman" w:hAnsi="Times New Roman"/>
          <w:color w:val="000000"/>
          <w:szCs w:val="24"/>
        </w:rPr>
        <w:t xml:space="preserve"> National Institutes of Health</w:t>
      </w:r>
      <w:r>
        <w:rPr>
          <w:rFonts w:ascii="Times New Roman" w:hAnsi="Times New Roman"/>
          <w:color w:val="000000"/>
          <w:szCs w:val="24"/>
        </w:rPr>
        <w:t>’s</w:t>
      </w:r>
      <w:r w:rsidRPr="001E360A">
        <w:rPr>
          <w:rFonts w:ascii="Times New Roman" w:hAnsi="Times New Roman"/>
          <w:color w:val="000000"/>
          <w:szCs w:val="24"/>
        </w:rPr>
        <w:t xml:space="preserve"> </w:t>
      </w:r>
      <w:r>
        <w:rPr>
          <w:rFonts w:ascii="Times New Roman" w:hAnsi="Times New Roman"/>
          <w:color w:val="000000"/>
          <w:szCs w:val="24"/>
        </w:rPr>
        <w:t xml:space="preserve">Resources for Enhancing </w:t>
      </w:r>
      <w:r w:rsidRPr="001E360A">
        <w:rPr>
          <w:rFonts w:ascii="Times New Roman" w:hAnsi="Times New Roman"/>
          <w:color w:val="000000"/>
          <w:szCs w:val="24"/>
        </w:rPr>
        <w:t xml:space="preserve">Alzheimer’s Caregiver Health </w:t>
      </w:r>
      <w:r>
        <w:rPr>
          <w:rFonts w:ascii="Times New Roman" w:hAnsi="Times New Roman"/>
          <w:color w:val="000000"/>
          <w:szCs w:val="24"/>
        </w:rPr>
        <w:t xml:space="preserve">(REACH) </w:t>
      </w:r>
      <w:r w:rsidRPr="001E360A">
        <w:rPr>
          <w:rFonts w:ascii="Times New Roman" w:hAnsi="Times New Roman"/>
          <w:color w:val="000000"/>
          <w:szCs w:val="24"/>
        </w:rPr>
        <w:t xml:space="preserve">project. It was observed that while African American and White (non-Latino) caregivers both reported positive aspects of caregiving, when compared to their White counterparts, African American caregivers reported higher levels of the positive aspects of caregiving. Roff </w:t>
      </w:r>
      <w:r w:rsidRPr="00E97718">
        <w:rPr>
          <w:rFonts w:ascii="Times New Roman" w:hAnsi="Times New Roman"/>
          <w:i/>
          <w:iCs/>
          <w:color w:val="000000"/>
          <w:szCs w:val="24"/>
        </w:rPr>
        <w:t>et al.</w:t>
      </w:r>
      <w:r w:rsidRPr="001E360A">
        <w:rPr>
          <w:rFonts w:ascii="Times New Roman" w:hAnsi="Times New Roman"/>
          <w:color w:val="000000"/>
          <w:szCs w:val="24"/>
        </w:rPr>
        <w:t xml:space="preserve"> (2004) attributed th</w:t>
      </w:r>
      <w:r>
        <w:rPr>
          <w:rFonts w:ascii="Times New Roman" w:hAnsi="Times New Roman"/>
          <w:color w:val="000000"/>
          <w:szCs w:val="24"/>
        </w:rPr>
        <w:t>is</w:t>
      </w:r>
      <w:r w:rsidRPr="001E360A">
        <w:rPr>
          <w:rFonts w:ascii="Times New Roman" w:hAnsi="Times New Roman"/>
          <w:color w:val="000000"/>
          <w:szCs w:val="24"/>
        </w:rPr>
        <w:t xml:space="preserve"> to the</w:t>
      </w:r>
      <w:r>
        <w:rPr>
          <w:rFonts w:ascii="Times New Roman" w:hAnsi="Times New Roman"/>
          <w:color w:val="000000"/>
          <w:szCs w:val="24"/>
        </w:rPr>
        <w:t>ir</w:t>
      </w:r>
      <w:r w:rsidRPr="001E360A">
        <w:rPr>
          <w:rFonts w:ascii="Times New Roman" w:hAnsi="Times New Roman"/>
          <w:color w:val="000000"/>
          <w:szCs w:val="24"/>
        </w:rPr>
        <w:t xml:space="preserve"> religiosity. Although their findings offer </w:t>
      </w:r>
      <w:r>
        <w:rPr>
          <w:rFonts w:ascii="Times New Roman" w:hAnsi="Times New Roman"/>
          <w:color w:val="000000"/>
          <w:szCs w:val="24"/>
        </w:rPr>
        <w:t xml:space="preserve">some </w:t>
      </w:r>
      <w:r w:rsidRPr="001E360A">
        <w:rPr>
          <w:rFonts w:ascii="Times New Roman" w:hAnsi="Times New Roman"/>
          <w:color w:val="000000"/>
          <w:szCs w:val="24"/>
        </w:rPr>
        <w:t xml:space="preserve">insights into the cultural variation in caregiving experiences, Hilgeman </w:t>
      </w:r>
      <w:r w:rsidRPr="00E97718">
        <w:rPr>
          <w:rFonts w:ascii="Times New Roman" w:hAnsi="Times New Roman"/>
          <w:i/>
          <w:iCs/>
          <w:color w:val="000000"/>
          <w:szCs w:val="24"/>
        </w:rPr>
        <w:t>et al.</w:t>
      </w:r>
      <w:r w:rsidRPr="001E360A">
        <w:rPr>
          <w:rFonts w:ascii="Times New Roman" w:hAnsi="Times New Roman"/>
          <w:color w:val="000000"/>
          <w:szCs w:val="24"/>
        </w:rPr>
        <w:t xml:space="preserve"> (2007) argued that the length of time that </w:t>
      </w:r>
      <w:r>
        <w:rPr>
          <w:rFonts w:ascii="Times New Roman" w:hAnsi="Times New Roman"/>
          <w:color w:val="000000"/>
          <w:szCs w:val="24"/>
        </w:rPr>
        <w:t>a carer</w:t>
      </w:r>
      <w:r w:rsidRPr="001E360A">
        <w:rPr>
          <w:rFonts w:ascii="Times New Roman" w:hAnsi="Times New Roman"/>
          <w:color w:val="000000"/>
          <w:szCs w:val="24"/>
        </w:rPr>
        <w:t xml:space="preserve"> ha</w:t>
      </w:r>
      <w:r>
        <w:rPr>
          <w:rFonts w:ascii="Times New Roman" w:hAnsi="Times New Roman"/>
          <w:color w:val="000000"/>
          <w:szCs w:val="24"/>
        </w:rPr>
        <w:t>d</w:t>
      </w:r>
      <w:r w:rsidRPr="001E360A">
        <w:rPr>
          <w:rFonts w:ascii="Times New Roman" w:hAnsi="Times New Roman"/>
          <w:color w:val="000000"/>
          <w:szCs w:val="24"/>
        </w:rPr>
        <w:t xml:space="preserve"> been caring for PLWD m</w:t>
      </w:r>
      <w:r>
        <w:rPr>
          <w:rFonts w:ascii="Times New Roman" w:hAnsi="Times New Roman"/>
          <w:color w:val="000000"/>
          <w:szCs w:val="24"/>
        </w:rPr>
        <w:t>ight</w:t>
      </w:r>
      <w:r w:rsidRPr="001E360A">
        <w:rPr>
          <w:rFonts w:ascii="Times New Roman" w:hAnsi="Times New Roman"/>
          <w:color w:val="000000"/>
          <w:szCs w:val="24"/>
        </w:rPr>
        <w:t xml:space="preserve"> also influence </w:t>
      </w:r>
      <w:r>
        <w:rPr>
          <w:rFonts w:ascii="Times New Roman" w:hAnsi="Times New Roman"/>
          <w:color w:val="000000"/>
          <w:szCs w:val="24"/>
        </w:rPr>
        <w:t xml:space="preserve">their </w:t>
      </w:r>
      <w:r w:rsidRPr="001E360A">
        <w:rPr>
          <w:rFonts w:ascii="Times New Roman" w:hAnsi="Times New Roman"/>
          <w:color w:val="000000"/>
          <w:szCs w:val="24"/>
        </w:rPr>
        <w:t xml:space="preserve">attitudes to the caregiving role. </w:t>
      </w:r>
    </w:p>
    <w:p w14:paraId="136761A9"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lastRenderedPageBreak/>
        <w:t>Other research that focuse</w:t>
      </w:r>
      <w:r>
        <w:rPr>
          <w:rFonts w:ascii="Times New Roman" w:hAnsi="Times New Roman"/>
          <w:color w:val="000000"/>
          <w:szCs w:val="24"/>
        </w:rPr>
        <w:t>d</w:t>
      </w:r>
      <w:r w:rsidRPr="001E360A">
        <w:rPr>
          <w:rFonts w:ascii="Times New Roman" w:hAnsi="Times New Roman"/>
          <w:color w:val="000000"/>
          <w:szCs w:val="24"/>
        </w:rPr>
        <w:t xml:space="preserve"> on a positive appraisal of the caring role suggests that it can trigger positive outcomes in carers (Kinney and Stephens, 1989, Lawton </w:t>
      </w:r>
      <w:r w:rsidRPr="00E97718">
        <w:rPr>
          <w:rFonts w:ascii="Times New Roman" w:hAnsi="Times New Roman"/>
          <w:i/>
          <w:iCs/>
          <w:color w:val="000000"/>
          <w:szCs w:val="24"/>
        </w:rPr>
        <w:t>et al.</w:t>
      </w:r>
      <w:r w:rsidRPr="001E360A">
        <w:rPr>
          <w:rFonts w:ascii="Times New Roman" w:hAnsi="Times New Roman"/>
          <w:color w:val="000000"/>
          <w:szCs w:val="24"/>
        </w:rPr>
        <w:t xml:space="preserve">, 1989; De Labra </w:t>
      </w:r>
      <w:r w:rsidRPr="00E97718">
        <w:rPr>
          <w:rFonts w:ascii="Times New Roman" w:hAnsi="Times New Roman"/>
          <w:i/>
          <w:iCs/>
          <w:color w:val="000000"/>
          <w:szCs w:val="24"/>
        </w:rPr>
        <w:t>et al.</w:t>
      </w:r>
      <w:r w:rsidRPr="001E360A">
        <w:rPr>
          <w:rFonts w:ascii="Times New Roman" w:hAnsi="Times New Roman"/>
          <w:color w:val="000000"/>
          <w:szCs w:val="24"/>
        </w:rPr>
        <w:t xml:space="preserve">, 2015) and have a positive impact on </w:t>
      </w:r>
      <w:r>
        <w:rPr>
          <w:rFonts w:ascii="Times New Roman" w:hAnsi="Times New Roman"/>
          <w:color w:val="000000"/>
          <w:szCs w:val="24"/>
        </w:rPr>
        <w:t>their</w:t>
      </w:r>
      <w:r w:rsidRPr="001E360A">
        <w:rPr>
          <w:rFonts w:ascii="Times New Roman" w:hAnsi="Times New Roman"/>
          <w:color w:val="000000"/>
          <w:szCs w:val="24"/>
        </w:rPr>
        <w:t xml:space="preserve"> expression of self-esteem and mastery (Semiatin and O’Connor, 2012). Some studies also highlight the rewards derived from the dynamic reciprocity of the caregiving relationship (Cartwright </w:t>
      </w:r>
      <w:r w:rsidRPr="00E97718">
        <w:rPr>
          <w:rFonts w:ascii="Times New Roman" w:hAnsi="Times New Roman"/>
          <w:i/>
          <w:iCs/>
          <w:color w:val="000000"/>
          <w:szCs w:val="24"/>
        </w:rPr>
        <w:t>et al.</w:t>
      </w:r>
      <w:r w:rsidRPr="001E360A">
        <w:rPr>
          <w:rFonts w:ascii="Times New Roman" w:hAnsi="Times New Roman"/>
          <w:color w:val="000000"/>
          <w:szCs w:val="24"/>
        </w:rPr>
        <w:t>, 1994).</w:t>
      </w:r>
    </w:p>
    <w:p w14:paraId="001A4EAA" w14:textId="77777777" w:rsidR="00811DBD" w:rsidRDefault="00811DBD" w:rsidP="006869A3">
      <w:pPr>
        <w:pStyle w:val="Heading3"/>
      </w:pPr>
      <w:bookmarkStart w:id="86" w:name="_Toc86417272"/>
      <w:r w:rsidRPr="001E360A">
        <w:t xml:space="preserve">4.2.2. </w:t>
      </w:r>
      <w:r w:rsidRPr="00CD4E00">
        <w:t>Role satisfaction</w:t>
      </w:r>
      <w:bookmarkEnd w:id="86"/>
    </w:p>
    <w:p w14:paraId="0C48811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There is a substantial literature on </w:t>
      </w:r>
      <w:r>
        <w:rPr>
          <w:rFonts w:ascii="Times New Roman" w:hAnsi="Times New Roman"/>
          <w:color w:val="000000"/>
          <w:szCs w:val="24"/>
        </w:rPr>
        <w:t>carers</w:t>
      </w:r>
      <w:r w:rsidRPr="001E360A">
        <w:rPr>
          <w:rFonts w:ascii="Times New Roman" w:hAnsi="Times New Roman"/>
          <w:color w:val="000000"/>
          <w:szCs w:val="24"/>
        </w:rPr>
        <w:t xml:space="preserve"> and the satisfaction </w:t>
      </w:r>
      <w:r>
        <w:rPr>
          <w:rFonts w:ascii="Times New Roman" w:hAnsi="Times New Roman"/>
          <w:color w:val="000000"/>
          <w:szCs w:val="24"/>
        </w:rPr>
        <w:t>they derive from</w:t>
      </w:r>
      <w:r w:rsidRPr="001E360A">
        <w:rPr>
          <w:rFonts w:ascii="Times New Roman" w:hAnsi="Times New Roman"/>
          <w:color w:val="000000"/>
          <w:szCs w:val="24"/>
        </w:rPr>
        <w:t xml:space="preserve"> their role (Murray </w:t>
      </w:r>
      <w:r w:rsidRPr="00E97718">
        <w:rPr>
          <w:rFonts w:ascii="Times New Roman" w:hAnsi="Times New Roman"/>
          <w:i/>
          <w:iCs/>
          <w:color w:val="000000"/>
          <w:szCs w:val="24"/>
        </w:rPr>
        <w:t>et al.</w:t>
      </w:r>
      <w:r w:rsidRPr="001E360A">
        <w:rPr>
          <w:rFonts w:ascii="Times New Roman" w:hAnsi="Times New Roman"/>
          <w:color w:val="000000"/>
          <w:szCs w:val="24"/>
        </w:rPr>
        <w:t>, 1999; Jervis, Boland and Fickenscher, 2010; Shim, Barroso and Davis, 2012). This stems from the feeling that the</w:t>
      </w:r>
      <w:r>
        <w:rPr>
          <w:rFonts w:ascii="Times New Roman" w:hAnsi="Times New Roman"/>
          <w:color w:val="000000"/>
          <w:szCs w:val="24"/>
        </w:rPr>
        <w:t>y</w:t>
      </w:r>
      <w:r w:rsidRPr="001E360A">
        <w:rPr>
          <w:rFonts w:ascii="Times New Roman" w:hAnsi="Times New Roman"/>
          <w:color w:val="000000"/>
          <w:szCs w:val="24"/>
        </w:rPr>
        <w:t xml:space="preserve"> are doing a good job (Jervis, Boland and Fickenscher, 2010) </w:t>
      </w:r>
      <w:r>
        <w:rPr>
          <w:rFonts w:ascii="Times New Roman" w:hAnsi="Times New Roman"/>
          <w:color w:val="000000"/>
          <w:szCs w:val="24"/>
        </w:rPr>
        <w:t>which</w:t>
      </w:r>
      <w:r w:rsidRPr="001E360A">
        <w:rPr>
          <w:rFonts w:ascii="Times New Roman" w:hAnsi="Times New Roman"/>
          <w:color w:val="000000"/>
          <w:szCs w:val="24"/>
        </w:rPr>
        <w:t xml:space="preserve"> includes </w:t>
      </w:r>
      <w:r>
        <w:rPr>
          <w:rFonts w:ascii="Times New Roman" w:hAnsi="Times New Roman"/>
          <w:color w:val="000000"/>
          <w:szCs w:val="24"/>
        </w:rPr>
        <w:t>ensuring</w:t>
      </w:r>
      <w:r w:rsidRPr="001E360A">
        <w:rPr>
          <w:rFonts w:ascii="Times New Roman" w:hAnsi="Times New Roman"/>
          <w:color w:val="000000"/>
          <w:szCs w:val="24"/>
        </w:rPr>
        <w:t xml:space="preserve"> their relatives are comfortable (Murray </w:t>
      </w:r>
      <w:r w:rsidRPr="00E97718">
        <w:rPr>
          <w:rFonts w:ascii="Times New Roman" w:hAnsi="Times New Roman"/>
          <w:i/>
          <w:iCs/>
          <w:color w:val="000000"/>
          <w:szCs w:val="24"/>
        </w:rPr>
        <w:t>et al.</w:t>
      </w:r>
      <w:r w:rsidRPr="001E360A">
        <w:rPr>
          <w:rFonts w:ascii="Times New Roman" w:hAnsi="Times New Roman"/>
          <w:color w:val="000000"/>
          <w:szCs w:val="24"/>
        </w:rPr>
        <w:t xml:space="preserve">, 1999) and safe (Peacock </w:t>
      </w:r>
      <w:r w:rsidRPr="00E97718">
        <w:rPr>
          <w:rFonts w:ascii="Times New Roman" w:hAnsi="Times New Roman"/>
          <w:i/>
          <w:iCs/>
          <w:color w:val="000000"/>
          <w:szCs w:val="24"/>
        </w:rPr>
        <w:t>et al.</w:t>
      </w:r>
      <w:r w:rsidRPr="001E360A">
        <w:rPr>
          <w:rFonts w:ascii="Times New Roman" w:hAnsi="Times New Roman"/>
          <w:color w:val="000000"/>
          <w:szCs w:val="24"/>
        </w:rPr>
        <w:t xml:space="preserve">, 2010). Family carers reported varying degrees of satisfaction with their caregiving role, and this </w:t>
      </w:r>
      <w:r>
        <w:rPr>
          <w:rFonts w:ascii="Times New Roman" w:hAnsi="Times New Roman"/>
          <w:color w:val="000000"/>
          <w:szCs w:val="24"/>
        </w:rPr>
        <w:t>might</w:t>
      </w:r>
      <w:r w:rsidRPr="001E360A">
        <w:rPr>
          <w:rFonts w:ascii="Times New Roman" w:hAnsi="Times New Roman"/>
          <w:color w:val="000000"/>
          <w:szCs w:val="24"/>
        </w:rPr>
        <w:t xml:space="preserve"> be related to having a sense of pride </w:t>
      </w:r>
      <w:r>
        <w:rPr>
          <w:rFonts w:ascii="Times New Roman" w:hAnsi="Times New Roman"/>
          <w:color w:val="000000"/>
          <w:szCs w:val="24"/>
        </w:rPr>
        <w:t>that they are</w:t>
      </w:r>
      <w:r w:rsidRPr="001E360A">
        <w:rPr>
          <w:rFonts w:ascii="Times New Roman" w:hAnsi="Times New Roman"/>
          <w:color w:val="000000"/>
          <w:szCs w:val="24"/>
        </w:rPr>
        <w:t xml:space="preserve"> </w:t>
      </w:r>
      <w:r>
        <w:rPr>
          <w:rFonts w:ascii="Times New Roman" w:hAnsi="Times New Roman"/>
          <w:color w:val="000000"/>
          <w:szCs w:val="24"/>
        </w:rPr>
        <w:t>delivering</w:t>
      </w:r>
      <w:r w:rsidRPr="001E360A">
        <w:rPr>
          <w:rFonts w:ascii="Times New Roman" w:hAnsi="Times New Roman"/>
          <w:color w:val="000000"/>
          <w:szCs w:val="24"/>
        </w:rPr>
        <w:t xml:space="preserve"> quality care to their relatives, although some care</w:t>
      </w:r>
      <w:r>
        <w:rPr>
          <w:rFonts w:ascii="Times New Roman" w:hAnsi="Times New Roman"/>
          <w:color w:val="000000"/>
          <w:szCs w:val="24"/>
        </w:rPr>
        <w:t>r</w:t>
      </w:r>
      <w:r w:rsidRPr="001E360A">
        <w:rPr>
          <w:rFonts w:ascii="Times New Roman" w:hAnsi="Times New Roman"/>
          <w:color w:val="000000"/>
          <w:szCs w:val="24"/>
        </w:rPr>
        <w:t xml:space="preserve">s provide care in a more practical and unemotional way because they felt they were giving their best (Ribeiro and Paúl, 2008). </w:t>
      </w:r>
      <w:r>
        <w:rPr>
          <w:rFonts w:ascii="Times New Roman" w:hAnsi="Times New Roman"/>
          <w:color w:val="000000"/>
          <w:szCs w:val="24"/>
        </w:rPr>
        <w:t>T</w:t>
      </w:r>
      <w:r w:rsidRPr="001E360A">
        <w:rPr>
          <w:rFonts w:ascii="Times New Roman" w:hAnsi="Times New Roman"/>
          <w:color w:val="000000"/>
          <w:szCs w:val="24"/>
        </w:rPr>
        <w:t xml:space="preserve">here can also be the disappointment of not being able to give more (Murray </w:t>
      </w:r>
      <w:r w:rsidRPr="00E97718">
        <w:rPr>
          <w:rFonts w:ascii="Times New Roman" w:hAnsi="Times New Roman"/>
          <w:i/>
          <w:iCs/>
          <w:color w:val="000000"/>
          <w:szCs w:val="24"/>
        </w:rPr>
        <w:t>et al.</w:t>
      </w:r>
      <w:r w:rsidRPr="001E360A">
        <w:rPr>
          <w:rFonts w:ascii="Times New Roman" w:hAnsi="Times New Roman"/>
          <w:color w:val="000000"/>
          <w:szCs w:val="24"/>
        </w:rPr>
        <w:t xml:space="preserve">, 1999). </w:t>
      </w:r>
    </w:p>
    <w:p w14:paraId="3535A4D4" w14:textId="438CEFF6" w:rsidR="005B3FAB"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Research by Shim, Barroso and Davis (2012) </w:t>
      </w:r>
      <w:r>
        <w:rPr>
          <w:rFonts w:ascii="Times New Roman" w:hAnsi="Times New Roman"/>
          <w:color w:val="000000"/>
          <w:szCs w:val="24"/>
        </w:rPr>
        <w:t>indicate</w:t>
      </w:r>
      <w:r w:rsidRPr="001E360A">
        <w:rPr>
          <w:rFonts w:ascii="Times New Roman" w:hAnsi="Times New Roman"/>
          <w:color w:val="000000"/>
          <w:szCs w:val="24"/>
        </w:rPr>
        <w:t xml:space="preserve"> that while some carers expressed a sense of pride and fulfilment in their role, others were ambivalent about their role</w:t>
      </w:r>
      <w:r>
        <w:rPr>
          <w:rFonts w:ascii="Times New Roman" w:hAnsi="Times New Roman"/>
          <w:color w:val="000000"/>
          <w:szCs w:val="24"/>
        </w:rPr>
        <w:t>,</w:t>
      </w:r>
      <w:r w:rsidRPr="001E360A">
        <w:rPr>
          <w:rFonts w:ascii="Times New Roman" w:hAnsi="Times New Roman"/>
          <w:color w:val="000000"/>
          <w:szCs w:val="24"/>
        </w:rPr>
        <w:t xml:space="preserve"> but they often found satisfaction in external activities (like visiting friends). It has been argued that the carer’s level of satisfaction with their role may depend on the quality of the relationship </w:t>
      </w:r>
      <w:r>
        <w:rPr>
          <w:rFonts w:ascii="Times New Roman" w:hAnsi="Times New Roman"/>
          <w:color w:val="000000"/>
          <w:szCs w:val="24"/>
        </w:rPr>
        <w:t xml:space="preserve">they had </w:t>
      </w:r>
      <w:r w:rsidRPr="001E360A">
        <w:rPr>
          <w:rFonts w:ascii="Times New Roman" w:hAnsi="Times New Roman"/>
          <w:color w:val="000000"/>
          <w:szCs w:val="24"/>
        </w:rPr>
        <w:t>prior to the care recipient’s diagnosis (Steadman, Tremont and Davis, 2007)</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color w:val="000000"/>
          <w:szCs w:val="24"/>
        </w:rPr>
        <w:t>I</w:t>
      </w:r>
      <w:r w:rsidRPr="001E360A">
        <w:rPr>
          <w:rFonts w:ascii="Times New Roman" w:hAnsi="Times New Roman"/>
          <w:color w:val="000000"/>
          <w:szCs w:val="24"/>
        </w:rPr>
        <w:t xml:space="preserve">t is notable that there is minimal literature on paid </w:t>
      </w:r>
      <w:r>
        <w:rPr>
          <w:rFonts w:ascii="Times New Roman" w:hAnsi="Times New Roman"/>
          <w:color w:val="000000"/>
          <w:szCs w:val="24"/>
        </w:rPr>
        <w:t>care workers</w:t>
      </w:r>
      <w:r w:rsidRPr="001E360A">
        <w:rPr>
          <w:rFonts w:ascii="Times New Roman" w:hAnsi="Times New Roman"/>
          <w:color w:val="000000"/>
          <w:szCs w:val="24"/>
        </w:rPr>
        <w:t xml:space="preserve"> and role satisfaction for caring for </w:t>
      </w:r>
      <w:r>
        <w:rPr>
          <w:rFonts w:ascii="Times New Roman" w:hAnsi="Times New Roman"/>
          <w:color w:val="000000"/>
          <w:szCs w:val="24"/>
        </w:rPr>
        <w:t>PLWD</w:t>
      </w:r>
      <w:r w:rsidRPr="001E360A">
        <w:rPr>
          <w:rFonts w:ascii="Times New Roman" w:hAnsi="Times New Roman"/>
          <w:color w:val="000000"/>
          <w:szCs w:val="24"/>
        </w:rPr>
        <w:t>. Although, McCauley and Irwin (2006) argue</w:t>
      </w:r>
      <w:r>
        <w:rPr>
          <w:rFonts w:ascii="Times New Roman" w:hAnsi="Times New Roman"/>
          <w:color w:val="000000"/>
          <w:szCs w:val="24"/>
        </w:rPr>
        <w:t>d</w:t>
      </w:r>
      <w:r w:rsidRPr="001E360A">
        <w:rPr>
          <w:rFonts w:ascii="Times New Roman" w:hAnsi="Times New Roman"/>
          <w:color w:val="000000"/>
          <w:szCs w:val="24"/>
        </w:rPr>
        <w:t xml:space="preserve"> that role satisfaction for </w:t>
      </w:r>
      <w:r>
        <w:rPr>
          <w:rFonts w:ascii="Times New Roman" w:hAnsi="Times New Roman"/>
          <w:color w:val="000000"/>
          <w:szCs w:val="24"/>
        </w:rPr>
        <w:t>care workers</w:t>
      </w:r>
      <w:r w:rsidRPr="001E360A">
        <w:rPr>
          <w:rFonts w:ascii="Times New Roman" w:hAnsi="Times New Roman"/>
          <w:color w:val="000000"/>
          <w:szCs w:val="24"/>
        </w:rPr>
        <w:t xml:space="preserve"> may depend on the suitability of the working environment.</w:t>
      </w:r>
    </w:p>
    <w:p w14:paraId="1B70F289" w14:textId="77777777" w:rsidR="00811DBD" w:rsidRDefault="00811DBD" w:rsidP="006869A3">
      <w:pPr>
        <w:pStyle w:val="Heading3"/>
      </w:pPr>
      <w:bookmarkStart w:id="87" w:name="_Toc86417273"/>
      <w:r w:rsidRPr="001E360A">
        <w:t xml:space="preserve">4.2.3. </w:t>
      </w:r>
      <w:r w:rsidRPr="00CD4E00">
        <w:t>Coping with caregiving</w:t>
      </w:r>
      <w:bookmarkEnd w:id="87"/>
      <w:r w:rsidRPr="001E360A">
        <w:t xml:space="preserve"> </w:t>
      </w:r>
    </w:p>
    <w:p w14:paraId="5715210C"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Lazarus and Folkman (19</w:t>
      </w:r>
      <w:r>
        <w:rPr>
          <w:rFonts w:ascii="Times New Roman" w:hAnsi="Times New Roman"/>
          <w:color w:val="000000"/>
          <w:szCs w:val="24"/>
        </w:rPr>
        <w:t>84</w:t>
      </w:r>
      <w:r w:rsidRPr="001E360A">
        <w:rPr>
          <w:rFonts w:ascii="Times New Roman" w:hAnsi="Times New Roman"/>
          <w:color w:val="000000"/>
          <w:szCs w:val="24"/>
        </w:rPr>
        <w:t>, p.</w:t>
      </w:r>
      <w:r>
        <w:rPr>
          <w:rFonts w:ascii="Times New Roman" w:hAnsi="Times New Roman"/>
          <w:color w:val="000000"/>
          <w:szCs w:val="24"/>
        </w:rPr>
        <w:t>141</w:t>
      </w:r>
      <w:r w:rsidRPr="001E360A">
        <w:rPr>
          <w:rFonts w:ascii="Times New Roman" w:hAnsi="Times New Roman"/>
          <w:color w:val="000000"/>
          <w:szCs w:val="24"/>
        </w:rPr>
        <w:t>) define coping as “</w:t>
      </w:r>
      <w:r w:rsidRPr="001E360A">
        <w:rPr>
          <w:rFonts w:ascii="Times New Roman" w:hAnsi="Times New Roman"/>
          <w:i/>
          <w:iCs/>
          <w:color w:val="000000"/>
          <w:szCs w:val="24"/>
        </w:rPr>
        <w:t xml:space="preserve">efforts to manage specific external and/or internal demands that are appraised as tasking or exceeding the </w:t>
      </w:r>
      <w:r w:rsidRPr="001E360A">
        <w:rPr>
          <w:rFonts w:ascii="Times New Roman" w:hAnsi="Times New Roman"/>
          <w:i/>
          <w:iCs/>
          <w:color w:val="000000"/>
          <w:szCs w:val="24"/>
        </w:rPr>
        <w:lastRenderedPageBreak/>
        <w:t>resources of the person</w:t>
      </w:r>
      <w:r w:rsidRPr="001E360A">
        <w:rPr>
          <w:rFonts w:ascii="Times New Roman" w:hAnsi="Times New Roman"/>
          <w:color w:val="000000"/>
          <w:szCs w:val="24"/>
        </w:rPr>
        <w:t xml:space="preserve">”. In the caregiving literature, there is often a focus on how carers cope, including the ways and strategies that </w:t>
      </w:r>
      <w:r>
        <w:rPr>
          <w:rFonts w:ascii="Times New Roman" w:hAnsi="Times New Roman"/>
          <w:color w:val="000000"/>
          <w:szCs w:val="24"/>
        </w:rPr>
        <w:t>they</w:t>
      </w:r>
      <w:r w:rsidRPr="001E360A">
        <w:rPr>
          <w:rFonts w:ascii="Times New Roman" w:hAnsi="Times New Roman"/>
          <w:color w:val="000000"/>
          <w:szCs w:val="24"/>
        </w:rPr>
        <w:t xml:space="preserve"> employ to manage the demands of their role and how they manage stress. However, some of the literature on ‘coping’ and the attributions of ‘stress and burden’ in the caring role highlights the significance of the degree of cognitive impairment of the care recipient and other factors that may influence the way people cope with caregiving (</w:t>
      </w:r>
      <w:r>
        <w:rPr>
          <w:rFonts w:ascii="Times New Roman" w:hAnsi="Times New Roman"/>
          <w:color w:val="000000"/>
          <w:szCs w:val="24"/>
        </w:rPr>
        <w:t xml:space="preserve">Lazarus, 1993; </w:t>
      </w:r>
      <w:r w:rsidRPr="001E360A">
        <w:rPr>
          <w:rFonts w:ascii="Times New Roman" w:hAnsi="Times New Roman"/>
          <w:color w:val="000000"/>
          <w:szCs w:val="24"/>
        </w:rPr>
        <w:t xml:space="preserve">Richards </w:t>
      </w:r>
      <w:r w:rsidRPr="00E97718">
        <w:rPr>
          <w:rFonts w:ascii="Times New Roman" w:hAnsi="Times New Roman"/>
          <w:i/>
          <w:iCs/>
          <w:color w:val="000000"/>
          <w:szCs w:val="24"/>
        </w:rPr>
        <w:t>et al.</w:t>
      </w:r>
      <w:r w:rsidRPr="001E360A">
        <w:rPr>
          <w:rFonts w:ascii="Times New Roman" w:hAnsi="Times New Roman"/>
          <w:color w:val="000000"/>
          <w:szCs w:val="24"/>
        </w:rPr>
        <w:t xml:space="preserve"> 2003; Etters, Goodall and Harrison, 2008). For example, Lazarus and Folkman (1984) </w:t>
      </w:r>
      <w:r>
        <w:rPr>
          <w:rFonts w:ascii="Times New Roman" w:hAnsi="Times New Roman"/>
          <w:color w:val="000000"/>
          <w:szCs w:val="24"/>
        </w:rPr>
        <w:t xml:space="preserve">argue </w:t>
      </w:r>
      <w:r w:rsidRPr="001E360A">
        <w:rPr>
          <w:rFonts w:ascii="Times New Roman" w:hAnsi="Times New Roman"/>
          <w:color w:val="000000"/>
          <w:szCs w:val="24"/>
        </w:rPr>
        <w:t xml:space="preserve">that </w:t>
      </w:r>
      <w:r>
        <w:rPr>
          <w:rFonts w:ascii="Times New Roman" w:hAnsi="Times New Roman"/>
          <w:color w:val="000000"/>
          <w:szCs w:val="24"/>
        </w:rPr>
        <w:t xml:space="preserve">a </w:t>
      </w:r>
      <w:r w:rsidRPr="001E360A">
        <w:rPr>
          <w:rFonts w:ascii="Times New Roman" w:hAnsi="Times New Roman"/>
          <w:color w:val="000000"/>
          <w:szCs w:val="24"/>
        </w:rPr>
        <w:t xml:space="preserve">carer’s appraisal of stress is the primary predictor of their coping ability. </w:t>
      </w:r>
      <w:r>
        <w:rPr>
          <w:rFonts w:ascii="Times New Roman" w:hAnsi="Times New Roman"/>
          <w:color w:val="000000"/>
          <w:szCs w:val="24"/>
        </w:rPr>
        <w:t>W</w:t>
      </w:r>
      <w:r w:rsidRPr="001E360A">
        <w:rPr>
          <w:rFonts w:ascii="Times New Roman" w:hAnsi="Times New Roman"/>
          <w:color w:val="000000"/>
          <w:szCs w:val="24"/>
        </w:rPr>
        <w:t xml:space="preserve">hen </w:t>
      </w:r>
      <w:r>
        <w:rPr>
          <w:rFonts w:ascii="Times New Roman" w:hAnsi="Times New Roman"/>
          <w:color w:val="000000"/>
          <w:szCs w:val="24"/>
        </w:rPr>
        <w:t>they</w:t>
      </w:r>
      <w:r w:rsidRPr="001E360A">
        <w:rPr>
          <w:rFonts w:ascii="Times New Roman" w:hAnsi="Times New Roman"/>
          <w:color w:val="000000"/>
          <w:szCs w:val="24"/>
        </w:rPr>
        <w:t xml:space="preserve"> perceive their role as highly stressful and receive little or no social support, they </w:t>
      </w:r>
      <w:r>
        <w:rPr>
          <w:rFonts w:ascii="Times New Roman" w:hAnsi="Times New Roman"/>
          <w:color w:val="000000"/>
          <w:szCs w:val="24"/>
        </w:rPr>
        <w:t xml:space="preserve">weigh </w:t>
      </w:r>
      <w:r w:rsidRPr="001E360A">
        <w:rPr>
          <w:rFonts w:ascii="Times New Roman" w:hAnsi="Times New Roman"/>
          <w:color w:val="000000"/>
          <w:szCs w:val="24"/>
        </w:rPr>
        <w:t>their ‘caring burden’ to be higher (Vitaliano</w:t>
      </w:r>
      <w:r>
        <w:rPr>
          <w:rFonts w:ascii="Times New Roman" w:hAnsi="Times New Roman"/>
          <w:color w:val="000000"/>
          <w:szCs w:val="24"/>
        </w:rPr>
        <w:t xml:space="preserve"> </w:t>
      </w:r>
      <w:r w:rsidRPr="00E97718">
        <w:rPr>
          <w:rFonts w:ascii="Times New Roman" w:hAnsi="Times New Roman"/>
          <w:i/>
          <w:iCs/>
          <w:color w:val="000000"/>
          <w:szCs w:val="24"/>
        </w:rPr>
        <w:t>et al.</w:t>
      </w:r>
      <w:r w:rsidRPr="001E360A">
        <w:rPr>
          <w:rFonts w:ascii="Times New Roman" w:hAnsi="Times New Roman"/>
          <w:color w:val="000000"/>
          <w:szCs w:val="24"/>
        </w:rPr>
        <w:t>, 1991). </w:t>
      </w:r>
    </w:p>
    <w:p w14:paraId="5E881694" w14:textId="66E2FD49" w:rsidR="006869A3" w:rsidRDefault="00811DBD" w:rsidP="006869A3">
      <w:pPr>
        <w:jc w:val="both"/>
        <w:textAlignment w:val="baseline"/>
        <w:rPr>
          <w:rFonts w:ascii="Times New Roman" w:hAnsi="Times New Roman"/>
          <w:color w:val="000000"/>
          <w:szCs w:val="24"/>
        </w:rPr>
      </w:pPr>
      <w:r>
        <w:rPr>
          <w:rFonts w:ascii="Times New Roman" w:hAnsi="Times New Roman"/>
          <w:color w:val="000000"/>
          <w:szCs w:val="24"/>
        </w:rPr>
        <w:t>C</w:t>
      </w:r>
      <w:r w:rsidRPr="001E360A">
        <w:rPr>
          <w:rFonts w:ascii="Times New Roman" w:hAnsi="Times New Roman"/>
          <w:color w:val="000000"/>
          <w:szCs w:val="24"/>
        </w:rPr>
        <w:t xml:space="preserve">arers may use different coping strategies (Gilhooly </w:t>
      </w:r>
      <w:r w:rsidRPr="00E97718">
        <w:rPr>
          <w:rFonts w:ascii="Times New Roman" w:hAnsi="Times New Roman"/>
          <w:i/>
          <w:iCs/>
          <w:color w:val="000000"/>
          <w:szCs w:val="24"/>
        </w:rPr>
        <w:t>et al.</w:t>
      </w:r>
      <w:r w:rsidRPr="001E360A">
        <w:rPr>
          <w:rFonts w:ascii="Times New Roman" w:hAnsi="Times New Roman"/>
          <w:color w:val="000000"/>
          <w:szCs w:val="24"/>
        </w:rPr>
        <w:t xml:space="preserve">, 2016; Carlozzi </w:t>
      </w:r>
      <w:r w:rsidRPr="00E97718">
        <w:rPr>
          <w:rFonts w:ascii="Times New Roman" w:hAnsi="Times New Roman"/>
          <w:i/>
          <w:iCs/>
          <w:color w:val="000000"/>
          <w:szCs w:val="24"/>
        </w:rPr>
        <w:t>et al.</w:t>
      </w:r>
      <w:r w:rsidRPr="001E360A">
        <w:rPr>
          <w:rFonts w:ascii="Times New Roman" w:hAnsi="Times New Roman"/>
          <w:color w:val="000000"/>
          <w:szCs w:val="24"/>
        </w:rPr>
        <w:t>, 2018)</w:t>
      </w:r>
      <w:r>
        <w:rPr>
          <w:rFonts w:ascii="Times New Roman" w:hAnsi="Times New Roman"/>
          <w:color w:val="000000"/>
          <w:szCs w:val="24"/>
        </w:rPr>
        <w:t>, however,</w:t>
      </w:r>
      <w:r w:rsidRPr="001E360A">
        <w:rPr>
          <w:rFonts w:ascii="Times New Roman" w:hAnsi="Times New Roman"/>
          <w:color w:val="000000"/>
          <w:szCs w:val="24"/>
        </w:rPr>
        <w:t xml:space="preserve"> Aminzadeh </w:t>
      </w:r>
      <w:r w:rsidRPr="00E97718">
        <w:rPr>
          <w:rFonts w:ascii="Times New Roman" w:hAnsi="Times New Roman"/>
          <w:i/>
          <w:iCs/>
          <w:color w:val="000000"/>
          <w:szCs w:val="24"/>
        </w:rPr>
        <w:t>et al.</w:t>
      </w:r>
      <w:r w:rsidRPr="001E360A">
        <w:rPr>
          <w:rFonts w:ascii="Times New Roman" w:hAnsi="Times New Roman"/>
          <w:color w:val="000000"/>
          <w:szCs w:val="24"/>
        </w:rPr>
        <w:t xml:space="preserve"> (2007) observed that to ameliorate stress, many carers make use of positive coping strategies, such as information seeking and problem-solving approaches. For example, ‘problem-focused coping’ refers to strategies that involve information seeking, problem-solving, social support, positive outlook</w:t>
      </w:r>
      <w:r>
        <w:rPr>
          <w:rFonts w:ascii="Times New Roman" w:hAnsi="Times New Roman"/>
          <w:color w:val="000000"/>
          <w:szCs w:val="24"/>
        </w:rPr>
        <w:t>,</w:t>
      </w:r>
      <w:r w:rsidRPr="001E360A">
        <w:rPr>
          <w:rFonts w:ascii="Times New Roman" w:hAnsi="Times New Roman"/>
          <w:color w:val="000000"/>
          <w:szCs w:val="24"/>
        </w:rPr>
        <w:t xml:space="preserve"> and emotional expression (Stanton</w:t>
      </w:r>
      <w:r>
        <w:rPr>
          <w:rFonts w:ascii="Times New Roman" w:hAnsi="Times New Roman"/>
          <w:color w:val="000000"/>
          <w:szCs w:val="24"/>
        </w:rPr>
        <w:t xml:space="preserve">, </w:t>
      </w:r>
      <w:r>
        <w:rPr>
          <w:rFonts w:ascii="Times New Roman" w:hAnsi="Times New Roman"/>
          <w:szCs w:val="24"/>
        </w:rPr>
        <w:t>Revenson and Tennen</w:t>
      </w:r>
      <w:r w:rsidRPr="001E360A">
        <w:rPr>
          <w:rFonts w:ascii="Times New Roman" w:hAnsi="Times New Roman"/>
          <w:color w:val="000000"/>
          <w:szCs w:val="24"/>
        </w:rPr>
        <w:t>, 2007). In this manner, carers are focused on managing or changing the problem causing the stress by seeking alternatives, making other choices</w:t>
      </w:r>
      <w:r>
        <w:rPr>
          <w:rFonts w:ascii="Times New Roman" w:hAnsi="Times New Roman"/>
          <w:color w:val="000000"/>
          <w:szCs w:val="24"/>
        </w:rPr>
        <w:t>,</w:t>
      </w:r>
      <w:r w:rsidRPr="001E360A">
        <w:rPr>
          <w:rFonts w:ascii="Times New Roman" w:hAnsi="Times New Roman"/>
          <w:color w:val="000000"/>
          <w:szCs w:val="24"/>
        </w:rPr>
        <w:t xml:space="preserve"> and learning new skills. Other coping strategies that have also been shown to reduce care</w:t>
      </w:r>
      <w:r>
        <w:rPr>
          <w:rFonts w:ascii="Times New Roman" w:hAnsi="Times New Roman"/>
          <w:color w:val="000000"/>
          <w:szCs w:val="24"/>
        </w:rPr>
        <w:t>’s</w:t>
      </w:r>
      <w:r w:rsidRPr="001E360A">
        <w:rPr>
          <w:rFonts w:ascii="Times New Roman" w:hAnsi="Times New Roman"/>
          <w:color w:val="000000"/>
          <w:szCs w:val="24"/>
        </w:rPr>
        <w:t xml:space="preserve"> burden includes the use of support groups and cognitive behaviour therapy (Weuve, Boult and Morishita, 2000). However, Stanton</w:t>
      </w:r>
      <w:r>
        <w:rPr>
          <w:rFonts w:ascii="Times New Roman" w:hAnsi="Times New Roman"/>
          <w:color w:val="000000"/>
          <w:szCs w:val="24"/>
        </w:rPr>
        <w:t xml:space="preserve">, </w:t>
      </w:r>
      <w:r>
        <w:rPr>
          <w:rFonts w:ascii="Times New Roman" w:hAnsi="Times New Roman"/>
          <w:szCs w:val="24"/>
        </w:rPr>
        <w:t>Revenson and Tennen</w:t>
      </w:r>
      <w:r w:rsidRPr="001E360A">
        <w:rPr>
          <w:rFonts w:ascii="Times New Roman" w:hAnsi="Times New Roman"/>
          <w:color w:val="000000"/>
          <w:szCs w:val="24"/>
        </w:rPr>
        <w:t xml:space="preserve"> (2007) </w:t>
      </w:r>
      <w:r>
        <w:rPr>
          <w:rFonts w:ascii="Times New Roman" w:hAnsi="Times New Roman"/>
          <w:color w:val="000000"/>
          <w:szCs w:val="24"/>
        </w:rPr>
        <w:t xml:space="preserve">propose </w:t>
      </w:r>
      <w:r w:rsidRPr="001E360A">
        <w:rPr>
          <w:rFonts w:ascii="Times New Roman" w:hAnsi="Times New Roman"/>
          <w:color w:val="000000"/>
          <w:szCs w:val="24"/>
        </w:rPr>
        <w:t>that carers may not always use positive approaches to cop</w:t>
      </w:r>
      <w:r>
        <w:rPr>
          <w:rFonts w:ascii="Times New Roman" w:hAnsi="Times New Roman"/>
          <w:color w:val="000000"/>
          <w:szCs w:val="24"/>
        </w:rPr>
        <w:t>e.</w:t>
      </w:r>
      <w:r w:rsidRPr="001E360A">
        <w:rPr>
          <w:rFonts w:ascii="Times New Roman" w:hAnsi="Times New Roman"/>
          <w:color w:val="000000"/>
          <w:szCs w:val="24"/>
        </w:rPr>
        <w:t xml:space="preserve"> </w:t>
      </w:r>
      <w:r>
        <w:rPr>
          <w:rFonts w:ascii="Times New Roman" w:hAnsi="Times New Roman"/>
          <w:color w:val="000000"/>
          <w:szCs w:val="24"/>
        </w:rPr>
        <w:t>S</w:t>
      </w:r>
      <w:r w:rsidRPr="001E360A">
        <w:rPr>
          <w:rFonts w:ascii="Times New Roman" w:hAnsi="Times New Roman"/>
          <w:color w:val="000000"/>
          <w:szCs w:val="24"/>
        </w:rPr>
        <w:t xml:space="preserve">ome </w:t>
      </w:r>
      <w:r>
        <w:rPr>
          <w:rFonts w:ascii="Times New Roman" w:hAnsi="Times New Roman"/>
          <w:color w:val="000000"/>
          <w:szCs w:val="24"/>
        </w:rPr>
        <w:t>may</w:t>
      </w:r>
      <w:r w:rsidRPr="001E360A">
        <w:rPr>
          <w:rFonts w:ascii="Times New Roman" w:hAnsi="Times New Roman"/>
          <w:color w:val="000000"/>
          <w:szCs w:val="24"/>
        </w:rPr>
        <w:t xml:space="preserve"> use strategies such as minimisation, avoidance, distancing, and seeking meaning in the negative events which are used to manage the problem. Another theme in the literature relates to the idea of ‘competency and mastery’ in a caring role which involves mastering vital skills for caregiving as well as learning and applying new skills (Narayan </w:t>
      </w:r>
      <w:r w:rsidRPr="00E97718">
        <w:rPr>
          <w:rFonts w:ascii="Times New Roman" w:hAnsi="Times New Roman"/>
          <w:i/>
          <w:iCs/>
          <w:color w:val="000000"/>
          <w:szCs w:val="24"/>
        </w:rPr>
        <w:t>et al.</w:t>
      </w:r>
      <w:r w:rsidRPr="001E360A">
        <w:rPr>
          <w:rFonts w:ascii="Times New Roman" w:hAnsi="Times New Roman"/>
          <w:color w:val="000000"/>
          <w:szCs w:val="24"/>
        </w:rPr>
        <w:t>, 1999; Netto</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rPr>
        <w:t>Goh and Yap</w:t>
      </w:r>
      <w:r w:rsidRPr="001E360A">
        <w:rPr>
          <w:rFonts w:ascii="Times New Roman" w:hAnsi="Times New Roman"/>
          <w:color w:val="000000"/>
          <w:szCs w:val="24"/>
        </w:rPr>
        <w:t xml:space="preserve">, 2009; Sanders, 2005; Ribeiro and Paúl, 2008).  As carers learn new skills, they may become more confident to share their knowledge with others (Peacock </w:t>
      </w:r>
      <w:r w:rsidRPr="00E97718">
        <w:rPr>
          <w:rFonts w:ascii="Times New Roman" w:hAnsi="Times New Roman"/>
          <w:i/>
          <w:iCs/>
          <w:color w:val="000000"/>
          <w:szCs w:val="24"/>
        </w:rPr>
        <w:t>et al.</w:t>
      </w:r>
      <w:r w:rsidRPr="001E360A">
        <w:rPr>
          <w:rFonts w:ascii="Times New Roman" w:hAnsi="Times New Roman"/>
          <w:color w:val="000000"/>
          <w:szCs w:val="24"/>
        </w:rPr>
        <w:t xml:space="preserve"> 2010).</w:t>
      </w:r>
    </w:p>
    <w:p w14:paraId="2D1BC7E4" w14:textId="1DD03EA9" w:rsidR="006869A3" w:rsidRDefault="006869A3" w:rsidP="006869A3">
      <w:pPr>
        <w:jc w:val="both"/>
        <w:textAlignment w:val="baseline"/>
        <w:rPr>
          <w:rFonts w:ascii="Times New Roman" w:hAnsi="Times New Roman"/>
          <w:color w:val="000000"/>
          <w:szCs w:val="24"/>
        </w:rPr>
      </w:pPr>
    </w:p>
    <w:p w14:paraId="5900A226" w14:textId="77777777" w:rsidR="006869A3" w:rsidRPr="006869A3" w:rsidRDefault="006869A3" w:rsidP="006869A3">
      <w:pPr>
        <w:jc w:val="both"/>
        <w:textAlignment w:val="baseline"/>
        <w:rPr>
          <w:rFonts w:ascii="Times New Roman" w:hAnsi="Times New Roman"/>
          <w:color w:val="000000"/>
          <w:szCs w:val="24"/>
        </w:rPr>
      </w:pPr>
    </w:p>
    <w:p w14:paraId="72AC0DA1" w14:textId="6FF32966" w:rsidR="004F2A96" w:rsidRDefault="00811DBD" w:rsidP="006869A3">
      <w:pPr>
        <w:pStyle w:val="Heading3"/>
      </w:pPr>
      <w:bookmarkStart w:id="88" w:name="_Toc86417274"/>
      <w:r w:rsidRPr="001E360A">
        <w:lastRenderedPageBreak/>
        <w:t xml:space="preserve">4.2.4. </w:t>
      </w:r>
      <w:r w:rsidRPr="004F2A96">
        <w:t>The emotional rewards of caregiving</w:t>
      </w:r>
      <w:bookmarkEnd w:id="88"/>
      <w:r w:rsidRPr="001E360A">
        <w:t xml:space="preserve"> </w:t>
      </w:r>
    </w:p>
    <w:p w14:paraId="37882476" w14:textId="6A9F0C69"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lang w:val="en"/>
        </w:rPr>
        <w:t xml:space="preserve">Although much of the literature focuses on the ‘burden’ of the caring role, it is notable that </w:t>
      </w:r>
      <w:r w:rsidRPr="001E360A">
        <w:rPr>
          <w:rFonts w:ascii="Times New Roman" w:hAnsi="Times New Roman"/>
          <w:color w:val="000000"/>
          <w:szCs w:val="24"/>
        </w:rPr>
        <w:t xml:space="preserve">many carers cope well with the distress inherent in caregiving role and view it as a rewarding and satisfying experience (Cohen, Colantonio and Vernich, 2002). Emotional reward (related to the feeling of being appreciated and valued) has been reported as a positive aspect of caregiving in several studies (Jansson </w:t>
      </w:r>
      <w:r w:rsidRPr="00E97718">
        <w:rPr>
          <w:rFonts w:ascii="Times New Roman" w:hAnsi="Times New Roman"/>
          <w:i/>
          <w:iCs/>
          <w:color w:val="000000"/>
          <w:szCs w:val="24"/>
        </w:rPr>
        <w:t>et al.</w:t>
      </w:r>
      <w:r w:rsidRPr="001E360A">
        <w:rPr>
          <w:rFonts w:ascii="Times New Roman" w:hAnsi="Times New Roman"/>
          <w:color w:val="000000"/>
          <w:szCs w:val="24"/>
        </w:rPr>
        <w:t>, 1998; Jervis, Boland and Fickenscher, 2010; Netto</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rPr>
        <w:t>Goh and Yap</w:t>
      </w:r>
      <w:r w:rsidRPr="001E360A">
        <w:rPr>
          <w:rFonts w:ascii="Times New Roman" w:hAnsi="Times New Roman"/>
          <w:color w:val="000000"/>
          <w:szCs w:val="24"/>
        </w:rPr>
        <w:t>, 2009). Ribeiro and Paúl, (2008) highlight</w:t>
      </w:r>
      <w:r>
        <w:rPr>
          <w:rFonts w:ascii="Times New Roman" w:hAnsi="Times New Roman"/>
          <w:color w:val="000000"/>
          <w:szCs w:val="24"/>
        </w:rPr>
        <w:t>s</w:t>
      </w:r>
      <w:r w:rsidRPr="001E360A">
        <w:rPr>
          <w:rFonts w:ascii="Times New Roman" w:hAnsi="Times New Roman"/>
          <w:color w:val="000000"/>
          <w:szCs w:val="24"/>
        </w:rPr>
        <w:t xml:space="preserve"> how family carers found that expressions of appreciation made by the care recipients made their role more rewarding. Furthermore, a study by </w:t>
      </w:r>
      <w:r w:rsidRPr="001E360A">
        <w:rPr>
          <w:rFonts w:ascii="Times New Roman" w:hAnsi="Times New Roman"/>
          <w:color w:val="000000"/>
          <w:szCs w:val="24"/>
          <w:lang w:val="en"/>
        </w:rPr>
        <w:t xml:space="preserve">Sanders (2005) also found that many carers experienced positive emotions resulting from engaging in activities </w:t>
      </w:r>
      <w:r>
        <w:rPr>
          <w:rFonts w:ascii="Times New Roman" w:hAnsi="Times New Roman"/>
          <w:color w:val="000000"/>
          <w:szCs w:val="24"/>
          <w:lang w:val="en"/>
        </w:rPr>
        <w:t>that</w:t>
      </w:r>
      <w:r w:rsidRPr="001E360A">
        <w:rPr>
          <w:rFonts w:ascii="Times New Roman" w:hAnsi="Times New Roman"/>
          <w:color w:val="000000"/>
          <w:szCs w:val="24"/>
          <w:lang w:val="en"/>
        </w:rPr>
        <w:t xml:space="preserve"> foster a mutual bond, spiritual growth</w:t>
      </w:r>
      <w:r>
        <w:rPr>
          <w:rFonts w:ascii="Times New Roman" w:hAnsi="Times New Roman"/>
          <w:color w:val="000000"/>
          <w:szCs w:val="24"/>
          <w:lang w:val="en"/>
        </w:rPr>
        <w:t>,</w:t>
      </w:r>
      <w:r w:rsidRPr="001E360A">
        <w:rPr>
          <w:rFonts w:ascii="Times New Roman" w:hAnsi="Times New Roman"/>
          <w:color w:val="000000"/>
          <w:szCs w:val="24"/>
          <w:lang w:val="en"/>
        </w:rPr>
        <w:t xml:space="preserve"> and feelings of satisfaction. Although, other research</w:t>
      </w:r>
      <w:r>
        <w:rPr>
          <w:rFonts w:ascii="Times New Roman" w:hAnsi="Times New Roman"/>
          <w:color w:val="000000"/>
          <w:szCs w:val="24"/>
          <w:lang w:val="en"/>
        </w:rPr>
        <w:t>ers</w:t>
      </w:r>
      <w:r w:rsidRPr="001E360A">
        <w:rPr>
          <w:rFonts w:ascii="Times New Roman" w:hAnsi="Times New Roman"/>
          <w:color w:val="000000"/>
          <w:szCs w:val="24"/>
          <w:lang w:val="en"/>
        </w:rPr>
        <w:t xml:space="preserve"> suggests that the personal characteristics of the carer (</w:t>
      </w:r>
      <w:r>
        <w:rPr>
          <w:rFonts w:ascii="Times New Roman" w:hAnsi="Times New Roman"/>
          <w:color w:val="000000"/>
          <w:szCs w:val="24"/>
          <w:lang w:val="en"/>
        </w:rPr>
        <w:t>for example</w:t>
      </w:r>
      <w:r w:rsidRPr="001E360A">
        <w:rPr>
          <w:rFonts w:ascii="Times New Roman" w:hAnsi="Times New Roman"/>
          <w:color w:val="000000"/>
          <w:szCs w:val="24"/>
          <w:lang w:val="en"/>
        </w:rPr>
        <w:t xml:space="preserve"> gender, ethnicity, age</w:t>
      </w:r>
      <w:r>
        <w:rPr>
          <w:rFonts w:ascii="Times New Roman" w:hAnsi="Times New Roman"/>
          <w:color w:val="000000"/>
          <w:szCs w:val="24"/>
          <w:lang w:val="en"/>
        </w:rPr>
        <w:t>,</w:t>
      </w:r>
      <w:r w:rsidRPr="001E360A">
        <w:rPr>
          <w:rFonts w:ascii="Times New Roman" w:hAnsi="Times New Roman"/>
          <w:color w:val="000000"/>
          <w:szCs w:val="24"/>
          <w:lang w:val="en"/>
        </w:rPr>
        <w:t xml:space="preserve"> and educational status</w:t>
      </w:r>
      <w:r>
        <w:rPr>
          <w:rFonts w:ascii="Times New Roman" w:hAnsi="Times New Roman"/>
          <w:color w:val="000000"/>
          <w:szCs w:val="24"/>
          <w:lang w:val="en"/>
        </w:rPr>
        <w:t>,</w:t>
      </w:r>
      <w:r w:rsidRPr="001E360A">
        <w:rPr>
          <w:rFonts w:ascii="Times New Roman" w:hAnsi="Times New Roman"/>
          <w:color w:val="000000"/>
          <w:szCs w:val="24"/>
          <w:lang w:val="en"/>
        </w:rPr>
        <w:t xml:space="preserve"> etc.) can also influence their view of caregiving (Haley </w:t>
      </w:r>
      <w:r w:rsidRPr="00E97718">
        <w:rPr>
          <w:rFonts w:ascii="Times New Roman" w:hAnsi="Times New Roman"/>
          <w:i/>
          <w:iCs/>
          <w:color w:val="000000"/>
          <w:szCs w:val="24"/>
          <w:lang w:val="en"/>
        </w:rPr>
        <w:t>et al.</w:t>
      </w:r>
      <w:r w:rsidRPr="001E360A">
        <w:rPr>
          <w:rFonts w:ascii="Times New Roman" w:hAnsi="Times New Roman"/>
          <w:color w:val="000000"/>
          <w:szCs w:val="24"/>
          <w:lang w:val="en"/>
        </w:rPr>
        <w:t>, 1996; Kramer, 1997; Rapp and Chao, 2000). For example, research by Brodaty (2009) suggests that older carers with lower educational status often expressed a more positive emotion towards their role than those who were younger and more highly educated. This might be due to more highly educated caregivers being aware of the stress they are facing.</w:t>
      </w:r>
    </w:p>
    <w:p w14:paraId="7CEBA279" w14:textId="77777777" w:rsidR="00811DBD" w:rsidRDefault="00811DBD" w:rsidP="006869A3">
      <w:pPr>
        <w:pStyle w:val="Heading3"/>
      </w:pPr>
      <w:bookmarkStart w:id="89" w:name="_Toc86417275"/>
      <w:r w:rsidRPr="001E360A">
        <w:t xml:space="preserve">4.2.5. </w:t>
      </w:r>
      <w:r w:rsidRPr="00605C7E">
        <w:t>Reciprocity in caregiving</w:t>
      </w:r>
      <w:bookmarkEnd w:id="89"/>
      <w:r w:rsidRPr="001E360A">
        <w:t xml:space="preserve"> </w:t>
      </w:r>
    </w:p>
    <w:p w14:paraId="76C4F377" w14:textId="77777777" w:rsidR="00811DBD" w:rsidRPr="001E360A" w:rsidRDefault="00811DBD" w:rsidP="00811DBD">
      <w:pPr>
        <w:spacing w:after="0"/>
        <w:jc w:val="both"/>
        <w:textAlignment w:val="baseline"/>
        <w:rPr>
          <w:rFonts w:ascii="Times New Roman" w:hAnsi="Times New Roman"/>
          <w:color w:val="000000"/>
          <w:szCs w:val="24"/>
        </w:rPr>
      </w:pPr>
      <w:r w:rsidRPr="001E360A">
        <w:rPr>
          <w:rFonts w:ascii="Times New Roman" w:hAnsi="Times New Roman"/>
          <w:color w:val="000000"/>
          <w:szCs w:val="24"/>
        </w:rPr>
        <w:t xml:space="preserve">The notion of reciprocity, an opportunity to return or give back care to elderly loved ones have often been noted as a positive aspect of caregiving (Murray </w:t>
      </w:r>
      <w:r w:rsidRPr="00E97718">
        <w:rPr>
          <w:rFonts w:ascii="Times New Roman" w:hAnsi="Times New Roman"/>
          <w:i/>
          <w:iCs/>
          <w:color w:val="000000"/>
          <w:szCs w:val="24"/>
        </w:rPr>
        <w:t>et al.</w:t>
      </w:r>
      <w:r w:rsidRPr="001E360A">
        <w:rPr>
          <w:rFonts w:ascii="Times New Roman" w:hAnsi="Times New Roman"/>
          <w:color w:val="000000"/>
          <w:szCs w:val="24"/>
        </w:rPr>
        <w:t xml:space="preserve">, 1999; Jervis, Boland and Fickenscher, 2010; Peacock </w:t>
      </w:r>
      <w:r w:rsidRPr="00E97718">
        <w:rPr>
          <w:rFonts w:ascii="Times New Roman" w:hAnsi="Times New Roman"/>
          <w:i/>
          <w:iCs/>
          <w:color w:val="000000"/>
          <w:szCs w:val="24"/>
        </w:rPr>
        <w:t>et al.</w:t>
      </w:r>
      <w:r w:rsidRPr="001E360A">
        <w:rPr>
          <w:rFonts w:ascii="Times New Roman" w:hAnsi="Times New Roman"/>
          <w:color w:val="000000"/>
          <w:szCs w:val="24"/>
        </w:rPr>
        <w:t>, 2010; Ribeiro and Paúl, 2008).</w:t>
      </w:r>
      <w:r>
        <w:rPr>
          <w:rFonts w:ascii="Times New Roman" w:hAnsi="Times New Roman"/>
          <w:color w:val="000000"/>
          <w:szCs w:val="24"/>
        </w:rPr>
        <w:t xml:space="preserve"> </w:t>
      </w:r>
      <w:r w:rsidRPr="001E360A">
        <w:rPr>
          <w:rFonts w:ascii="Times New Roman" w:hAnsi="Times New Roman"/>
          <w:color w:val="000000"/>
          <w:szCs w:val="24"/>
        </w:rPr>
        <w:t>Many adults caring for their parents stated that they enjoy being with their older</w:t>
      </w:r>
      <w:r>
        <w:rPr>
          <w:rFonts w:ascii="Times New Roman" w:hAnsi="Times New Roman"/>
          <w:color w:val="000000"/>
          <w:szCs w:val="24"/>
        </w:rPr>
        <w:t xml:space="preserve"> relatives and this pleasure is</w:t>
      </w:r>
      <w:r w:rsidRPr="001E360A">
        <w:rPr>
          <w:rFonts w:ascii="Times New Roman" w:hAnsi="Times New Roman"/>
          <w:color w:val="000000"/>
          <w:szCs w:val="24"/>
        </w:rPr>
        <w:t xml:space="preserve"> linked to the desire to reciprocate the love and affection that th</w:t>
      </w:r>
      <w:r>
        <w:rPr>
          <w:rFonts w:ascii="Times New Roman" w:hAnsi="Times New Roman"/>
          <w:color w:val="000000"/>
          <w:szCs w:val="24"/>
        </w:rPr>
        <w:t>ey enjoyed while growing up</w:t>
      </w:r>
      <w:r w:rsidRPr="001E360A">
        <w:rPr>
          <w:rFonts w:ascii="Times New Roman" w:hAnsi="Times New Roman"/>
          <w:color w:val="000000"/>
          <w:szCs w:val="24"/>
        </w:rPr>
        <w:t xml:space="preserve"> (Jervis, Boland and Fickenscher, 2010</w:t>
      </w:r>
      <w:r>
        <w:rPr>
          <w:rFonts w:ascii="Times New Roman" w:hAnsi="Times New Roman"/>
          <w:color w:val="000000"/>
          <w:szCs w:val="24"/>
        </w:rPr>
        <w:t>;</w:t>
      </w:r>
      <w:r w:rsidRPr="001E360A">
        <w:rPr>
          <w:rFonts w:ascii="Times New Roman" w:hAnsi="Times New Roman"/>
          <w:color w:val="000000"/>
          <w:szCs w:val="24"/>
        </w:rPr>
        <w:t xml:space="preserve"> Peacock </w:t>
      </w:r>
      <w:r w:rsidRPr="00E97718">
        <w:rPr>
          <w:rFonts w:ascii="Times New Roman" w:hAnsi="Times New Roman"/>
          <w:i/>
          <w:iCs/>
          <w:color w:val="000000"/>
          <w:szCs w:val="24"/>
        </w:rPr>
        <w:t>et al.</w:t>
      </w:r>
      <w:r w:rsidRPr="001E360A">
        <w:rPr>
          <w:rFonts w:ascii="Times New Roman" w:hAnsi="Times New Roman"/>
          <w:color w:val="000000"/>
          <w:szCs w:val="24"/>
        </w:rPr>
        <w:t xml:space="preserve"> 2010)</w:t>
      </w:r>
      <w:r>
        <w:rPr>
          <w:rFonts w:ascii="Times New Roman" w:hAnsi="Times New Roman"/>
          <w:color w:val="000000"/>
          <w:szCs w:val="24"/>
        </w:rPr>
        <w:t>. T</w:t>
      </w:r>
      <w:r w:rsidRPr="001E360A">
        <w:rPr>
          <w:rFonts w:ascii="Times New Roman" w:hAnsi="Times New Roman"/>
          <w:color w:val="000000"/>
          <w:szCs w:val="24"/>
        </w:rPr>
        <w:t>his may also include the reciprocity found in a relationship with a spouse or partner. Some studies found that husbands who cared for their wives saw it as a way of ‘giving back’ love</w:t>
      </w:r>
      <w:r>
        <w:rPr>
          <w:rFonts w:ascii="Times New Roman" w:hAnsi="Times New Roman"/>
          <w:color w:val="000000"/>
          <w:szCs w:val="24"/>
        </w:rPr>
        <w:t xml:space="preserve"> and </w:t>
      </w:r>
      <w:r w:rsidRPr="001E360A">
        <w:rPr>
          <w:rFonts w:ascii="Times New Roman" w:hAnsi="Times New Roman"/>
          <w:color w:val="000000"/>
          <w:szCs w:val="24"/>
        </w:rPr>
        <w:t xml:space="preserve">wives who cared for their husbands viewed it as a way to continue their relationship with their husband (Ribeiro and Paúl, 2008). </w:t>
      </w:r>
    </w:p>
    <w:p w14:paraId="7CBD11A4"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lastRenderedPageBreak/>
        <w:t xml:space="preserve">Peacock </w:t>
      </w:r>
      <w:r w:rsidRPr="00E97718">
        <w:rPr>
          <w:rFonts w:ascii="Times New Roman" w:hAnsi="Times New Roman"/>
          <w:i/>
          <w:iCs/>
          <w:color w:val="000000"/>
          <w:szCs w:val="24"/>
        </w:rPr>
        <w:t>et al.</w:t>
      </w:r>
      <w:r>
        <w:rPr>
          <w:rFonts w:ascii="Times New Roman" w:hAnsi="Times New Roman"/>
          <w:color w:val="000000"/>
          <w:szCs w:val="24"/>
        </w:rPr>
        <w:t xml:space="preserve"> </w:t>
      </w:r>
      <w:r w:rsidRPr="001E360A">
        <w:rPr>
          <w:rFonts w:ascii="Times New Roman" w:hAnsi="Times New Roman"/>
          <w:color w:val="000000"/>
          <w:szCs w:val="24"/>
        </w:rPr>
        <w:t xml:space="preserve">(2010) also noted that some adult children considered caring for their parent as an opportunity to demonstrate to their children how care </w:t>
      </w:r>
      <w:r>
        <w:rPr>
          <w:rFonts w:ascii="Times New Roman" w:hAnsi="Times New Roman"/>
          <w:color w:val="000000"/>
          <w:szCs w:val="24"/>
        </w:rPr>
        <w:t>should</w:t>
      </w:r>
      <w:r w:rsidRPr="001E360A">
        <w:rPr>
          <w:rFonts w:ascii="Times New Roman" w:hAnsi="Times New Roman"/>
          <w:color w:val="000000"/>
          <w:szCs w:val="24"/>
        </w:rPr>
        <w:t xml:space="preserve"> be provided to them in the future. Therefore, reciprocity is not only seen as a positive aspect of caregiving but can also be </w:t>
      </w:r>
      <w:r>
        <w:rPr>
          <w:rFonts w:ascii="Times New Roman" w:hAnsi="Times New Roman"/>
          <w:color w:val="000000"/>
          <w:szCs w:val="24"/>
        </w:rPr>
        <w:t>considered</w:t>
      </w:r>
      <w:r w:rsidRPr="001E360A">
        <w:rPr>
          <w:rFonts w:ascii="Times New Roman" w:hAnsi="Times New Roman"/>
          <w:color w:val="000000"/>
          <w:szCs w:val="24"/>
        </w:rPr>
        <w:t xml:space="preserve"> as a motivation to care. This idea of familial reciprocity as a motive to care is found in many cultures and particularly in cultures with a strong sense of collectiveness and extended family networks (Sabogal </w:t>
      </w:r>
      <w:r w:rsidRPr="00E97718">
        <w:rPr>
          <w:rFonts w:ascii="Times New Roman" w:hAnsi="Times New Roman"/>
          <w:i/>
          <w:iCs/>
          <w:color w:val="000000"/>
          <w:szCs w:val="24"/>
        </w:rPr>
        <w:t>et al.</w:t>
      </w:r>
      <w:r w:rsidRPr="001E360A">
        <w:rPr>
          <w:rFonts w:ascii="Times New Roman" w:hAnsi="Times New Roman"/>
          <w:color w:val="000000"/>
          <w:szCs w:val="24"/>
        </w:rPr>
        <w:t xml:space="preserve">, 1987; Losada </w:t>
      </w:r>
      <w:r w:rsidRPr="00E97718">
        <w:rPr>
          <w:rFonts w:ascii="Times New Roman" w:hAnsi="Times New Roman"/>
          <w:i/>
          <w:iCs/>
          <w:color w:val="000000"/>
          <w:szCs w:val="24"/>
        </w:rPr>
        <w:t>et al.</w:t>
      </w:r>
      <w:r w:rsidRPr="001E360A">
        <w:rPr>
          <w:rFonts w:ascii="Times New Roman" w:hAnsi="Times New Roman"/>
          <w:color w:val="000000"/>
          <w:szCs w:val="24"/>
        </w:rPr>
        <w:t>, 20</w:t>
      </w:r>
      <w:r>
        <w:rPr>
          <w:rFonts w:ascii="Times New Roman" w:hAnsi="Times New Roman"/>
          <w:color w:val="000000"/>
          <w:szCs w:val="24"/>
        </w:rPr>
        <w:t>20</w:t>
      </w:r>
      <w:r w:rsidRPr="001E360A">
        <w:rPr>
          <w:rFonts w:ascii="Times New Roman" w:hAnsi="Times New Roman"/>
          <w:color w:val="000000"/>
          <w:szCs w:val="24"/>
        </w:rPr>
        <w:t xml:space="preserve">). </w:t>
      </w:r>
      <w:r w:rsidRPr="002869BB">
        <w:rPr>
          <w:rFonts w:ascii="Times New Roman" w:hAnsi="Times New Roman"/>
          <w:color w:val="000000"/>
          <w:szCs w:val="24"/>
        </w:rPr>
        <w:t>As highlighted in Chapter 2, migrant care workers who grew up in a society where the family structures are mostly collectivist may demonstrate a high level of reciprocity even when caring for people who are not their relatives. Adams and Sharp (2013) also discussed the concept of ‘professional reciprocity’, denoting that care workers may also exhibit a sense of reciprocity towards their care recipients despite not being related.</w:t>
      </w:r>
    </w:p>
    <w:p w14:paraId="7C5AB2B1" w14:textId="77777777" w:rsidR="00811DBD" w:rsidRPr="001E360A" w:rsidRDefault="00811DBD" w:rsidP="006869A3">
      <w:pPr>
        <w:pStyle w:val="Heading2"/>
      </w:pPr>
      <w:bookmarkStart w:id="90" w:name="_Toc86417276"/>
      <w:r w:rsidRPr="001E360A">
        <w:t>4.3. Why do caregivers have very different experiences of caregiving?</w:t>
      </w:r>
      <w:bookmarkEnd w:id="90"/>
    </w:p>
    <w:p w14:paraId="3E8622B7"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Theorists have sought to explain why care</w:t>
      </w:r>
      <w:r>
        <w:rPr>
          <w:rFonts w:ascii="Times New Roman" w:hAnsi="Times New Roman"/>
          <w:color w:val="000000"/>
          <w:szCs w:val="24"/>
        </w:rPr>
        <w:t>r</w:t>
      </w:r>
      <w:r w:rsidRPr="001E360A">
        <w:rPr>
          <w:rFonts w:ascii="Times New Roman" w:hAnsi="Times New Roman"/>
          <w:color w:val="000000"/>
          <w:szCs w:val="24"/>
        </w:rPr>
        <w:t xml:space="preserve">s have very different experiences of caregiving, and in the following section, a few of the dominant theories will be highlighted. Although most of these theories were developed to understand informal (unpaid) family carers, some aspects of these theories </w:t>
      </w:r>
      <w:r>
        <w:rPr>
          <w:rFonts w:ascii="Times New Roman" w:hAnsi="Times New Roman"/>
          <w:color w:val="000000"/>
          <w:szCs w:val="24"/>
        </w:rPr>
        <w:t xml:space="preserve">will </w:t>
      </w:r>
      <w:r w:rsidRPr="001E360A">
        <w:rPr>
          <w:rFonts w:ascii="Times New Roman" w:hAnsi="Times New Roman"/>
          <w:color w:val="000000"/>
          <w:szCs w:val="24"/>
        </w:rPr>
        <w:t>have resonance for paid care</w:t>
      </w:r>
      <w:r>
        <w:rPr>
          <w:rFonts w:ascii="Times New Roman" w:hAnsi="Times New Roman"/>
          <w:color w:val="000000"/>
          <w:szCs w:val="24"/>
        </w:rPr>
        <w:t xml:space="preserve"> worke</w:t>
      </w:r>
      <w:r w:rsidRPr="001E360A">
        <w:rPr>
          <w:rFonts w:ascii="Times New Roman" w:hAnsi="Times New Roman"/>
          <w:color w:val="000000"/>
          <w:szCs w:val="24"/>
        </w:rPr>
        <w:t xml:space="preserve">rs, as shall be discussed </w:t>
      </w:r>
      <w:r>
        <w:rPr>
          <w:rFonts w:ascii="Times New Roman" w:hAnsi="Times New Roman"/>
          <w:color w:val="000000"/>
          <w:szCs w:val="24"/>
        </w:rPr>
        <w:t xml:space="preserve">in </w:t>
      </w:r>
      <w:r w:rsidRPr="001E360A">
        <w:rPr>
          <w:rFonts w:ascii="Times New Roman" w:hAnsi="Times New Roman"/>
          <w:color w:val="000000"/>
          <w:szCs w:val="24"/>
        </w:rPr>
        <w:t xml:space="preserve">later </w:t>
      </w:r>
      <w:r>
        <w:rPr>
          <w:rFonts w:ascii="Times New Roman" w:hAnsi="Times New Roman"/>
          <w:color w:val="000000"/>
          <w:szCs w:val="24"/>
        </w:rPr>
        <w:t>chapters (seven, eight, nine and ten)</w:t>
      </w:r>
      <w:r w:rsidRPr="001E360A">
        <w:rPr>
          <w:rFonts w:ascii="Times New Roman" w:hAnsi="Times New Roman"/>
          <w:color w:val="000000"/>
          <w:szCs w:val="24"/>
        </w:rPr>
        <w:t xml:space="preserve"> of this thesis.</w:t>
      </w:r>
    </w:p>
    <w:p w14:paraId="3AEEAE68" w14:textId="77777777" w:rsidR="00811DBD" w:rsidRDefault="00811DBD" w:rsidP="006869A3">
      <w:pPr>
        <w:pStyle w:val="Heading3"/>
      </w:pPr>
      <w:bookmarkStart w:id="91" w:name="_Toc86417277"/>
      <w:r w:rsidRPr="001E360A">
        <w:t xml:space="preserve">4.3.1. </w:t>
      </w:r>
      <w:r w:rsidRPr="00605C7E">
        <w:t>The Stress Process Model</w:t>
      </w:r>
      <w:bookmarkEnd w:id="91"/>
    </w:p>
    <w:p w14:paraId="71A5A325" w14:textId="77777777" w:rsidR="00811DBD" w:rsidRPr="001E360A" w:rsidRDefault="00811DBD" w:rsidP="00811DBD">
      <w:pPr>
        <w:spacing w:after="0"/>
        <w:jc w:val="both"/>
        <w:textAlignment w:val="baseline"/>
        <w:rPr>
          <w:rFonts w:ascii="Times New Roman" w:hAnsi="Times New Roman"/>
          <w:color w:val="000000"/>
          <w:szCs w:val="24"/>
        </w:rPr>
      </w:pPr>
      <w:r w:rsidRPr="001E360A">
        <w:rPr>
          <w:rFonts w:ascii="Times New Roman" w:hAnsi="Times New Roman"/>
          <w:color w:val="000000"/>
          <w:szCs w:val="24"/>
        </w:rPr>
        <w:t xml:space="preserve">The Stress Process Model (SPM) developed by Pearlin </w:t>
      </w:r>
      <w:r w:rsidRPr="00E97718">
        <w:rPr>
          <w:rFonts w:ascii="Times New Roman" w:hAnsi="Times New Roman"/>
          <w:i/>
          <w:iCs/>
          <w:color w:val="000000"/>
          <w:szCs w:val="24"/>
        </w:rPr>
        <w:t>et al.</w:t>
      </w:r>
      <w:r w:rsidRPr="001E360A">
        <w:rPr>
          <w:rFonts w:ascii="Times New Roman" w:hAnsi="Times New Roman"/>
          <w:color w:val="000000"/>
          <w:szCs w:val="24"/>
        </w:rPr>
        <w:t xml:space="preserve"> (1990) is one of the dominant theories influencing caregiving research and has also been used to explain the negative aspects of caregiving (see Roff </w:t>
      </w:r>
      <w:r w:rsidRPr="00E97718">
        <w:rPr>
          <w:rFonts w:ascii="Times New Roman" w:hAnsi="Times New Roman"/>
          <w:i/>
          <w:iCs/>
          <w:color w:val="000000"/>
          <w:szCs w:val="24"/>
        </w:rPr>
        <w:t>et al.</w:t>
      </w:r>
      <w:r w:rsidRPr="001E360A">
        <w:rPr>
          <w:rFonts w:ascii="Times New Roman" w:hAnsi="Times New Roman"/>
          <w:color w:val="000000"/>
          <w:szCs w:val="24"/>
        </w:rPr>
        <w:t>, 2004). The overarching theme of the SPM is the stressful nature of caregiving, highlighting the background and context of stress, the stressors involved, resources available to the caregiver and the outcomes (Judge, Menne and Whitlatch, 2010). The model works with the assumption that there is a relationship between stressors and the resources, for example, the level of social support available and the carer’s ability to cope. This model posits that when caregivers have sufficient resources to deal with their stressors, this results in a decrease in the impact of the stressors. In effect, this model suggests that the positive aspects of caregiving may depend on decreasing stressors through access to resources.</w:t>
      </w:r>
    </w:p>
    <w:p w14:paraId="7A70BAB3" w14:textId="77777777" w:rsidR="00811DBD" w:rsidRPr="002869BB" w:rsidRDefault="00811DBD" w:rsidP="00811DBD">
      <w:pPr>
        <w:jc w:val="both"/>
        <w:textAlignment w:val="baseline"/>
        <w:rPr>
          <w:rFonts w:ascii="Times New Roman" w:hAnsi="Times New Roman"/>
          <w:color w:val="000000"/>
          <w:szCs w:val="24"/>
        </w:rPr>
      </w:pPr>
      <w:r w:rsidRPr="002869BB">
        <w:rPr>
          <w:rFonts w:ascii="Times New Roman" w:hAnsi="Times New Roman"/>
          <w:color w:val="000000"/>
          <w:szCs w:val="24"/>
        </w:rPr>
        <w:lastRenderedPageBreak/>
        <w:t xml:space="preserve">However, Lloyds, Patterson and Muers, (2016) focused on the personal resources of the carer and suggested that the negative aspects of caregiving are expressed when the caregiver expresses low self-esteem and how they can master their feelings of control in the caring role. </w:t>
      </w:r>
      <w:r w:rsidRPr="001E360A">
        <w:rPr>
          <w:rFonts w:ascii="Times New Roman" w:hAnsi="Times New Roman"/>
          <w:color w:val="000000"/>
          <w:szCs w:val="24"/>
        </w:rPr>
        <w:t xml:space="preserve">Hence, </w:t>
      </w:r>
      <w:r w:rsidRPr="002869BB">
        <w:rPr>
          <w:rFonts w:ascii="Times New Roman" w:hAnsi="Times New Roman"/>
          <w:color w:val="000000"/>
          <w:szCs w:val="24"/>
        </w:rPr>
        <w:t xml:space="preserve">theorists have used SPM to examine both the positive and the negative aspects of caregiving, although Boerner, Schulz and Horowitz (2004) </w:t>
      </w:r>
      <w:r w:rsidRPr="002869BB">
        <w:rPr>
          <w:rFonts w:ascii="Times New Roman" w:hAnsi="Times New Roman"/>
          <w:szCs w:val="24"/>
        </w:rPr>
        <w:t>indicate</w:t>
      </w:r>
      <w:r>
        <w:rPr>
          <w:rFonts w:ascii="Times New Roman" w:hAnsi="Times New Roman"/>
          <w:color w:val="FF0000"/>
          <w:szCs w:val="24"/>
        </w:rPr>
        <w:t xml:space="preserve"> </w:t>
      </w:r>
      <w:r w:rsidRPr="002869BB">
        <w:rPr>
          <w:rFonts w:ascii="Times New Roman" w:hAnsi="Times New Roman"/>
          <w:color w:val="000000"/>
          <w:szCs w:val="24"/>
        </w:rPr>
        <w:t>that they are simply on opposing ends of the same continuum.</w:t>
      </w:r>
    </w:p>
    <w:p w14:paraId="51B75365" w14:textId="77777777" w:rsidR="00811DBD" w:rsidRPr="002869BB" w:rsidRDefault="00811DBD" w:rsidP="00811DBD">
      <w:pPr>
        <w:jc w:val="both"/>
        <w:textAlignment w:val="baseline"/>
        <w:rPr>
          <w:rFonts w:ascii="Times New Roman" w:hAnsi="Times New Roman"/>
          <w:color w:val="000000"/>
          <w:szCs w:val="24"/>
        </w:rPr>
      </w:pPr>
      <w:r w:rsidRPr="002869BB">
        <w:rPr>
          <w:rFonts w:ascii="Times New Roman" w:hAnsi="Times New Roman"/>
          <w:color w:val="000000"/>
          <w:szCs w:val="24"/>
        </w:rPr>
        <w:t xml:space="preserve">However, other theorists have rejected the idea that the positive and negative aspects of caregiving are dichotomised (Gonçalves-Pereira </w:t>
      </w:r>
      <w:r w:rsidRPr="00E97718">
        <w:rPr>
          <w:rFonts w:ascii="Times New Roman" w:hAnsi="Times New Roman"/>
          <w:i/>
          <w:iCs/>
          <w:color w:val="000000"/>
          <w:szCs w:val="24"/>
        </w:rPr>
        <w:t>et al.</w:t>
      </w:r>
      <w:r w:rsidRPr="002869BB">
        <w:rPr>
          <w:rFonts w:ascii="Times New Roman" w:hAnsi="Times New Roman"/>
          <w:color w:val="000000"/>
          <w:szCs w:val="24"/>
        </w:rPr>
        <w:t>, 2010; Monin, Schulz and Feeney, 2015). For example, Rapp and Chao (2000) examined the effects on the psychological wellbeing of care</w:t>
      </w:r>
      <w:r>
        <w:rPr>
          <w:rFonts w:ascii="Times New Roman" w:hAnsi="Times New Roman"/>
          <w:color w:val="000000"/>
          <w:szCs w:val="24"/>
        </w:rPr>
        <w:t>r</w:t>
      </w:r>
      <w:r w:rsidRPr="002869BB">
        <w:rPr>
          <w:rFonts w:ascii="Times New Roman" w:hAnsi="Times New Roman"/>
          <w:color w:val="000000"/>
          <w:szCs w:val="24"/>
        </w:rPr>
        <w:t xml:space="preserve">s of PWLD and their study </w:t>
      </w:r>
      <w:r w:rsidRPr="002869BB">
        <w:rPr>
          <w:rFonts w:ascii="Times New Roman" w:hAnsi="Times New Roman"/>
          <w:szCs w:val="24"/>
        </w:rPr>
        <w:t>demonstrates</w:t>
      </w:r>
      <w:r>
        <w:rPr>
          <w:rFonts w:ascii="Times New Roman" w:hAnsi="Times New Roman"/>
          <w:color w:val="FF0000"/>
          <w:szCs w:val="24"/>
        </w:rPr>
        <w:t xml:space="preserve"> </w:t>
      </w:r>
      <w:r w:rsidRPr="002869BB">
        <w:rPr>
          <w:rFonts w:ascii="Times New Roman" w:hAnsi="Times New Roman"/>
          <w:color w:val="000000"/>
          <w:szCs w:val="24"/>
        </w:rPr>
        <w:t xml:space="preserve">that caregiver's positive appraisal of the situation could play an essential role in buffering stress. However, generally SPM theories tend to focus on the negative aspects of caregiving, and consequently, these theories may not adequately address the positive aspects of caregiving (Judge, Menne and Whitlatch, 2010). </w:t>
      </w:r>
    </w:p>
    <w:p w14:paraId="010738F7" w14:textId="77777777" w:rsidR="00811DBD" w:rsidRDefault="00811DBD" w:rsidP="006869A3">
      <w:pPr>
        <w:pStyle w:val="Heading3"/>
      </w:pPr>
      <w:bookmarkStart w:id="92" w:name="_Toc86417278"/>
      <w:r w:rsidRPr="001E360A">
        <w:t xml:space="preserve">4.3.2. </w:t>
      </w:r>
      <w:r w:rsidRPr="00605C7E">
        <w:t>A two-factor model</w:t>
      </w:r>
      <w:bookmarkEnd w:id="92"/>
    </w:p>
    <w:p w14:paraId="0D210518" w14:textId="77777777" w:rsidR="00811DBD"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Lawton </w:t>
      </w:r>
      <w:r w:rsidRPr="00E97718">
        <w:rPr>
          <w:rFonts w:ascii="Times New Roman" w:hAnsi="Times New Roman"/>
          <w:i/>
          <w:iCs/>
          <w:color w:val="000000"/>
          <w:szCs w:val="24"/>
        </w:rPr>
        <w:t>et al.</w:t>
      </w:r>
      <w:r w:rsidRPr="001E360A">
        <w:rPr>
          <w:rFonts w:ascii="Times New Roman" w:hAnsi="Times New Roman"/>
          <w:color w:val="000000"/>
          <w:szCs w:val="24"/>
        </w:rPr>
        <w:t xml:space="preserve"> (1991) studied spouses and adult children caring for people living with Alzheimer’s disease. </w:t>
      </w:r>
      <w:r>
        <w:rPr>
          <w:rFonts w:ascii="Times New Roman" w:hAnsi="Times New Roman"/>
          <w:color w:val="000000"/>
          <w:szCs w:val="24"/>
        </w:rPr>
        <w:t>They</w:t>
      </w:r>
      <w:r w:rsidRPr="001E360A">
        <w:rPr>
          <w:rFonts w:ascii="Times New Roman" w:hAnsi="Times New Roman"/>
          <w:color w:val="000000"/>
          <w:szCs w:val="24"/>
        </w:rPr>
        <w:t xml:space="preserve"> identified the care recipients’ behaviour as a stressor and the carers’ wellbeing as the subject of the study. They found that there </w:t>
      </w:r>
      <w:r>
        <w:rPr>
          <w:rFonts w:ascii="Times New Roman" w:hAnsi="Times New Roman"/>
          <w:color w:val="000000"/>
          <w:szCs w:val="24"/>
        </w:rPr>
        <w:t>were</w:t>
      </w:r>
      <w:r w:rsidRPr="001E360A">
        <w:rPr>
          <w:rFonts w:ascii="Times New Roman" w:hAnsi="Times New Roman"/>
          <w:color w:val="000000"/>
          <w:szCs w:val="24"/>
        </w:rPr>
        <w:t xml:space="preserve"> difference</w:t>
      </w:r>
      <w:r>
        <w:rPr>
          <w:rFonts w:ascii="Times New Roman" w:hAnsi="Times New Roman"/>
          <w:color w:val="000000"/>
          <w:szCs w:val="24"/>
        </w:rPr>
        <w:t>s</w:t>
      </w:r>
      <w:r w:rsidRPr="001E360A">
        <w:rPr>
          <w:rFonts w:ascii="Times New Roman" w:hAnsi="Times New Roman"/>
          <w:color w:val="000000"/>
          <w:szCs w:val="24"/>
        </w:rPr>
        <w:t xml:space="preserve"> in the way that spouses and adult children experienced the burden and satisfaction </w:t>
      </w:r>
      <w:r>
        <w:rPr>
          <w:rFonts w:ascii="Times New Roman" w:hAnsi="Times New Roman"/>
          <w:color w:val="000000"/>
          <w:szCs w:val="24"/>
        </w:rPr>
        <w:t>of</w:t>
      </w:r>
      <w:r w:rsidRPr="001E360A">
        <w:rPr>
          <w:rFonts w:ascii="Times New Roman" w:hAnsi="Times New Roman"/>
          <w:color w:val="000000"/>
          <w:szCs w:val="24"/>
        </w:rPr>
        <w:t xml:space="preserve"> caring </w:t>
      </w:r>
      <w:r>
        <w:rPr>
          <w:rFonts w:ascii="Times New Roman" w:hAnsi="Times New Roman"/>
          <w:color w:val="000000"/>
          <w:szCs w:val="24"/>
        </w:rPr>
        <w:t>which</w:t>
      </w:r>
      <w:r w:rsidRPr="001E360A">
        <w:rPr>
          <w:rFonts w:ascii="Times New Roman" w:hAnsi="Times New Roman"/>
          <w:color w:val="000000"/>
          <w:szCs w:val="24"/>
        </w:rPr>
        <w:t xml:space="preserve"> can have a different effect on the</w:t>
      </w:r>
      <w:r>
        <w:rPr>
          <w:rFonts w:ascii="Times New Roman" w:hAnsi="Times New Roman"/>
          <w:color w:val="000000"/>
          <w:szCs w:val="24"/>
        </w:rPr>
        <w:t>ir</w:t>
      </w:r>
      <w:r w:rsidRPr="001E360A">
        <w:rPr>
          <w:rFonts w:ascii="Times New Roman" w:hAnsi="Times New Roman"/>
          <w:color w:val="000000"/>
          <w:szCs w:val="24"/>
        </w:rPr>
        <w:t xml:space="preserve"> wellbeing.</w:t>
      </w:r>
    </w:p>
    <w:p w14:paraId="46CD2763"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Although the Lawton </w:t>
      </w:r>
      <w:r w:rsidRPr="00E97718">
        <w:rPr>
          <w:rFonts w:ascii="Times New Roman" w:hAnsi="Times New Roman"/>
          <w:i/>
          <w:iCs/>
          <w:color w:val="000000"/>
          <w:szCs w:val="24"/>
        </w:rPr>
        <w:t>et al.</w:t>
      </w:r>
      <w:r w:rsidRPr="001E360A">
        <w:rPr>
          <w:rFonts w:ascii="Times New Roman" w:hAnsi="Times New Roman"/>
          <w:color w:val="000000"/>
          <w:szCs w:val="24"/>
        </w:rPr>
        <w:t xml:space="preserve"> </w:t>
      </w:r>
      <w:r>
        <w:rPr>
          <w:rFonts w:ascii="Times New Roman" w:hAnsi="Times New Roman"/>
          <w:color w:val="000000"/>
          <w:szCs w:val="24"/>
        </w:rPr>
        <w:t xml:space="preserve">(1991) </w:t>
      </w:r>
      <w:r w:rsidRPr="001E360A">
        <w:rPr>
          <w:rFonts w:ascii="Times New Roman" w:hAnsi="Times New Roman"/>
          <w:color w:val="000000"/>
          <w:szCs w:val="24"/>
        </w:rPr>
        <w:t xml:space="preserve">study </w:t>
      </w:r>
      <w:r>
        <w:rPr>
          <w:rFonts w:ascii="Times New Roman" w:hAnsi="Times New Roman"/>
          <w:color w:val="000000"/>
          <w:szCs w:val="24"/>
        </w:rPr>
        <w:t xml:space="preserve">is </w:t>
      </w:r>
      <w:r w:rsidRPr="001E360A">
        <w:rPr>
          <w:rFonts w:ascii="Times New Roman" w:hAnsi="Times New Roman"/>
          <w:color w:val="000000"/>
          <w:szCs w:val="24"/>
        </w:rPr>
        <w:t xml:space="preserve">mostly cited, as Lyons </w:t>
      </w:r>
      <w:r w:rsidRPr="00E97718">
        <w:rPr>
          <w:rFonts w:ascii="Times New Roman" w:hAnsi="Times New Roman"/>
          <w:i/>
          <w:iCs/>
          <w:color w:val="000000"/>
          <w:szCs w:val="24"/>
        </w:rPr>
        <w:t>et al.</w:t>
      </w:r>
      <w:r w:rsidRPr="001E360A">
        <w:rPr>
          <w:rFonts w:ascii="Times New Roman" w:hAnsi="Times New Roman"/>
          <w:color w:val="000000"/>
          <w:szCs w:val="24"/>
        </w:rPr>
        <w:t xml:space="preserve"> (2002) suggests, caregiving involves an interrelationship (between the caregiver and care recipient)</w:t>
      </w:r>
      <w:r>
        <w:rPr>
          <w:rFonts w:ascii="Times New Roman" w:hAnsi="Times New Roman"/>
          <w:color w:val="000000"/>
          <w:szCs w:val="24"/>
        </w:rPr>
        <w:t>,</w:t>
      </w:r>
      <w:r w:rsidRPr="001E360A">
        <w:rPr>
          <w:rFonts w:ascii="Times New Roman" w:hAnsi="Times New Roman"/>
          <w:color w:val="000000"/>
          <w:szCs w:val="24"/>
        </w:rPr>
        <w:t xml:space="preserve"> and the two-factor model fails to consider the quality of this relationship at different times. Similarly, </w:t>
      </w:r>
      <w:r>
        <w:rPr>
          <w:rFonts w:ascii="Times New Roman" w:hAnsi="Times New Roman"/>
          <w:color w:val="000000"/>
          <w:szCs w:val="24"/>
        </w:rPr>
        <w:t>a review</w:t>
      </w:r>
      <w:r w:rsidRPr="001E360A">
        <w:rPr>
          <w:rFonts w:ascii="Times New Roman" w:hAnsi="Times New Roman"/>
          <w:color w:val="000000"/>
          <w:szCs w:val="24"/>
        </w:rPr>
        <w:t xml:space="preserve"> by Kramer (1997) proposed </w:t>
      </w:r>
      <w:r>
        <w:rPr>
          <w:rFonts w:ascii="Times New Roman" w:hAnsi="Times New Roman"/>
          <w:color w:val="000000"/>
          <w:szCs w:val="24"/>
        </w:rPr>
        <w:t xml:space="preserve">a conceptual framework which indicates </w:t>
      </w:r>
      <w:r w:rsidRPr="001E360A">
        <w:rPr>
          <w:rFonts w:ascii="Times New Roman" w:hAnsi="Times New Roman"/>
          <w:color w:val="000000"/>
          <w:szCs w:val="24"/>
        </w:rPr>
        <w:t>that caregivers’ experience of positive or negative aspects of caregiving depends on their appraisal of the role. While the carer’s appraisals of ‘role gain’ (i.e.</w:t>
      </w:r>
      <w:r>
        <w:rPr>
          <w:rFonts w:ascii="Times New Roman" w:hAnsi="Times New Roman"/>
          <w:color w:val="000000"/>
          <w:szCs w:val="24"/>
        </w:rPr>
        <w:t>,</w:t>
      </w:r>
      <w:r w:rsidRPr="001E360A">
        <w:rPr>
          <w:rFonts w:ascii="Times New Roman" w:hAnsi="Times New Roman"/>
          <w:color w:val="000000"/>
          <w:szCs w:val="24"/>
        </w:rPr>
        <w:t xml:space="preserve"> what did they benefit from the role) can lead to positive outcomes, their appraisals of ‘role strain’ (what did they lose </w:t>
      </w:r>
      <w:r>
        <w:rPr>
          <w:rFonts w:ascii="Times New Roman" w:hAnsi="Times New Roman"/>
          <w:color w:val="000000"/>
          <w:szCs w:val="24"/>
        </w:rPr>
        <w:t>because of</w:t>
      </w:r>
      <w:r w:rsidRPr="001E360A">
        <w:rPr>
          <w:rFonts w:ascii="Times New Roman" w:hAnsi="Times New Roman"/>
          <w:color w:val="000000"/>
          <w:szCs w:val="24"/>
        </w:rPr>
        <w:t xml:space="preserve"> the role) results in adverse outcomes. </w:t>
      </w:r>
      <w:r>
        <w:rPr>
          <w:rFonts w:ascii="Times New Roman" w:hAnsi="Times New Roman"/>
          <w:color w:val="000000"/>
          <w:szCs w:val="24"/>
        </w:rPr>
        <w:t>A</w:t>
      </w:r>
      <w:r w:rsidRPr="001E360A">
        <w:rPr>
          <w:rFonts w:ascii="Times New Roman" w:hAnsi="Times New Roman"/>
          <w:color w:val="000000"/>
          <w:szCs w:val="24"/>
        </w:rPr>
        <w:t xml:space="preserve">lthough Lawton </w:t>
      </w:r>
      <w:r w:rsidRPr="00E97718">
        <w:rPr>
          <w:rFonts w:ascii="Times New Roman" w:hAnsi="Times New Roman"/>
          <w:i/>
          <w:iCs/>
          <w:color w:val="000000"/>
          <w:szCs w:val="24"/>
        </w:rPr>
        <w:t>et al.</w:t>
      </w:r>
      <w:r w:rsidRPr="001E360A">
        <w:rPr>
          <w:rFonts w:ascii="Times New Roman" w:hAnsi="Times New Roman"/>
          <w:color w:val="000000"/>
          <w:szCs w:val="24"/>
        </w:rPr>
        <w:t xml:space="preserve"> (1991) and Kramer (1997) both incorporate positive and negative aspects of caregiving, they do not show the influence of negative aspects of </w:t>
      </w:r>
      <w:r w:rsidRPr="001E360A">
        <w:rPr>
          <w:rFonts w:ascii="Times New Roman" w:hAnsi="Times New Roman"/>
          <w:color w:val="000000"/>
          <w:szCs w:val="24"/>
        </w:rPr>
        <w:lastRenderedPageBreak/>
        <w:t>caregiving</w:t>
      </w:r>
      <w:r w:rsidRPr="00690263">
        <w:rPr>
          <w:rFonts w:ascii="Times New Roman" w:hAnsi="Times New Roman"/>
          <w:iCs/>
          <w:color w:val="000000"/>
          <w:szCs w:val="24"/>
        </w:rPr>
        <w:t xml:space="preserve"> on </w:t>
      </w:r>
      <w:r w:rsidRPr="001E360A">
        <w:rPr>
          <w:rFonts w:ascii="Times New Roman" w:hAnsi="Times New Roman"/>
          <w:color w:val="000000"/>
          <w:szCs w:val="24"/>
        </w:rPr>
        <w:t>the positive outcomes since they considered the positive and negative aspects of caregiving as independent aspects of the experience (Iecovich, 2011).  Broese van Groenou</w:t>
      </w:r>
      <w:r>
        <w:rPr>
          <w:rFonts w:ascii="Times New Roman" w:hAnsi="Times New Roman"/>
          <w:color w:val="000000"/>
          <w:szCs w:val="24"/>
        </w:rPr>
        <w:t>,</w:t>
      </w:r>
      <w:r w:rsidRPr="001E360A">
        <w:rPr>
          <w:rFonts w:ascii="Times New Roman" w:hAnsi="Times New Roman"/>
          <w:color w:val="000000"/>
          <w:szCs w:val="24"/>
        </w:rPr>
        <w:t xml:space="preserve"> </w:t>
      </w:r>
      <w:r w:rsidRPr="00BC64AF">
        <w:rPr>
          <w:rFonts w:ascii="Times New Roman" w:hAnsi="Times New Roman"/>
          <w:szCs w:val="24"/>
        </w:rPr>
        <w:t>de Boer and Iedema</w:t>
      </w:r>
      <w:r w:rsidRPr="001E360A">
        <w:rPr>
          <w:rFonts w:ascii="Times New Roman" w:hAnsi="Times New Roman"/>
          <w:color w:val="000000"/>
          <w:szCs w:val="24"/>
        </w:rPr>
        <w:t xml:space="preserve"> (2013, p. 301) alluded to this dichotomy of the aspects of caregiving in their study </w:t>
      </w:r>
      <w:r>
        <w:rPr>
          <w:rFonts w:ascii="Times New Roman" w:hAnsi="Times New Roman"/>
          <w:color w:val="000000"/>
          <w:szCs w:val="24"/>
        </w:rPr>
        <w:t>which</w:t>
      </w:r>
      <w:r w:rsidRPr="001E360A">
        <w:rPr>
          <w:rFonts w:ascii="Times New Roman" w:hAnsi="Times New Roman"/>
          <w:color w:val="000000"/>
          <w:szCs w:val="24"/>
        </w:rPr>
        <w:t xml:space="preserve"> evaluate</w:t>
      </w:r>
      <w:r>
        <w:rPr>
          <w:rFonts w:ascii="Times New Roman" w:hAnsi="Times New Roman"/>
          <w:color w:val="000000"/>
          <w:szCs w:val="24"/>
        </w:rPr>
        <w:t>d</w:t>
      </w:r>
      <w:r w:rsidRPr="001E360A">
        <w:rPr>
          <w:rFonts w:ascii="Times New Roman" w:hAnsi="Times New Roman"/>
          <w:color w:val="000000"/>
          <w:szCs w:val="24"/>
        </w:rPr>
        <w:t xml:space="preserve"> the positive and negative outcomes of caregiving among family carers, </w:t>
      </w:r>
      <w:r>
        <w:rPr>
          <w:rFonts w:ascii="Times New Roman" w:hAnsi="Times New Roman"/>
          <w:color w:val="000000"/>
          <w:szCs w:val="24"/>
        </w:rPr>
        <w:t>noting</w:t>
      </w:r>
      <w:r w:rsidRPr="001E360A">
        <w:rPr>
          <w:rFonts w:ascii="Times New Roman" w:hAnsi="Times New Roman"/>
          <w:color w:val="000000"/>
          <w:szCs w:val="24"/>
        </w:rPr>
        <w:t xml:space="preserve"> that both aspects, ‘</w:t>
      </w:r>
      <w:r w:rsidRPr="001E360A">
        <w:rPr>
          <w:rFonts w:ascii="Times New Roman" w:hAnsi="Times New Roman"/>
          <w:i/>
          <w:iCs/>
          <w:color w:val="000000"/>
          <w:szCs w:val="24"/>
        </w:rPr>
        <w:t>seem to reflect separate dimensions of caregiving that have different predictors and differing outcomes….</w:t>
      </w:r>
      <w:r w:rsidRPr="001E360A">
        <w:rPr>
          <w:rFonts w:ascii="Times New Roman" w:hAnsi="Times New Roman"/>
          <w:color w:val="000000"/>
          <w:szCs w:val="24"/>
        </w:rPr>
        <w:t>’.</w:t>
      </w:r>
    </w:p>
    <w:p w14:paraId="476CD2C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It is worth noting that even though a number of theorists have emphasised the presence of positive and negative outcomes in caregiving, they often do not sufficiently address the role of other variables or factors, for example, the caregiver’s characteristics, levels of additional support, or cultural background (Aranda and Knight, 1997; Knight and Sayegh, 2010). </w:t>
      </w:r>
    </w:p>
    <w:p w14:paraId="34DDE06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In the next section, I shall examine the differences in caregiving burden between caregivers caring for </w:t>
      </w:r>
      <w:r>
        <w:rPr>
          <w:rFonts w:ascii="Times New Roman" w:hAnsi="Times New Roman"/>
          <w:color w:val="000000"/>
          <w:szCs w:val="24"/>
        </w:rPr>
        <w:t>PLWD</w:t>
      </w:r>
      <w:r w:rsidRPr="001E360A">
        <w:rPr>
          <w:rFonts w:ascii="Times New Roman" w:hAnsi="Times New Roman"/>
          <w:color w:val="000000"/>
          <w:szCs w:val="24"/>
        </w:rPr>
        <w:t xml:space="preserve"> and those caring for people with other support needs.</w:t>
      </w:r>
      <w:r w:rsidRPr="001E360A">
        <w:rPr>
          <w:rFonts w:ascii="Times New Roman" w:hAnsi="Times New Roman"/>
          <w:b/>
          <w:bCs/>
          <w:color w:val="000000"/>
          <w:szCs w:val="24"/>
        </w:rPr>
        <w:t xml:space="preserve"> </w:t>
      </w:r>
    </w:p>
    <w:p w14:paraId="3EF5876F" w14:textId="77777777" w:rsidR="00811DBD" w:rsidRPr="001E360A" w:rsidRDefault="00811DBD" w:rsidP="006869A3">
      <w:pPr>
        <w:pStyle w:val="Heading2"/>
      </w:pPr>
      <w:bookmarkStart w:id="93" w:name="_Toc86417279"/>
      <w:r w:rsidRPr="001E360A">
        <w:t xml:space="preserve">4.4. </w:t>
      </w:r>
      <w:r>
        <w:t xml:space="preserve">Differences between </w:t>
      </w:r>
      <w:r>
        <w:rPr>
          <w:lang w:val="en"/>
        </w:rPr>
        <w:t>c</w:t>
      </w:r>
      <w:r w:rsidRPr="001E360A">
        <w:rPr>
          <w:lang w:val="en"/>
        </w:rPr>
        <w:t xml:space="preserve">aring for </w:t>
      </w:r>
      <w:r>
        <w:rPr>
          <w:lang w:val="en"/>
        </w:rPr>
        <w:t>PLWD and caring for other illnesses</w:t>
      </w:r>
      <w:bookmarkEnd w:id="93"/>
    </w:p>
    <w:p w14:paraId="6C598EE1" w14:textId="77777777" w:rsidR="00811DBD" w:rsidRDefault="00811DBD" w:rsidP="00811DBD">
      <w:pPr>
        <w:jc w:val="both"/>
        <w:textAlignment w:val="baseline"/>
        <w:rPr>
          <w:rFonts w:ascii="Times New Roman" w:hAnsi="Times New Roman"/>
          <w:color w:val="000000"/>
          <w:szCs w:val="24"/>
        </w:rPr>
      </w:pPr>
      <w:r w:rsidRPr="007B621C">
        <w:rPr>
          <w:rFonts w:ascii="Times New Roman" w:hAnsi="Times New Roman"/>
          <w:color w:val="000000"/>
          <w:szCs w:val="24"/>
        </w:rPr>
        <w:t xml:space="preserve">The impacts of dementia caregiving (rather than caring for other illnesses) is well documented and research suggests it often has adverse effects on the caregiver’s physical and emotional health (Greenberger and Litwin, 2003), including a high prevalence of depression, perceived poor health and increased risk of mortality (Schultz </w:t>
      </w:r>
      <w:r w:rsidRPr="00E97718">
        <w:rPr>
          <w:rFonts w:ascii="Times New Roman" w:hAnsi="Times New Roman"/>
          <w:i/>
          <w:iCs/>
          <w:color w:val="000000"/>
          <w:szCs w:val="24"/>
        </w:rPr>
        <w:t>et al.</w:t>
      </w:r>
      <w:r w:rsidRPr="007B621C">
        <w:rPr>
          <w:rFonts w:ascii="Times New Roman" w:hAnsi="Times New Roman"/>
          <w:color w:val="000000"/>
          <w:szCs w:val="24"/>
        </w:rPr>
        <w:t>, 1995, Schultz and Beach, 1999; Kim and Schulz, 2008; Seidel and Thyrian, 2019). Some reports have suggested that care</w:t>
      </w:r>
      <w:r>
        <w:rPr>
          <w:rFonts w:ascii="Times New Roman" w:hAnsi="Times New Roman"/>
          <w:color w:val="000000"/>
          <w:szCs w:val="24"/>
        </w:rPr>
        <w:t>r</w:t>
      </w:r>
      <w:r w:rsidRPr="007B621C">
        <w:rPr>
          <w:rFonts w:ascii="Times New Roman" w:hAnsi="Times New Roman"/>
          <w:color w:val="000000"/>
          <w:szCs w:val="24"/>
        </w:rPr>
        <w:t xml:space="preserve">s of PLWD need to rely on a variety of support and services if they are to cope with the challenges of caring (Ham, 1999; </w:t>
      </w:r>
      <w:r>
        <w:rPr>
          <w:rFonts w:ascii="Times New Roman" w:hAnsi="Times New Roman"/>
          <w:color w:val="000000"/>
          <w:szCs w:val="24"/>
        </w:rPr>
        <w:t>Dupuis, Epp and Smale, 2004</w:t>
      </w:r>
      <w:r w:rsidRPr="007B621C">
        <w:rPr>
          <w:rFonts w:ascii="Times New Roman" w:hAnsi="Times New Roman"/>
          <w:color w:val="000000"/>
          <w:szCs w:val="24"/>
        </w:rPr>
        <w:t>).</w:t>
      </w:r>
    </w:p>
    <w:p w14:paraId="5650D582" w14:textId="4B5E88FE" w:rsidR="005B3FAB"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While care</w:t>
      </w:r>
      <w:r>
        <w:rPr>
          <w:rFonts w:ascii="Times New Roman" w:hAnsi="Times New Roman"/>
          <w:color w:val="000000"/>
          <w:szCs w:val="24"/>
        </w:rPr>
        <w:t>r</w:t>
      </w:r>
      <w:r w:rsidRPr="001E360A">
        <w:rPr>
          <w:rFonts w:ascii="Times New Roman" w:hAnsi="Times New Roman"/>
          <w:color w:val="000000"/>
          <w:szCs w:val="24"/>
        </w:rPr>
        <w:t xml:space="preserve">s caring for </w:t>
      </w:r>
      <w:r>
        <w:rPr>
          <w:rFonts w:ascii="Times New Roman" w:hAnsi="Times New Roman"/>
          <w:color w:val="000000"/>
          <w:szCs w:val="24"/>
        </w:rPr>
        <w:t>PLWD</w:t>
      </w:r>
      <w:r w:rsidRPr="001E360A">
        <w:rPr>
          <w:rFonts w:ascii="Times New Roman" w:hAnsi="Times New Roman"/>
          <w:color w:val="000000"/>
          <w:szCs w:val="24"/>
        </w:rPr>
        <w:t xml:space="preserve"> may have much in common with other caregivers, clearly the nature of dementia, as a degenerative condition, means that the caring role changes over time (Li, 2012).  A study by Ory </w:t>
      </w:r>
      <w:r w:rsidRPr="00E97718">
        <w:rPr>
          <w:rFonts w:ascii="Times New Roman" w:hAnsi="Times New Roman"/>
          <w:i/>
          <w:iCs/>
          <w:color w:val="000000"/>
          <w:szCs w:val="24"/>
        </w:rPr>
        <w:t>et al.</w:t>
      </w:r>
      <w:r w:rsidRPr="001E360A">
        <w:rPr>
          <w:rFonts w:ascii="Times New Roman" w:hAnsi="Times New Roman"/>
          <w:color w:val="000000"/>
          <w:szCs w:val="24"/>
        </w:rPr>
        <w:t xml:space="preserve"> (1999) offered an insight into the demands of dementia caregiving by investigating the differences between dementia caregivers and non-dementia caregivers. They observed that dementia caregivers spent a greater amount of time (in terms of hour per week) doing caregiving tasks as well as activity for daily living and other care activities than non-dementia caregivers.</w:t>
      </w:r>
    </w:p>
    <w:p w14:paraId="099449AB" w14:textId="77777777" w:rsidR="00811DBD" w:rsidRPr="001E360A" w:rsidRDefault="00811DBD" w:rsidP="006869A3">
      <w:pPr>
        <w:pStyle w:val="Heading2"/>
      </w:pPr>
      <w:bookmarkStart w:id="94" w:name="_Toc86417280"/>
      <w:r w:rsidRPr="001E360A">
        <w:lastRenderedPageBreak/>
        <w:t>4.</w:t>
      </w:r>
      <w:r>
        <w:t>5</w:t>
      </w:r>
      <w:r w:rsidRPr="001E360A">
        <w:t>. Cultural beliefs/values and dementia caregiving</w:t>
      </w:r>
      <w:bookmarkEnd w:id="94"/>
    </w:p>
    <w:p w14:paraId="18DAD42E"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 UK has an increasingly ethno</w:t>
      </w:r>
      <w:r>
        <w:rPr>
          <w:rFonts w:ascii="Times New Roman" w:hAnsi="Times New Roman"/>
          <w:color w:val="000000"/>
          <w:szCs w:val="24"/>
        </w:rPr>
        <w:t>-</w:t>
      </w:r>
      <w:r w:rsidRPr="001E360A">
        <w:rPr>
          <w:rFonts w:ascii="Times New Roman" w:hAnsi="Times New Roman"/>
          <w:color w:val="000000"/>
          <w:szCs w:val="24"/>
        </w:rPr>
        <w:t>culturally diverse society</w:t>
      </w:r>
      <w:r>
        <w:rPr>
          <w:rFonts w:ascii="Times New Roman" w:hAnsi="Times New Roman"/>
          <w:color w:val="000000"/>
          <w:szCs w:val="24"/>
        </w:rPr>
        <w:t>,</w:t>
      </w:r>
      <w:r w:rsidRPr="001E360A">
        <w:rPr>
          <w:rFonts w:ascii="Times New Roman" w:hAnsi="Times New Roman"/>
          <w:color w:val="000000"/>
          <w:szCs w:val="24"/>
        </w:rPr>
        <w:t xml:space="preserve"> and many migrants are now ageing in the UK (Centre for Policy on Ageing, 2013; Phillipson, 2015; Zubair and Victor, 2015</w:t>
      </w:r>
      <w:r>
        <w:rPr>
          <w:rFonts w:ascii="Times New Roman" w:hAnsi="Times New Roman"/>
          <w:color w:val="000000"/>
          <w:szCs w:val="24"/>
        </w:rPr>
        <w:t xml:space="preserve">; </w:t>
      </w:r>
      <w:r w:rsidRPr="00B4253F">
        <w:rPr>
          <w:rFonts w:ascii="Times New Roman" w:hAnsi="Times New Roman"/>
          <w:color w:val="000000"/>
          <w:szCs w:val="24"/>
        </w:rPr>
        <w:t>Ciobanu</w:t>
      </w:r>
      <w:r>
        <w:rPr>
          <w:rFonts w:ascii="Times New Roman" w:hAnsi="Times New Roman"/>
          <w:color w:val="000000"/>
          <w:szCs w:val="24"/>
        </w:rPr>
        <w:t xml:space="preserve"> </w:t>
      </w:r>
      <w:r w:rsidRPr="00E97718">
        <w:rPr>
          <w:rFonts w:ascii="Times New Roman" w:hAnsi="Times New Roman"/>
          <w:i/>
          <w:iCs/>
          <w:color w:val="000000"/>
          <w:szCs w:val="24"/>
        </w:rPr>
        <w:t>et al.</w:t>
      </w:r>
      <w:r>
        <w:rPr>
          <w:rFonts w:ascii="Times New Roman" w:hAnsi="Times New Roman"/>
          <w:color w:val="000000"/>
          <w:szCs w:val="24"/>
        </w:rPr>
        <w:t>, 2020</w:t>
      </w:r>
      <w:r w:rsidRPr="001E360A">
        <w:rPr>
          <w:rFonts w:ascii="Times New Roman" w:hAnsi="Times New Roman"/>
          <w:color w:val="000000"/>
          <w:szCs w:val="24"/>
        </w:rPr>
        <w:t>).</w:t>
      </w:r>
      <w:r>
        <w:rPr>
          <w:rFonts w:ascii="Times New Roman" w:hAnsi="Times New Roman"/>
          <w:color w:val="000000"/>
          <w:szCs w:val="24"/>
        </w:rPr>
        <w:t xml:space="preserve"> </w:t>
      </w:r>
      <w:r w:rsidRPr="001E360A">
        <w:rPr>
          <w:rFonts w:ascii="Times New Roman" w:hAnsi="Times New Roman"/>
          <w:color w:val="000000"/>
          <w:szCs w:val="24"/>
        </w:rPr>
        <w:t>Therefore, it is increasingly important for professionals to be aware of issues concerning ageing and culture (Torres, 2015). As suggested earlier</w:t>
      </w:r>
      <w:r>
        <w:rPr>
          <w:rFonts w:ascii="Times New Roman" w:hAnsi="Times New Roman"/>
          <w:color w:val="000000"/>
          <w:szCs w:val="24"/>
        </w:rPr>
        <w:t xml:space="preserve"> (see section 1.3.2)</w:t>
      </w:r>
      <w:r w:rsidRPr="001E360A">
        <w:rPr>
          <w:rFonts w:ascii="Times New Roman" w:hAnsi="Times New Roman"/>
          <w:color w:val="000000"/>
          <w:szCs w:val="24"/>
        </w:rPr>
        <w:t xml:space="preserve">, the aetiology of dementia means that the condition does not discriminate with respect to who can develop it (All Party Parliamentary Group on Dementia, 2013). Thus, the prevalence of dementia cuts across all ethnic groups and cultures, although, specific types of dementia are more prevalent among certain ethnic groups than others. For example, research suggests that Black and ethnic minorities have a higher risk of developing vascular dementia than Caucasians due to their susceptibility to cardiovascular risk factors such as hypertension, stroke, type II diabetes, etc. (Stevens, Leavey and Livingston, 2004; Tuerk and Sauer, 2015). The concept of cultural variations in the nature and impact of the dementia caregiving experience has been the focus of considerable research in the last two decades (Connell and Gibson, 1997), fuelled in part by the rapid diversification of ethnic groups around the world. However, the prevalence of dementia among ethnic minorities is believed to be underestimated (Pham </w:t>
      </w:r>
      <w:r w:rsidRPr="00E97718">
        <w:rPr>
          <w:rFonts w:ascii="Times New Roman" w:hAnsi="Times New Roman"/>
          <w:i/>
          <w:iCs/>
          <w:color w:val="000000"/>
          <w:szCs w:val="24"/>
        </w:rPr>
        <w:t>et al.</w:t>
      </w:r>
      <w:r w:rsidRPr="001E360A">
        <w:rPr>
          <w:rFonts w:ascii="Times New Roman" w:hAnsi="Times New Roman"/>
          <w:color w:val="000000"/>
          <w:szCs w:val="24"/>
        </w:rPr>
        <w:t xml:space="preserve">, 2018) as research suggests that there can be difference in caregiving patterns among different ethnic groups (Janevic and Connell, 2001; Adams </w:t>
      </w:r>
      <w:r w:rsidRPr="00E97718">
        <w:rPr>
          <w:rFonts w:ascii="Times New Roman" w:hAnsi="Times New Roman"/>
          <w:i/>
          <w:iCs/>
          <w:color w:val="000000"/>
          <w:szCs w:val="24"/>
        </w:rPr>
        <w:t>et al.</w:t>
      </w:r>
      <w:r w:rsidRPr="001E360A">
        <w:rPr>
          <w:rFonts w:ascii="Times New Roman" w:hAnsi="Times New Roman"/>
          <w:color w:val="000000"/>
          <w:szCs w:val="24"/>
        </w:rPr>
        <w:t>, 2002; Dilworth-Anderson, Williams and Gibson, 2002; Pinquart and Sörensen, 2005; Sun, Ong and Burnette, 2012; Roth</w:t>
      </w:r>
      <w:r>
        <w:rPr>
          <w:rFonts w:ascii="Times New Roman" w:hAnsi="Times New Roman"/>
          <w:color w:val="000000"/>
          <w:szCs w:val="24"/>
        </w:rPr>
        <w:t xml:space="preserve">, </w:t>
      </w:r>
      <w:r>
        <w:rPr>
          <w:rFonts w:ascii="Times New Roman" w:hAnsi="Times New Roman"/>
          <w:szCs w:val="24"/>
        </w:rPr>
        <w:t>Fredman and Haley</w:t>
      </w:r>
      <w:r w:rsidRPr="001E360A">
        <w:rPr>
          <w:rFonts w:ascii="Times New Roman" w:hAnsi="Times New Roman"/>
          <w:color w:val="000000"/>
          <w:szCs w:val="24"/>
        </w:rPr>
        <w:t xml:space="preserve">, 2015). </w:t>
      </w:r>
    </w:p>
    <w:p w14:paraId="1E0A9EE3" w14:textId="3FF97CE2" w:rsidR="00811DBD" w:rsidRPr="00694ED3" w:rsidRDefault="00811DBD" w:rsidP="006869A3">
      <w:pPr>
        <w:pStyle w:val="Heading3"/>
      </w:pPr>
      <w:bookmarkStart w:id="95" w:name="_Toc86417281"/>
      <w:r w:rsidRPr="001E360A">
        <w:t>4.</w:t>
      </w:r>
      <w:r>
        <w:t>5</w:t>
      </w:r>
      <w:r w:rsidRPr="001E360A">
        <w:t>.1. Rates of caregiving vary across ethnic groups</w:t>
      </w:r>
      <w:bookmarkEnd w:id="95"/>
    </w:p>
    <w:p w14:paraId="187E2A75"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Traditionally, research on dementia caregiving experience is based on studies conducted with White carers</w:t>
      </w:r>
      <w:r>
        <w:rPr>
          <w:rFonts w:ascii="Times New Roman" w:hAnsi="Times New Roman"/>
          <w:color w:val="000000"/>
          <w:szCs w:val="24"/>
        </w:rPr>
        <w:t xml:space="preserve"> and</w:t>
      </w:r>
      <w:r w:rsidRPr="001E360A">
        <w:rPr>
          <w:rFonts w:ascii="Times New Roman" w:hAnsi="Times New Roman"/>
          <w:color w:val="000000"/>
          <w:szCs w:val="24"/>
        </w:rPr>
        <w:t xml:space="preserve"> more recent studies indicate that services based on many cultural assumptions may result in inappropriate support for carers from different ethnic groups (Alegria </w:t>
      </w:r>
      <w:r w:rsidRPr="00E97718">
        <w:rPr>
          <w:rFonts w:ascii="Times New Roman" w:hAnsi="Times New Roman"/>
          <w:i/>
          <w:iCs/>
          <w:color w:val="000000"/>
          <w:szCs w:val="24"/>
        </w:rPr>
        <w:t>et al.</w:t>
      </w:r>
      <w:r w:rsidRPr="001E360A">
        <w:rPr>
          <w:rFonts w:ascii="Times New Roman" w:hAnsi="Times New Roman"/>
          <w:color w:val="000000"/>
          <w:szCs w:val="24"/>
        </w:rPr>
        <w:t>, 2010).</w:t>
      </w:r>
    </w:p>
    <w:p w14:paraId="3B2F82A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Several studies</w:t>
      </w:r>
      <w:r>
        <w:rPr>
          <w:rFonts w:ascii="Times New Roman" w:hAnsi="Times New Roman"/>
          <w:color w:val="000000"/>
          <w:szCs w:val="24"/>
        </w:rPr>
        <w:t xml:space="preserve"> have shown</w:t>
      </w:r>
      <w:r w:rsidRPr="001E360A">
        <w:rPr>
          <w:rFonts w:ascii="Times New Roman" w:hAnsi="Times New Roman"/>
          <w:color w:val="000000"/>
          <w:szCs w:val="24"/>
        </w:rPr>
        <w:t xml:space="preserve"> that ethnic minority communities provide more care than their White counterparts (Weiss </w:t>
      </w:r>
      <w:r w:rsidRPr="00E97718">
        <w:rPr>
          <w:rFonts w:ascii="Times New Roman" w:hAnsi="Times New Roman"/>
          <w:i/>
          <w:iCs/>
          <w:color w:val="000000"/>
          <w:szCs w:val="24"/>
        </w:rPr>
        <w:t>et al.</w:t>
      </w:r>
      <w:r w:rsidRPr="001E360A">
        <w:rPr>
          <w:rFonts w:ascii="Times New Roman" w:hAnsi="Times New Roman"/>
          <w:color w:val="000000"/>
          <w:szCs w:val="24"/>
        </w:rPr>
        <w:t xml:space="preserve"> 2005). Although this research is useful and it can result in the assumption that families from minority communities always ‘look after their own, </w:t>
      </w:r>
      <w:r>
        <w:rPr>
          <w:rFonts w:ascii="Times New Roman" w:hAnsi="Times New Roman"/>
          <w:color w:val="000000"/>
          <w:szCs w:val="24"/>
        </w:rPr>
        <w:t xml:space="preserve">however </w:t>
      </w:r>
      <w:r w:rsidRPr="001E360A">
        <w:rPr>
          <w:rFonts w:ascii="Times New Roman" w:hAnsi="Times New Roman"/>
          <w:color w:val="000000"/>
          <w:szCs w:val="24"/>
        </w:rPr>
        <w:t xml:space="preserve">variations in the pattern of caregiving </w:t>
      </w:r>
      <w:r>
        <w:rPr>
          <w:rFonts w:ascii="Times New Roman" w:hAnsi="Times New Roman"/>
          <w:color w:val="000000"/>
          <w:szCs w:val="24"/>
        </w:rPr>
        <w:t>encompasses</w:t>
      </w:r>
      <w:r w:rsidRPr="001E360A">
        <w:rPr>
          <w:rFonts w:ascii="Times New Roman" w:hAnsi="Times New Roman"/>
          <w:color w:val="000000"/>
          <w:szCs w:val="24"/>
        </w:rPr>
        <w:t xml:space="preserve"> a wide range of </w:t>
      </w:r>
      <w:r w:rsidRPr="001E360A">
        <w:rPr>
          <w:rFonts w:ascii="Times New Roman" w:hAnsi="Times New Roman"/>
          <w:color w:val="000000"/>
          <w:szCs w:val="24"/>
        </w:rPr>
        <w:lastRenderedPageBreak/>
        <w:t xml:space="preserve">sociocultural variables, including socioeconomic status and cultural values (Knight </w:t>
      </w:r>
      <w:r w:rsidRPr="00E97718">
        <w:rPr>
          <w:rFonts w:ascii="Times New Roman" w:hAnsi="Times New Roman"/>
          <w:i/>
          <w:iCs/>
          <w:color w:val="000000"/>
          <w:szCs w:val="24"/>
        </w:rPr>
        <w:t>et al.</w:t>
      </w:r>
      <w:r w:rsidRPr="001E360A">
        <w:rPr>
          <w:rFonts w:ascii="Times New Roman" w:hAnsi="Times New Roman"/>
          <w:color w:val="000000"/>
          <w:szCs w:val="24"/>
        </w:rPr>
        <w:t>, 2000).  </w:t>
      </w:r>
      <w:r>
        <w:rPr>
          <w:rFonts w:ascii="Times New Roman" w:hAnsi="Times New Roman"/>
          <w:color w:val="000000"/>
          <w:szCs w:val="24"/>
        </w:rPr>
        <w:t xml:space="preserve">It is also important to </w:t>
      </w:r>
      <w:r w:rsidRPr="001E360A">
        <w:rPr>
          <w:rFonts w:ascii="Times New Roman" w:hAnsi="Times New Roman"/>
          <w:color w:val="000000"/>
          <w:szCs w:val="24"/>
        </w:rPr>
        <w:t xml:space="preserve">be cautious in making </w:t>
      </w:r>
      <w:r>
        <w:rPr>
          <w:rFonts w:ascii="Times New Roman" w:hAnsi="Times New Roman"/>
          <w:color w:val="000000"/>
          <w:szCs w:val="24"/>
        </w:rPr>
        <w:t xml:space="preserve">these </w:t>
      </w:r>
      <w:r w:rsidRPr="001E360A">
        <w:rPr>
          <w:rFonts w:ascii="Times New Roman" w:hAnsi="Times New Roman"/>
          <w:color w:val="000000"/>
          <w:szCs w:val="24"/>
        </w:rPr>
        <w:t xml:space="preserve">cultural assumptions. For example, McCann </w:t>
      </w:r>
      <w:r w:rsidRPr="00E97718">
        <w:rPr>
          <w:rFonts w:ascii="Times New Roman" w:hAnsi="Times New Roman"/>
          <w:i/>
          <w:iCs/>
          <w:color w:val="000000"/>
          <w:szCs w:val="24"/>
        </w:rPr>
        <w:t>et al.</w:t>
      </w:r>
      <w:r w:rsidRPr="001E360A">
        <w:rPr>
          <w:rFonts w:ascii="Times New Roman" w:hAnsi="Times New Roman"/>
          <w:color w:val="000000"/>
          <w:szCs w:val="24"/>
        </w:rPr>
        <w:t xml:space="preserve"> (2000) showed that carers from ethnic minority groups in the USA tend to provide more informal care to their loved ones than their White counterparts. </w:t>
      </w:r>
      <w:r>
        <w:rPr>
          <w:rFonts w:ascii="Times New Roman" w:hAnsi="Times New Roman"/>
          <w:color w:val="000000"/>
          <w:szCs w:val="24"/>
        </w:rPr>
        <w:t>T</w:t>
      </w:r>
      <w:r w:rsidRPr="001E360A">
        <w:rPr>
          <w:rFonts w:ascii="Times New Roman" w:hAnsi="Times New Roman"/>
          <w:color w:val="000000"/>
          <w:szCs w:val="24"/>
        </w:rPr>
        <w:t>here may be some reasons to account for this, and while this might be due to the differences in cultural values or filial obligations, it may also be related to wealth and the family’s economic capacity to purchase care. Pinquart and Sorenson (2005) conducted a review of 116 studies and their analysis suggested that there are a few variables that may be responsible for the difference in care burden experienced by Black African caregivers (such as available psychological and social support, coping processes as well as physical and psychological health of the carer).</w:t>
      </w:r>
      <w:r>
        <w:rPr>
          <w:rFonts w:ascii="Times New Roman" w:hAnsi="Times New Roman"/>
          <w:color w:val="000000"/>
          <w:szCs w:val="24"/>
        </w:rPr>
        <w:t xml:space="preserve"> O</w:t>
      </w:r>
      <w:r w:rsidRPr="001E360A">
        <w:rPr>
          <w:rFonts w:ascii="Times New Roman" w:hAnsi="Times New Roman"/>
          <w:color w:val="000000"/>
          <w:szCs w:val="24"/>
        </w:rPr>
        <w:t>ther research</w:t>
      </w:r>
      <w:r>
        <w:rPr>
          <w:rFonts w:ascii="Times New Roman" w:hAnsi="Times New Roman"/>
          <w:color w:val="000000"/>
          <w:szCs w:val="24"/>
        </w:rPr>
        <w:t>ers</w:t>
      </w:r>
      <w:r w:rsidRPr="001E360A">
        <w:rPr>
          <w:rFonts w:ascii="Times New Roman" w:hAnsi="Times New Roman"/>
          <w:color w:val="000000"/>
          <w:szCs w:val="24"/>
        </w:rPr>
        <w:t xml:space="preserve"> ha</w:t>
      </w:r>
      <w:r>
        <w:rPr>
          <w:rFonts w:ascii="Times New Roman" w:hAnsi="Times New Roman"/>
          <w:color w:val="000000"/>
          <w:szCs w:val="24"/>
        </w:rPr>
        <w:t>ve</w:t>
      </w:r>
      <w:r w:rsidRPr="001E360A">
        <w:rPr>
          <w:rFonts w:ascii="Times New Roman" w:hAnsi="Times New Roman"/>
          <w:color w:val="000000"/>
          <w:szCs w:val="24"/>
        </w:rPr>
        <w:t xml:space="preserve"> suggested that the resources available to Black African carers are often underutilised due to the poor appraisal of their perceived caregiving burden (Haley </w:t>
      </w:r>
      <w:r w:rsidRPr="00E97718">
        <w:rPr>
          <w:rFonts w:ascii="Times New Roman" w:hAnsi="Times New Roman"/>
          <w:i/>
          <w:iCs/>
          <w:color w:val="000000"/>
          <w:szCs w:val="24"/>
        </w:rPr>
        <w:t>et al.</w:t>
      </w:r>
      <w:r w:rsidRPr="001E360A">
        <w:rPr>
          <w:rFonts w:ascii="Times New Roman" w:hAnsi="Times New Roman"/>
          <w:color w:val="000000"/>
          <w:szCs w:val="24"/>
        </w:rPr>
        <w:t>, 2004). However, what is apparent from the literature on culture and caregiving is that it is essential that we do not assume that everyone caring for someone with dementia has the same needs (Janevic and Connell, 2001).</w:t>
      </w:r>
    </w:p>
    <w:p w14:paraId="28B30FD7" w14:textId="77777777" w:rsidR="00811DBD" w:rsidRDefault="00811DBD" w:rsidP="006869A3">
      <w:pPr>
        <w:pStyle w:val="Heading3"/>
      </w:pPr>
      <w:bookmarkStart w:id="96" w:name="_Toc86417282"/>
      <w:r w:rsidRPr="001E360A">
        <w:t>4.</w:t>
      </w:r>
      <w:r>
        <w:t>5</w:t>
      </w:r>
      <w:r w:rsidRPr="001E360A">
        <w:t>.2. Cultural perceptions of dementia</w:t>
      </w:r>
      <w:bookmarkEnd w:id="96"/>
    </w:p>
    <w:p w14:paraId="0621182F" w14:textId="4810DE44" w:rsidR="006869A3" w:rsidRDefault="00811DBD" w:rsidP="006869A3">
      <w:pPr>
        <w:spacing w:after="0"/>
        <w:jc w:val="both"/>
        <w:textAlignment w:val="baseline"/>
        <w:rPr>
          <w:rFonts w:ascii="Times New Roman" w:hAnsi="Times New Roman"/>
          <w:color w:val="000000"/>
          <w:szCs w:val="24"/>
        </w:rPr>
      </w:pPr>
      <w:r w:rsidRPr="001E360A">
        <w:rPr>
          <w:rFonts w:ascii="Times New Roman" w:hAnsi="Times New Roman"/>
          <w:color w:val="000000"/>
          <w:szCs w:val="24"/>
        </w:rPr>
        <w:t>Culture is a contested term</w:t>
      </w:r>
      <w:r>
        <w:rPr>
          <w:rFonts w:ascii="Times New Roman" w:hAnsi="Times New Roman"/>
          <w:color w:val="000000"/>
          <w:szCs w:val="24"/>
        </w:rPr>
        <w:t xml:space="preserve"> which</w:t>
      </w:r>
      <w:r w:rsidRPr="001E360A">
        <w:rPr>
          <w:rFonts w:ascii="Times New Roman" w:hAnsi="Times New Roman"/>
          <w:color w:val="000000"/>
          <w:szCs w:val="24"/>
        </w:rPr>
        <w:t xml:space="preserve"> is often used to describe the characteristics of a particular ethnic </w:t>
      </w:r>
      <w:r>
        <w:rPr>
          <w:rFonts w:ascii="Times New Roman" w:hAnsi="Times New Roman"/>
          <w:color w:val="000000"/>
          <w:szCs w:val="24"/>
        </w:rPr>
        <w:t xml:space="preserve">group </w:t>
      </w:r>
      <w:r w:rsidRPr="001E360A">
        <w:rPr>
          <w:rFonts w:ascii="Times New Roman" w:hAnsi="Times New Roman"/>
          <w:color w:val="000000"/>
          <w:szCs w:val="24"/>
        </w:rPr>
        <w:t xml:space="preserve">or other groups who share common features which includes but </w:t>
      </w:r>
      <w:r>
        <w:rPr>
          <w:rFonts w:ascii="Times New Roman" w:hAnsi="Times New Roman"/>
          <w:color w:val="000000"/>
          <w:szCs w:val="24"/>
        </w:rPr>
        <w:t xml:space="preserve">are </w:t>
      </w:r>
      <w:r w:rsidRPr="001E360A">
        <w:rPr>
          <w:rFonts w:ascii="Times New Roman" w:hAnsi="Times New Roman"/>
          <w:color w:val="000000"/>
          <w:szCs w:val="24"/>
        </w:rPr>
        <w:t>not limited to commonly held beliefs, values, language, traditions, beliefs, art, food, religion and social habits (Harwood and Ownby, 2000)</w:t>
      </w:r>
      <w:r>
        <w:rPr>
          <w:rFonts w:ascii="Times New Roman" w:hAnsi="Times New Roman"/>
          <w:color w:val="000000"/>
          <w:szCs w:val="24"/>
        </w:rPr>
        <w:t>.</w:t>
      </w:r>
      <w:r w:rsidRPr="001E360A">
        <w:rPr>
          <w:rFonts w:ascii="Times New Roman" w:hAnsi="Times New Roman"/>
          <w:color w:val="000000"/>
          <w:szCs w:val="24"/>
        </w:rPr>
        <w:t xml:space="preserve"> Wong, Wong and Scott (2006) suggest that cultural values are often transferred from one generation to another generation within the group. However, this approach does not address the changes that may occur as an individual moves through the different stages of their lives, or how an individual’s cultural beliefs may change in response to different factors, such as close interaction with people of other ethnic groups and education. Indeed</w:t>
      </w:r>
      <w:r>
        <w:rPr>
          <w:rFonts w:ascii="Times New Roman" w:hAnsi="Times New Roman"/>
          <w:color w:val="000000"/>
          <w:szCs w:val="24"/>
        </w:rPr>
        <w:t>,</w:t>
      </w:r>
      <w:r w:rsidRPr="001E360A">
        <w:rPr>
          <w:rFonts w:ascii="Times New Roman" w:hAnsi="Times New Roman"/>
          <w:color w:val="000000"/>
          <w:szCs w:val="24"/>
        </w:rPr>
        <w:t xml:space="preserve"> cultural beliefs and practices are dynamic due to the changing nature of the process through which an individual’s cultural beliefs are formed and lives are lived.</w:t>
      </w:r>
    </w:p>
    <w:p w14:paraId="4A2BBC88" w14:textId="0AEC817B" w:rsidR="006869A3" w:rsidRDefault="006869A3" w:rsidP="006869A3">
      <w:pPr>
        <w:spacing w:after="0"/>
        <w:jc w:val="both"/>
        <w:textAlignment w:val="baseline"/>
        <w:rPr>
          <w:rFonts w:ascii="Times New Roman" w:hAnsi="Times New Roman"/>
          <w:color w:val="000000"/>
          <w:szCs w:val="24"/>
        </w:rPr>
      </w:pPr>
    </w:p>
    <w:p w14:paraId="2E2FF785" w14:textId="013766C3" w:rsidR="006869A3" w:rsidRDefault="006869A3" w:rsidP="006869A3">
      <w:pPr>
        <w:spacing w:after="0"/>
        <w:jc w:val="both"/>
        <w:textAlignment w:val="baseline"/>
        <w:rPr>
          <w:rFonts w:ascii="Times New Roman" w:hAnsi="Times New Roman"/>
          <w:color w:val="000000"/>
          <w:szCs w:val="24"/>
        </w:rPr>
      </w:pPr>
    </w:p>
    <w:p w14:paraId="456DF838" w14:textId="77777777" w:rsidR="006869A3" w:rsidRPr="006869A3" w:rsidRDefault="006869A3" w:rsidP="006869A3">
      <w:pPr>
        <w:spacing w:after="0"/>
        <w:jc w:val="both"/>
        <w:textAlignment w:val="baseline"/>
        <w:rPr>
          <w:rFonts w:ascii="Times New Roman" w:hAnsi="Times New Roman"/>
          <w:color w:val="000000"/>
          <w:szCs w:val="24"/>
        </w:rPr>
      </w:pPr>
    </w:p>
    <w:p w14:paraId="7EE33612" w14:textId="27731CB5" w:rsidR="00811DBD" w:rsidRPr="001E360A" w:rsidRDefault="00811DBD" w:rsidP="006869A3">
      <w:pPr>
        <w:pStyle w:val="Heading3"/>
      </w:pPr>
      <w:bookmarkStart w:id="97" w:name="_Toc86417283"/>
      <w:r w:rsidRPr="001E360A">
        <w:rPr>
          <w:bCs/>
        </w:rPr>
        <w:lastRenderedPageBreak/>
        <w:t>4.</w:t>
      </w:r>
      <w:r>
        <w:rPr>
          <w:bCs/>
        </w:rPr>
        <w:t>5</w:t>
      </w:r>
      <w:r w:rsidRPr="001E360A">
        <w:rPr>
          <w:bCs/>
        </w:rPr>
        <w:t xml:space="preserve">.3. Ethnic </w:t>
      </w:r>
      <w:r w:rsidRPr="001E360A">
        <w:t>beliefs concerning dementia and caregiving</w:t>
      </w:r>
      <w:bookmarkEnd w:id="97"/>
    </w:p>
    <w:p w14:paraId="6D9E4EA4"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Research suggests that cultural perception of dementia varies from culture to culture around the world. In the Western world, it is usually constructed through the biomedical model (disease process model) that holds dementia </w:t>
      </w:r>
      <w:r>
        <w:rPr>
          <w:rFonts w:ascii="Times New Roman" w:hAnsi="Times New Roman"/>
          <w:color w:val="000000"/>
          <w:szCs w:val="24"/>
        </w:rPr>
        <w:t>a</w:t>
      </w:r>
      <w:r w:rsidRPr="001E360A">
        <w:rPr>
          <w:rFonts w:ascii="Times New Roman" w:hAnsi="Times New Roman"/>
          <w:color w:val="000000"/>
          <w:szCs w:val="24"/>
        </w:rPr>
        <w:t xml:space="preserve">s a disease, which leads to a progressive decline in cognitive function in the person living with it. However, in other parts of the world, dementia is accorded different meanings (Connell and Gibson, 1997; Dilworth-Anderson, William and Gibson, 2002; Dilworth-Anderson </w:t>
      </w:r>
      <w:r w:rsidRPr="00E97718">
        <w:rPr>
          <w:rFonts w:ascii="Times New Roman" w:hAnsi="Times New Roman"/>
          <w:i/>
          <w:iCs/>
          <w:color w:val="000000"/>
          <w:szCs w:val="24"/>
        </w:rPr>
        <w:t>et al.</w:t>
      </w:r>
      <w:r w:rsidRPr="001E360A">
        <w:rPr>
          <w:rFonts w:ascii="Times New Roman" w:hAnsi="Times New Roman"/>
          <w:color w:val="000000"/>
          <w:szCs w:val="24"/>
        </w:rPr>
        <w:t xml:space="preserve">, 2005; Gallagher-Thompson </w:t>
      </w:r>
      <w:r w:rsidRPr="00E97718">
        <w:rPr>
          <w:rFonts w:ascii="Times New Roman" w:hAnsi="Times New Roman"/>
          <w:i/>
          <w:iCs/>
          <w:color w:val="000000"/>
          <w:szCs w:val="24"/>
        </w:rPr>
        <w:t>et al.</w:t>
      </w:r>
      <w:r w:rsidRPr="001E360A">
        <w:rPr>
          <w:rFonts w:ascii="Times New Roman" w:hAnsi="Times New Roman"/>
          <w:color w:val="000000"/>
          <w:szCs w:val="24"/>
        </w:rPr>
        <w:t>, 2003; Janevic and Connell, 2001). Cultural values and beliefs about dementia influence the meaning carers ascribe to the disease and conditions, and this can often be understood as part of a larger belief system of values and norms that helps define caregivers and their perception of the disease (Henderson and Gutierrez-Mayka, 1992). Several studies have dichotomised traditional (folk) beliefs and the western view of the disease (as a pathological one).</w:t>
      </w:r>
    </w:p>
    <w:p w14:paraId="6D3BDE64"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Other </w:t>
      </w:r>
      <w:r>
        <w:rPr>
          <w:rFonts w:ascii="Times New Roman" w:hAnsi="Times New Roman"/>
          <w:color w:val="000000"/>
          <w:szCs w:val="24"/>
        </w:rPr>
        <w:t>studies</w:t>
      </w:r>
      <w:r w:rsidRPr="001E360A">
        <w:rPr>
          <w:rFonts w:ascii="Times New Roman" w:hAnsi="Times New Roman"/>
          <w:color w:val="000000"/>
          <w:szCs w:val="24"/>
        </w:rPr>
        <w:t xml:space="preserve"> suggests that the conceptualisations of dementia by the carer may affect their motivation to provide care (Milne and Chryssanthopoulou, 2005). For instance, a carer who believes that dementia is a consequence of the cognitive function will usually seek medical help for the care recipient (Guo </w:t>
      </w:r>
      <w:r w:rsidRPr="00E97718">
        <w:rPr>
          <w:rFonts w:ascii="Times New Roman" w:hAnsi="Times New Roman"/>
          <w:i/>
          <w:iCs/>
          <w:color w:val="000000"/>
          <w:szCs w:val="24"/>
        </w:rPr>
        <w:t>et al.</w:t>
      </w:r>
      <w:r w:rsidRPr="001E360A">
        <w:rPr>
          <w:rFonts w:ascii="Times New Roman" w:hAnsi="Times New Roman"/>
          <w:color w:val="000000"/>
          <w:szCs w:val="24"/>
        </w:rPr>
        <w:t>, 2000). However, the carer’s response to the disease and help-seeking behaviour may be different if the</w:t>
      </w:r>
      <w:r>
        <w:rPr>
          <w:rFonts w:ascii="Times New Roman" w:hAnsi="Times New Roman"/>
          <w:color w:val="000000"/>
          <w:szCs w:val="24"/>
        </w:rPr>
        <w:t>y</w:t>
      </w:r>
      <w:r w:rsidRPr="001E360A">
        <w:rPr>
          <w:rFonts w:ascii="Times New Roman" w:hAnsi="Times New Roman"/>
          <w:color w:val="000000"/>
          <w:szCs w:val="24"/>
        </w:rPr>
        <w:t xml:space="preserve"> believe that the care recipient is in gradual decline due to old age or is suffering because of past misdeeds (Dilworth-Anderson, Pierre and Hilliard, 2012). Gray </w:t>
      </w:r>
      <w:r w:rsidRPr="00E97718">
        <w:rPr>
          <w:rFonts w:ascii="Times New Roman" w:hAnsi="Times New Roman"/>
          <w:i/>
          <w:iCs/>
          <w:color w:val="000000"/>
          <w:szCs w:val="24"/>
        </w:rPr>
        <w:t>et al.</w:t>
      </w:r>
      <w:r w:rsidRPr="001E360A">
        <w:rPr>
          <w:rFonts w:ascii="Times New Roman" w:hAnsi="Times New Roman"/>
          <w:color w:val="000000"/>
          <w:szCs w:val="24"/>
        </w:rPr>
        <w:t xml:space="preserve"> (20</w:t>
      </w:r>
      <w:r>
        <w:rPr>
          <w:rFonts w:ascii="Times New Roman" w:hAnsi="Times New Roman"/>
          <w:color w:val="000000"/>
          <w:szCs w:val="24"/>
        </w:rPr>
        <w:t>09</w:t>
      </w:r>
      <w:r w:rsidRPr="001E360A">
        <w:rPr>
          <w:rFonts w:ascii="Times New Roman" w:hAnsi="Times New Roman"/>
          <w:color w:val="000000"/>
          <w:szCs w:val="24"/>
        </w:rPr>
        <w:t xml:space="preserve">) suggest that many White/Caucasian carers believe that the biomedical model is the only possible explanation for the disease and may consider that the disease has no specific treatment. </w:t>
      </w:r>
    </w:p>
    <w:p w14:paraId="2CCF831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In contrast, a study conducted by Khonje </w:t>
      </w:r>
      <w:r w:rsidRPr="00E97718">
        <w:rPr>
          <w:rFonts w:ascii="Times New Roman" w:hAnsi="Times New Roman"/>
          <w:i/>
          <w:iCs/>
          <w:color w:val="000000"/>
          <w:szCs w:val="24"/>
        </w:rPr>
        <w:t>et al.</w:t>
      </w:r>
      <w:r w:rsidRPr="001E360A">
        <w:rPr>
          <w:rFonts w:ascii="Times New Roman" w:hAnsi="Times New Roman"/>
          <w:color w:val="000000"/>
          <w:szCs w:val="24"/>
        </w:rPr>
        <w:t xml:space="preserve"> (2015) found that many Black Africans taking part in a study in the USA believed that traditional healers could heal </w:t>
      </w:r>
      <w:r>
        <w:rPr>
          <w:rFonts w:ascii="Times New Roman" w:hAnsi="Times New Roman"/>
          <w:color w:val="000000"/>
          <w:szCs w:val="24"/>
        </w:rPr>
        <w:t xml:space="preserve">someone with </w:t>
      </w:r>
      <w:r w:rsidRPr="001E360A">
        <w:rPr>
          <w:rFonts w:ascii="Times New Roman" w:hAnsi="Times New Roman"/>
          <w:color w:val="000000"/>
          <w:szCs w:val="24"/>
        </w:rPr>
        <w:t xml:space="preserve">dementia because many of </w:t>
      </w:r>
      <w:r>
        <w:rPr>
          <w:rFonts w:ascii="Times New Roman" w:hAnsi="Times New Roman"/>
          <w:color w:val="000000"/>
          <w:szCs w:val="24"/>
        </w:rPr>
        <w:t>them</w:t>
      </w:r>
      <w:r w:rsidRPr="001E360A">
        <w:rPr>
          <w:rFonts w:ascii="Times New Roman" w:hAnsi="Times New Roman"/>
          <w:color w:val="000000"/>
          <w:szCs w:val="24"/>
        </w:rPr>
        <w:t xml:space="preserve"> believe</w:t>
      </w:r>
      <w:r>
        <w:rPr>
          <w:rFonts w:ascii="Times New Roman" w:hAnsi="Times New Roman"/>
          <w:color w:val="000000"/>
          <w:szCs w:val="24"/>
        </w:rPr>
        <w:t>d</w:t>
      </w:r>
      <w:r w:rsidRPr="001E360A">
        <w:rPr>
          <w:rFonts w:ascii="Times New Roman" w:hAnsi="Times New Roman"/>
          <w:color w:val="000000"/>
          <w:szCs w:val="24"/>
        </w:rPr>
        <w:t xml:space="preserve"> that </w:t>
      </w:r>
      <w:r>
        <w:rPr>
          <w:rFonts w:ascii="Times New Roman" w:hAnsi="Times New Roman"/>
          <w:color w:val="000000"/>
          <w:szCs w:val="24"/>
        </w:rPr>
        <w:t xml:space="preserve">the </w:t>
      </w:r>
      <w:r w:rsidRPr="001E360A">
        <w:rPr>
          <w:rFonts w:ascii="Times New Roman" w:hAnsi="Times New Roman"/>
          <w:color w:val="000000"/>
          <w:szCs w:val="24"/>
        </w:rPr>
        <w:t xml:space="preserve">forces causing dementia </w:t>
      </w:r>
      <w:r>
        <w:rPr>
          <w:rFonts w:ascii="Times New Roman" w:hAnsi="Times New Roman"/>
          <w:color w:val="000000"/>
          <w:szCs w:val="24"/>
        </w:rPr>
        <w:t>were</w:t>
      </w:r>
      <w:r w:rsidRPr="001E360A">
        <w:rPr>
          <w:rFonts w:ascii="Times New Roman" w:hAnsi="Times New Roman"/>
          <w:color w:val="000000"/>
          <w:szCs w:val="24"/>
        </w:rPr>
        <w:t xml:space="preserve"> outside of the body. Wiggle</w:t>
      </w:r>
      <w:r>
        <w:rPr>
          <w:rFonts w:ascii="Times New Roman" w:hAnsi="Times New Roman"/>
          <w:color w:val="000000"/>
          <w:szCs w:val="24"/>
        </w:rPr>
        <w:t xml:space="preserve">sworth </w:t>
      </w:r>
      <w:r w:rsidRPr="00E97718">
        <w:rPr>
          <w:rFonts w:ascii="Times New Roman" w:hAnsi="Times New Roman"/>
          <w:i/>
          <w:iCs/>
          <w:color w:val="000000"/>
          <w:szCs w:val="24"/>
        </w:rPr>
        <w:t>et al.</w:t>
      </w:r>
      <w:r>
        <w:rPr>
          <w:rFonts w:ascii="Times New Roman" w:hAnsi="Times New Roman"/>
          <w:color w:val="000000"/>
          <w:szCs w:val="24"/>
        </w:rPr>
        <w:t xml:space="preserve"> (2010) and Prince</w:t>
      </w:r>
      <w:r w:rsidRPr="001E360A">
        <w:rPr>
          <w:rFonts w:ascii="Times New Roman" w:hAnsi="Times New Roman"/>
          <w:color w:val="000000"/>
          <w:szCs w:val="24"/>
        </w:rPr>
        <w:t xml:space="preserve"> (2004) </w:t>
      </w:r>
      <w:r>
        <w:rPr>
          <w:rFonts w:ascii="Times New Roman" w:hAnsi="Times New Roman"/>
          <w:color w:val="000000"/>
          <w:szCs w:val="24"/>
        </w:rPr>
        <w:t>highlighted</w:t>
      </w:r>
      <w:r w:rsidRPr="001E360A">
        <w:rPr>
          <w:rFonts w:ascii="Times New Roman" w:hAnsi="Times New Roman"/>
          <w:color w:val="000000"/>
          <w:szCs w:val="24"/>
        </w:rPr>
        <w:t xml:space="preserve"> some of the risks involved in this belief system and they suggested that the abuse of PLWD can sometimes be aggravated by the African cultural beliefs, especially if dementia is considered a sign of being possessed by a demon, or living under a curse, or as </w:t>
      </w:r>
      <w:r w:rsidRPr="001E360A">
        <w:rPr>
          <w:rFonts w:ascii="Times New Roman" w:hAnsi="Times New Roman"/>
          <w:color w:val="000000"/>
          <w:szCs w:val="24"/>
        </w:rPr>
        <w:lastRenderedPageBreak/>
        <w:t xml:space="preserve">punishment from the gods </w:t>
      </w:r>
      <w:r>
        <w:rPr>
          <w:rFonts w:ascii="Times New Roman" w:hAnsi="Times New Roman"/>
          <w:color w:val="000000"/>
          <w:szCs w:val="24"/>
        </w:rPr>
        <w:t>for</w:t>
      </w:r>
      <w:r w:rsidRPr="001E360A">
        <w:rPr>
          <w:rFonts w:ascii="Times New Roman" w:hAnsi="Times New Roman"/>
          <w:color w:val="000000"/>
          <w:szCs w:val="24"/>
        </w:rPr>
        <w:t xml:space="preserve"> past sins. Research by Castleman, Gallagher-Thompson and Naythons (2003) reported that those who believe in the biomedical explanation of dementia tend to seek for help sooner than those who hold alternative views and perception about the cause of the disease.</w:t>
      </w:r>
    </w:p>
    <w:p w14:paraId="2FE3C379" w14:textId="77777777" w:rsidR="00811DBD" w:rsidRDefault="00811DBD" w:rsidP="006869A3">
      <w:pPr>
        <w:pStyle w:val="Heading3"/>
      </w:pPr>
      <w:bookmarkStart w:id="98" w:name="_Toc86417284"/>
      <w:r w:rsidRPr="001E360A">
        <w:rPr>
          <w:bCs/>
        </w:rPr>
        <w:t>4.</w:t>
      </w:r>
      <w:r>
        <w:rPr>
          <w:bCs/>
        </w:rPr>
        <w:t>5</w:t>
      </w:r>
      <w:r w:rsidRPr="001E360A">
        <w:rPr>
          <w:bCs/>
        </w:rPr>
        <w:t xml:space="preserve">.4. </w:t>
      </w:r>
      <w:r w:rsidRPr="001E360A">
        <w:t>Dementia and normal ageing</w:t>
      </w:r>
      <w:bookmarkEnd w:id="98"/>
      <w:r w:rsidRPr="00605C7E">
        <w:t xml:space="preserve"> </w:t>
      </w:r>
    </w:p>
    <w:p w14:paraId="4FCEB772" w14:textId="77777777" w:rsidR="00811DBD" w:rsidRPr="001E360A" w:rsidRDefault="00811DBD" w:rsidP="00811DBD">
      <w:pPr>
        <w:spacing w:after="0"/>
        <w:jc w:val="both"/>
        <w:textAlignment w:val="baseline"/>
        <w:rPr>
          <w:rFonts w:ascii="Times New Roman" w:hAnsi="Times New Roman"/>
          <w:color w:val="000000"/>
          <w:szCs w:val="24"/>
        </w:rPr>
      </w:pPr>
      <w:r w:rsidRPr="001E360A">
        <w:rPr>
          <w:rFonts w:ascii="Times New Roman" w:hAnsi="Times New Roman"/>
          <w:color w:val="000000"/>
          <w:szCs w:val="24"/>
        </w:rPr>
        <w:t xml:space="preserve">Although it is well established that old age is associated with mild cognitive decline, severe memory loss or cognitive dysfunction are not a natural characteristic of ageing (Ardila </w:t>
      </w:r>
      <w:r w:rsidRPr="00E97718">
        <w:rPr>
          <w:rFonts w:ascii="Times New Roman" w:hAnsi="Times New Roman"/>
          <w:i/>
          <w:iCs/>
          <w:color w:val="000000"/>
          <w:szCs w:val="24"/>
        </w:rPr>
        <w:t>et al.</w:t>
      </w:r>
      <w:r w:rsidRPr="001E360A">
        <w:rPr>
          <w:rFonts w:ascii="Times New Roman" w:hAnsi="Times New Roman"/>
          <w:color w:val="000000"/>
          <w:szCs w:val="24"/>
        </w:rPr>
        <w:t xml:space="preserve">, 2000; Bischkopf, Busse and Angermeyer, 2002; Tervo </w:t>
      </w:r>
      <w:r w:rsidRPr="00E97718">
        <w:rPr>
          <w:rFonts w:ascii="Times New Roman" w:hAnsi="Times New Roman"/>
          <w:i/>
          <w:iCs/>
          <w:color w:val="000000"/>
          <w:szCs w:val="24"/>
        </w:rPr>
        <w:t>et al.</w:t>
      </w:r>
      <w:r w:rsidRPr="001E360A">
        <w:rPr>
          <w:rFonts w:ascii="Times New Roman" w:hAnsi="Times New Roman"/>
          <w:color w:val="000000"/>
          <w:szCs w:val="24"/>
        </w:rPr>
        <w:t>, 2004).</w:t>
      </w:r>
      <w:r>
        <w:rPr>
          <w:rFonts w:ascii="Times New Roman" w:hAnsi="Times New Roman"/>
          <w:color w:val="000000"/>
          <w:szCs w:val="24"/>
        </w:rPr>
        <w:t xml:space="preserve"> Unfortunately,</w:t>
      </w:r>
      <w:r w:rsidRPr="001E360A">
        <w:rPr>
          <w:rFonts w:ascii="Times New Roman" w:hAnsi="Times New Roman"/>
          <w:color w:val="000000"/>
          <w:szCs w:val="24"/>
        </w:rPr>
        <w:t xml:space="preserve"> in many cultures, older adults presenting with memory loss and behaviours consistent with the symptoms of dementia are often perceived to be undergoing the normal process of ageing. For instance, in some parts of Africa, it is believed that when a man gets old, he returns to being a child and as such he begins to behave and talk like a child.</w:t>
      </w:r>
      <w:r>
        <w:rPr>
          <w:rFonts w:ascii="Times New Roman" w:hAnsi="Times New Roman"/>
          <w:color w:val="000000"/>
          <w:szCs w:val="24"/>
        </w:rPr>
        <w:t xml:space="preserve"> </w:t>
      </w:r>
      <w:r w:rsidRPr="001E360A">
        <w:rPr>
          <w:rFonts w:ascii="Times New Roman" w:hAnsi="Times New Roman"/>
          <w:color w:val="000000"/>
          <w:szCs w:val="24"/>
        </w:rPr>
        <w:t xml:space="preserve">Roberts </w:t>
      </w:r>
      <w:r w:rsidRPr="00E97718">
        <w:rPr>
          <w:rFonts w:ascii="Times New Roman" w:hAnsi="Times New Roman"/>
          <w:i/>
          <w:iCs/>
          <w:color w:val="000000"/>
          <w:szCs w:val="24"/>
        </w:rPr>
        <w:t>et al.</w:t>
      </w:r>
      <w:r w:rsidRPr="001E360A">
        <w:rPr>
          <w:rFonts w:ascii="Times New Roman" w:hAnsi="Times New Roman"/>
          <w:color w:val="000000"/>
          <w:szCs w:val="24"/>
        </w:rPr>
        <w:t xml:space="preserve"> (2003) also found that African Americans often held on to this traditional view (i.e.</w:t>
      </w:r>
      <w:r>
        <w:rPr>
          <w:rFonts w:ascii="Times New Roman" w:hAnsi="Times New Roman"/>
          <w:color w:val="000000"/>
          <w:szCs w:val="24"/>
        </w:rPr>
        <w:t>,</w:t>
      </w:r>
      <w:r w:rsidRPr="001E360A">
        <w:rPr>
          <w:rFonts w:ascii="Times New Roman" w:hAnsi="Times New Roman"/>
          <w:color w:val="000000"/>
          <w:szCs w:val="24"/>
        </w:rPr>
        <w:t xml:space="preserve"> that dementia and related symptoms is a normal part of the ageing process). This perspective has also been identified in other studies (see Gelman, 2003; Hughes </w:t>
      </w:r>
      <w:r w:rsidRPr="00E97718">
        <w:rPr>
          <w:rFonts w:ascii="Times New Roman" w:hAnsi="Times New Roman"/>
          <w:i/>
          <w:iCs/>
          <w:color w:val="000000"/>
          <w:szCs w:val="24"/>
        </w:rPr>
        <w:t>et al.</w:t>
      </w:r>
      <w:r w:rsidRPr="001E360A">
        <w:rPr>
          <w:rFonts w:ascii="Times New Roman" w:hAnsi="Times New Roman"/>
          <w:color w:val="000000"/>
          <w:szCs w:val="24"/>
        </w:rPr>
        <w:t>, 2009</w:t>
      </w:r>
      <w:r>
        <w:rPr>
          <w:rFonts w:ascii="Times New Roman" w:hAnsi="Times New Roman"/>
          <w:color w:val="000000"/>
          <w:szCs w:val="24"/>
        </w:rPr>
        <w:t>;</w:t>
      </w:r>
      <w:r w:rsidRPr="001E360A">
        <w:rPr>
          <w:rFonts w:ascii="Times New Roman" w:hAnsi="Times New Roman"/>
          <w:color w:val="000000"/>
          <w:szCs w:val="24"/>
        </w:rPr>
        <w:t xml:space="preserve"> Otilingam and Gatz, 2008) and much of this literature suggests that many African Americans may consider changes in personality and behaviour as completely normal in older adults. However, this view also seems to be prevalent in other cultural groups (Jones, Chow and Gatz, 2006; Otilingam and Gatz, 2008). For example, Braun, Takamura and Mougeot (1996) conducted a qualitative study to ascertain the perceptions of dementia among Vietnamese immigrants who recently migrated into Hawaii. They found that those who participated in the focus groups recognised the symptoms of dementia from their experiences with older adults who presented symptoms of dementia but believed those symptoms and behaviours were completely part of the natural process of old age. The study also found that many of the Vietnamese carers attributed any aggravation in symptoms (such as aggressive behaviour) to the person with dementia moving into a new environment and </w:t>
      </w:r>
      <w:r>
        <w:rPr>
          <w:rFonts w:ascii="Times New Roman" w:hAnsi="Times New Roman"/>
          <w:color w:val="000000"/>
          <w:szCs w:val="24"/>
        </w:rPr>
        <w:t xml:space="preserve">was </w:t>
      </w:r>
      <w:r w:rsidRPr="001E360A">
        <w:rPr>
          <w:rFonts w:ascii="Times New Roman" w:hAnsi="Times New Roman"/>
          <w:color w:val="000000"/>
          <w:szCs w:val="24"/>
        </w:rPr>
        <w:t>therefore homesick. Lee, Lee and Diwan (2010) reported similar findings</w:t>
      </w:r>
      <w:r>
        <w:rPr>
          <w:rFonts w:ascii="Times New Roman" w:hAnsi="Times New Roman"/>
          <w:color w:val="000000"/>
          <w:szCs w:val="24"/>
        </w:rPr>
        <w:t>,</w:t>
      </w:r>
      <w:r w:rsidRPr="001E360A">
        <w:rPr>
          <w:rFonts w:ascii="Times New Roman" w:hAnsi="Times New Roman"/>
          <w:color w:val="000000"/>
          <w:szCs w:val="24"/>
        </w:rPr>
        <w:t xml:space="preserve"> observ</w:t>
      </w:r>
      <w:r>
        <w:rPr>
          <w:rFonts w:ascii="Times New Roman" w:hAnsi="Times New Roman"/>
          <w:color w:val="000000"/>
          <w:szCs w:val="24"/>
        </w:rPr>
        <w:t>ing</w:t>
      </w:r>
      <w:r w:rsidRPr="001E360A">
        <w:rPr>
          <w:rFonts w:ascii="Times New Roman" w:hAnsi="Times New Roman"/>
          <w:color w:val="000000"/>
          <w:szCs w:val="24"/>
        </w:rPr>
        <w:t xml:space="preserve"> the same perception of dementia as a part of the ageing process among Korean carers</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color w:val="000000"/>
          <w:szCs w:val="24"/>
        </w:rPr>
        <w:t>S</w:t>
      </w:r>
      <w:r w:rsidRPr="001E360A">
        <w:rPr>
          <w:rFonts w:ascii="Times New Roman" w:hAnsi="Times New Roman"/>
          <w:color w:val="000000"/>
          <w:szCs w:val="24"/>
        </w:rPr>
        <w:t>uch constructions can affect carers’ help-seeking behaviours whether for themselves or the care recipient.</w:t>
      </w:r>
    </w:p>
    <w:p w14:paraId="48607CFC" w14:textId="77777777" w:rsidR="00811DBD" w:rsidRDefault="00811DBD" w:rsidP="006869A3">
      <w:pPr>
        <w:pStyle w:val="Heading3"/>
      </w:pPr>
      <w:bookmarkStart w:id="99" w:name="_Toc86417285"/>
      <w:r w:rsidRPr="001E360A">
        <w:rPr>
          <w:bCs/>
        </w:rPr>
        <w:lastRenderedPageBreak/>
        <w:t>4.</w:t>
      </w:r>
      <w:r>
        <w:rPr>
          <w:bCs/>
        </w:rPr>
        <w:t>5</w:t>
      </w:r>
      <w:r w:rsidRPr="001E360A">
        <w:rPr>
          <w:bCs/>
        </w:rPr>
        <w:t xml:space="preserve">.5. </w:t>
      </w:r>
      <w:r w:rsidRPr="001E360A">
        <w:t>Insanity and dementia</w:t>
      </w:r>
      <w:bookmarkEnd w:id="99"/>
    </w:p>
    <w:p w14:paraId="38A7B0F4"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In addition to conceptualising dementia as a natural part of ageing, or caused by external spirits, research suggests that many caregivers of African, Asian, and Hispanic origin also view dementia as connected to mental illness (insanity) and this can be a symbol of shame. A study by Hinton </w:t>
      </w:r>
      <w:r w:rsidRPr="00E97718">
        <w:rPr>
          <w:rFonts w:ascii="Times New Roman" w:hAnsi="Times New Roman"/>
          <w:i/>
          <w:iCs/>
          <w:color w:val="000000"/>
          <w:szCs w:val="24"/>
        </w:rPr>
        <w:t>et al.</w:t>
      </w:r>
      <w:r w:rsidRPr="001E360A">
        <w:rPr>
          <w:rFonts w:ascii="Times New Roman" w:hAnsi="Times New Roman"/>
          <w:color w:val="000000"/>
          <w:szCs w:val="24"/>
        </w:rPr>
        <w:t xml:space="preserve"> (2005) conducted with ninety-two (92) family carers from African American, European American, Asian American and Hispanic communities found that the majority of African American, Asian American, and Hispanic caregivers did not exclusively believe the biomedical explanation </w:t>
      </w:r>
      <w:r>
        <w:rPr>
          <w:rFonts w:ascii="Times New Roman" w:hAnsi="Times New Roman"/>
          <w:color w:val="000000"/>
          <w:szCs w:val="24"/>
        </w:rPr>
        <w:t>as</w:t>
      </w:r>
      <w:r w:rsidRPr="001E360A">
        <w:rPr>
          <w:rFonts w:ascii="Times New Roman" w:hAnsi="Times New Roman"/>
          <w:color w:val="000000"/>
          <w:szCs w:val="24"/>
        </w:rPr>
        <w:t xml:space="preserve"> cause of dementia, while 10% of </w:t>
      </w:r>
      <w:r>
        <w:rPr>
          <w:rFonts w:ascii="Times New Roman" w:hAnsi="Times New Roman"/>
          <w:color w:val="000000"/>
          <w:szCs w:val="24"/>
        </w:rPr>
        <w:t>them</w:t>
      </w:r>
      <w:r w:rsidRPr="001E360A">
        <w:rPr>
          <w:rFonts w:ascii="Times New Roman" w:hAnsi="Times New Roman"/>
          <w:color w:val="000000"/>
          <w:szCs w:val="24"/>
        </w:rPr>
        <w:t xml:space="preserve"> did not believe in the biomedical model but rather attributed dementia to insanity or other non-disease causes. Although this study was not representative, it may suggest that some carers from ethnic minority communities may be more likely to hold conceptions of dementia that may differ from the widely accepted biomedical model, and a twenty-year review of the literature on ethnicity and caregiving by Dilworth-Anderson and Gibson (2002) also reported similar findings. </w:t>
      </w:r>
    </w:p>
    <w:p w14:paraId="143C5F94" w14:textId="77777777" w:rsidR="00811DBD" w:rsidRDefault="00811DBD" w:rsidP="006869A3">
      <w:pPr>
        <w:pStyle w:val="Heading3"/>
      </w:pPr>
      <w:bookmarkStart w:id="100" w:name="_Toc86417286"/>
      <w:r w:rsidRPr="001E360A">
        <w:rPr>
          <w:bCs/>
        </w:rPr>
        <w:t>4.</w:t>
      </w:r>
      <w:r>
        <w:rPr>
          <w:bCs/>
        </w:rPr>
        <w:t>5</w:t>
      </w:r>
      <w:r w:rsidRPr="001E360A">
        <w:rPr>
          <w:bCs/>
        </w:rPr>
        <w:t xml:space="preserve">.6. </w:t>
      </w:r>
      <w:r w:rsidRPr="001E360A">
        <w:t>Dementia and shame</w:t>
      </w:r>
      <w:bookmarkEnd w:id="100"/>
    </w:p>
    <w:p w14:paraId="6B2B698F" w14:textId="164E71C7" w:rsidR="00811DBD"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In some cultures, carers may also view dementia as an object of shame and ridicule (Cheng </w:t>
      </w:r>
      <w:r w:rsidRPr="00E97718">
        <w:rPr>
          <w:rFonts w:ascii="Times New Roman" w:hAnsi="Times New Roman"/>
          <w:i/>
          <w:iCs/>
          <w:color w:val="000000"/>
          <w:szCs w:val="24"/>
        </w:rPr>
        <w:t>et al.</w:t>
      </w:r>
      <w:r w:rsidRPr="001E360A">
        <w:rPr>
          <w:rFonts w:ascii="Times New Roman" w:hAnsi="Times New Roman"/>
          <w:color w:val="000000"/>
          <w:szCs w:val="24"/>
        </w:rPr>
        <w:t>, 2011; Mukadam and Livingston, 2012)</w:t>
      </w:r>
      <w:r>
        <w:rPr>
          <w:rFonts w:ascii="Times New Roman" w:hAnsi="Times New Roman"/>
          <w:color w:val="000000"/>
          <w:szCs w:val="24"/>
        </w:rPr>
        <w:t>.</w:t>
      </w:r>
      <w:r w:rsidRPr="001E360A">
        <w:rPr>
          <w:rFonts w:ascii="Times New Roman" w:hAnsi="Times New Roman"/>
          <w:color w:val="000000"/>
          <w:szCs w:val="24"/>
        </w:rPr>
        <w:t xml:space="preserve"> Chu and Sue (2011) have suggested that this behaviour is common in many Asian cultures, but this is largely due to the stigmatisation that is often associated with mental illness in most of Asia, Africa and across the world. For instance, research by </w:t>
      </w:r>
      <w:r w:rsidRPr="009F3337">
        <w:rPr>
          <w:rFonts w:ascii="Times New Roman" w:hAnsi="Times New Roman"/>
          <w:szCs w:val="24"/>
          <w:bdr w:val="none" w:sz="0" w:space="0" w:color="auto" w:frame="1"/>
        </w:rPr>
        <w:t>Hinton</w:t>
      </w:r>
      <w:r w:rsidRPr="001E360A">
        <w:rPr>
          <w:rFonts w:ascii="Times New Roman" w:hAnsi="Times New Roman"/>
          <w:color w:val="000000"/>
          <w:szCs w:val="24"/>
        </w:rPr>
        <w:t xml:space="preserve"> </w:t>
      </w:r>
      <w:r w:rsidRPr="00E97718">
        <w:rPr>
          <w:rFonts w:ascii="Times New Roman" w:hAnsi="Times New Roman"/>
          <w:i/>
          <w:iCs/>
          <w:color w:val="000000"/>
          <w:szCs w:val="24"/>
        </w:rPr>
        <w:t>et al.</w:t>
      </w:r>
      <w:r>
        <w:rPr>
          <w:rFonts w:ascii="Times New Roman" w:hAnsi="Times New Roman"/>
          <w:color w:val="000000"/>
          <w:szCs w:val="24"/>
        </w:rPr>
        <w:t xml:space="preserve"> </w:t>
      </w:r>
      <w:r w:rsidRPr="001E360A">
        <w:rPr>
          <w:rFonts w:ascii="Times New Roman" w:hAnsi="Times New Roman"/>
          <w:color w:val="000000"/>
          <w:szCs w:val="24"/>
        </w:rPr>
        <w:t>(2000) suggests that the stigmatisation of older Chinese adults with dementia is also noticeable among many Chinese caregivers who may believe that an individual is “unbalanced” or “undisciplined.” This brings to the fore the role of victim blaming in reinforcing the stigma attached to people with dementia, not just in China but elsewhere. For example, Henderson and Traphagan (2005) observed that the Japanese do not necessarily see the nature of ageing in the same way as in the West and the</w:t>
      </w:r>
      <w:r>
        <w:rPr>
          <w:rFonts w:ascii="Times New Roman" w:hAnsi="Times New Roman"/>
          <w:color w:val="000000"/>
          <w:szCs w:val="24"/>
        </w:rPr>
        <w:t>y</w:t>
      </w:r>
      <w:r w:rsidRPr="001E360A">
        <w:rPr>
          <w:rFonts w:ascii="Times New Roman" w:hAnsi="Times New Roman"/>
          <w:color w:val="000000"/>
          <w:szCs w:val="24"/>
        </w:rPr>
        <w:t xml:space="preserve"> </w:t>
      </w:r>
      <w:r>
        <w:rPr>
          <w:rFonts w:ascii="Times New Roman" w:hAnsi="Times New Roman"/>
          <w:color w:val="000000"/>
          <w:szCs w:val="24"/>
        </w:rPr>
        <w:t>noted</w:t>
      </w:r>
      <w:r w:rsidRPr="001E360A">
        <w:rPr>
          <w:rFonts w:ascii="Times New Roman" w:hAnsi="Times New Roman"/>
          <w:color w:val="000000"/>
          <w:szCs w:val="24"/>
        </w:rPr>
        <w:t xml:space="preserve"> that older people are seen as having a duty to avoid senility through activity. In other words, mental decline is associated with a moral decline.</w:t>
      </w:r>
    </w:p>
    <w:p w14:paraId="5A6FAF64" w14:textId="77777777" w:rsidR="00D00D6F" w:rsidRPr="001E360A" w:rsidRDefault="00D00D6F" w:rsidP="00811DBD">
      <w:pPr>
        <w:jc w:val="both"/>
        <w:textAlignment w:val="baseline"/>
        <w:rPr>
          <w:rFonts w:ascii="Times New Roman" w:hAnsi="Times New Roman"/>
          <w:color w:val="000000"/>
          <w:szCs w:val="24"/>
        </w:rPr>
      </w:pPr>
    </w:p>
    <w:p w14:paraId="7B7D8703" w14:textId="77777777" w:rsidR="00811DBD" w:rsidRDefault="00811DBD" w:rsidP="006869A3">
      <w:pPr>
        <w:pStyle w:val="Heading3"/>
      </w:pPr>
      <w:bookmarkStart w:id="101" w:name="_Toc86417287"/>
      <w:r w:rsidRPr="001E360A">
        <w:rPr>
          <w:bCs/>
        </w:rPr>
        <w:lastRenderedPageBreak/>
        <w:t>4.</w:t>
      </w:r>
      <w:r>
        <w:rPr>
          <w:bCs/>
        </w:rPr>
        <w:t>5</w:t>
      </w:r>
      <w:r w:rsidRPr="001E360A">
        <w:rPr>
          <w:bCs/>
        </w:rPr>
        <w:t xml:space="preserve">.7. </w:t>
      </w:r>
      <w:r w:rsidRPr="001E360A">
        <w:t>Socio-cultural constructions of dementia</w:t>
      </w:r>
      <w:bookmarkEnd w:id="101"/>
    </w:p>
    <w:p w14:paraId="19B165DE"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Apart from the aforementioned cultural beliefs that influence a caregiver’s social construction of dementia, there are other diverse cultural beliefs that are specific to a particular ethnic group.  These beliefs may or may not exist in other cultural groups and migrants may seek to hold on to beliefs that originated in </w:t>
      </w:r>
      <w:r>
        <w:rPr>
          <w:rFonts w:ascii="Times New Roman" w:hAnsi="Times New Roman"/>
          <w:color w:val="000000"/>
          <w:szCs w:val="24"/>
        </w:rPr>
        <w:t>their</w:t>
      </w:r>
      <w:r w:rsidRPr="001E360A">
        <w:rPr>
          <w:rFonts w:ascii="Times New Roman" w:hAnsi="Times New Roman"/>
          <w:color w:val="000000"/>
          <w:szCs w:val="24"/>
        </w:rPr>
        <w:t xml:space="preserve"> culture, or at least they </w:t>
      </w:r>
      <w:r>
        <w:rPr>
          <w:rFonts w:ascii="Times New Roman" w:hAnsi="Times New Roman"/>
          <w:color w:val="000000"/>
          <w:szCs w:val="24"/>
        </w:rPr>
        <w:t xml:space="preserve">may </w:t>
      </w:r>
      <w:r w:rsidRPr="001E360A">
        <w:rPr>
          <w:rFonts w:ascii="Times New Roman" w:hAnsi="Times New Roman"/>
          <w:color w:val="000000"/>
          <w:szCs w:val="24"/>
        </w:rPr>
        <w:t>try to blend these beliefs with the culture of</w:t>
      </w:r>
      <w:r>
        <w:rPr>
          <w:rFonts w:ascii="Times New Roman" w:hAnsi="Times New Roman"/>
          <w:color w:val="000000"/>
          <w:szCs w:val="24"/>
        </w:rPr>
        <w:t xml:space="preserve"> the place where they are migrants</w:t>
      </w:r>
      <w:r w:rsidRPr="001E360A">
        <w:rPr>
          <w:rFonts w:ascii="Times New Roman" w:hAnsi="Times New Roman"/>
          <w:color w:val="000000"/>
          <w:szCs w:val="24"/>
        </w:rPr>
        <w:t xml:space="preserve"> (Hsueh, Hu and Clarke-Ekong, 2008). For instance, research suggests that Chinese American dementia carers often blended traditional Chinese folk models into their construction of the disease (Zhan, 2004). Zhan noted that dementia in Chinese culture was described in relation to an individual’s “fate”, or the consequence of wrongdoing or having too many worries. These descriptions are different from the traditionally held western view about dementia being an example of brain dysfunction (Hinton, Franz and Friend, 2004). One important implication for having different perceptions or misconception of dementia that is different from the biomedical model is that caregivers who hold such beliefs may be less likely to seek help.</w:t>
      </w:r>
    </w:p>
    <w:p w14:paraId="459DBF27"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Similarly, </w:t>
      </w:r>
      <w:r>
        <w:rPr>
          <w:rFonts w:ascii="Times New Roman" w:hAnsi="Times New Roman"/>
          <w:color w:val="000000"/>
          <w:szCs w:val="24"/>
        </w:rPr>
        <w:t xml:space="preserve">migrant </w:t>
      </w:r>
      <w:r w:rsidRPr="001E360A">
        <w:rPr>
          <w:rFonts w:ascii="Times New Roman" w:hAnsi="Times New Roman"/>
          <w:color w:val="000000"/>
          <w:szCs w:val="24"/>
        </w:rPr>
        <w:t xml:space="preserve">carers may bring their cultural values to bear while caring for </w:t>
      </w:r>
      <w:r>
        <w:rPr>
          <w:rFonts w:ascii="Times New Roman" w:hAnsi="Times New Roman"/>
          <w:color w:val="000000"/>
          <w:szCs w:val="24"/>
        </w:rPr>
        <w:t>PLWD</w:t>
      </w:r>
      <w:r w:rsidRPr="001E360A">
        <w:rPr>
          <w:rFonts w:ascii="Times New Roman" w:hAnsi="Times New Roman"/>
          <w:color w:val="000000"/>
          <w:szCs w:val="24"/>
        </w:rPr>
        <w:t xml:space="preserve"> even outside their country of birth. This might be due in part to the nature of family </w:t>
      </w:r>
      <w:r>
        <w:rPr>
          <w:rFonts w:ascii="Times New Roman" w:hAnsi="Times New Roman"/>
          <w:color w:val="000000"/>
          <w:szCs w:val="24"/>
        </w:rPr>
        <w:t xml:space="preserve">that is </w:t>
      </w:r>
      <w:r w:rsidRPr="001E360A">
        <w:rPr>
          <w:rFonts w:ascii="Times New Roman" w:hAnsi="Times New Roman"/>
          <w:color w:val="000000"/>
          <w:szCs w:val="24"/>
        </w:rPr>
        <w:t>dominant in their country of origin. Most collectivist cultures that promote the practice of family caregiving lay strong emphasis on the importance of cultural values that places the older adult in the family at the receiving end of care from the younger members of the family. Some examples of the cultural values that relates to caregiving are discussed in the next section.</w:t>
      </w:r>
    </w:p>
    <w:p w14:paraId="4FBB1C46" w14:textId="77777777" w:rsidR="00811DBD" w:rsidRPr="001E360A" w:rsidRDefault="00811DBD" w:rsidP="006869A3">
      <w:pPr>
        <w:pStyle w:val="Heading2"/>
      </w:pPr>
      <w:bookmarkStart w:id="102" w:name="_Toc86417288"/>
      <w:r w:rsidRPr="001E360A">
        <w:rPr>
          <w:bCs/>
        </w:rPr>
        <w:t>4.</w:t>
      </w:r>
      <w:r>
        <w:rPr>
          <w:bCs/>
        </w:rPr>
        <w:t>6</w:t>
      </w:r>
      <w:r w:rsidRPr="001E360A">
        <w:rPr>
          <w:bCs/>
        </w:rPr>
        <w:t xml:space="preserve">. </w:t>
      </w:r>
      <w:r w:rsidRPr="001E360A">
        <w:t>Key cultural values</w:t>
      </w:r>
      <w:bookmarkEnd w:id="102"/>
    </w:p>
    <w:p w14:paraId="583892DA"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Cultural values and norms are important when discussing caregiving, especially considering the variance that exists between different cultures (Dilworth-Anderson, Williams and Gibson, 2002). To assess the caregiving experience among ethnic minority caregivers (such as Nigerian care workers), it is essential to understand the influence of cultural values which may be vital in the caregiver’s coping process (Wallace</w:t>
      </w:r>
      <w:r>
        <w:rPr>
          <w:rFonts w:ascii="Times New Roman" w:hAnsi="Times New Roman"/>
          <w:color w:val="000000"/>
          <w:szCs w:val="24"/>
        </w:rPr>
        <w:t xml:space="preserve"> </w:t>
      </w:r>
      <w:r w:rsidRPr="00E97718">
        <w:rPr>
          <w:rFonts w:ascii="Times New Roman" w:hAnsi="Times New Roman"/>
          <w:i/>
          <w:iCs/>
          <w:color w:val="000000"/>
          <w:szCs w:val="24"/>
        </w:rPr>
        <w:t>et al.</w:t>
      </w:r>
      <w:r w:rsidRPr="001E360A">
        <w:rPr>
          <w:rFonts w:ascii="Times New Roman" w:hAnsi="Times New Roman"/>
          <w:color w:val="000000"/>
          <w:szCs w:val="24"/>
        </w:rPr>
        <w:t>, 1998). This is because cultural beliefs and values are interrelated</w:t>
      </w:r>
      <w:r>
        <w:rPr>
          <w:rFonts w:ascii="Times New Roman" w:hAnsi="Times New Roman"/>
          <w:color w:val="000000"/>
          <w:szCs w:val="24"/>
        </w:rPr>
        <w:t>,</w:t>
      </w:r>
      <w:r w:rsidRPr="001E360A">
        <w:rPr>
          <w:rFonts w:ascii="Times New Roman" w:hAnsi="Times New Roman"/>
          <w:color w:val="000000"/>
          <w:szCs w:val="24"/>
        </w:rPr>
        <w:t xml:space="preserve"> and the prevailing values reinforce most cultural beliefs among a particular ethnic group.</w:t>
      </w:r>
    </w:p>
    <w:p w14:paraId="0D66A4D8"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lastRenderedPageBreak/>
        <w:t xml:space="preserve">In the last half a century, many studies have highlighted different cultural values about caregiving. The prevailing cultural values include: familism – where the needs of the family are seen as more important than the needs of the individual (Triandis </w:t>
      </w:r>
      <w:r w:rsidRPr="00E97718">
        <w:rPr>
          <w:rFonts w:ascii="Times New Roman" w:hAnsi="Times New Roman"/>
          <w:i/>
          <w:iCs/>
          <w:color w:val="000000"/>
          <w:szCs w:val="24"/>
        </w:rPr>
        <w:t>et al.</w:t>
      </w:r>
      <w:r w:rsidRPr="001E360A">
        <w:rPr>
          <w:rFonts w:ascii="Times New Roman" w:hAnsi="Times New Roman"/>
          <w:color w:val="000000"/>
          <w:szCs w:val="24"/>
        </w:rPr>
        <w:t xml:space="preserve">, 1984; Sabogal </w:t>
      </w:r>
      <w:r w:rsidRPr="00E97718">
        <w:rPr>
          <w:rFonts w:ascii="Times New Roman" w:hAnsi="Times New Roman"/>
          <w:i/>
          <w:iCs/>
          <w:color w:val="000000"/>
          <w:szCs w:val="24"/>
        </w:rPr>
        <w:t>et al.</w:t>
      </w:r>
      <w:r w:rsidRPr="001E360A">
        <w:rPr>
          <w:rFonts w:ascii="Times New Roman" w:hAnsi="Times New Roman"/>
          <w:color w:val="000000"/>
          <w:szCs w:val="24"/>
        </w:rPr>
        <w:t xml:space="preserve">, 1987; Gallagher-Thompson </w:t>
      </w:r>
      <w:r w:rsidRPr="00E97718">
        <w:rPr>
          <w:rFonts w:ascii="Times New Roman" w:hAnsi="Times New Roman"/>
          <w:i/>
          <w:iCs/>
          <w:color w:val="000000"/>
          <w:szCs w:val="24"/>
        </w:rPr>
        <w:t>et al.</w:t>
      </w:r>
      <w:r w:rsidRPr="001E360A">
        <w:rPr>
          <w:rFonts w:ascii="Times New Roman" w:hAnsi="Times New Roman"/>
          <w:color w:val="000000"/>
          <w:szCs w:val="24"/>
        </w:rPr>
        <w:t>, 2003</w:t>
      </w:r>
      <w:r>
        <w:rPr>
          <w:rFonts w:ascii="Times New Roman" w:hAnsi="Times New Roman"/>
          <w:color w:val="000000"/>
          <w:szCs w:val="24"/>
        </w:rPr>
        <w:t xml:space="preserve">; </w:t>
      </w:r>
      <w:r w:rsidRPr="00B2179D">
        <w:rPr>
          <w:rFonts w:ascii="Times New Roman" w:hAnsi="Times New Roman"/>
          <w:color w:val="000000"/>
          <w:szCs w:val="24"/>
        </w:rPr>
        <w:t>Losada</w:t>
      </w:r>
      <w:r>
        <w:rPr>
          <w:rFonts w:ascii="Times New Roman" w:hAnsi="Times New Roman"/>
          <w:color w:val="000000"/>
          <w:szCs w:val="24"/>
        </w:rPr>
        <w:t xml:space="preserve"> </w:t>
      </w:r>
      <w:r w:rsidRPr="00E97718">
        <w:rPr>
          <w:rFonts w:ascii="Times New Roman" w:hAnsi="Times New Roman"/>
          <w:i/>
          <w:iCs/>
          <w:color w:val="000000"/>
          <w:szCs w:val="24"/>
        </w:rPr>
        <w:t>et al.</w:t>
      </w:r>
      <w:r>
        <w:rPr>
          <w:rFonts w:ascii="Times New Roman" w:hAnsi="Times New Roman"/>
          <w:color w:val="000000"/>
          <w:szCs w:val="24"/>
        </w:rPr>
        <w:t>, 2020</w:t>
      </w:r>
      <w:r w:rsidRPr="001E360A">
        <w:rPr>
          <w:rFonts w:ascii="Times New Roman" w:hAnsi="Times New Roman"/>
          <w:color w:val="000000"/>
          <w:szCs w:val="24"/>
        </w:rPr>
        <w:t>), filial responsibility (relating to children’s responsibility) (Finley, Roberts and Banahan, 1988; Se</w:t>
      </w:r>
      <w:r>
        <w:rPr>
          <w:rFonts w:ascii="Times New Roman" w:hAnsi="Times New Roman"/>
          <w:color w:val="000000"/>
          <w:szCs w:val="24"/>
        </w:rPr>
        <w:t>e</w:t>
      </w:r>
      <w:r w:rsidRPr="001E360A">
        <w:rPr>
          <w:rFonts w:ascii="Times New Roman" w:hAnsi="Times New Roman"/>
          <w:color w:val="000000"/>
          <w:szCs w:val="24"/>
        </w:rPr>
        <w:t>lbac</w:t>
      </w:r>
      <w:r>
        <w:rPr>
          <w:rFonts w:ascii="Times New Roman" w:hAnsi="Times New Roman"/>
          <w:color w:val="000000"/>
          <w:szCs w:val="24"/>
        </w:rPr>
        <w:t>h</w:t>
      </w:r>
      <w:r w:rsidRPr="001E360A">
        <w:rPr>
          <w:rFonts w:ascii="Times New Roman" w:hAnsi="Times New Roman"/>
          <w:color w:val="000000"/>
          <w:szCs w:val="24"/>
        </w:rPr>
        <w:t xml:space="preserve"> and Sauer, 1977</w:t>
      </w:r>
      <w:r>
        <w:rPr>
          <w:rFonts w:ascii="Times New Roman" w:hAnsi="Times New Roman"/>
          <w:color w:val="000000"/>
          <w:szCs w:val="24"/>
        </w:rPr>
        <w:t xml:space="preserve">; </w:t>
      </w:r>
      <w:r w:rsidRPr="00B2179D">
        <w:rPr>
          <w:rFonts w:ascii="Times New Roman" w:hAnsi="Times New Roman"/>
          <w:bCs/>
          <w:color w:val="000000"/>
          <w:szCs w:val="24"/>
        </w:rPr>
        <w:t>Aires</w:t>
      </w:r>
      <w:r>
        <w:rPr>
          <w:rFonts w:ascii="Times New Roman" w:hAnsi="Times New Roman"/>
          <w:bCs/>
          <w:color w:val="000000"/>
          <w:szCs w:val="24"/>
        </w:rPr>
        <w:t xml:space="preserve"> </w:t>
      </w:r>
      <w:r w:rsidRPr="00E97718">
        <w:rPr>
          <w:rFonts w:ascii="Times New Roman" w:hAnsi="Times New Roman"/>
          <w:bCs/>
          <w:i/>
          <w:iCs/>
          <w:color w:val="000000"/>
          <w:szCs w:val="24"/>
        </w:rPr>
        <w:t>et al.</w:t>
      </w:r>
      <w:r>
        <w:rPr>
          <w:rFonts w:ascii="Times New Roman" w:hAnsi="Times New Roman"/>
          <w:bCs/>
          <w:color w:val="000000"/>
          <w:szCs w:val="24"/>
        </w:rPr>
        <w:t>, 2019</w:t>
      </w:r>
      <w:r w:rsidRPr="001E360A">
        <w:rPr>
          <w:rFonts w:ascii="Times New Roman" w:hAnsi="Times New Roman"/>
          <w:color w:val="000000"/>
          <w:szCs w:val="24"/>
        </w:rPr>
        <w:t>), reciprocity (Kelley, 1994; Nkongho and Archbold, 1995</w:t>
      </w:r>
      <w:r>
        <w:rPr>
          <w:rFonts w:ascii="Times New Roman" w:hAnsi="Times New Roman"/>
          <w:color w:val="000000"/>
          <w:szCs w:val="24"/>
        </w:rPr>
        <w:t xml:space="preserve">; </w:t>
      </w:r>
      <w:r w:rsidRPr="00981CE1">
        <w:rPr>
          <w:rFonts w:ascii="Times New Roman" w:hAnsi="Times New Roman"/>
          <w:color w:val="000000"/>
          <w:szCs w:val="24"/>
        </w:rPr>
        <w:t>Nance</w:t>
      </w:r>
      <w:r>
        <w:rPr>
          <w:rFonts w:ascii="Times New Roman" w:hAnsi="Times New Roman"/>
          <w:color w:val="000000"/>
          <w:szCs w:val="24"/>
        </w:rPr>
        <w:t xml:space="preserve"> </w:t>
      </w:r>
      <w:r w:rsidRPr="00E97718">
        <w:rPr>
          <w:rFonts w:ascii="Times New Roman" w:hAnsi="Times New Roman"/>
          <w:i/>
          <w:iCs/>
          <w:color w:val="000000"/>
          <w:szCs w:val="24"/>
        </w:rPr>
        <w:t>et al.</w:t>
      </w:r>
      <w:r>
        <w:rPr>
          <w:rFonts w:ascii="Times New Roman" w:hAnsi="Times New Roman"/>
          <w:color w:val="000000"/>
          <w:szCs w:val="24"/>
        </w:rPr>
        <w:t>, 2018</w:t>
      </w:r>
      <w:r w:rsidRPr="001E360A">
        <w:rPr>
          <w:rFonts w:ascii="Times New Roman" w:hAnsi="Times New Roman"/>
          <w:color w:val="000000"/>
          <w:szCs w:val="24"/>
        </w:rPr>
        <w:t>), respect for elders (Lee and Sung, 1997</w:t>
      </w:r>
      <w:r>
        <w:rPr>
          <w:rFonts w:ascii="Times New Roman" w:hAnsi="Times New Roman"/>
          <w:color w:val="000000"/>
          <w:szCs w:val="24"/>
        </w:rPr>
        <w:t xml:space="preserve">; </w:t>
      </w:r>
      <w:r w:rsidRPr="00981CE1">
        <w:rPr>
          <w:rFonts w:ascii="Times New Roman" w:hAnsi="Times New Roman"/>
          <w:color w:val="000000"/>
          <w:szCs w:val="24"/>
        </w:rPr>
        <w:t>Ar and Karanci, 2019</w:t>
      </w:r>
      <w:r w:rsidRPr="001E360A">
        <w:rPr>
          <w:rFonts w:ascii="Times New Roman" w:hAnsi="Times New Roman"/>
          <w:color w:val="000000"/>
          <w:szCs w:val="24"/>
        </w:rPr>
        <w:t xml:space="preserve">), role modelling (Barresi and Menon, 1990; Nkongho and Archbold, 1995) and other religious and spiritually ingrained values (Lawton </w:t>
      </w:r>
      <w:r w:rsidRPr="00E97718">
        <w:rPr>
          <w:rFonts w:ascii="Times New Roman" w:hAnsi="Times New Roman"/>
          <w:i/>
          <w:iCs/>
          <w:color w:val="000000"/>
          <w:szCs w:val="24"/>
        </w:rPr>
        <w:t>et al.</w:t>
      </w:r>
      <w:r w:rsidRPr="001E360A">
        <w:rPr>
          <w:rFonts w:ascii="Times New Roman" w:hAnsi="Times New Roman"/>
          <w:color w:val="000000"/>
          <w:szCs w:val="24"/>
        </w:rPr>
        <w:t>, 1992</w:t>
      </w:r>
      <w:r>
        <w:rPr>
          <w:rFonts w:ascii="Times New Roman" w:hAnsi="Times New Roman"/>
          <w:color w:val="000000"/>
          <w:szCs w:val="24"/>
        </w:rPr>
        <w:t xml:space="preserve">; </w:t>
      </w:r>
      <w:r w:rsidRPr="00A60BFB">
        <w:rPr>
          <w:rFonts w:ascii="Times New Roman" w:hAnsi="Times New Roman"/>
          <w:color w:val="000000"/>
          <w:szCs w:val="24"/>
        </w:rPr>
        <w:t>Begum and Seppänen, 2017</w:t>
      </w:r>
      <w:r w:rsidRPr="001E360A">
        <w:rPr>
          <w:rFonts w:ascii="Times New Roman" w:hAnsi="Times New Roman"/>
          <w:color w:val="000000"/>
          <w:szCs w:val="24"/>
        </w:rPr>
        <w:t>). Although most studies on cultural values and caregiving are related to family carers, they may also be essentially significant to formal caregiver/care workers; hence I offer a brief overview of some of these debates below.</w:t>
      </w:r>
    </w:p>
    <w:p w14:paraId="35CE984F" w14:textId="77777777" w:rsidR="00811DBD" w:rsidRDefault="00811DBD" w:rsidP="006869A3">
      <w:pPr>
        <w:pStyle w:val="Heading3"/>
      </w:pPr>
      <w:bookmarkStart w:id="103" w:name="_Toc86417289"/>
      <w:r w:rsidRPr="001E360A">
        <w:t>4.</w:t>
      </w:r>
      <w:r>
        <w:t>6</w:t>
      </w:r>
      <w:r w:rsidRPr="001E360A">
        <w:t>.1. Familism</w:t>
      </w:r>
      <w:bookmarkEnd w:id="103"/>
    </w:p>
    <w:p w14:paraId="51B5DE1F"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This refers to the pre-eminence of the family unit over individual desires, interests, priorities and decisions and it often involves a range of obligations, which one ascribe to the family. It often depicts the rights of the older members of a family and the obligations of younger members to meet the needs of the older, and in the context of dementia and caregiving, giving care to the aged (Sayegh and Knight, 2011). In conceptualizing familism, Triandis </w:t>
      </w:r>
      <w:r w:rsidRPr="00E97718">
        <w:rPr>
          <w:rFonts w:ascii="Times New Roman" w:hAnsi="Times New Roman"/>
          <w:i/>
          <w:iCs/>
          <w:color w:val="000000"/>
          <w:szCs w:val="24"/>
        </w:rPr>
        <w:t>et al.</w:t>
      </w:r>
      <w:r w:rsidRPr="001E360A">
        <w:rPr>
          <w:rFonts w:ascii="Times New Roman" w:hAnsi="Times New Roman"/>
          <w:color w:val="000000"/>
          <w:szCs w:val="24"/>
        </w:rPr>
        <w:t xml:space="preserve"> (1982</w:t>
      </w:r>
      <w:r>
        <w:rPr>
          <w:rFonts w:ascii="Times New Roman" w:hAnsi="Times New Roman"/>
          <w:color w:val="000000"/>
          <w:szCs w:val="24"/>
        </w:rPr>
        <w:t>, p.1</w:t>
      </w:r>
      <w:r w:rsidRPr="001E360A">
        <w:rPr>
          <w:rFonts w:ascii="Times New Roman" w:hAnsi="Times New Roman"/>
          <w:color w:val="000000"/>
          <w:szCs w:val="24"/>
        </w:rPr>
        <w:t>) described the concept familiar to most cultures, which consists of “</w:t>
      </w:r>
      <w:r w:rsidRPr="00263723">
        <w:rPr>
          <w:rFonts w:ascii="Times New Roman" w:hAnsi="Times New Roman"/>
          <w:i/>
          <w:iCs/>
          <w:color w:val="000000"/>
          <w:szCs w:val="24"/>
        </w:rPr>
        <w:t>strong familial identification, the sharing of strong feelings of loyalty, reciprocity, and solidarity among the family members, the structures of mutual help and obligations held by family members, and belief in the high value assigned to both the nuclear and the extended family.</w:t>
      </w:r>
      <w:r w:rsidRPr="001E360A">
        <w:rPr>
          <w:rFonts w:ascii="Times New Roman" w:hAnsi="Times New Roman"/>
          <w:color w:val="000000"/>
          <w:szCs w:val="24"/>
        </w:rPr>
        <w:t xml:space="preserve">” For example, research suggests that many Black African cultures have strong familial ties, and this is often in contrast to North American and Western European cultures, which are often dominated by “individualism,” (Heller, 1970; Landrine, 1992). This difference in family ideologies may contribute towards developing an understanding of cultural caregiving practices. Killian and Ganong (2002) conducted small scale studies looking at families with more familistic ideologies and they </w:t>
      </w:r>
      <w:r>
        <w:rPr>
          <w:rFonts w:ascii="Times New Roman" w:hAnsi="Times New Roman"/>
          <w:color w:val="000000"/>
          <w:szCs w:val="24"/>
        </w:rPr>
        <w:t>found</w:t>
      </w:r>
      <w:r w:rsidRPr="001E360A">
        <w:rPr>
          <w:rFonts w:ascii="Times New Roman" w:hAnsi="Times New Roman"/>
          <w:color w:val="000000"/>
          <w:szCs w:val="24"/>
        </w:rPr>
        <w:t xml:space="preserve"> that </w:t>
      </w:r>
      <w:r>
        <w:rPr>
          <w:rFonts w:ascii="Times New Roman" w:hAnsi="Times New Roman"/>
          <w:color w:val="000000"/>
          <w:szCs w:val="24"/>
        </w:rPr>
        <w:t>they had</w:t>
      </w:r>
      <w:r w:rsidRPr="001E360A">
        <w:rPr>
          <w:rFonts w:ascii="Times New Roman" w:hAnsi="Times New Roman"/>
          <w:color w:val="000000"/>
          <w:szCs w:val="24"/>
        </w:rPr>
        <w:t xml:space="preserve"> a completely different approach </w:t>
      </w:r>
      <w:r>
        <w:rPr>
          <w:rFonts w:ascii="Times New Roman" w:hAnsi="Times New Roman"/>
          <w:color w:val="000000"/>
          <w:szCs w:val="24"/>
        </w:rPr>
        <w:t>to</w:t>
      </w:r>
      <w:r w:rsidRPr="001E360A">
        <w:rPr>
          <w:rFonts w:ascii="Times New Roman" w:hAnsi="Times New Roman"/>
          <w:color w:val="000000"/>
          <w:szCs w:val="24"/>
        </w:rPr>
        <w:t xml:space="preserve"> caregiving when compared with those from individualistic families. An earl</w:t>
      </w:r>
      <w:r>
        <w:rPr>
          <w:rFonts w:ascii="Times New Roman" w:hAnsi="Times New Roman"/>
          <w:color w:val="000000"/>
          <w:szCs w:val="24"/>
        </w:rPr>
        <w:t>ier</w:t>
      </w:r>
      <w:r w:rsidRPr="001E360A">
        <w:rPr>
          <w:rFonts w:ascii="Times New Roman" w:hAnsi="Times New Roman"/>
          <w:color w:val="000000"/>
          <w:szCs w:val="24"/>
        </w:rPr>
        <w:t xml:space="preserve"> study by Pyke and Bengtson (1996) also reported that carers within individualistic families were </w:t>
      </w:r>
      <w:r w:rsidRPr="001E360A">
        <w:rPr>
          <w:rFonts w:ascii="Times New Roman" w:hAnsi="Times New Roman"/>
          <w:color w:val="000000"/>
          <w:szCs w:val="24"/>
        </w:rPr>
        <w:lastRenderedPageBreak/>
        <w:t>more reluctant to become carers</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color w:val="000000"/>
          <w:szCs w:val="24"/>
        </w:rPr>
        <w:t>T</w:t>
      </w:r>
      <w:r w:rsidRPr="001E360A">
        <w:rPr>
          <w:rFonts w:ascii="Times New Roman" w:hAnsi="Times New Roman"/>
          <w:color w:val="000000"/>
          <w:szCs w:val="24"/>
        </w:rPr>
        <w:t xml:space="preserve">hey lacked interest in caregiving and were limited in the amount of care they would provide to elderly family members and families. Often, they will only offer care out of obligation or duty, rather than reasons of affection or affinity </w:t>
      </w:r>
      <w:r>
        <w:rPr>
          <w:rFonts w:ascii="Times New Roman" w:hAnsi="Times New Roman"/>
          <w:color w:val="000000"/>
          <w:szCs w:val="24"/>
        </w:rPr>
        <w:t>for</w:t>
      </w:r>
      <w:r w:rsidRPr="001E360A">
        <w:rPr>
          <w:rFonts w:ascii="Times New Roman" w:hAnsi="Times New Roman"/>
          <w:color w:val="000000"/>
          <w:szCs w:val="24"/>
        </w:rPr>
        <w:t xml:space="preserve"> the </w:t>
      </w:r>
      <w:r>
        <w:rPr>
          <w:rFonts w:ascii="Times New Roman" w:hAnsi="Times New Roman"/>
          <w:color w:val="000000"/>
          <w:szCs w:val="24"/>
        </w:rPr>
        <w:t xml:space="preserve">care </w:t>
      </w:r>
      <w:r w:rsidRPr="001E360A">
        <w:rPr>
          <w:rFonts w:ascii="Times New Roman" w:hAnsi="Times New Roman"/>
          <w:color w:val="000000"/>
          <w:szCs w:val="24"/>
        </w:rPr>
        <w:t xml:space="preserve">recipient. Thus, the assumption could be made that those holding familistic cultural values would be more likely to perceive the caregiving process as positive and a natural extension of family life, rather than appraising the experience as a burdensome interruption of their lives and health (Pyke and Bengtson, 1996). </w:t>
      </w:r>
      <w:r>
        <w:rPr>
          <w:rFonts w:ascii="Times New Roman" w:hAnsi="Times New Roman"/>
          <w:color w:val="000000"/>
          <w:szCs w:val="24"/>
        </w:rPr>
        <w:t>Also,</w:t>
      </w:r>
      <w:r w:rsidRPr="001E360A">
        <w:rPr>
          <w:rFonts w:ascii="Times New Roman" w:hAnsi="Times New Roman"/>
          <w:color w:val="000000"/>
          <w:szCs w:val="24"/>
        </w:rPr>
        <w:t xml:space="preserve"> more familistic focused people might justify the role as an expected commitment. </w:t>
      </w:r>
    </w:p>
    <w:p w14:paraId="491739C8" w14:textId="77777777" w:rsidR="00811DBD" w:rsidRPr="001E360A" w:rsidRDefault="00811DBD" w:rsidP="00811DBD">
      <w:pPr>
        <w:jc w:val="both"/>
        <w:textAlignment w:val="baseline"/>
        <w:rPr>
          <w:rFonts w:ascii="Times New Roman" w:hAnsi="Times New Roman"/>
          <w:color w:val="000000"/>
          <w:szCs w:val="24"/>
        </w:rPr>
      </w:pPr>
      <w:r>
        <w:rPr>
          <w:rFonts w:ascii="Times New Roman" w:hAnsi="Times New Roman"/>
          <w:color w:val="000000"/>
          <w:szCs w:val="24"/>
        </w:rPr>
        <w:t>W</w:t>
      </w:r>
      <w:r w:rsidRPr="001E360A">
        <w:rPr>
          <w:rFonts w:ascii="Times New Roman" w:hAnsi="Times New Roman"/>
          <w:color w:val="000000"/>
          <w:szCs w:val="24"/>
        </w:rPr>
        <w:t xml:space="preserve">hile this may be perceived as positive, in a study investigating the links between familism and coping with detrimental health outcomes among caregivers, </w:t>
      </w:r>
      <w:r w:rsidRPr="00FE1CBD">
        <w:rPr>
          <w:rFonts w:ascii="Times New Roman" w:hAnsi="Times New Roman"/>
        </w:rPr>
        <w:t>Kim, Knight and Longmire</w:t>
      </w:r>
      <w:r w:rsidRPr="001E360A">
        <w:rPr>
          <w:rFonts w:ascii="Times New Roman" w:hAnsi="Times New Roman"/>
          <w:color w:val="000000"/>
          <w:szCs w:val="24"/>
        </w:rPr>
        <w:t xml:space="preserve"> (2007) observed that familism was often associated with avoidant coping which resulted in poorer outcomes in the caregivers and these findings are supported by other studies (e.g.</w:t>
      </w:r>
      <w:r>
        <w:rPr>
          <w:rFonts w:ascii="Times New Roman" w:hAnsi="Times New Roman"/>
          <w:color w:val="000000"/>
          <w:szCs w:val="24"/>
        </w:rPr>
        <w:t>,</w:t>
      </w:r>
      <w:r w:rsidRPr="001E360A">
        <w:rPr>
          <w:rFonts w:ascii="Times New Roman" w:hAnsi="Times New Roman"/>
          <w:color w:val="000000"/>
          <w:szCs w:val="24"/>
        </w:rPr>
        <w:t xml:space="preserve"> Losada </w:t>
      </w:r>
      <w:r w:rsidRPr="00E97718">
        <w:rPr>
          <w:rFonts w:ascii="Times New Roman" w:hAnsi="Times New Roman"/>
          <w:i/>
          <w:iCs/>
          <w:color w:val="000000"/>
          <w:szCs w:val="24"/>
        </w:rPr>
        <w:t>et al.</w:t>
      </w:r>
      <w:r w:rsidRPr="001E360A">
        <w:rPr>
          <w:rFonts w:ascii="Times New Roman" w:hAnsi="Times New Roman"/>
          <w:color w:val="000000"/>
          <w:szCs w:val="24"/>
        </w:rPr>
        <w:t xml:space="preserve"> 2010</w:t>
      </w:r>
      <w:r>
        <w:rPr>
          <w:rFonts w:ascii="Times New Roman" w:hAnsi="Times New Roman"/>
          <w:color w:val="000000"/>
          <w:szCs w:val="24"/>
        </w:rPr>
        <w:t xml:space="preserve"> and </w:t>
      </w:r>
      <w:r w:rsidRPr="001E360A">
        <w:rPr>
          <w:rFonts w:ascii="Times New Roman" w:hAnsi="Times New Roman"/>
          <w:color w:val="000000"/>
          <w:szCs w:val="24"/>
        </w:rPr>
        <w:t xml:space="preserve">Sayegh and Knight, 2011). </w:t>
      </w:r>
    </w:p>
    <w:p w14:paraId="1B10846D" w14:textId="77777777" w:rsidR="00811DBD" w:rsidRDefault="00811DBD" w:rsidP="006869A3">
      <w:pPr>
        <w:pStyle w:val="Heading3"/>
        <w:rPr>
          <w:bCs/>
        </w:rPr>
      </w:pPr>
      <w:bookmarkStart w:id="104" w:name="_Toc86417290"/>
      <w:r w:rsidRPr="00506A32">
        <w:t>4.6.2.</w:t>
      </w:r>
      <w:r w:rsidRPr="001E360A">
        <w:t xml:space="preserve"> Filial piety</w:t>
      </w:r>
      <w:bookmarkEnd w:id="104"/>
    </w:p>
    <w:p w14:paraId="63B50A1C" w14:textId="7099C37C"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The concept of filial piety is the belief in one’s responsibility </w:t>
      </w:r>
      <w:r>
        <w:rPr>
          <w:rFonts w:ascii="Times New Roman" w:hAnsi="Times New Roman"/>
          <w:color w:val="000000"/>
          <w:szCs w:val="24"/>
        </w:rPr>
        <w:t>to care for</w:t>
      </w:r>
      <w:r w:rsidRPr="001E360A">
        <w:rPr>
          <w:rFonts w:ascii="Times New Roman" w:hAnsi="Times New Roman"/>
          <w:color w:val="000000"/>
          <w:szCs w:val="24"/>
        </w:rPr>
        <w:t xml:space="preserve"> family members (Gallagher-Thompson </w:t>
      </w:r>
      <w:r w:rsidRPr="00E97718">
        <w:rPr>
          <w:rFonts w:ascii="Times New Roman" w:hAnsi="Times New Roman"/>
          <w:i/>
          <w:iCs/>
          <w:color w:val="000000"/>
          <w:szCs w:val="24"/>
        </w:rPr>
        <w:t>et al.</w:t>
      </w:r>
      <w:r w:rsidRPr="001E360A">
        <w:rPr>
          <w:rFonts w:ascii="Times New Roman" w:hAnsi="Times New Roman"/>
          <w:color w:val="000000"/>
          <w:szCs w:val="24"/>
        </w:rPr>
        <w:t>, 2000</w:t>
      </w:r>
      <w:r>
        <w:rPr>
          <w:rFonts w:ascii="Times New Roman" w:hAnsi="Times New Roman"/>
          <w:color w:val="000000"/>
          <w:szCs w:val="24"/>
        </w:rPr>
        <w:t xml:space="preserve">; Gray </w:t>
      </w:r>
      <w:r w:rsidRPr="00E97718">
        <w:rPr>
          <w:rFonts w:ascii="Times New Roman" w:hAnsi="Times New Roman"/>
          <w:i/>
          <w:iCs/>
          <w:color w:val="000000"/>
          <w:szCs w:val="24"/>
        </w:rPr>
        <w:t>et al.</w:t>
      </w:r>
      <w:r>
        <w:rPr>
          <w:rFonts w:ascii="Times New Roman" w:hAnsi="Times New Roman"/>
          <w:color w:val="000000"/>
          <w:szCs w:val="24"/>
        </w:rPr>
        <w:t>, 2009</w:t>
      </w:r>
      <w:r w:rsidRPr="001E360A">
        <w:rPr>
          <w:rFonts w:ascii="Times New Roman" w:hAnsi="Times New Roman"/>
          <w:color w:val="000000"/>
          <w:szCs w:val="24"/>
        </w:rPr>
        <w:t>)</w:t>
      </w:r>
      <w:r>
        <w:rPr>
          <w:rFonts w:ascii="Times New Roman" w:hAnsi="Times New Roman"/>
          <w:color w:val="000000"/>
          <w:szCs w:val="24"/>
        </w:rPr>
        <w:t>.</w:t>
      </w:r>
      <w:r w:rsidRPr="001E360A">
        <w:rPr>
          <w:rFonts w:ascii="Times New Roman" w:hAnsi="Times New Roman"/>
          <w:color w:val="000000"/>
          <w:szCs w:val="24"/>
        </w:rPr>
        <w:t xml:space="preserve"> </w:t>
      </w:r>
      <w:r>
        <w:rPr>
          <w:rFonts w:ascii="Times New Roman" w:hAnsi="Times New Roman"/>
          <w:color w:val="000000"/>
          <w:szCs w:val="24"/>
        </w:rPr>
        <w:t xml:space="preserve">It </w:t>
      </w:r>
      <w:r w:rsidRPr="001E360A">
        <w:rPr>
          <w:rFonts w:ascii="Times New Roman" w:hAnsi="Times New Roman"/>
          <w:color w:val="000000"/>
          <w:szCs w:val="24"/>
        </w:rPr>
        <w:t>is common among Asian cultural groups</w:t>
      </w:r>
      <w:r w:rsidR="00D00D6F">
        <w:rPr>
          <w:rFonts w:ascii="Times New Roman" w:hAnsi="Times New Roman"/>
          <w:color w:val="000000"/>
          <w:szCs w:val="24"/>
        </w:rPr>
        <w:t>,</w:t>
      </w:r>
      <w:r w:rsidRPr="001E360A">
        <w:rPr>
          <w:rFonts w:ascii="Times New Roman" w:hAnsi="Times New Roman"/>
          <w:color w:val="000000"/>
          <w:szCs w:val="24"/>
        </w:rPr>
        <w:t xml:space="preserve"> and it was evident in the interviews with the Chinese American carers</w:t>
      </w:r>
      <w:r>
        <w:rPr>
          <w:rFonts w:ascii="Times New Roman" w:hAnsi="Times New Roman"/>
          <w:color w:val="000000"/>
          <w:szCs w:val="24"/>
        </w:rPr>
        <w:t xml:space="preserve"> </w:t>
      </w:r>
      <w:r w:rsidRPr="001E360A">
        <w:rPr>
          <w:rFonts w:ascii="Times New Roman" w:hAnsi="Times New Roman"/>
          <w:color w:val="000000"/>
          <w:szCs w:val="24"/>
        </w:rPr>
        <w:t xml:space="preserve">(Gallagher-Thompson </w:t>
      </w:r>
      <w:r w:rsidRPr="00E97718">
        <w:rPr>
          <w:rFonts w:ascii="Times New Roman" w:hAnsi="Times New Roman"/>
          <w:i/>
          <w:iCs/>
          <w:color w:val="000000"/>
          <w:szCs w:val="24"/>
        </w:rPr>
        <w:t>et al.</w:t>
      </w:r>
      <w:r w:rsidRPr="001E360A">
        <w:rPr>
          <w:rFonts w:ascii="Times New Roman" w:hAnsi="Times New Roman"/>
          <w:color w:val="000000"/>
          <w:szCs w:val="24"/>
        </w:rPr>
        <w:t>, 2000</w:t>
      </w:r>
      <w:r>
        <w:rPr>
          <w:rFonts w:ascii="Times New Roman" w:hAnsi="Times New Roman"/>
          <w:color w:val="000000"/>
          <w:szCs w:val="24"/>
        </w:rPr>
        <w:t>)</w:t>
      </w:r>
      <w:r w:rsidRPr="001E360A">
        <w:rPr>
          <w:rFonts w:ascii="Times New Roman" w:hAnsi="Times New Roman"/>
          <w:color w:val="000000"/>
          <w:szCs w:val="24"/>
        </w:rPr>
        <w:t xml:space="preserve">. Filial piety normalises the interdependence between the older and younger generations which makes the </w:t>
      </w:r>
      <w:r>
        <w:rPr>
          <w:rFonts w:ascii="Times New Roman" w:hAnsi="Times New Roman"/>
          <w:color w:val="000000"/>
          <w:szCs w:val="24"/>
        </w:rPr>
        <w:t>onset</w:t>
      </w:r>
      <w:r w:rsidRPr="001E360A">
        <w:rPr>
          <w:rFonts w:ascii="Times New Roman" w:hAnsi="Times New Roman"/>
          <w:color w:val="000000"/>
          <w:szCs w:val="24"/>
        </w:rPr>
        <w:t xml:space="preserve"> of dementia to be perceived in a more positive light. In this way, the cultural meanings were reinforced through interaction with other family and community members. </w:t>
      </w:r>
    </w:p>
    <w:p w14:paraId="1DD73CC9" w14:textId="281DA347" w:rsidR="00D00D6F"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Elliot </w:t>
      </w:r>
      <w:r w:rsidRPr="00E97718">
        <w:rPr>
          <w:rFonts w:ascii="Times New Roman" w:hAnsi="Times New Roman"/>
          <w:i/>
          <w:iCs/>
          <w:color w:val="000000"/>
          <w:szCs w:val="24"/>
        </w:rPr>
        <w:t>et al.</w:t>
      </w:r>
      <w:r w:rsidRPr="001E360A">
        <w:rPr>
          <w:rFonts w:ascii="Times New Roman" w:hAnsi="Times New Roman"/>
          <w:color w:val="000000"/>
          <w:szCs w:val="24"/>
        </w:rPr>
        <w:t xml:space="preserve"> (1996) and Gallagher-Thompson </w:t>
      </w:r>
      <w:r w:rsidRPr="00E97718">
        <w:rPr>
          <w:rFonts w:ascii="Times New Roman" w:hAnsi="Times New Roman"/>
          <w:i/>
          <w:iCs/>
          <w:color w:val="000000"/>
          <w:szCs w:val="24"/>
        </w:rPr>
        <w:t>et al.</w:t>
      </w:r>
      <w:r w:rsidRPr="001E360A">
        <w:rPr>
          <w:rFonts w:ascii="Times New Roman" w:hAnsi="Times New Roman"/>
          <w:color w:val="000000"/>
          <w:szCs w:val="24"/>
        </w:rPr>
        <w:t xml:space="preserve"> (2000) discussed the ageing process theme and filial piety as they relate to Chinese American caregivers and various groups of Asian American caregivers, respectively. However, the crucial relationships among filial piety, interdependence, and the ageing process for Chinese American caregivers warrant further attention.</w:t>
      </w:r>
    </w:p>
    <w:p w14:paraId="61CF40C4" w14:textId="77777777" w:rsidR="00811DBD" w:rsidRDefault="00811DBD" w:rsidP="006869A3">
      <w:pPr>
        <w:pStyle w:val="Heading3"/>
        <w:rPr>
          <w:bCs/>
        </w:rPr>
      </w:pPr>
      <w:bookmarkStart w:id="105" w:name="_Toc86417291"/>
      <w:r w:rsidRPr="001E360A">
        <w:rPr>
          <w:bCs/>
        </w:rPr>
        <w:t>4.</w:t>
      </w:r>
      <w:r>
        <w:rPr>
          <w:bCs/>
        </w:rPr>
        <w:t>6</w:t>
      </w:r>
      <w:r w:rsidRPr="001E360A">
        <w:rPr>
          <w:bCs/>
        </w:rPr>
        <w:t xml:space="preserve">.3. </w:t>
      </w:r>
      <w:r w:rsidRPr="001E360A">
        <w:t>Culture and reciprocity</w:t>
      </w:r>
      <w:bookmarkEnd w:id="105"/>
    </w:p>
    <w:p w14:paraId="66F48840"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 giving back or paying back for something that has been given</w:t>
      </w:r>
      <w:r>
        <w:rPr>
          <w:rFonts w:ascii="Times New Roman" w:hAnsi="Times New Roman"/>
          <w:color w:val="000000"/>
          <w:szCs w:val="24"/>
        </w:rPr>
        <w:t>,</w:t>
      </w:r>
      <w:r w:rsidRPr="001E360A">
        <w:rPr>
          <w:rFonts w:ascii="Times New Roman" w:hAnsi="Times New Roman"/>
          <w:color w:val="000000"/>
          <w:szCs w:val="24"/>
        </w:rPr>
        <w:t xml:space="preserve"> for example, the provision of care to a parent who had done </w:t>
      </w:r>
      <w:r>
        <w:rPr>
          <w:rFonts w:ascii="Times New Roman" w:hAnsi="Times New Roman"/>
          <w:color w:val="000000"/>
          <w:szCs w:val="24"/>
        </w:rPr>
        <w:t xml:space="preserve">the </w:t>
      </w:r>
      <w:r w:rsidRPr="001E360A">
        <w:rPr>
          <w:rFonts w:ascii="Times New Roman" w:hAnsi="Times New Roman"/>
          <w:color w:val="000000"/>
          <w:szCs w:val="24"/>
        </w:rPr>
        <w:t>same for their children earlier in life</w:t>
      </w:r>
      <w:r>
        <w:rPr>
          <w:rFonts w:ascii="Times New Roman" w:hAnsi="Times New Roman"/>
          <w:color w:val="000000"/>
          <w:szCs w:val="24"/>
        </w:rPr>
        <w:t>,</w:t>
      </w:r>
      <w:r w:rsidRPr="001E360A">
        <w:rPr>
          <w:rFonts w:ascii="Times New Roman" w:hAnsi="Times New Roman"/>
          <w:color w:val="000000"/>
          <w:szCs w:val="24"/>
        </w:rPr>
        <w:t xml:space="preserve"> is </w:t>
      </w:r>
      <w:r w:rsidRPr="001E360A">
        <w:rPr>
          <w:rFonts w:ascii="Times New Roman" w:hAnsi="Times New Roman"/>
          <w:color w:val="000000"/>
          <w:szCs w:val="24"/>
        </w:rPr>
        <w:lastRenderedPageBreak/>
        <w:t>described within caregiving as reciprocity (Neary and Maloney, 2005). In a qualitative study by Nkongho and Archbold (1995), many respondents cited reciprocity as a significant reason for providing care to dependent family members. Those respondents who described reciprocal reasons for caregiving often described how the care recipient was a person who had cared a great deal for the</w:t>
      </w:r>
      <w:r>
        <w:rPr>
          <w:rFonts w:ascii="Times New Roman" w:hAnsi="Times New Roman"/>
          <w:color w:val="000000"/>
          <w:szCs w:val="24"/>
        </w:rPr>
        <w:t>m</w:t>
      </w:r>
      <w:r w:rsidRPr="001E360A">
        <w:rPr>
          <w:rFonts w:ascii="Times New Roman" w:hAnsi="Times New Roman"/>
          <w:color w:val="000000"/>
          <w:szCs w:val="24"/>
        </w:rPr>
        <w:t xml:space="preserve"> </w:t>
      </w:r>
      <w:r>
        <w:rPr>
          <w:rFonts w:ascii="Times New Roman" w:hAnsi="Times New Roman"/>
          <w:color w:val="000000"/>
          <w:szCs w:val="24"/>
        </w:rPr>
        <w:t xml:space="preserve">(the </w:t>
      </w:r>
      <w:r w:rsidRPr="001E360A">
        <w:rPr>
          <w:rFonts w:ascii="Times New Roman" w:hAnsi="Times New Roman"/>
          <w:color w:val="000000"/>
          <w:szCs w:val="24"/>
        </w:rPr>
        <w:t>caregiver</w:t>
      </w:r>
      <w:r>
        <w:rPr>
          <w:rFonts w:ascii="Times New Roman" w:hAnsi="Times New Roman"/>
          <w:color w:val="000000"/>
          <w:szCs w:val="24"/>
        </w:rPr>
        <w:t>s)</w:t>
      </w:r>
      <w:r w:rsidRPr="001E360A">
        <w:rPr>
          <w:rFonts w:ascii="Times New Roman" w:hAnsi="Times New Roman"/>
          <w:color w:val="000000"/>
          <w:szCs w:val="24"/>
        </w:rPr>
        <w:t xml:space="preserve"> or other family members thus reciprocity was often </w:t>
      </w:r>
      <w:r>
        <w:rPr>
          <w:rFonts w:ascii="Times New Roman" w:hAnsi="Times New Roman"/>
          <w:color w:val="000000"/>
          <w:szCs w:val="24"/>
        </w:rPr>
        <w:t>considered</w:t>
      </w:r>
      <w:r w:rsidRPr="001E360A">
        <w:rPr>
          <w:rFonts w:ascii="Times New Roman" w:hAnsi="Times New Roman"/>
          <w:color w:val="000000"/>
          <w:szCs w:val="24"/>
        </w:rPr>
        <w:t xml:space="preserve"> as being born</w:t>
      </w:r>
      <w:r>
        <w:rPr>
          <w:rFonts w:ascii="Times New Roman" w:hAnsi="Times New Roman"/>
          <w:color w:val="000000"/>
          <w:szCs w:val="24"/>
        </w:rPr>
        <w:t>e</w:t>
      </w:r>
      <w:r w:rsidRPr="001E360A">
        <w:rPr>
          <w:rFonts w:ascii="Times New Roman" w:hAnsi="Times New Roman"/>
          <w:color w:val="000000"/>
          <w:szCs w:val="24"/>
        </w:rPr>
        <w:t xml:space="preserve"> out of great relationships with the care recipients (Nkongho and Archbold, 1995).</w:t>
      </w:r>
    </w:p>
    <w:p w14:paraId="4E1BF26A" w14:textId="77777777" w:rsidR="00811DBD" w:rsidRDefault="00811DBD" w:rsidP="006869A3">
      <w:pPr>
        <w:pStyle w:val="Heading3"/>
      </w:pPr>
      <w:bookmarkStart w:id="106" w:name="_Toc86417292"/>
      <w:r w:rsidRPr="001E360A">
        <w:rPr>
          <w:bCs/>
        </w:rPr>
        <w:t>4.</w:t>
      </w:r>
      <w:r>
        <w:rPr>
          <w:bCs/>
        </w:rPr>
        <w:t>6</w:t>
      </w:r>
      <w:r w:rsidRPr="001E360A">
        <w:rPr>
          <w:bCs/>
        </w:rPr>
        <w:t xml:space="preserve">.4. </w:t>
      </w:r>
      <w:r w:rsidRPr="001E360A">
        <w:t>Religious and spiritual values</w:t>
      </w:r>
      <w:bookmarkEnd w:id="106"/>
    </w:p>
    <w:p w14:paraId="3D18C9FA" w14:textId="55ED57A5"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There are only a small number of studies that identify the provision of care to elderly family members based on standards rooted in religious beliefs. For example, Braun, Takamura and Mougeout (1996), suggests that philosophical imperatives</w:t>
      </w:r>
      <w:r>
        <w:rPr>
          <w:rFonts w:ascii="Times New Roman" w:hAnsi="Times New Roman"/>
          <w:color w:val="000000"/>
          <w:szCs w:val="24"/>
        </w:rPr>
        <w:t>,</w:t>
      </w:r>
      <w:r w:rsidRPr="001E360A">
        <w:rPr>
          <w:rFonts w:ascii="Times New Roman" w:hAnsi="Times New Roman"/>
          <w:color w:val="000000"/>
          <w:szCs w:val="24"/>
        </w:rPr>
        <w:t xml:space="preserve"> for instance Confucianism a</w:t>
      </w:r>
      <w:r>
        <w:rPr>
          <w:rFonts w:ascii="Times New Roman" w:hAnsi="Times New Roman"/>
          <w:color w:val="000000"/>
          <w:szCs w:val="24"/>
        </w:rPr>
        <w:t>s</w:t>
      </w:r>
      <w:r w:rsidRPr="001E360A">
        <w:rPr>
          <w:rFonts w:ascii="Times New Roman" w:hAnsi="Times New Roman"/>
          <w:color w:val="000000"/>
          <w:szCs w:val="24"/>
        </w:rPr>
        <w:t xml:space="preserve"> present </w:t>
      </w:r>
      <w:r>
        <w:rPr>
          <w:rFonts w:ascii="Times New Roman" w:hAnsi="Times New Roman"/>
          <w:color w:val="000000"/>
          <w:szCs w:val="24"/>
        </w:rPr>
        <w:t>in</w:t>
      </w:r>
      <w:r w:rsidRPr="001E360A">
        <w:rPr>
          <w:rFonts w:ascii="Times New Roman" w:hAnsi="Times New Roman"/>
          <w:color w:val="000000"/>
          <w:szCs w:val="24"/>
        </w:rPr>
        <w:t xml:space="preserve"> individuals of Chinese descent, </w:t>
      </w:r>
      <w:r>
        <w:rPr>
          <w:rFonts w:ascii="Times New Roman" w:hAnsi="Times New Roman"/>
          <w:color w:val="000000"/>
          <w:szCs w:val="24"/>
        </w:rPr>
        <w:t>were</w:t>
      </w:r>
      <w:r w:rsidRPr="001E360A">
        <w:rPr>
          <w:rFonts w:ascii="Times New Roman" w:hAnsi="Times New Roman"/>
          <w:color w:val="000000"/>
          <w:szCs w:val="24"/>
        </w:rPr>
        <w:t xml:space="preserve"> often cited as reasons to care for Chinese elders. Research by Levkoff, Levy and Weitzman (1999) sought to understand the value of religion among four different ethnic groups who were all caring for people living with Alzheimer's disease. </w:t>
      </w:r>
      <w:r>
        <w:rPr>
          <w:rFonts w:ascii="Times New Roman" w:hAnsi="Times New Roman"/>
          <w:color w:val="000000"/>
          <w:szCs w:val="24"/>
        </w:rPr>
        <w:t>They</w:t>
      </w:r>
      <w:r w:rsidRPr="001E360A">
        <w:rPr>
          <w:rFonts w:ascii="Times New Roman" w:hAnsi="Times New Roman"/>
          <w:color w:val="000000"/>
          <w:szCs w:val="24"/>
        </w:rPr>
        <w:t xml:space="preserve"> suggested that the intersection of religious and ethnic factors both facilitates and impedes the help-seeking behaviour of caregivers.</w:t>
      </w:r>
    </w:p>
    <w:p w14:paraId="7B095595" w14:textId="77777777" w:rsidR="00811DBD" w:rsidRPr="001E360A" w:rsidRDefault="00811DBD" w:rsidP="006869A3">
      <w:pPr>
        <w:pStyle w:val="Heading2"/>
      </w:pPr>
      <w:bookmarkStart w:id="107" w:name="_Toc86417293"/>
      <w:r w:rsidRPr="001E360A">
        <w:rPr>
          <w:bCs/>
        </w:rPr>
        <w:t>4.</w:t>
      </w:r>
      <w:r>
        <w:rPr>
          <w:bCs/>
        </w:rPr>
        <w:t>7</w:t>
      </w:r>
      <w:r w:rsidRPr="001E360A">
        <w:rPr>
          <w:bCs/>
        </w:rPr>
        <w:t xml:space="preserve">. </w:t>
      </w:r>
      <w:r w:rsidRPr="001E360A">
        <w:t>Gaps in literature</w:t>
      </w:r>
      <w:bookmarkEnd w:id="107"/>
    </w:p>
    <w:p w14:paraId="30252632"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Concerning the experience</w:t>
      </w:r>
      <w:r>
        <w:rPr>
          <w:rFonts w:ascii="Times New Roman" w:hAnsi="Times New Roman"/>
          <w:color w:val="000000"/>
          <w:szCs w:val="24"/>
        </w:rPr>
        <w:t>s</w:t>
      </w:r>
      <w:r w:rsidRPr="001E360A">
        <w:rPr>
          <w:rFonts w:ascii="Times New Roman" w:hAnsi="Times New Roman"/>
          <w:color w:val="000000"/>
          <w:szCs w:val="24"/>
        </w:rPr>
        <w:t xml:space="preserve"> of paid Nigerian care</w:t>
      </w:r>
      <w:r>
        <w:rPr>
          <w:rFonts w:ascii="Times New Roman" w:hAnsi="Times New Roman"/>
          <w:color w:val="000000"/>
          <w:szCs w:val="24"/>
        </w:rPr>
        <w:t xml:space="preserve"> work</w:t>
      </w:r>
      <w:r w:rsidRPr="001E360A">
        <w:rPr>
          <w:rFonts w:ascii="Times New Roman" w:hAnsi="Times New Roman"/>
          <w:color w:val="000000"/>
          <w:szCs w:val="24"/>
        </w:rPr>
        <w:t xml:space="preserve">ers </w:t>
      </w:r>
      <w:r>
        <w:rPr>
          <w:rFonts w:ascii="Times New Roman" w:hAnsi="Times New Roman"/>
          <w:color w:val="000000"/>
          <w:szCs w:val="24"/>
        </w:rPr>
        <w:t>for</w:t>
      </w:r>
      <w:r w:rsidRPr="001E360A">
        <w:rPr>
          <w:rFonts w:ascii="Times New Roman" w:hAnsi="Times New Roman"/>
          <w:color w:val="000000"/>
          <w:szCs w:val="24"/>
        </w:rPr>
        <w:t xml:space="preserve"> </w:t>
      </w:r>
      <w:r>
        <w:rPr>
          <w:rFonts w:ascii="Times New Roman" w:hAnsi="Times New Roman"/>
          <w:color w:val="000000"/>
          <w:szCs w:val="24"/>
        </w:rPr>
        <w:t>PLWD</w:t>
      </w:r>
      <w:r w:rsidRPr="001E360A">
        <w:rPr>
          <w:rFonts w:ascii="Times New Roman" w:hAnsi="Times New Roman"/>
          <w:color w:val="000000"/>
          <w:szCs w:val="24"/>
        </w:rPr>
        <w:t>, some gaps have been identified in the research literature which helped to inform the development of this study. For instance, there is little evidence for the motivation of paid migrant caregivers who presently work with PLWD as nurses or health care assistants, and how and why they became care workers. Although caregiving motivation is viewed through the prism of family carers caring for their relatives, the experience</w:t>
      </w:r>
      <w:r>
        <w:rPr>
          <w:rFonts w:ascii="Times New Roman" w:hAnsi="Times New Roman"/>
          <w:color w:val="000000"/>
          <w:szCs w:val="24"/>
        </w:rPr>
        <w:t>s</w:t>
      </w:r>
      <w:r w:rsidRPr="001E360A">
        <w:rPr>
          <w:rFonts w:ascii="Times New Roman" w:hAnsi="Times New Roman"/>
          <w:color w:val="000000"/>
          <w:szCs w:val="24"/>
        </w:rPr>
        <w:t xml:space="preserve"> of paid migrant care</w:t>
      </w:r>
      <w:r>
        <w:rPr>
          <w:rFonts w:ascii="Times New Roman" w:hAnsi="Times New Roman"/>
          <w:color w:val="000000"/>
          <w:szCs w:val="24"/>
        </w:rPr>
        <w:t xml:space="preserve"> workers </w:t>
      </w:r>
      <w:r w:rsidRPr="001E360A">
        <w:rPr>
          <w:rFonts w:ascii="Times New Roman" w:hAnsi="Times New Roman"/>
          <w:color w:val="000000"/>
          <w:szCs w:val="24"/>
        </w:rPr>
        <w:t>deserve attention, especially considering the ageing population and the increasing use of paid migrant care</w:t>
      </w:r>
      <w:r>
        <w:rPr>
          <w:rFonts w:ascii="Times New Roman" w:hAnsi="Times New Roman"/>
          <w:color w:val="000000"/>
          <w:szCs w:val="24"/>
        </w:rPr>
        <w:t xml:space="preserve"> workers</w:t>
      </w:r>
      <w:r w:rsidRPr="001E360A">
        <w:rPr>
          <w:rFonts w:ascii="Times New Roman" w:hAnsi="Times New Roman"/>
          <w:color w:val="000000"/>
          <w:szCs w:val="24"/>
        </w:rPr>
        <w:t xml:space="preserve"> in health and social care services in the UK, Europe and in the USA.</w:t>
      </w:r>
    </w:p>
    <w:p w14:paraId="1C3729C1"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Another gap identified in the literature is the limited knowledge regarding the influence of migrant’s cultural beliefs and values on their role as caregivers. From the review of </w:t>
      </w:r>
      <w:r w:rsidRPr="001E360A">
        <w:rPr>
          <w:rFonts w:ascii="Times New Roman" w:hAnsi="Times New Roman"/>
          <w:color w:val="000000"/>
          <w:szCs w:val="24"/>
        </w:rPr>
        <w:lastRenderedPageBreak/>
        <w:t>literature, it is evident that cultural beliefs and values can influence family carers’ experience of caregiving. As the need to provide culturally competent care becomes high on the agenda due to the increasing ethno</w:t>
      </w:r>
      <w:r>
        <w:rPr>
          <w:rFonts w:ascii="Times New Roman" w:hAnsi="Times New Roman"/>
          <w:color w:val="000000"/>
          <w:szCs w:val="24"/>
        </w:rPr>
        <w:t>-</w:t>
      </w:r>
      <w:r w:rsidRPr="001E360A">
        <w:rPr>
          <w:rFonts w:ascii="Times New Roman" w:hAnsi="Times New Roman"/>
          <w:color w:val="000000"/>
          <w:szCs w:val="24"/>
        </w:rPr>
        <w:t>cultural diversity in the UK, it is equally essential also to understand how migrant care</w:t>
      </w:r>
      <w:r>
        <w:rPr>
          <w:rFonts w:ascii="Times New Roman" w:hAnsi="Times New Roman"/>
          <w:color w:val="000000"/>
          <w:szCs w:val="24"/>
        </w:rPr>
        <w:t>rs</w:t>
      </w:r>
      <w:r w:rsidRPr="001E360A">
        <w:rPr>
          <w:rFonts w:ascii="Times New Roman" w:hAnsi="Times New Roman"/>
          <w:color w:val="000000"/>
          <w:szCs w:val="24"/>
        </w:rPr>
        <w:t xml:space="preserve"> employed in the health and social care sector experience their role of caregiving coming from a culture that is different to the UK. The current study aims to achieve this using paid Nigerian migrant care</w:t>
      </w:r>
      <w:r>
        <w:rPr>
          <w:rFonts w:ascii="Times New Roman" w:hAnsi="Times New Roman"/>
          <w:color w:val="000000"/>
          <w:szCs w:val="24"/>
        </w:rPr>
        <w:t xml:space="preserve"> workers</w:t>
      </w:r>
      <w:r w:rsidRPr="001E360A">
        <w:rPr>
          <w:rFonts w:ascii="Times New Roman" w:hAnsi="Times New Roman"/>
          <w:color w:val="000000"/>
          <w:szCs w:val="24"/>
        </w:rPr>
        <w:t xml:space="preserve"> as the study population. In the next section, I present the conceptual framework for this study.</w:t>
      </w:r>
    </w:p>
    <w:p w14:paraId="0B497F93" w14:textId="77777777" w:rsidR="00811DBD" w:rsidRPr="001E360A" w:rsidRDefault="00811DBD" w:rsidP="006869A3">
      <w:pPr>
        <w:pStyle w:val="Heading2"/>
      </w:pPr>
      <w:bookmarkStart w:id="108" w:name="_Toc86417294"/>
      <w:r w:rsidRPr="001E360A">
        <w:t>4.</w:t>
      </w:r>
      <w:r>
        <w:t>8</w:t>
      </w:r>
      <w:r w:rsidRPr="001E360A">
        <w:t>. The conceptual framework for this study</w:t>
      </w:r>
      <w:bookmarkEnd w:id="108"/>
    </w:p>
    <w:p w14:paraId="1DAFCF32"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 following section presents the conceptual framework/model of the relationship between the different concepts in this study. This framework was informed by the review of literature presented in the earlier part of this chapter and the last two (Chapters 2 and 3), and it informed the research design adopted for this study. The research question, aim and objectives (outlined in sections 1.</w:t>
      </w:r>
      <w:r>
        <w:rPr>
          <w:rFonts w:ascii="Times New Roman" w:hAnsi="Times New Roman"/>
          <w:color w:val="000000"/>
          <w:szCs w:val="24"/>
        </w:rPr>
        <w:t>7</w:t>
      </w:r>
      <w:r w:rsidRPr="001E360A">
        <w:rPr>
          <w:rFonts w:ascii="Times New Roman" w:hAnsi="Times New Roman"/>
          <w:color w:val="000000"/>
          <w:szCs w:val="24"/>
        </w:rPr>
        <w:t xml:space="preserve"> – 1.</w:t>
      </w:r>
      <w:r>
        <w:rPr>
          <w:rFonts w:ascii="Times New Roman" w:hAnsi="Times New Roman"/>
          <w:color w:val="000000"/>
          <w:szCs w:val="24"/>
        </w:rPr>
        <w:t>9</w:t>
      </w:r>
      <w:r w:rsidRPr="001E360A">
        <w:rPr>
          <w:rFonts w:ascii="Times New Roman" w:hAnsi="Times New Roman"/>
          <w:color w:val="000000"/>
          <w:szCs w:val="24"/>
        </w:rPr>
        <w:t>) were also addressed using this framework as a guide.</w:t>
      </w:r>
    </w:p>
    <w:p w14:paraId="7CAC6BC1"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Figure 4.1 presented below, shows the possible interactions between the major concepts identified for this study. </w:t>
      </w:r>
    </w:p>
    <w:p w14:paraId="7DAECCF6" w14:textId="77777777" w:rsidR="00811DBD" w:rsidRPr="001E360A" w:rsidRDefault="00811DBD" w:rsidP="00811DBD">
      <w:pPr>
        <w:textAlignment w:val="baseline"/>
        <w:rPr>
          <w:rFonts w:ascii="Times New Roman" w:hAnsi="Times New Roman"/>
          <w:color w:val="000000"/>
          <w:szCs w:val="24"/>
        </w:rPr>
      </w:pPr>
    </w:p>
    <w:p w14:paraId="35F9F154" w14:textId="77777777" w:rsidR="00811DBD" w:rsidRPr="001E360A" w:rsidRDefault="00811DBD" w:rsidP="00811DBD">
      <w:pPr>
        <w:textAlignment w:val="baseline"/>
        <w:rPr>
          <w:rFonts w:ascii="Times New Roman" w:hAnsi="Times New Roman"/>
          <w:color w:val="000000"/>
          <w:szCs w:val="24"/>
        </w:rPr>
        <w:sectPr w:rsidR="00811DBD" w:rsidRPr="001E360A" w:rsidSect="00B92618">
          <w:headerReference w:type="even" r:id="rId17"/>
          <w:headerReference w:type="default" r:id="rId18"/>
          <w:footerReference w:type="even" r:id="rId19"/>
          <w:footerReference w:type="default" r:id="rId20"/>
          <w:headerReference w:type="first" r:id="rId21"/>
          <w:footerReference w:type="first" r:id="rId22"/>
          <w:pgSz w:w="11906" w:h="16838"/>
          <w:pgMar w:top="1440" w:right="1797" w:bottom="1440" w:left="1797" w:header="709" w:footer="709" w:gutter="0"/>
          <w:pgNumType w:start="1"/>
          <w:cols w:space="708"/>
          <w:docGrid w:linePitch="360"/>
        </w:sectPr>
      </w:pPr>
    </w:p>
    <w:p w14:paraId="50ABF603" w14:textId="64FE24CA" w:rsidR="00811DBD" w:rsidRPr="001E360A" w:rsidRDefault="003C27CE" w:rsidP="00811DBD">
      <w:pPr>
        <w:textAlignment w:val="baseline"/>
        <w:rPr>
          <w:rFonts w:ascii="Times New Roman" w:hAnsi="Times New Roman"/>
          <w:color w:val="000000"/>
          <w:szCs w:val="24"/>
        </w:rPr>
      </w:pPr>
      <w:r>
        <w:rPr>
          <w:rFonts w:ascii="Times New Roman" w:hAnsi="Times New Roman"/>
          <w:b/>
          <w:noProof/>
          <w:color w:val="000000"/>
          <w:szCs w:val="24"/>
        </w:rPr>
        <w:lastRenderedPageBreak/>
        <w:t xml:space="preserve"> </w:t>
      </w:r>
      <w:r w:rsidR="00811DBD" w:rsidRPr="001E360A">
        <w:rPr>
          <w:rFonts w:ascii="Times New Roman" w:hAnsi="Times New Roman"/>
          <w:b/>
          <w:noProof/>
          <w:color w:val="000000"/>
          <w:szCs w:val="24"/>
        </w:rPr>
        <w:drawing>
          <wp:inline distT="0" distB="0" distL="0" distR="0" wp14:anchorId="133C4218" wp14:editId="16C396A6">
            <wp:extent cx="8763000" cy="6195745"/>
            <wp:effectExtent l="0" t="0" r="0" b="0"/>
            <wp:docPr id="326" name="Picture 326" descr="P73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descr="P730#yIS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63000" cy="6195745"/>
                    </a:xfrm>
                    <a:prstGeom prst="rect">
                      <a:avLst/>
                    </a:prstGeom>
                    <a:noFill/>
                    <a:ln>
                      <a:noFill/>
                    </a:ln>
                  </pic:spPr>
                </pic:pic>
              </a:graphicData>
            </a:graphic>
          </wp:inline>
        </w:drawing>
      </w:r>
      <w:r w:rsidR="00811DBD" w:rsidRPr="001E360A" w:rsidDel="008C1E29">
        <w:rPr>
          <w:rFonts w:ascii="Times New Roman" w:hAnsi="Times New Roman"/>
          <w:b/>
          <w:color w:val="000000"/>
          <w:szCs w:val="24"/>
        </w:rPr>
        <w:t xml:space="preserve"> </w:t>
      </w:r>
    </w:p>
    <w:p w14:paraId="7009AA67" w14:textId="77777777" w:rsidR="00811DBD" w:rsidRPr="001E360A" w:rsidRDefault="00811DBD" w:rsidP="00811DBD">
      <w:pPr>
        <w:textAlignment w:val="baseline"/>
        <w:rPr>
          <w:rFonts w:ascii="Times New Roman" w:hAnsi="Times New Roman"/>
          <w:color w:val="000000"/>
          <w:szCs w:val="24"/>
        </w:rPr>
        <w:sectPr w:rsidR="00811DBD" w:rsidRPr="001E360A" w:rsidSect="009E33DB">
          <w:pgSz w:w="16838" w:h="11906" w:orient="landscape"/>
          <w:pgMar w:top="1797" w:right="1440" w:bottom="1797" w:left="1440" w:header="709" w:footer="709" w:gutter="0"/>
          <w:cols w:space="708"/>
          <w:docGrid w:linePitch="360"/>
        </w:sectPr>
      </w:pPr>
    </w:p>
    <w:p w14:paraId="1A429295" w14:textId="77777777" w:rsidR="00811DBD" w:rsidRPr="001E360A" w:rsidRDefault="00811DBD" w:rsidP="006869A3">
      <w:pPr>
        <w:pStyle w:val="Heading2"/>
        <w:rPr>
          <w:i/>
        </w:rPr>
      </w:pPr>
      <w:bookmarkStart w:id="109" w:name="_Toc86417295"/>
      <w:r w:rsidRPr="001E360A">
        <w:lastRenderedPageBreak/>
        <w:t>4.</w:t>
      </w:r>
      <w:r>
        <w:t>9</w:t>
      </w:r>
      <w:r w:rsidRPr="001E360A">
        <w:t xml:space="preserve">. </w:t>
      </w:r>
      <w:r w:rsidRPr="00605C7E">
        <w:t>Framework overview</w:t>
      </w:r>
      <w:bookmarkEnd w:id="109"/>
    </w:p>
    <w:p w14:paraId="06FE30B4" w14:textId="77777777" w:rsidR="00811DBD" w:rsidRPr="001E360A" w:rsidRDefault="00811DBD" w:rsidP="006869A3">
      <w:pPr>
        <w:pStyle w:val="Heading3"/>
      </w:pPr>
      <w:bookmarkStart w:id="110" w:name="_Toc86417296"/>
      <w:r w:rsidRPr="001E360A">
        <w:t>4.</w:t>
      </w:r>
      <w:r>
        <w:t>9</w:t>
      </w:r>
      <w:r w:rsidRPr="001E360A">
        <w:t xml:space="preserve">.1. </w:t>
      </w:r>
      <w:r w:rsidRPr="00605C7E">
        <w:t>The decision to migrate</w:t>
      </w:r>
      <w:bookmarkEnd w:id="110"/>
    </w:p>
    <w:p w14:paraId="609F234F"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Although the review of the literature in Chapter 2 suggests that simple economic analysis can be applied to most work migration in conjunction with the pull factors in the destination countries, this framework proposes that migrant’s pre-migratory characteristics might also influence their migratory decision. </w:t>
      </w:r>
    </w:p>
    <w:p w14:paraId="541A7733" w14:textId="77777777" w:rsidR="00811DBD" w:rsidRPr="001E360A" w:rsidRDefault="00811DBD" w:rsidP="006869A3">
      <w:pPr>
        <w:pStyle w:val="Heading3"/>
      </w:pPr>
      <w:bookmarkStart w:id="111" w:name="_Toc86417297"/>
      <w:r w:rsidRPr="001E360A">
        <w:t>4.</w:t>
      </w:r>
      <w:r>
        <w:t>9</w:t>
      </w:r>
      <w:r w:rsidRPr="001E360A">
        <w:t xml:space="preserve">.2. </w:t>
      </w:r>
      <w:r w:rsidRPr="009112CA">
        <w:t>Motivation to do paid caregiving</w:t>
      </w:r>
      <w:bookmarkEnd w:id="111"/>
    </w:p>
    <w:p w14:paraId="165BAFC7"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This framework also suggests that paid Nigerian migrant care workers</w:t>
      </w:r>
      <w:r>
        <w:rPr>
          <w:rFonts w:ascii="Times New Roman" w:hAnsi="Times New Roman"/>
          <w:color w:val="000000"/>
          <w:szCs w:val="24"/>
        </w:rPr>
        <w:t>’</w:t>
      </w:r>
      <w:r w:rsidRPr="001E360A">
        <w:rPr>
          <w:rFonts w:ascii="Times New Roman" w:hAnsi="Times New Roman"/>
          <w:color w:val="000000"/>
          <w:szCs w:val="24"/>
        </w:rPr>
        <w:t xml:space="preserve"> motivation to engage in paid care might be a consequent of different intersecting motives and their migratory background characteristics.</w:t>
      </w:r>
    </w:p>
    <w:p w14:paraId="56732D5F" w14:textId="77777777" w:rsidR="00811DBD" w:rsidRPr="009112CA" w:rsidRDefault="00811DBD" w:rsidP="006869A3">
      <w:pPr>
        <w:pStyle w:val="Heading3"/>
      </w:pPr>
      <w:bookmarkStart w:id="112" w:name="_Toc86417298"/>
      <w:r w:rsidRPr="00B4292C">
        <w:t xml:space="preserve">4.9.3. </w:t>
      </w:r>
      <w:r w:rsidRPr="009112CA">
        <w:t>Experience of caregiving</w:t>
      </w:r>
      <w:bookmarkEnd w:id="112"/>
    </w:p>
    <w:p w14:paraId="1BA08BAD"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The paid Nigerian migrant's overall experience of caregiving might be related to how they culturally relate to their role. I believe migrants coming into paid caregiving from a different culture where the awareness of dementia is relatively low might have a different perspective to their caregiving practices. Such practices might be influenced by their cultural beliefs and values which they bring with them to the UK and certainly to their workplace depending on how they subsequently adjust to life in the UK through assimilation and acculturation.</w:t>
      </w:r>
    </w:p>
    <w:p w14:paraId="791B307B"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Acculturation and assimilation can occur via dementia training, and this framework suggests that training might influence how paid migrant care</w:t>
      </w:r>
      <w:r>
        <w:rPr>
          <w:rFonts w:ascii="Times New Roman" w:hAnsi="Times New Roman"/>
          <w:color w:val="000000"/>
          <w:szCs w:val="24"/>
        </w:rPr>
        <w:t xml:space="preserve"> workers</w:t>
      </w:r>
      <w:r w:rsidRPr="001E360A">
        <w:rPr>
          <w:rFonts w:ascii="Times New Roman" w:hAnsi="Times New Roman"/>
          <w:color w:val="000000"/>
          <w:szCs w:val="24"/>
        </w:rPr>
        <w:t xml:space="preserve"> perceive </w:t>
      </w:r>
      <w:r>
        <w:rPr>
          <w:rFonts w:ascii="Times New Roman" w:hAnsi="Times New Roman"/>
          <w:color w:val="000000"/>
          <w:szCs w:val="24"/>
        </w:rPr>
        <w:t>PLWD</w:t>
      </w:r>
      <w:r w:rsidRPr="001E360A">
        <w:rPr>
          <w:rFonts w:ascii="Times New Roman" w:hAnsi="Times New Roman"/>
          <w:color w:val="000000"/>
          <w:szCs w:val="24"/>
        </w:rPr>
        <w:t xml:space="preserve"> and how they care for them.</w:t>
      </w:r>
    </w:p>
    <w:p w14:paraId="231FC736"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 xml:space="preserve">Lastly and most importantly, although the literature review suggests </w:t>
      </w:r>
      <w:r>
        <w:rPr>
          <w:rFonts w:ascii="Times New Roman" w:hAnsi="Times New Roman"/>
          <w:color w:val="000000"/>
          <w:szCs w:val="24"/>
        </w:rPr>
        <w:t xml:space="preserve">that </w:t>
      </w:r>
      <w:r w:rsidRPr="001E360A">
        <w:rPr>
          <w:rFonts w:ascii="Times New Roman" w:hAnsi="Times New Roman"/>
          <w:color w:val="000000"/>
          <w:szCs w:val="24"/>
        </w:rPr>
        <w:t>both paid and un</w:t>
      </w:r>
      <w:r>
        <w:rPr>
          <w:rFonts w:ascii="Times New Roman" w:hAnsi="Times New Roman"/>
          <w:color w:val="000000"/>
          <w:szCs w:val="24"/>
        </w:rPr>
        <w:t xml:space="preserve">paid </w:t>
      </w:r>
      <w:r w:rsidRPr="001E360A">
        <w:rPr>
          <w:rFonts w:ascii="Times New Roman" w:hAnsi="Times New Roman"/>
          <w:color w:val="000000"/>
          <w:szCs w:val="24"/>
        </w:rPr>
        <w:t>care</w:t>
      </w:r>
      <w:r>
        <w:rPr>
          <w:rFonts w:ascii="Times New Roman" w:hAnsi="Times New Roman"/>
          <w:color w:val="000000"/>
          <w:szCs w:val="24"/>
        </w:rPr>
        <w:t>r</w:t>
      </w:r>
      <w:r w:rsidRPr="001E360A">
        <w:rPr>
          <w:rFonts w:ascii="Times New Roman" w:hAnsi="Times New Roman"/>
          <w:color w:val="000000"/>
          <w:szCs w:val="24"/>
        </w:rPr>
        <w:t>s</w:t>
      </w:r>
      <w:r>
        <w:rPr>
          <w:rFonts w:ascii="Times New Roman" w:hAnsi="Times New Roman"/>
          <w:color w:val="000000"/>
          <w:szCs w:val="24"/>
        </w:rPr>
        <w:t xml:space="preserve"> have similar experience of caring for PLWD</w:t>
      </w:r>
      <w:r w:rsidRPr="001E360A">
        <w:rPr>
          <w:rFonts w:ascii="Times New Roman" w:hAnsi="Times New Roman"/>
          <w:color w:val="000000"/>
          <w:szCs w:val="24"/>
        </w:rPr>
        <w:t xml:space="preserve">, this framework </w:t>
      </w:r>
      <w:r>
        <w:rPr>
          <w:rFonts w:ascii="Times New Roman" w:hAnsi="Times New Roman"/>
          <w:color w:val="000000"/>
          <w:szCs w:val="24"/>
        </w:rPr>
        <w:t>argues</w:t>
      </w:r>
      <w:r w:rsidRPr="001E360A">
        <w:rPr>
          <w:rFonts w:ascii="Times New Roman" w:hAnsi="Times New Roman"/>
          <w:color w:val="000000"/>
          <w:szCs w:val="24"/>
        </w:rPr>
        <w:t xml:space="preserve"> that migrant </w:t>
      </w:r>
      <w:r>
        <w:rPr>
          <w:rFonts w:ascii="Times New Roman" w:hAnsi="Times New Roman"/>
          <w:color w:val="000000"/>
          <w:szCs w:val="24"/>
        </w:rPr>
        <w:t xml:space="preserve">care workers </w:t>
      </w:r>
      <w:r w:rsidRPr="001E360A">
        <w:rPr>
          <w:rFonts w:ascii="Times New Roman" w:hAnsi="Times New Roman"/>
          <w:color w:val="000000"/>
          <w:szCs w:val="24"/>
        </w:rPr>
        <w:t>coming from a different culture and with different cultural beliefs and values may experience their paid caregiving role differently.</w:t>
      </w:r>
    </w:p>
    <w:p w14:paraId="152A2515" w14:textId="77777777" w:rsidR="00811DBD" w:rsidRPr="001E360A" w:rsidRDefault="00811DBD" w:rsidP="00811DBD">
      <w:pPr>
        <w:jc w:val="both"/>
        <w:textAlignment w:val="baseline"/>
        <w:rPr>
          <w:rFonts w:ascii="Times New Roman" w:hAnsi="Times New Roman"/>
          <w:color w:val="000000"/>
          <w:szCs w:val="24"/>
        </w:rPr>
      </w:pPr>
      <w:r w:rsidRPr="001E360A">
        <w:rPr>
          <w:rFonts w:ascii="Times New Roman" w:hAnsi="Times New Roman"/>
          <w:color w:val="000000"/>
          <w:szCs w:val="24"/>
        </w:rPr>
        <w:t>In the light of the gaps in the literature identified and the possible relationship between the different concepts with respect to paid Nigerian migrant care</w:t>
      </w:r>
      <w:r>
        <w:rPr>
          <w:rFonts w:ascii="Times New Roman" w:hAnsi="Times New Roman"/>
          <w:color w:val="000000"/>
          <w:szCs w:val="24"/>
        </w:rPr>
        <w:t xml:space="preserve"> workers</w:t>
      </w:r>
      <w:r w:rsidRPr="001E360A">
        <w:rPr>
          <w:rFonts w:ascii="Times New Roman" w:hAnsi="Times New Roman"/>
          <w:color w:val="000000"/>
          <w:szCs w:val="24"/>
        </w:rPr>
        <w:t xml:space="preserve"> as highlighted </w:t>
      </w:r>
      <w:r w:rsidRPr="001E360A">
        <w:rPr>
          <w:rFonts w:ascii="Times New Roman" w:hAnsi="Times New Roman"/>
          <w:color w:val="000000"/>
          <w:szCs w:val="24"/>
        </w:rPr>
        <w:lastRenderedPageBreak/>
        <w:t>in the conceptual framework above, the phenomenological approach was adopted as the most suited way to understand the lived experience of these care workers and in the next chapter, I will provide the rationale for the choice.</w:t>
      </w:r>
    </w:p>
    <w:p w14:paraId="0CDD4E87" w14:textId="77777777" w:rsidR="00811DBD" w:rsidRPr="001E360A" w:rsidRDefault="00811DBD" w:rsidP="006869A3">
      <w:pPr>
        <w:pStyle w:val="Heading2"/>
      </w:pPr>
      <w:bookmarkStart w:id="113" w:name="_Toc86417299"/>
      <w:r w:rsidRPr="001E360A">
        <w:t>4.1</w:t>
      </w:r>
      <w:r>
        <w:t>0</w:t>
      </w:r>
      <w:r w:rsidRPr="001E360A">
        <w:t>. Summary</w:t>
      </w:r>
      <w:bookmarkEnd w:id="113"/>
    </w:p>
    <w:p w14:paraId="68B4638A" w14:textId="7DB4EAEF" w:rsidR="00F850E2" w:rsidRPr="006869A3" w:rsidRDefault="00811DBD" w:rsidP="006869A3">
      <w:pPr>
        <w:jc w:val="both"/>
        <w:textAlignment w:val="baseline"/>
        <w:rPr>
          <w:rFonts w:ascii="Times New Roman" w:hAnsi="Times New Roman"/>
          <w:color w:val="000000"/>
          <w:szCs w:val="24"/>
        </w:rPr>
      </w:pPr>
      <w:r w:rsidRPr="001E360A">
        <w:rPr>
          <w:rFonts w:ascii="Times New Roman" w:hAnsi="Times New Roman"/>
          <w:color w:val="000000"/>
          <w:szCs w:val="24"/>
        </w:rPr>
        <w:t>This chapter discussed the impact of caring for people with dementia. It examined the different positive and negative aspects of caregiving and highlights how they apply to care workers and how they cope with the challenges. The chapter also discussed cultural perspectives to caregiving, looking at the influence of cultural beliefs and values on caregiving. Lastly, the proposed conceptual framework of the paid migrant care workers experience was developed as a guide to the data analysis and the key concepts discussed. The next chapter (Chapter 5) covers the methodological approach adopted for the current study and set the stage for the methods used.</w:t>
      </w:r>
    </w:p>
    <w:p w14:paraId="15277F16" w14:textId="77777777" w:rsidR="006869A3" w:rsidRDefault="006869A3">
      <w:pPr>
        <w:spacing w:after="0" w:line="240" w:lineRule="auto"/>
        <w:rPr>
          <w:rFonts w:ascii="Times New Roman" w:hAnsi="Times New Roman"/>
          <w:b/>
          <w:szCs w:val="24"/>
        </w:rPr>
      </w:pPr>
      <w:r>
        <w:rPr>
          <w:rFonts w:ascii="Times New Roman" w:hAnsi="Times New Roman"/>
          <w:b/>
          <w:szCs w:val="24"/>
        </w:rPr>
        <w:br w:type="page"/>
      </w:r>
    </w:p>
    <w:p w14:paraId="5C8861A6" w14:textId="20A5D6A0" w:rsidR="00054353" w:rsidRPr="00B228C0" w:rsidRDefault="00054353" w:rsidP="006869A3">
      <w:pPr>
        <w:pStyle w:val="Heading1"/>
      </w:pPr>
      <w:bookmarkStart w:id="114" w:name="_Toc86417300"/>
      <w:r w:rsidRPr="00B228C0">
        <w:lastRenderedPageBreak/>
        <w:t>CHAPTER FIVE</w:t>
      </w:r>
      <w:bookmarkEnd w:id="114"/>
    </w:p>
    <w:p w14:paraId="77170F6B" w14:textId="77777777" w:rsidR="00054353" w:rsidRPr="00B228C0" w:rsidRDefault="00054353" w:rsidP="00054353">
      <w:pPr>
        <w:spacing w:after="0"/>
        <w:jc w:val="center"/>
        <w:rPr>
          <w:rFonts w:ascii="Times New Roman" w:hAnsi="Times New Roman"/>
          <w:b/>
          <w:szCs w:val="24"/>
        </w:rPr>
      </w:pPr>
      <w:r w:rsidRPr="00B228C0">
        <w:rPr>
          <w:rFonts w:ascii="Times New Roman" w:hAnsi="Times New Roman"/>
          <w:b/>
          <w:szCs w:val="24"/>
        </w:rPr>
        <w:t>RESEARCH METHODOLOGY</w:t>
      </w:r>
    </w:p>
    <w:p w14:paraId="4AB76E36" w14:textId="77777777" w:rsidR="00054353" w:rsidRPr="00B228C0" w:rsidRDefault="00054353" w:rsidP="006869A3">
      <w:pPr>
        <w:pStyle w:val="Heading2"/>
      </w:pPr>
      <w:bookmarkStart w:id="115" w:name="_Toc86417301"/>
      <w:r w:rsidRPr="00B228C0">
        <w:t>5.1. Introduction</w:t>
      </w:r>
      <w:bookmarkEnd w:id="115"/>
    </w:p>
    <w:p w14:paraId="7A0BEEA5" w14:textId="77777777" w:rsidR="00054353" w:rsidRPr="00B228C0" w:rsidRDefault="00054353" w:rsidP="00054353">
      <w:pPr>
        <w:autoSpaceDE w:val="0"/>
        <w:autoSpaceDN w:val="0"/>
        <w:adjustRightInd w:val="0"/>
        <w:spacing w:after="0"/>
        <w:jc w:val="both"/>
        <w:rPr>
          <w:rFonts w:ascii="Times New Roman" w:hAnsi="Times New Roman"/>
          <w:szCs w:val="24"/>
        </w:rPr>
      </w:pPr>
      <w:r w:rsidRPr="00B228C0">
        <w:rPr>
          <w:rFonts w:ascii="Times New Roman" w:hAnsi="Times New Roman"/>
          <w:szCs w:val="24"/>
        </w:rPr>
        <w:t xml:space="preserve">This chapter </w:t>
      </w:r>
      <w:r w:rsidRPr="00B228C0">
        <w:rPr>
          <w:rFonts w:ascii="Times New Roman" w:hAnsi="Times New Roman"/>
          <w:noProof/>
          <w:szCs w:val="24"/>
        </w:rPr>
        <w:t>discusses</w:t>
      </w:r>
      <w:r w:rsidRPr="00B228C0">
        <w:rPr>
          <w:rFonts w:ascii="Times New Roman" w:hAnsi="Times New Roman"/>
          <w:szCs w:val="24"/>
        </w:rPr>
        <w:t xml:space="preserve"> the philosophical underpinning of this research. It begins by first identifying and exploring the epistemological and other theoretical perspectives that informed the study. The methodological approach employed was then examined and provides a</w:t>
      </w:r>
      <w:r w:rsidRPr="00B228C0">
        <w:rPr>
          <w:rFonts w:ascii="Times New Roman" w:hAnsi="Times New Roman"/>
          <w:color w:val="FF0000"/>
          <w:szCs w:val="24"/>
        </w:rPr>
        <w:t xml:space="preserve"> </w:t>
      </w:r>
      <w:r w:rsidRPr="00B228C0">
        <w:rPr>
          <w:rFonts w:ascii="Times New Roman" w:hAnsi="Times New Roman"/>
          <w:szCs w:val="24"/>
        </w:rPr>
        <w:t>rationale for the choice of research paradigm. As suggested in Chapter 1, since the study sought to explore the experiences of paid Nigerian migrant care workers (nurses and health care assistants [HCA]) caring for people living with dementia (PLWD) in the United Kingdom’s (UK) National Health Service (NHS), a qualitative approach was adopted.</w:t>
      </w:r>
    </w:p>
    <w:p w14:paraId="36CF38C3" w14:textId="77777777" w:rsidR="00054353" w:rsidRPr="00B228C0" w:rsidRDefault="00054353" w:rsidP="00054353">
      <w:pPr>
        <w:autoSpaceDE w:val="0"/>
        <w:autoSpaceDN w:val="0"/>
        <w:adjustRightInd w:val="0"/>
        <w:spacing w:after="0"/>
        <w:jc w:val="both"/>
        <w:rPr>
          <w:rFonts w:ascii="Times New Roman" w:hAnsi="Times New Roman"/>
          <w:szCs w:val="24"/>
        </w:rPr>
      </w:pPr>
    </w:p>
    <w:p w14:paraId="46C15E64" w14:textId="77777777" w:rsidR="00054353" w:rsidRPr="00B228C0" w:rsidRDefault="00054353" w:rsidP="006869A3">
      <w:pPr>
        <w:pStyle w:val="Heading2"/>
      </w:pPr>
      <w:bookmarkStart w:id="116" w:name="_Toc86417302"/>
      <w:r w:rsidRPr="00B228C0">
        <w:t>5.2. Philosophical assumptions and paradigms</w:t>
      </w:r>
      <w:bookmarkEnd w:id="116"/>
    </w:p>
    <w:p w14:paraId="034EFC19" w14:textId="77777777" w:rsidR="00054353" w:rsidRPr="00B228C0" w:rsidRDefault="00054353" w:rsidP="00054353">
      <w:pPr>
        <w:jc w:val="both"/>
        <w:rPr>
          <w:rFonts w:ascii="Times New Roman" w:hAnsi="Times New Roman"/>
          <w:szCs w:val="24"/>
        </w:rPr>
      </w:pPr>
      <w:r w:rsidRPr="00B228C0">
        <w:rPr>
          <w:rFonts w:ascii="Times New Roman" w:hAnsi="Times New Roman"/>
          <w:szCs w:val="24"/>
        </w:rPr>
        <w:t xml:space="preserve">In situating this research within the context of existing literature on caregiving for PLWD, certain philosophical assumptions were made and informed the study’s research design and approach. They </w:t>
      </w:r>
      <w:r w:rsidRPr="00B228C0">
        <w:rPr>
          <w:rFonts w:ascii="Times New Roman" w:hAnsi="Times New Roman"/>
          <w:noProof/>
          <w:szCs w:val="24"/>
        </w:rPr>
        <w:t>were derived</w:t>
      </w:r>
      <w:r w:rsidRPr="00B228C0">
        <w:rPr>
          <w:rFonts w:ascii="Times New Roman" w:hAnsi="Times New Roman"/>
          <w:szCs w:val="24"/>
        </w:rPr>
        <w:t xml:space="preserve"> from the four guiding principles of research, namely, </w:t>
      </w:r>
      <w:r w:rsidRPr="00B228C0">
        <w:rPr>
          <w:rFonts w:ascii="Times New Roman" w:hAnsi="Times New Roman"/>
          <w:noProof/>
          <w:szCs w:val="24"/>
        </w:rPr>
        <w:t>ontological</w:t>
      </w:r>
      <w:r w:rsidRPr="00B228C0">
        <w:rPr>
          <w:rFonts w:ascii="Times New Roman" w:hAnsi="Times New Roman"/>
          <w:szCs w:val="24"/>
        </w:rPr>
        <w:t xml:space="preserve"> assumption, epistemological orientation, methodological patterns</w:t>
      </w:r>
      <w:r>
        <w:rPr>
          <w:rFonts w:ascii="Times New Roman" w:hAnsi="Times New Roman"/>
          <w:szCs w:val="24"/>
        </w:rPr>
        <w:t>,</w:t>
      </w:r>
      <w:r w:rsidRPr="00B228C0">
        <w:rPr>
          <w:rFonts w:ascii="Times New Roman" w:hAnsi="Times New Roman"/>
          <w:szCs w:val="24"/>
        </w:rPr>
        <w:t xml:space="preserve"> and axiological considerations (Guba and Lincoln, 1994; Creswell, 2014). Creswell (2014</w:t>
      </w:r>
      <w:r>
        <w:rPr>
          <w:rFonts w:ascii="Times New Roman" w:hAnsi="Times New Roman"/>
          <w:szCs w:val="24"/>
        </w:rPr>
        <w:t>, p.6</w:t>
      </w:r>
      <w:r w:rsidRPr="00B228C0">
        <w:rPr>
          <w:rFonts w:ascii="Times New Roman" w:hAnsi="Times New Roman"/>
          <w:szCs w:val="24"/>
        </w:rPr>
        <w:t>) referred to these assumptions as the “</w:t>
      </w:r>
      <w:r w:rsidRPr="00B228C0">
        <w:rPr>
          <w:rFonts w:ascii="Times New Roman" w:hAnsi="Times New Roman"/>
          <w:i/>
          <w:szCs w:val="24"/>
        </w:rPr>
        <w:t>general philosophical orientation about the world and the nature of research</w:t>
      </w:r>
      <w:r w:rsidRPr="00B228C0">
        <w:rPr>
          <w:rFonts w:ascii="Times New Roman" w:hAnsi="Times New Roman"/>
          <w:szCs w:val="24"/>
        </w:rPr>
        <w:t xml:space="preserve">” that a researcher brings to a particular study. Also referred to as philosophical paradigm or worldview (Mertens, 2010; Lincoln, Lynham and Guba, 2011), by holding these assumptions, the researcher </w:t>
      </w:r>
      <w:r w:rsidRPr="00B228C0">
        <w:rPr>
          <w:rFonts w:ascii="Times New Roman" w:hAnsi="Times New Roman"/>
          <w:noProof/>
          <w:szCs w:val="24"/>
        </w:rPr>
        <w:t>makes</w:t>
      </w:r>
      <w:r w:rsidRPr="00B228C0">
        <w:rPr>
          <w:rFonts w:ascii="Times New Roman" w:hAnsi="Times New Roman"/>
          <w:szCs w:val="24"/>
        </w:rPr>
        <w:t xml:space="preserve"> an informed declaration of his </w:t>
      </w:r>
      <w:r w:rsidRPr="00B228C0">
        <w:rPr>
          <w:rFonts w:ascii="Times New Roman" w:hAnsi="Times New Roman"/>
          <w:noProof/>
          <w:szCs w:val="24"/>
        </w:rPr>
        <w:t>personal</w:t>
      </w:r>
      <w:r w:rsidRPr="00B228C0">
        <w:rPr>
          <w:rFonts w:ascii="Times New Roman" w:hAnsi="Times New Roman"/>
          <w:szCs w:val="24"/>
        </w:rPr>
        <w:t xml:space="preserve"> philosophical position about th</w:t>
      </w:r>
      <w:r>
        <w:rPr>
          <w:rFonts w:ascii="Times New Roman" w:hAnsi="Times New Roman"/>
          <w:szCs w:val="24"/>
        </w:rPr>
        <w:t>e</w:t>
      </w:r>
      <w:r w:rsidRPr="00B228C0">
        <w:rPr>
          <w:rFonts w:ascii="Times New Roman" w:hAnsi="Times New Roman"/>
          <w:szCs w:val="24"/>
        </w:rPr>
        <w:t xml:space="preserve"> study (Pring, 2000). Moreover, like Creswell (2014)</w:t>
      </w:r>
      <w:r>
        <w:rPr>
          <w:rFonts w:ascii="Times New Roman" w:hAnsi="Times New Roman"/>
          <w:szCs w:val="24"/>
        </w:rPr>
        <w:t>,</w:t>
      </w:r>
      <w:r w:rsidRPr="00EA1D02">
        <w:rPr>
          <w:rFonts w:ascii="Times New Roman" w:hAnsi="Times New Roman"/>
          <w:szCs w:val="24"/>
        </w:rPr>
        <w:t xml:space="preserve"> </w:t>
      </w:r>
      <w:r w:rsidRPr="00B228C0">
        <w:rPr>
          <w:rFonts w:ascii="Times New Roman" w:hAnsi="Times New Roman"/>
          <w:szCs w:val="24"/>
        </w:rPr>
        <w:t>Crotty (1998) also believed that researchers hold philosophical assumptions regarding their research but argued that such assumptions mainly consist of their ontological and epistemological perspectives</w:t>
      </w:r>
      <w:r>
        <w:rPr>
          <w:rFonts w:ascii="Times New Roman" w:hAnsi="Times New Roman"/>
          <w:szCs w:val="24"/>
        </w:rPr>
        <w:t>,</w:t>
      </w:r>
      <w:r w:rsidRPr="00B228C0">
        <w:rPr>
          <w:rFonts w:ascii="Times New Roman" w:hAnsi="Times New Roman"/>
          <w:szCs w:val="24"/>
        </w:rPr>
        <w:t xml:space="preserve"> reflecting their overall approach to that </w:t>
      </w:r>
      <w:r>
        <w:rPr>
          <w:rFonts w:ascii="Times New Roman" w:hAnsi="Times New Roman"/>
          <w:szCs w:val="24"/>
        </w:rPr>
        <w:t>specific</w:t>
      </w:r>
      <w:r w:rsidRPr="00B228C0">
        <w:rPr>
          <w:rFonts w:ascii="Times New Roman" w:hAnsi="Times New Roman"/>
          <w:szCs w:val="24"/>
        </w:rPr>
        <w:t xml:space="preserve"> research. Furthermore, Pring (2000) pointed out that to make those ontological and epistemological reflections, a researcher</w:t>
      </w:r>
      <w:r w:rsidRPr="00B228C0">
        <w:rPr>
          <w:rFonts w:ascii="Times New Roman" w:hAnsi="Times New Roman"/>
          <w:noProof/>
          <w:szCs w:val="24"/>
        </w:rPr>
        <w:t xml:space="preserve"> </w:t>
      </w:r>
      <w:r w:rsidRPr="00B228C0">
        <w:rPr>
          <w:rFonts w:ascii="Times New Roman" w:hAnsi="Times New Roman"/>
          <w:szCs w:val="24"/>
        </w:rPr>
        <w:t>would often have to rely on their historical, cultural</w:t>
      </w:r>
      <w:r>
        <w:rPr>
          <w:rFonts w:ascii="Times New Roman" w:hAnsi="Times New Roman"/>
          <w:szCs w:val="24"/>
        </w:rPr>
        <w:t>,</w:t>
      </w:r>
      <w:r w:rsidRPr="00B228C0">
        <w:rPr>
          <w:rFonts w:ascii="Times New Roman" w:hAnsi="Times New Roman"/>
          <w:szCs w:val="24"/>
        </w:rPr>
        <w:t xml:space="preserve"> and philosophical backgrounds, without which they may not be aware of the philosophical premises on which to justify their research procedures and findings (Grix, 2019).</w:t>
      </w:r>
    </w:p>
    <w:p w14:paraId="0829EF6D" w14:textId="77777777" w:rsidR="00054353" w:rsidRPr="00B228C0" w:rsidRDefault="00054353" w:rsidP="00054353">
      <w:pPr>
        <w:jc w:val="both"/>
        <w:rPr>
          <w:rFonts w:ascii="Times New Roman" w:hAnsi="Times New Roman"/>
          <w:szCs w:val="24"/>
        </w:rPr>
      </w:pPr>
      <w:r w:rsidRPr="00B228C0">
        <w:rPr>
          <w:rFonts w:ascii="Times New Roman" w:hAnsi="Times New Roman"/>
          <w:szCs w:val="24"/>
        </w:rPr>
        <w:lastRenderedPageBreak/>
        <w:t xml:space="preserve">Hence, to examine the ontological and epistemological components of the research paradigm, Mertens (2010) argued that the philosophical underpinning should also include the researcher’s axiological perspective and the nature of systematic inquiry they </w:t>
      </w:r>
      <w:r w:rsidRPr="00B228C0">
        <w:rPr>
          <w:rFonts w:ascii="Times New Roman" w:hAnsi="Times New Roman"/>
          <w:noProof/>
          <w:szCs w:val="24"/>
        </w:rPr>
        <w:t>bring</w:t>
      </w:r>
      <w:r w:rsidRPr="00B228C0">
        <w:rPr>
          <w:rFonts w:ascii="Times New Roman" w:hAnsi="Times New Roman"/>
          <w:szCs w:val="24"/>
        </w:rPr>
        <w:t xml:space="preserve"> into the research. The researcher’s axiological perspective is their view of the ethics of the research </w:t>
      </w:r>
      <w:r w:rsidRPr="00B228C0">
        <w:rPr>
          <w:rFonts w:ascii="Times New Roman" w:hAnsi="Times New Roman"/>
          <w:noProof/>
          <w:szCs w:val="24"/>
        </w:rPr>
        <w:t>and</w:t>
      </w:r>
      <w:r w:rsidRPr="00B228C0">
        <w:rPr>
          <w:rFonts w:ascii="Times New Roman" w:hAnsi="Times New Roman"/>
          <w:szCs w:val="24"/>
        </w:rPr>
        <w:t xml:space="preserve"> the value the research has (Heron and Reason, 1997; Biddle and Schafft, 2015; Kelly</w:t>
      </w:r>
      <w:r>
        <w:rPr>
          <w:rFonts w:ascii="Times New Roman" w:hAnsi="Times New Roman"/>
          <w:szCs w:val="24"/>
        </w:rPr>
        <w:t xml:space="preserve"> </w:t>
      </w:r>
      <w:r w:rsidRPr="00C517EC">
        <w:rPr>
          <w:rFonts w:ascii="Times New Roman" w:hAnsi="Times New Roman"/>
          <w:i/>
          <w:iCs/>
          <w:szCs w:val="24"/>
        </w:rPr>
        <w:t>et al.</w:t>
      </w:r>
      <w:r w:rsidRPr="00B228C0">
        <w:rPr>
          <w:rFonts w:ascii="Times New Roman" w:hAnsi="Times New Roman"/>
          <w:szCs w:val="24"/>
        </w:rPr>
        <w:t>, 2018). Consequently, Mertens (2010) defined research paradigm as “</w:t>
      </w:r>
      <w:r w:rsidRPr="00B228C0">
        <w:rPr>
          <w:rFonts w:ascii="Times New Roman" w:hAnsi="Times New Roman"/>
          <w:i/>
          <w:szCs w:val="24"/>
        </w:rPr>
        <w:t>a worldview that includes certain philosophical assumptions about the nature of ethics, reality, knowledge and systematic inquiry</w:t>
      </w:r>
      <w:r w:rsidRPr="00B228C0">
        <w:rPr>
          <w:rFonts w:ascii="Times New Roman" w:hAnsi="Times New Roman"/>
          <w:szCs w:val="24"/>
        </w:rPr>
        <w:t xml:space="preserve">” (Mertens, 2010, p.451). Here, </w:t>
      </w:r>
      <w:r w:rsidRPr="00B228C0">
        <w:rPr>
          <w:rFonts w:ascii="Times New Roman" w:hAnsi="Times New Roman"/>
          <w:noProof/>
          <w:szCs w:val="24"/>
        </w:rPr>
        <w:t>assumption</w:t>
      </w:r>
      <w:r w:rsidRPr="00B228C0">
        <w:rPr>
          <w:rFonts w:ascii="Times New Roman" w:hAnsi="Times New Roman"/>
          <w:szCs w:val="24"/>
        </w:rPr>
        <w:t xml:space="preserve"> about systematic inquiry implies the methods or procedures of data collection. These four different characteristics of research paradigm stated above are considered in the</w:t>
      </w:r>
      <w:r w:rsidRPr="00B228C0">
        <w:rPr>
          <w:rFonts w:ascii="Times New Roman" w:hAnsi="Times New Roman"/>
          <w:noProof/>
          <w:szCs w:val="24"/>
        </w:rPr>
        <w:t xml:space="preserve"> next secti</w:t>
      </w:r>
      <w:r w:rsidRPr="00B228C0">
        <w:rPr>
          <w:rFonts w:ascii="Times New Roman" w:hAnsi="Times New Roman"/>
          <w:szCs w:val="24"/>
        </w:rPr>
        <w:t>on.</w:t>
      </w:r>
    </w:p>
    <w:p w14:paraId="4BD2DFBF" w14:textId="2A679E40" w:rsidR="00054353" w:rsidRDefault="00054353" w:rsidP="00054353">
      <w:pPr>
        <w:spacing w:after="0"/>
        <w:jc w:val="both"/>
        <w:rPr>
          <w:rFonts w:ascii="Times New Roman" w:hAnsi="Times New Roman"/>
          <w:szCs w:val="24"/>
        </w:rPr>
      </w:pPr>
      <w:r w:rsidRPr="00B228C0">
        <w:rPr>
          <w:rFonts w:ascii="Times New Roman" w:hAnsi="Times New Roman"/>
          <w:szCs w:val="24"/>
        </w:rPr>
        <w:t xml:space="preserve">In summary, the main issues discussed in this chapter include the different philosophical paradigms and worldview and the basic beliefs that helped </w:t>
      </w:r>
      <w:r w:rsidRPr="00B228C0">
        <w:rPr>
          <w:rFonts w:ascii="Times New Roman" w:hAnsi="Times New Roman"/>
          <w:noProof/>
          <w:szCs w:val="24"/>
        </w:rPr>
        <w:t>to</w:t>
      </w:r>
      <w:r w:rsidRPr="00B228C0">
        <w:rPr>
          <w:rFonts w:ascii="Times New Roman" w:hAnsi="Times New Roman"/>
          <w:szCs w:val="24"/>
        </w:rPr>
        <w:t xml:space="preserve"> place </w:t>
      </w:r>
      <w:r w:rsidRPr="00B228C0">
        <w:rPr>
          <w:rFonts w:ascii="Times New Roman" w:hAnsi="Times New Roman"/>
          <w:noProof/>
          <w:szCs w:val="24"/>
        </w:rPr>
        <w:t>this research</w:t>
      </w:r>
      <w:r w:rsidRPr="00B228C0">
        <w:rPr>
          <w:rFonts w:ascii="Times New Roman" w:hAnsi="Times New Roman"/>
          <w:szCs w:val="24"/>
        </w:rPr>
        <w:t xml:space="preserve"> within the paradigm. This chapter serves as a prelude to the next chapter on the research methods which addresses more practical issues such as the research design, study setting, participant sampling, number of participants, data-collection methods and procedures, data management, data synthesis and analysis as well as the main ethical considerations.</w:t>
      </w:r>
    </w:p>
    <w:p w14:paraId="642ED271" w14:textId="77777777" w:rsidR="006869A3" w:rsidRPr="00B228C0" w:rsidRDefault="006869A3" w:rsidP="00054353">
      <w:pPr>
        <w:spacing w:after="0"/>
        <w:jc w:val="both"/>
        <w:rPr>
          <w:rFonts w:ascii="Times New Roman" w:hAnsi="Times New Roman"/>
          <w:szCs w:val="24"/>
        </w:rPr>
      </w:pPr>
    </w:p>
    <w:p w14:paraId="73DE873A" w14:textId="77777777" w:rsidR="00054353" w:rsidRPr="00B228C0" w:rsidRDefault="00054353" w:rsidP="006869A3">
      <w:pPr>
        <w:pStyle w:val="Heading2"/>
      </w:pPr>
      <w:bookmarkStart w:id="117" w:name="_Toc86417303"/>
      <w:r w:rsidRPr="00B228C0">
        <w:t>5.3. Philosophical underpinning of this study</w:t>
      </w:r>
      <w:bookmarkEnd w:id="117"/>
    </w:p>
    <w:p w14:paraId="3AF6BFB8"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This study on the lived experience of Nigerian migrant care workers is a naturalistic inquiry, conducted within the interpretivist paradigm. With the naturalistic inquiry, the lived experiences of these care workers emerged without any initial recourse to having an advance knowledge of what their experiences might be. According to Lincoln and Guba (1985), naturalistic inquiry, which centres on how individuals behave and their true-life experiences in natural settings, are not given in advance but are rather left to unfold. They described naturalistic inquiry as a discovery orientated research, in which people’s genuine life experiences are unravelled (Lincoln and Guba 1985; Patton</w:t>
      </w:r>
      <w:r>
        <w:rPr>
          <w:rFonts w:ascii="Times New Roman" w:hAnsi="Times New Roman"/>
          <w:szCs w:val="24"/>
        </w:rPr>
        <w:t>,</w:t>
      </w:r>
      <w:r w:rsidRPr="00B228C0">
        <w:rPr>
          <w:rFonts w:ascii="Times New Roman" w:hAnsi="Times New Roman"/>
          <w:szCs w:val="24"/>
        </w:rPr>
        <w:t xml:space="preserve"> 2002; Athens, 2010). Similarly, because the inquiry takes place in the natural setting of the participant, in this case, the care workers’ lived world, the researcher’s capacity to manipulate the setting is somewhat minimised. Patton (2002) argued that by minimising </w:t>
      </w:r>
      <w:r w:rsidRPr="00B228C0">
        <w:rPr>
          <w:rFonts w:ascii="Times New Roman" w:hAnsi="Times New Roman"/>
          <w:szCs w:val="24"/>
        </w:rPr>
        <w:lastRenderedPageBreak/>
        <w:t>the researcher’s ability to manipulate the study setting, naturalistic inquiry “</w:t>
      </w:r>
      <w:r w:rsidRPr="00B228C0">
        <w:rPr>
          <w:rFonts w:ascii="Times New Roman" w:hAnsi="Times New Roman"/>
          <w:i/>
          <w:szCs w:val="24"/>
        </w:rPr>
        <w:t>places no prior constraints on what the outcome of the research will be</w:t>
      </w:r>
      <w:r w:rsidRPr="00B228C0">
        <w:rPr>
          <w:rFonts w:ascii="Times New Roman" w:hAnsi="Times New Roman"/>
          <w:szCs w:val="24"/>
        </w:rPr>
        <w:t>” (Patton</w:t>
      </w:r>
      <w:r>
        <w:rPr>
          <w:rFonts w:ascii="Times New Roman" w:hAnsi="Times New Roman"/>
          <w:szCs w:val="24"/>
        </w:rPr>
        <w:t>,</w:t>
      </w:r>
      <w:r w:rsidRPr="00B228C0">
        <w:rPr>
          <w:rFonts w:ascii="Times New Roman" w:hAnsi="Times New Roman"/>
          <w:szCs w:val="24"/>
        </w:rPr>
        <w:t xml:space="preserve"> 2002, p.39). The nature of the inquiry is such that it is situated in a context-specific real world setting that the naturalistic inquiry seeks to explore, in which the phenomenon unfolds itself naturally (Patton, 2002; Holden and Lynch 2004; Denzin and Lincoln 2005). This explains why the study was conducted within the interpretivist paradigm, an approach in exploratory research better positioned to gain understanding of the caregiving phenomenon as lived experiences of Nigerian migrant care workers.</w:t>
      </w:r>
    </w:p>
    <w:p w14:paraId="2725D53B"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Lastly, the decision to use this approach was also informed by my lived experiences both as a care worker and someone with a share ethnic heritage as the participants involved in the study as well as my position as a researcher with respect to the fundamental questions of ontology, epistemology and methodology (</w:t>
      </w:r>
      <w:r w:rsidRPr="00B228C0">
        <w:rPr>
          <w:rFonts w:ascii="Times New Roman" w:hAnsi="Times New Roman"/>
          <w:bCs/>
          <w:szCs w:val="24"/>
        </w:rPr>
        <w:t xml:space="preserve">Fossey </w:t>
      </w:r>
      <w:r w:rsidRPr="00C517EC">
        <w:rPr>
          <w:rFonts w:ascii="Times New Roman" w:hAnsi="Times New Roman"/>
          <w:bCs/>
          <w:i/>
          <w:iCs/>
          <w:szCs w:val="24"/>
        </w:rPr>
        <w:t>et al.</w:t>
      </w:r>
      <w:r w:rsidRPr="00B228C0">
        <w:rPr>
          <w:rFonts w:ascii="Times New Roman" w:hAnsi="Times New Roman"/>
          <w:bCs/>
          <w:szCs w:val="24"/>
        </w:rPr>
        <w:t>, 2002</w:t>
      </w:r>
      <w:r w:rsidRPr="00B228C0">
        <w:rPr>
          <w:rFonts w:ascii="Times New Roman" w:hAnsi="Times New Roman"/>
          <w:szCs w:val="24"/>
        </w:rPr>
        <w:t>). My position with respect to these fundamental questions is discussed below.</w:t>
      </w:r>
    </w:p>
    <w:p w14:paraId="7171F4AC" w14:textId="77777777" w:rsidR="00054353" w:rsidRDefault="00054353" w:rsidP="006869A3">
      <w:pPr>
        <w:pStyle w:val="Heading3"/>
      </w:pPr>
      <w:bookmarkStart w:id="118" w:name="_Toc86417304"/>
      <w:r w:rsidRPr="00B228C0">
        <w:t>5.3.1. Ontology</w:t>
      </w:r>
      <w:bookmarkEnd w:id="118"/>
    </w:p>
    <w:p w14:paraId="3BC46C30"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In brief, the ontological question relates to my perception of the nature of reality (Guba and Lincoln, 1998). It is different but related to the epistemological question which provides a philosophical basis for what kinds of knowledge are possible regarding a phenomenon (</w:t>
      </w:r>
      <w:r w:rsidRPr="00B228C0">
        <w:rPr>
          <w:rFonts w:ascii="Times New Roman" w:hAnsi="Times New Roman"/>
          <w:i/>
          <w:szCs w:val="24"/>
        </w:rPr>
        <w:t>i.e.</w:t>
      </w:r>
      <w:r>
        <w:rPr>
          <w:rFonts w:ascii="Times New Roman" w:hAnsi="Times New Roman"/>
          <w:i/>
          <w:szCs w:val="24"/>
        </w:rPr>
        <w:t>,</w:t>
      </w:r>
      <w:r w:rsidRPr="00B228C0">
        <w:rPr>
          <w:rFonts w:ascii="Times New Roman" w:hAnsi="Times New Roman"/>
          <w:szCs w:val="24"/>
        </w:rPr>
        <w:t xml:space="preserve"> paid caregiving) and seeks to address my relationship with it, through the research participants or care workers (Guba and Lincoln, 1998; Crotty, 1998). Usually, the nature of research paradigms is such that a researcher’s answer to the ontological question influences their relationship with what is to be known about the nature of the world. Consequently, if a researcher maintains that only a single reality exists, then they are left to search out what is already there to be known. On the other hand, if they consider the world as having multiple realities, as a relativist believes, subjectivity comes into play (Henn, Weinstein and Foard, 2009).</w:t>
      </w:r>
    </w:p>
    <w:p w14:paraId="79773118"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 xml:space="preserve">This study was conducted within the interpretivist paradigm with a relativist ontology that seeks to understand the subjective epistemological understanding of my participants’ lived experience of caregiving (Guba and Lincoln, 1998; Crotty, 1998). Thus, the way I address the methodological question and issues raised in this study was </w:t>
      </w:r>
      <w:r w:rsidRPr="00B228C0">
        <w:rPr>
          <w:rFonts w:ascii="Times New Roman" w:hAnsi="Times New Roman"/>
          <w:szCs w:val="24"/>
        </w:rPr>
        <w:lastRenderedPageBreak/>
        <w:t>a direct consequence of my decision to adopt the aforementioned ontological and epistemological positions. Hence, in answering the methodological question about the procedures by which I sought to explore the experience of caregiving, my ontological and epistemological positions informed my choice of phenomenology as the methodological approach that was used to guide both my data collection stage as well the analysis of collected data. This will be discussed further in the later sections of this chapter.</w:t>
      </w:r>
    </w:p>
    <w:p w14:paraId="6CA366BE" w14:textId="77777777" w:rsidR="00054353" w:rsidRPr="00B228C0" w:rsidRDefault="00054353" w:rsidP="006869A3">
      <w:pPr>
        <w:pStyle w:val="Heading3"/>
      </w:pPr>
      <w:bookmarkStart w:id="119" w:name="_Toc86417305"/>
      <w:r w:rsidRPr="00B228C0">
        <w:t>5.3.2. Ontological assumption</w:t>
      </w:r>
      <w:bookmarkEnd w:id="119"/>
      <w:r w:rsidRPr="00B228C0">
        <w:t xml:space="preserve"> </w:t>
      </w:r>
    </w:p>
    <w:p w14:paraId="53A97F22"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 xml:space="preserve">Ontologically, this study was conducted within the interpretivist paradigm which perceives the world of individual experiences as it is lived and opposes the view commonly held by positivists and post-positivists that the world under study pre-existed reality and are driven by natural laws (Lincoln and Guba, 2000). As an interpretivist, I consider that people live within multiple and constructed realities. Otherwise known as relativism, the ontological leaning of interpretivism, the existence of multiple realities upholds the notion that each of the participants relates their experience from their own point of view. Lincoln and Guba (2000) observed that this concept of relativism espouses realities that are apprehended in the form of intangible mental constructions which are socially and experientially based. In this study, as with most study that subscribes to constructivism, the world of caregiving experience exists in forms of multiple realities and apprehending the participant’s social and experiential mental construction of these realities meant that I needed to be aware of the complexities that </w:t>
      </w:r>
      <w:r w:rsidRPr="00B228C0">
        <w:rPr>
          <w:rFonts w:ascii="Times New Roman" w:hAnsi="Times New Roman"/>
          <w:noProof/>
          <w:szCs w:val="24"/>
        </w:rPr>
        <w:t>is</w:t>
      </w:r>
      <w:r w:rsidRPr="00B228C0">
        <w:rPr>
          <w:rFonts w:ascii="Times New Roman" w:hAnsi="Times New Roman"/>
          <w:szCs w:val="24"/>
        </w:rPr>
        <w:t xml:space="preserve"> inherent in apprehending the ‘realities’ as expressed by my participants (Lincoln and Guba, 2000; Ponterotto, 2002).</w:t>
      </w:r>
    </w:p>
    <w:p w14:paraId="287F1BC9"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 xml:space="preserve">The experiences as lived by care workers </w:t>
      </w:r>
      <w:r w:rsidRPr="00B228C0">
        <w:rPr>
          <w:rFonts w:ascii="Times New Roman" w:hAnsi="Times New Roman"/>
          <w:noProof/>
          <w:szCs w:val="24"/>
        </w:rPr>
        <w:t>are understood</w:t>
      </w:r>
      <w:r w:rsidRPr="00B228C0">
        <w:rPr>
          <w:rFonts w:ascii="Times New Roman" w:hAnsi="Times New Roman"/>
          <w:szCs w:val="24"/>
        </w:rPr>
        <w:t xml:space="preserve"> in the form of multiple intangible mental constructions, which are socially and inherently specific to the individual care worker. In this vision of reality, knowledge is constructed rather than discovered by the mind (Guba and Lincoln, 1998; Lincoln and Guba, 2000). In other words, the reality of the world of caregiving experiences is pluralistic, as there are different constructions of the phenomenon of being a Black African or Nigerian migrant care worker to be specific (Guba and Lincoln, 1998). </w:t>
      </w:r>
      <w:r w:rsidRPr="00B228C0">
        <w:rPr>
          <w:rFonts w:ascii="Times New Roman" w:hAnsi="Times New Roman"/>
          <w:noProof/>
          <w:szCs w:val="24"/>
        </w:rPr>
        <w:t>This</w:t>
      </w:r>
      <w:r w:rsidRPr="00B228C0">
        <w:rPr>
          <w:rFonts w:ascii="Times New Roman" w:hAnsi="Times New Roman"/>
          <w:szCs w:val="24"/>
        </w:rPr>
        <w:t xml:space="preserve"> is consistent with the </w:t>
      </w:r>
      <w:r w:rsidRPr="00B228C0">
        <w:rPr>
          <w:rFonts w:ascii="Times New Roman" w:hAnsi="Times New Roman"/>
          <w:szCs w:val="24"/>
        </w:rPr>
        <w:lastRenderedPageBreak/>
        <w:t xml:space="preserve">relativistic nature of constructivism which holds that every individual </w:t>
      </w:r>
      <w:r w:rsidRPr="00B228C0">
        <w:rPr>
          <w:rFonts w:ascii="Times New Roman" w:hAnsi="Times New Roman"/>
          <w:noProof/>
          <w:szCs w:val="24"/>
        </w:rPr>
        <w:t>have</w:t>
      </w:r>
      <w:r w:rsidRPr="00B228C0">
        <w:rPr>
          <w:rFonts w:ascii="Times New Roman" w:hAnsi="Times New Roman"/>
          <w:szCs w:val="24"/>
        </w:rPr>
        <w:t xml:space="preserve"> their unique understanding of reality as humans generally ascribe </w:t>
      </w:r>
      <w:r w:rsidRPr="00B228C0">
        <w:rPr>
          <w:rFonts w:ascii="Times New Roman" w:hAnsi="Times New Roman"/>
          <w:noProof/>
          <w:szCs w:val="24"/>
        </w:rPr>
        <w:t>different</w:t>
      </w:r>
      <w:r w:rsidRPr="00B228C0">
        <w:rPr>
          <w:rFonts w:ascii="Times New Roman" w:hAnsi="Times New Roman"/>
          <w:szCs w:val="24"/>
        </w:rPr>
        <w:t xml:space="preserve"> meaning to a particular phenomenon or reality (Schwandt, 199</w:t>
      </w:r>
      <w:r>
        <w:rPr>
          <w:rFonts w:ascii="Times New Roman" w:hAnsi="Times New Roman"/>
          <w:szCs w:val="24"/>
        </w:rPr>
        <w:t>4; 2000</w:t>
      </w:r>
      <w:r w:rsidRPr="00B228C0">
        <w:rPr>
          <w:rFonts w:ascii="Times New Roman" w:hAnsi="Times New Roman"/>
          <w:szCs w:val="24"/>
        </w:rPr>
        <w:t>; Krauss, 2005).</w:t>
      </w:r>
    </w:p>
    <w:p w14:paraId="2F59BF18" w14:textId="77777777" w:rsidR="00054353" w:rsidRPr="00B228C0" w:rsidRDefault="00054353" w:rsidP="00054353">
      <w:pPr>
        <w:spacing w:before="100" w:beforeAutospacing="1" w:after="100" w:afterAutospacing="1"/>
        <w:jc w:val="both"/>
        <w:rPr>
          <w:rFonts w:ascii="Times New Roman" w:hAnsi="Times New Roman"/>
          <w:szCs w:val="24"/>
        </w:rPr>
      </w:pPr>
      <w:r w:rsidRPr="00B228C0">
        <w:rPr>
          <w:rFonts w:ascii="Times New Roman" w:hAnsi="Times New Roman"/>
          <w:szCs w:val="24"/>
        </w:rPr>
        <w:t xml:space="preserve">In this study, the experience of caregiving as captured from the lived experience of care workers of Nigerian descent is the compilation of </w:t>
      </w:r>
      <w:r w:rsidRPr="00B228C0">
        <w:rPr>
          <w:rFonts w:ascii="Times New Roman" w:hAnsi="Times New Roman"/>
          <w:noProof/>
          <w:szCs w:val="24"/>
        </w:rPr>
        <w:t>my</w:t>
      </w:r>
      <w:r w:rsidRPr="00B228C0">
        <w:rPr>
          <w:rFonts w:ascii="Times New Roman" w:hAnsi="Times New Roman"/>
          <w:szCs w:val="24"/>
        </w:rPr>
        <w:t xml:space="preserve"> interpretation of the multiple realities as espoused by the individual participants </w:t>
      </w:r>
      <w:r w:rsidRPr="00B228C0">
        <w:rPr>
          <w:rFonts w:ascii="Times New Roman" w:hAnsi="Times New Roman"/>
          <w:noProof/>
          <w:szCs w:val="24"/>
        </w:rPr>
        <w:t>through</w:t>
      </w:r>
      <w:r w:rsidRPr="00B228C0">
        <w:rPr>
          <w:rFonts w:ascii="Times New Roman" w:hAnsi="Times New Roman"/>
          <w:szCs w:val="24"/>
        </w:rPr>
        <w:t xml:space="preserve"> the interviews (Crotty, 1998; Frowe, 2001; Black, 2006; Scotland, 2012). </w:t>
      </w:r>
      <w:r w:rsidRPr="00B228C0">
        <w:rPr>
          <w:rFonts w:ascii="Times New Roman" w:hAnsi="Times New Roman"/>
          <w:noProof/>
          <w:szCs w:val="24"/>
        </w:rPr>
        <w:t>My</w:t>
      </w:r>
      <w:r w:rsidRPr="00B228C0">
        <w:rPr>
          <w:rFonts w:ascii="Times New Roman" w:hAnsi="Times New Roman"/>
          <w:szCs w:val="24"/>
        </w:rPr>
        <w:t xml:space="preserve"> role as the researcher was to interpret the multiple realities put forward by the participants. The position of relativism that </w:t>
      </w:r>
      <w:r w:rsidRPr="00B228C0">
        <w:rPr>
          <w:rFonts w:ascii="Times New Roman" w:hAnsi="Times New Roman"/>
          <w:noProof/>
          <w:szCs w:val="24"/>
        </w:rPr>
        <w:t>I</w:t>
      </w:r>
      <w:r w:rsidRPr="00B228C0">
        <w:rPr>
          <w:rFonts w:ascii="Times New Roman" w:hAnsi="Times New Roman"/>
          <w:szCs w:val="24"/>
        </w:rPr>
        <w:t xml:space="preserve"> have adopted in this research is subjective </w:t>
      </w:r>
      <w:r w:rsidRPr="00B228C0">
        <w:rPr>
          <w:rFonts w:ascii="Times New Roman" w:hAnsi="Times New Roman"/>
          <w:noProof/>
          <w:szCs w:val="24"/>
        </w:rPr>
        <w:t>in nature</w:t>
      </w:r>
      <w:r w:rsidRPr="00B228C0">
        <w:rPr>
          <w:rFonts w:ascii="Times New Roman" w:hAnsi="Times New Roman"/>
          <w:szCs w:val="24"/>
        </w:rPr>
        <w:t xml:space="preserve">. </w:t>
      </w:r>
      <w:r w:rsidRPr="00B228C0">
        <w:rPr>
          <w:rFonts w:ascii="Times New Roman" w:hAnsi="Times New Roman"/>
          <w:noProof/>
          <w:szCs w:val="24"/>
        </w:rPr>
        <w:t>This</w:t>
      </w:r>
      <w:r w:rsidRPr="00B228C0">
        <w:rPr>
          <w:rFonts w:ascii="Times New Roman" w:hAnsi="Times New Roman"/>
          <w:szCs w:val="24"/>
        </w:rPr>
        <w:t xml:space="preserve"> is </w:t>
      </w:r>
      <w:r w:rsidRPr="00B228C0">
        <w:rPr>
          <w:rFonts w:ascii="Times New Roman" w:hAnsi="Times New Roman"/>
          <w:noProof/>
          <w:szCs w:val="24"/>
        </w:rPr>
        <w:t>primarily</w:t>
      </w:r>
      <w:r w:rsidRPr="00B228C0">
        <w:rPr>
          <w:rFonts w:ascii="Times New Roman" w:hAnsi="Times New Roman"/>
          <w:szCs w:val="24"/>
        </w:rPr>
        <w:t xml:space="preserve"> because it </w:t>
      </w:r>
      <w:r w:rsidRPr="00B228C0">
        <w:rPr>
          <w:rFonts w:ascii="Times New Roman" w:hAnsi="Times New Roman"/>
          <w:noProof/>
          <w:szCs w:val="24"/>
        </w:rPr>
        <w:t>is influenced</w:t>
      </w:r>
      <w:r w:rsidRPr="00B228C0">
        <w:rPr>
          <w:rFonts w:ascii="Times New Roman" w:hAnsi="Times New Roman"/>
          <w:szCs w:val="24"/>
        </w:rPr>
        <w:t xml:space="preserve"> by the context of the situation, which </w:t>
      </w:r>
      <w:r w:rsidRPr="00B228C0">
        <w:rPr>
          <w:rFonts w:ascii="Times New Roman" w:hAnsi="Times New Roman"/>
          <w:noProof/>
          <w:szCs w:val="24"/>
        </w:rPr>
        <w:t>consist</w:t>
      </w:r>
      <w:r w:rsidRPr="00B228C0">
        <w:rPr>
          <w:rFonts w:ascii="Times New Roman" w:hAnsi="Times New Roman"/>
          <w:szCs w:val="24"/>
        </w:rPr>
        <w:t xml:space="preserve"> of </w:t>
      </w:r>
      <w:r w:rsidRPr="00B228C0">
        <w:rPr>
          <w:rFonts w:ascii="Times New Roman" w:hAnsi="Times New Roman"/>
          <w:noProof/>
          <w:szCs w:val="24"/>
        </w:rPr>
        <w:t>my</w:t>
      </w:r>
      <w:r w:rsidRPr="00B228C0">
        <w:rPr>
          <w:rFonts w:ascii="Times New Roman" w:hAnsi="Times New Roman"/>
          <w:szCs w:val="24"/>
        </w:rPr>
        <w:t xml:space="preserve"> participant’s personal experience and perception, the social environment and the interaction between the participant and </w:t>
      </w:r>
      <w:r w:rsidRPr="00B228C0">
        <w:rPr>
          <w:rFonts w:ascii="Times New Roman" w:hAnsi="Times New Roman"/>
          <w:noProof/>
          <w:szCs w:val="24"/>
        </w:rPr>
        <w:t>myself</w:t>
      </w:r>
      <w:r w:rsidRPr="00B228C0">
        <w:rPr>
          <w:rFonts w:ascii="Times New Roman" w:hAnsi="Times New Roman"/>
          <w:szCs w:val="24"/>
        </w:rPr>
        <w:t xml:space="preserve">. To this end, a formal care setting represents a typical example of social environment, in which comprise the immediate physical surroundings as well as social relationships and cultural milieus within which the care workers function and interact with their care recipients, fellow care workers and the culture of care (Barnett and Casper, 2001). </w:t>
      </w:r>
      <w:r w:rsidRPr="00B228C0">
        <w:rPr>
          <w:rFonts w:ascii="Times New Roman" w:hAnsi="Times New Roman"/>
          <w:noProof/>
          <w:szCs w:val="24"/>
        </w:rPr>
        <w:t>My</w:t>
      </w:r>
      <w:r w:rsidRPr="00B228C0">
        <w:rPr>
          <w:rFonts w:ascii="Times New Roman" w:hAnsi="Times New Roman"/>
          <w:szCs w:val="24"/>
        </w:rPr>
        <w:t xml:space="preserve"> view as a relativist is emic (</w:t>
      </w:r>
      <w:r w:rsidRPr="00B228C0">
        <w:rPr>
          <w:rFonts w:ascii="Times New Roman" w:hAnsi="Times New Roman"/>
          <w:noProof/>
          <w:szCs w:val="24"/>
        </w:rPr>
        <w:t>internal</w:t>
      </w:r>
      <w:r w:rsidRPr="00B228C0">
        <w:rPr>
          <w:rFonts w:ascii="Times New Roman" w:hAnsi="Times New Roman"/>
          <w:szCs w:val="24"/>
        </w:rPr>
        <w:t xml:space="preserve"> or inward-looking) in nature and are products of human intellects and constructs (Ponterotto, 2005).</w:t>
      </w:r>
    </w:p>
    <w:p w14:paraId="2104C3BA" w14:textId="734C270B" w:rsidR="00054353" w:rsidRPr="00B228C0" w:rsidRDefault="00054353" w:rsidP="006869A3">
      <w:pPr>
        <w:pStyle w:val="Heading3"/>
      </w:pPr>
      <w:bookmarkStart w:id="120" w:name="_Toc86417306"/>
      <w:r w:rsidRPr="00B228C0">
        <w:t>5.3.3. Epistemological assumption</w:t>
      </w:r>
      <w:bookmarkEnd w:id="120"/>
      <w:r w:rsidRPr="00B228C0">
        <w:t xml:space="preserve"> </w:t>
      </w:r>
    </w:p>
    <w:p w14:paraId="4ED57F66"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Epistemologically, I decided to take a subjective and situated view of knowledge. This is because constructivism as a paradigm emphasizes interpreting and understanding human experiences from the standpoint of the social world in which they live. Gaining insight into the experiences of Nigerian migrant care workers of PLWD means I have had to interpret the individual subjective experience of each of the participants. I could not adopt positivism as a paradigm because its objectivist epistemological basis makes it difficult to study an individual’s lived experiences. Unlike the interpretivist, the positivist has a different approach to knowledge and understanding of the world under investigation. The positivist believes that there can only be a single reality discoverable through the systematic and rigorous application of a scientific methodology (Madill and Gough, 2008). Hence, scientific inquiry is objective rather than subjective in nature. Studying the experience of any group of people (such as Nigerian care workers), </w:t>
      </w:r>
      <w:r w:rsidRPr="00B228C0">
        <w:rPr>
          <w:rFonts w:ascii="Times New Roman" w:hAnsi="Times New Roman"/>
          <w:szCs w:val="24"/>
        </w:rPr>
        <w:lastRenderedPageBreak/>
        <w:t>required that I take a more subjective stand, with emphasis on interpreting and understanding the care workers’ experience as an inseparable part of the social world they live in. Doing this meant that as the researcher, I am, or at least will be, interactively linked with the participants, such that findings which eventually emerge from the research are constructed as the exploration into the world of the participants as the investigation proceeds (Guba and Lincoln, 1998).</w:t>
      </w:r>
    </w:p>
    <w:p w14:paraId="6F855B2C"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Exploring the world of the participants involved the researcher entering every investigation or interview with a subjective and transactional approach, understanding that the findings are a construction of both the minds of the researcher and the participant (Ponterotto, 2005). This is an important aspect of the research considering that I share similar cultural and work affiliations to the participants, being Nigerian myself, who also works as HCA on a part-time basis.</w:t>
      </w:r>
    </w:p>
    <w:p w14:paraId="6A078F22" w14:textId="1861E220" w:rsidR="00054353" w:rsidRPr="00B228C0" w:rsidRDefault="00054353" w:rsidP="006869A3">
      <w:pPr>
        <w:pStyle w:val="Heading3"/>
      </w:pPr>
      <w:bookmarkStart w:id="121" w:name="_Toc86417307"/>
      <w:r w:rsidRPr="00B228C0">
        <w:t>5.3.4. Methodological assumption</w:t>
      </w:r>
      <w:bookmarkEnd w:id="121"/>
    </w:p>
    <w:p w14:paraId="3F0AF7C6" w14:textId="1395029B"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This research adopted the phenomenological approach to study the lived experience of Nigerian migrant care workers of PLWD. I chose this approach due to the methodological assumptions I made regarding the study. Interpretivist and researchers of related paradigmatic orientation, like the constructivist and critical theorists, hinge their methodological assumption on the centrality of an intense researcher-participant interaction which demands that the researcher become somehow immersed in the participants’ world over </w:t>
      </w:r>
      <w:r w:rsidR="00774900" w:rsidRPr="00B228C0">
        <w:rPr>
          <w:rFonts w:ascii="Times New Roman" w:hAnsi="Times New Roman"/>
          <w:szCs w:val="24"/>
        </w:rPr>
        <w:t>a period</w:t>
      </w:r>
      <w:r w:rsidRPr="00B228C0">
        <w:rPr>
          <w:rFonts w:ascii="Times New Roman" w:hAnsi="Times New Roman"/>
          <w:szCs w:val="24"/>
        </w:rPr>
        <w:t xml:space="preserve"> (Guba and Lincoln, 1994; Gray, 2009). This was the stand I adopted in this study as understanding the life world of paid caregiving meant that I form a relationship with the participants and become enmeshed in it. This approach chimes well with the naturalistic mode of inquiry which uses a naturalistic design that ensures that I am immersed in the community and day-to-day life of Nigerian care workers (Gray, 2009).</w:t>
      </w:r>
    </w:p>
    <w:p w14:paraId="22D03A67"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In this research into the experience of Nigerian care workers, as the researcher, I bring a host of assumptions which forms the basis of my investigation. First, I believe that understanding the experience of care workers can only be made when viewed from the perspective of those who have lived through it, particularly as care workers themselves. According to Becker (1992),</w:t>
      </w:r>
    </w:p>
    <w:p w14:paraId="295D423C"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lastRenderedPageBreak/>
        <w:t xml:space="preserve"> “…</w:t>
      </w:r>
      <w:r w:rsidRPr="00B228C0">
        <w:rPr>
          <w:rFonts w:ascii="Times New Roman" w:hAnsi="Times New Roman"/>
          <w:i/>
          <w:szCs w:val="24"/>
        </w:rPr>
        <w:t>experience is a valid and fruitful source of knowledge. Any person’s knowledge is based upon what a person experiences, whether it be first-hand experience or vicarious hand experience. Experience is the source of all knowing and the basis of behaviour. Experience, what we are aware of at any point in time, is the foundation of knowledge of ourselves, other people, and the world in general. Without human experience, there would be no human world.</w:t>
      </w:r>
      <w:r w:rsidRPr="00B228C0">
        <w:rPr>
          <w:rFonts w:ascii="Times New Roman" w:hAnsi="Times New Roman"/>
          <w:szCs w:val="24"/>
        </w:rPr>
        <w:t>” (Becker, 1992, p.10- 11).</w:t>
      </w:r>
    </w:p>
    <w:p w14:paraId="79C2AFD7"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This emphasis on the value of experience in the acquisition of knowledge played a vital role in my choice of phenomenology as an approach in this research. However, despite the experiences of care workers underpinning my theoretical perspective, the findings generated from this study were both the care workers’ (participants’) interpretation of their experience of caregiving and my interpretation of their accounts (Van Manen, 1990).</w:t>
      </w:r>
    </w:p>
    <w:p w14:paraId="3CE0C637" w14:textId="77777777" w:rsidR="00054353" w:rsidRPr="00B228C0" w:rsidRDefault="00054353" w:rsidP="006869A3">
      <w:pPr>
        <w:pStyle w:val="Heading2"/>
      </w:pPr>
      <w:bookmarkStart w:id="122" w:name="_Toc86417308"/>
      <w:r w:rsidRPr="00B228C0">
        <w:t>5.4. Methodological approach to qualitative research</w:t>
      </w:r>
      <w:bookmarkEnd w:id="122"/>
    </w:p>
    <w:p w14:paraId="1620F03E" w14:textId="20D4E816"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Methodology refers to the process and procedures undertaken </w:t>
      </w:r>
      <w:r w:rsidR="005362BF" w:rsidRPr="00B228C0">
        <w:rPr>
          <w:rFonts w:ascii="Times New Roman" w:hAnsi="Times New Roman"/>
          <w:szCs w:val="24"/>
        </w:rPr>
        <w:t>while</w:t>
      </w:r>
      <w:r w:rsidRPr="00B228C0">
        <w:rPr>
          <w:rFonts w:ascii="Times New Roman" w:hAnsi="Times New Roman"/>
          <w:szCs w:val="24"/>
        </w:rPr>
        <w:t xml:space="preserve"> doing research (Ponterotto, 2005). It derives its meaning from the two words, ‘method’ and ‘logy’ which implies the aspect of knowledge that concerns the principles, process and procedures for the generation of new knowledge. It is the rationale and the philosophical assumptions that guide research inquiry and methods (Gray, 2009). Methodology shows how a researcher’s ontological and epistemological beliefs inform the research (Guba and Lincoln, 1994). Crotty defined methodology as “</w:t>
      </w:r>
      <w:r w:rsidRPr="00B228C0">
        <w:rPr>
          <w:rFonts w:ascii="Times New Roman" w:hAnsi="Times New Roman"/>
          <w:i/>
          <w:szCs w:val="24"/>
        </w:rPr>
        <w:t>the strategy, plan of action, process or design lying behind the choice and use of particular methods and linking the choice and use of the methods to the desired outcomes</w:t>
      </w:r>
      <w:r w:rsidRPr="00B228C0">
        <w:rPr>
          <w:rFonts w:ascii="Times New Roman" w:hAnsi="Times New Roman"/>
          <w:szCs w:val="24"/>
        </w:rPr>
        <w:t>.” Crotty, (</w:t>
      </w:r>
      <w:r>
        <w:rPr>
          <w:rFonts w:ascii="Times New Roman" w:hAnsi="Times New Roman"/>
          <w:szCs w:val="24"/>
        </w:rPr>
        <w:t>1998</w:t>
      </w:r>
      <w:r w:rsidRPr="00B228C0">
        <w:rPr>
          <w:rFonts w:ascii="Times New Roman" w:hAnsi="Times New Roman"/>
          <w:szCs w:val="24"/>
        </w:rPr>
        <w:t>, p.3). This study employed the qualitative approach to the research process.</w:t>
      </w:r>
    </w:p>
    <w:p w14:paraId="08AD4036"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Denzin and Lincoln (1994) defined qualitative research as a multi-method approach involving “</w:t>
      </w:r>
      <w:r w:rsidRPr="00B228C0">
        <w:rPr>
          <w:rFonts w:ascii="Times New Roman" w:hAnsi="Times New Roman"/>
          <w:i/>
          <w:szCs w:val="24"/>
        </w:rPr>
        <w:t>an interpretive, naturalistic approach to its subject matter</w:t>
      </w:r>
      <w:r w:rsidRPr="00B228C0">
        <w:rPr>
          <w:rFonts w:ascii="Times New Roman" w:hAnsi="Times New Roman"/>
          <w:szCs w:val="24"/>
        </w:rPr>
        <w:t xml:space="preserve">” (p.1). As a research approach, qualitative research methodologies emphasise examining variables in the natural setting in which they are found with the researcher’s involvement in the investigation central to any meaningful discovery made (Gray, 2009). There is a conscious attempt by the researcher to make sense of or interpret a phenomenon in terms of the meaning the research participants bring to them (Denzin and Lincoln, </w:t>
      </w:r>
      <w:r w:rsidRPr="00B228C0">
        <w:rPr>
          <w:rFonts w:ascii="Times New Roman" w:hAnsi="Times New Roman"/>
          <w:szCs w:val="24"/>
        </w:rPr>
        <w:lastRenderedPageBreak/>
        <w:t>2000a). As Denzin and Lincoln (2000b) puts it, qualitative researchers “</w:t>
      </w:r>
      <w:r w:rsidRPr="00B228C0">
        <w:rPr>
          <w:rFonts w:ascii="Times New Roman" w:hAnsi="Times New Roman"/>
          <w:i/>
          <w:szCs w:val="24"/>
        </w:rPr>
        <w:t>study things in their natural settings, attempting to make sense of, or to interpret, phenomena in terms of the meanings people bring to them.</w:t>
      </w:r>
      <w:r w:rsidRPr="00B228C0">
        <w:rPr>
          <w:rFonts w:ascii="Times New Roman" w:hAnsi="Times New Roman"/>
          <w:szCs w:val="24"/>
        </w:rPr>
        <w:t>” (p.3). Being a naturalist approach, qualitative research aims “</w:t>
      </w:r>
      <w:r w:rsidRPr="00B228C0">
        <w:rPr>
          <w:rFonts w:ascii="Times New Roman" w:hAnsi="Times New Roman"/>
          <w:i/>
          <w:szCs w:val="24"/>
        </w:rPr>
        <w:t>to investigate the meaning of social phenomena as experienced by the people themselves.</w:t>
      </w:r>
      <w:r w:rsidRPr="00B228C0">
        <w:rPr>
          <w:rFonts w:ascii="Times New Roman" w:hAnsi="Times New Roman"/>
          <w:szCs w:val="24"/>
        </w:rPr>
        <w:t>" Malterud (2001, p.398)</w:t>
      </w:r>
    </w:p>
    <w:p w14:paraId="7985083E"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The links between methodology and the philosophical assumptions that inform it is even made more apparent by Holloway’s definition of qualitative research. According to Holloway (1997), qualitative research can be defined as “</w:t>
      </w:r>
      <w:r w:rsidRPr="00B228C0">
        <w:rPr>
          <w:rFonts w:ascii="Times New Roman" w:hAnsi="Times New Roman"/>
          <w:i/>
          <w:szCs w:val="24"/>
        </w:rPr>
        <w:t>a form of social inquiry that focuses on the way people interpret and make sense of their experiences and the world in which they live.</w:t>
      </w:r>
      <w:r w:rsidRPr="00B228C0">
        <w:rPr>
          <w:rFonts w:ascii="Times New Roman" w:hAnsi="Times New Roman"/>
          <w:szCs w:val="24"/>
        </w:rPr>
        <w:t>” (p.2). It seeks to gain understanding. Holloway (1997) stated further that the main reason why researchers use the qualitative methodological approach is to explore “</w:t>
      </w:r>
      <w:r w:rsidRPr="00B228C0">
        <w:rPr>
          <w:rFonts w:ascii="Times New Roman" w:hAnsi="Times New Roman"/>
          <w:i/>
          <w:szCs w:val="24"/>
        </w:rPr>
        <w:t>the behavior, perspectives and experiences of the people they study</w:t>
      </w:r>
      <w:r w:rsidRPr="00B228C0">
        <w:rPr>
          <w:rFonts w:ascii="Times New Roman" w:hAnsi="Times New Roman"/>
          <w:szCs w:val="24"/>
        </w:rPr>
        <w:t>.” (p.2). They do this relying heavily on the interpretive approach to social reality, which Holloway (1997) argues is the basis of qualitative research.</w:t>
      </w:r>
    </w:p>
    <w:p w14:paraId="5EA23279" w14:textId="4A673FDC" w:rsidR="00694ED3" w:rsidRPr="00B228C0" w:rsidRDefault="00054353" w:rsidP="00054353">
      <w:pPr>
        <w:spacing w:after="200"/>
        <w:jc w:val="both"/>
        <w:rPr>
          <w:rFonts w:ascii="Times New Roman" w:hAnsi="Times New Roman"/>
          <w:szCs w:val="24"/>
        </w:rPr>
      </w:pPr>
      <w:r w:rsidRPr="00B228C0">
        <w:rPr>
          <w:rFonts w:ascii="Times New Roman" w:hAnsi="Times New Roman"/>
          <w:szCs w:val="24"/>
        </w:rPr>
        <w:t>Qualitative data sources include participant observation (fieldwork), interviews, open-ended questionnaires, documents and texts, and the researcher's impressions and reactions (Myers, 2009). Data may be obtained through the “</w:t>
      </w:r>
      <w:r w:rsidRPr="00B228C0">
        <w:rPr>
          <w:rFonts w:ascii="Times New Roman" w:hAnsi="Times New Roman"/>
          <w:i/>
          <w:szCs w:val="24"/>
        </w:rPr>
        <w:t>direct observation of behaviours, from interviews, from written opinions, or from public documents</w:t>
      </w:r>
      <w:r w:rsidRPr="00B228C0">
        <w:rPr>
          <w:rFonts w:ascii="Times New Roman" w:hAnsi="Times New Roman"/>
          <w:szCs w:val="24"/>
        </w:rPr>
        <w:t>” (Sprinthall, Schmutte, and Surois, 1991, p.101). Data can also be obtained singly or in combination from the written descriptions of people, events, opinions, attitudes and environments.</w:t>
      </w:r>
    </w:p>
    <w:p w14:paraId="58EF42DF" w14:textId="77777777" w:rsidR="00054353" w:rsidRPr="00B228C0" w:rsidRDefault="00054353" w:rsidP="006869A3">
      <w:pPr>
        <w:pStyle w:val="Heading2"/>
      </w:pPr>
      <w:bookmarkStart w:id="123" w:name="_Toc86417309"/>
      <w:r w:rsidRPr="00B228C0">
        <w:t>5.5. The Phenomenological Approach</w:t>
      </w:r>
      <w:bookmarkEnd w:id="123"/>
    </w:p>
    <w:p w14:paraId="6DE54B70"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The phenomenological approach to studying human experience is one of the many approaches under the broad group of qualitative research methodologies. I adopted phenomenology for my current study because I believe that generating knowledge on a care worker’s caregiving experience is made possible by the understanding of the phenomenon through an individual care worker’s interpretation of the phenomenon, which is in turn based on their assumptions regarding the world of caregiving. This approach helped me explore the lived experiences of Nigerian migrant care workers and the different components that formed their experiences.</w:t>
      </w:r>
    </w:p>
    <w:p w14:paraId="108BED25"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lastRenderedPageBreak/>
        <w:t>Phenomenology sets out to understand albeit at least descriptively (the very essence of human lived experience). As implied, the term ‘phenomenology’ has its root meaning from the Greek word, “</w:t>
      </w:r>
      <w:r w:rsidRPr="00B228C0">
        <w:rPr>
          <w:rFonts w:ascii="Times New Roman" w:hAnsi="Times New Roman"/>
          <w:bCs/>
          <w:i/>
          <w:szCs w:val="24"/>
        </w:rPr>
        <w:t>phainómenon</w:t>
      </w:r>
      <w:r w:rsidRPr="00B228C0">
        <w:rPr>
          <w:rFonts w:ascii="Times New Roman" w:hAnsi="Times New Roman"/>
          <w:bCs/>
          <w:szCs w:val="24"/>
        </w:rPr>
        <w:t>”</w:t>
      </w:r>
      <w:r w:rsidRPr="00B228C0">
        <w:rPr>
          <w:rFonts w:ascii="Times New Roman" w:hAnsi="Times New Roman"/>
          <w:szCs w:val="24"/>
        </w:rPr>
        <w:t>, meaning “thing appearing to view”. In a broad sense it denotes both a philosophy and a methodology. The foundation of phenomenology as an approach of systematic inquiry which is based on exploring an individual’s experiences highlights its suitability for this research. In understanding the lived experiences of Nigerian care workers of people living with dementia, the phenomenon of ‘being’ a care worker is examined within the context of having the experience first-hand as a care worker of Nigerian origin.</w:t>
      </w:r>
    </w:p>
    <w:p w14:paraId="631555D1"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bCs/>
          <w:szCs w:val="24"/>
        </w:rPr>
        <w:t>In philosophical terms, a phenomenon is an observed or perceived object, fact or occurrence</w:t>
      </w:r>
      <w:r w:rsidRPr="00B228C0">
        <w:rPr>
          <w:rFonts w:ascii="Times New Roman" w:hAnsi="Times New Roman"/>
          <w:szCs w:val="24"/>
        </w:rPr>
        <w:t>. In ancient Greece, ‘phenomena’ was used to refer to objects of the senses as against what is understood by the intellect (Holloway and Wheeler, 2002). Hence the Greek verb “</w:t>
      </w:r>
      <w:r w:rsidRPr="00B228C0">
        <w:rPr>
          <w:rFonts w:ascii="Times New Roman" w:hAnsi="Times New Roman"/>
          <w:i/>
          <w:iCs/>
          <w:szCs w:val="24"/>
        </w:rPr>
        <w:t>phainesthai</w:t>
      </w:r>
      <w:r w:rsidRPr="00B228C0">
        <w:rPr>
          <w:rFonts w:ascii="Times New Roman" w:hAnsi="Times New Roman"/>
          <w:szCs w:val="24"/>
        </w:rPr>
        <w:t>” meant “</w:t>
      </w:r>
      <w:r w:rsidRPr="00B228C0">
        <w:rPr>
          <w:rFonts w:ascii="Times New Roman" w:hAnsi="Times New Roman"/>
          <w:i/>
          <w:szCs w:val="24"/>
        </w:rPr>
        <w:t>to seem</w:t>
      </w:r>
      <w:r w:rsidRPr="00B228C0">
        <w:rPr>
          <w:rFonts w:ascii="Times New Roman" w:hAnsi="Times New Roman"/>
          <w:szCs w:val="24"/>
        </w:rPr>
        <w:t>” or “</w:t>
      </w:r>
      <w:r w:rsidRPr="00B228C0">
        <w:rPr>
          <w:rFonts w:ascii="Times New Roman" w:hAnsi="Times New Roman"/>
          <w:i/>
          <w:szCs w:val="24"/>
        </w:rPr>
        <w:t>to appear</w:t>
      </w:r>
      <w:r w:rsidRPr="00B228C0">
        <w:rPr>
          <w:rFonts w:ascii="Times New Roman" w:hAnsi="Times New Roman"/>
          <w:szCs w:val="24"/>
        </w:rPr>
        <w:t>” and not necessarily what it appears to be as perceived. For instance, in Aristotelian ethics, what is good is what seem good to a man rather than what is really good (Yu, 20</w:t>
      </w:r>
      <w:r>
        <w:rPr>
          <w:rFonts w:ascii="Times New Roman" w:hAnsi="Times New Roman"/>
          <w:szCs w:val="24"/>
        </w:rPr>
        <w:t>07</w:t>
      </w:r>
      <w:r w:rsidRPr="00B228C0">
        <w:rPr>
          <w:rFonts w:ascii="Times New Roman" w:hAnsi="Times New Roman"/>
          <w:szCs w:val="24"/>
        </w:rPr>
        <w:t>). Later Greek philosophers viewed the concept of an observable phenomenon separate from theories developed to explain them as have become widely used in the 17</w:t>
      </w:r>
      <w:r w:rsidRPr="00B228C0">
        <w:rPr>
          <w:rFonts w:ascii="Times New Roman" w:hAnsi="Times New Roman"/>
          <w:szCs w:val="24"/>
          <w:vertAlign w:val="superscript"/>
        </w:rPr>
        <w:t>th</w:t>
      </w:r>
      <w:r w:rsidRPr="00B228C0">
        <w:rPr>
          <w:rFonts w:ascii="Times New Roman" w:hAnsi="Times New Roman"/>
          <w:szCs w:val="24"/>
        </w:rPr>
        <w:t xml:space="preserve"> century to the present day. This follows from Immanuel Kant use of the German word “</w:t>
      </w:r>
      <w:r w:rsidRPr="00B228C0">
        <w:rPr>
          <w:rFonts w:ascii="Times New Roman" w:hAnsi="Times New Roman"/>
          <w:i/>
          <w:iCs/>
          <w:szCs w:val="24"/>
        </w:rPr>
        <w:t>Erscheinung”</w:t>
      </w:r>
      <w:r w:rsidRPr="00B228C0">
        <w:rPr>
          <w:rFonts w:ascii="Times New Roman" w:hAnsi="Times New Roman"/>
          <w:szCs w:val="24"/>
        </w:rPr>
        <w:t> meaning “</w:t>
      </w:r>
      <w:r w:rsidRPr="00B228C0">
        <w:rPr>
          <w:rFonts w:ascii="Times New Roman" w:hAnsi="Times New Roman"/>
          <w:i/>
          <w:szCs w:val="24"/>
        </w:rPr>
        <w:t>appearance</w:t>
      </w:r>
      <w:r w:rsidRPr="00B228C0">
        <w:rPr>
          <w:rFonts w:ascii="Times New Roman" w:hAnsi="Times New Roman"/>
          <w:szCs w:val="24"/>
        </w:rPr>
        <w:t>” to refer to what is now the English word “</w:t>
      </w:r>
      <w:r w:rsidRPr="00B228C0">
        <w:rPr>
          <w:rFonts w:ascii="Times New Roman" w:hAnsi="Times New Roman"/>
          <w:i/>
          <w:szCs w:val="24"/>
        </w:rPr>
        <w:t>phenomenon</w:t>
      </w:r>
      <w:r w:rsidRPr="00B228C0">
        <w:rPr>
          <w:rFonts w:ascii="Times New Roman" w:hAnsi="Times New Roman"/>
          <w:szCs w:val="24"/>
        </w:rPr>
        <w:t>” (Allison and Heath, 2002). This represents the immediate object of sensory intuition, in simple datum, what becomes an object only when interpreted through the categories of substance and cause.</w:t>
      </w:r>
    </w:p>
    <w:p w14:paraId="448A27AA" w14:textId="7609B55B" w:rsidR="00054353" w:rsidRDefault="00054353" w:rsidP="00054353">
      <w:pPr>
        <w:spacing w:after="200"/>
        <w:jc w:val="both"/>
        <w:rPr>
          <w:rFonts w:ascii="Times New Roman" w:hAnsi="Times New Roman"/>
          <w:szCs w:val="24"/>
        </w:rPr>
      </w:pPr>
      <w:r w:rsidRPr="00B228C0">
        <w:rPr>
          <w:rFonts w:ascii="Times New Roman" w:hAnsi="Times New Roman"/>
          <w:szCs w:val="24"/>
        </w:rPr>
        <w:t>There are two main branches of phenomenology named after the theorists who developed them. The first is the Husserlian or descriptive phenomenology, which refers to the branch of phenomenology developed by Edmund Husserl (1859-1938) and the other Heideggerian or hermeneutic phenomenology developed by Martin Heidegger (1889-1976). Each of these approaches to phenomenology differs in their basic ontological and epistemological stance (Holloway and Wheeler, 2002).</w:t>
      </w:r>
    </w:p>
    <w:p w14:paraId="6D7F6D7A" w14:textId="4C97C041" w:rsidR="006869A3" w:rsidRDefault="006869A3" w:rsidP="00054353">
      <w:pPr>
        <w:spacing w:after="200"/>
        <w:jc w:val="both"/>
        <w:rPr>
          <w:rFonts w:ascii="Times New Roman" w:hAnsi="Times New Roman"/>
          <w:szCs w:val="24"/>
        </w:rPr>
      </w:pPr>
    </w:p>
    <w:p w14:paraId="74B75CD8" w14:textId="77777777" w:rsidR="006869A3" w:rsidRPr="00B228C0" w:rsidRDefault="006869A3" w:rsidP="00054353">
      <w:pPr>
        <w:spacing w:after="200"/>
        <w:jc w:val="both"/>
        <w:rPr>
          <w:rFonts w:ascii="Times New Roman" w:hAnsi="Times New Roman"/>
          <w:szCs w:val="24"/>
        </w:rPr>
      </w:pPr>
    </w:p>
    <w:p w14:paraId="03207E73" w14:textId="77777777" w:rsidR="00054353" w:rsidRPr="00B228C0" w:rsidRDefault="00054353" w:rsidP="006869A3">
      <w:pPr>
        <w:pStyle w:val="Heading3"/>
      </w:pPr>
      <w:bookmarkStart w:id="124" w:name="_Toc86417310"/>
      <w:r w:rsidRPr="00B228C0">
        <w:lastRenderedPageBreak/>
        <w:t>5.5.1. Husserlian or descriptive phenomenology</w:t>
      </w:r>
      <w:bookmarkEnd w:id="124"/>
    </w:p>
    <w:p w14:paraId="109FC584"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Edmund Husserl (1859-1938) considered a leading light in the German phase of the phenomenological movement is generally credited as being the father of phenomenology because he developed the phenomenological method into a distinctive method of research (Rapport, 2005 Dowling, 2007). Husserlian phenomenology is also known as descriptive phenomenology, transcendental phenomenology and pure phenomenology. The central feature of Husserlian phenomenology is its distinct ability to identify the essence of phenomena in an individual’s lived experiences (Sadala and Adorno, 2002). Husserl considered the study of consciousness different from the study of nature. Whereas the study of nature (naturalism) involves investigating everything that belongs to the natural world through the scientific method, the study of human consciousness truly emerges from insights into their experiences. This intense study, Husserl asserts, could be performed through the phenomenological method arguing that phenomenology did not deny the existence of the real world, but instead sought to clarify the sense of this world (which everyone accepts) as existing. Husserl considered typical acts of consciousness as consisting of two spheres; they are worldly, and they are psychological. That is, Husserl espouses the subject-object divide, which holds that an individual and the world in which they live are linked in a case of “</w:t>
      </w:r>
      <w:r w:rsidRPr="00B228C0">
        <w:rPr>
          <w:rFonts w:ascii="Times New Roman" w:hAnsi="Times New Roman"/>
          <w:i/>
          <w:szCs w:val="24"/>
        </w:rPr>
        <w:t>conscious knowing</w:t>
      </w:r>
      <w:r w:rsidRPr="00B228C0">
        <w:rPr>
          <w:rFonts w:ascii="Times New Roman" w:hAnsi="Times New Roman"/>
          <w:szCs w:val="24"/>
        </w:rPr>
        <w:t xml:space="preserve">” (Rapport, 2005). </w:t>
      </w:r>
      <w:bookmarkStart w:id="125" w:name="_Hlk498503399"/>
      <w:r w:rsidRPr="00B228C0">
        <w:rPr>
          <w:rFonts w:ascii="Times New Roman" w:hAnsi="Times New Roman"/>
          <w:szCs w:val="24"/>
        </w:rPr>
        <w:t>Husserl believed that such knowledge evolved from our human existence and experience within the world (Langdridge, 2007). Husserl</w:t>
      </w:r>
      <w:r>
        <w:rPr>
          <w:rFonts w:ascii="Times New Roman" w:hAnsi="Times New Roman"/>
          <w:szCs w:val="24"/>
        </w:rPr>
        <w:t>’s</w:t>
      </w:r>
      <w:r w:rsidRPr="00B228C0">
        <w:rPr>
          <w:rFonts w:ascii="Times New Roman" w:hAnsi="Times New Roman"/>
          <w:szCs w:val="24"/>
        </w:rPr>
        <w:t xml:space="preserve"> view of phenomenology </w:t>
      </w:r>
      <w:r>
        <w:rPr>
          <w:rFonts w:ascii="Times New Roman" w:hAnsi="Times New Roman"/>
          <w:szCs w:val="24"/>
        </w:rPr>
        <w:t>agrees with</w:t>
      </w:r>
      <w:r w:rsidRPr="00B228C0">
        <w:rPr>
          <w:rFonts w:ascii="Times New Roman" w:hAnsi="Times New Roman"/>
          <w:szCs w:val="24"/>
        </w:rPr>
        <w:t xml:space="preserve"> the fundamental tenet of the Cartesian tradition </w:t>
      </w:r>
      <w:r>
        <w:rPr>
          <w:rFonts w:ascii="Times New Roman" w:hAnsi="Times New Roman"/>
          <w:szCs w:val="24"/>
        </w:rPr>
        <w:t>which considers man’s relationship to the world as one of subjects knowing objects</w:t>
      </w:r>
      <w:r w:rsidRPr="00B228C0">
        <w:rPr>
          <w:rFonts w:ascii="Times New Roman" w:hAnsi="Times New Roman"/>
          <w:szCs w:val="24"/>
        </w:rPr>
        <w:t xml:space="preserve"> (Walter, 1995; MacDonald, 2001). Husserl’s view of phenomenology espoused a rigorous scientific approach in relation to human life concerns. Although this view appears to suggest that he endorsed an objective reality and his idea of bracketing echoes the positivist’s approach, it brings forward the possible underlying suggestions that, by endorsing an objective, reality exists separately from the researcher, the concept of bracketing actually echoes positivism (</w:t>
      </w:r>
      <w:bookmarkStart w:id="126" w:name="bBIB25"/>
      <w:r w:rsidRPr="00B228C0">
        <w:rPr>
          <w:rFonts w:ascii="Times New Roman" w:hAnsi="Times New Roman"/>
          <w:szCs w:val="24"/>
        </w:rPr>
        <w:t>Guba and Lincoln, 1998</w:t>
      </w:r>
      <w:bookmarkEnd w:id="126"/>
      <w:r w:rsidRPr="00B228C0">
        <w:rPr>
          <w:rFonts w:ascii="Times New Roman" w:hAnsi="Times New Roman"/>
          <w:szCs w:val="24"/>
        </w:rPr>
        <w:t xml:space="preserve">). </w:t>
      </w:r>
      <w:bookmarkEnd w:id="125"/>
      <w:r w:rsidRPr="00B228C0">
        <w:rPr>
          <w:rFonts w:ascii="Times New Roman" w:hAnsi="Times New Roman"/>
          <w:szCs w:val="24"/>
        </w:rPr>
        <w:t>However, what Husserl meant by the notion of ‘totally transcendent ego’, void of pre-suppositions is a philosophical view of phenomenology as the basis of all knowledge rather than the scientific concept of being objective.</w:t>
      </w:r>
    </w:p>
    <w:p w14:paraId="5C691439"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lastRenderedPageBreak/>
        <w:t>Hence, as was the position I took in this research, like Beech (1999), I sought to enter the ‘lifeworld’ of each of the care workers as free of preconception as possible, but I also acknowledge where possible those preconception and account for them in the study. For example, being a care worker myself, means that I come into the research with a considerable understanding of some of the issues which is a product of my lived experience that is highlighted in the research.</w:t>
      </w:r>
    </w:p>
    <w:p w14:paraId="4639B330" w14:textId="45C329D5"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According to Heidegger (2000), there are three elements to his phenomenological views, namely, essences, intuition and phenomenological reduction. Essences, in this case, mean the true meaning and understanding of the phenomenon in question while intuition centres on the subjective understanding of the phenomenon. Phenomenological reduction refers to the introduction of extraneous influences in investigating the phenomenon </w:t>
      </w:r>
      <w:r w:rsidR="00822C70" w:rsidRPr="00B228C0">
        <w:rPr>
          <w:rFonts w:ascii="Times New Roman" w:hAnsi="Times New Roman"/>
          <w:szCs w:val="24"/>
        </w:rPr>
        <w:t>to</w:t>
      </w:r>
      <w:r w:rsidRPr="00B228C0">
        <w:rPr>
          <w:rFonts w:ascii="Times New Roman" w:hAnsi="Times New Roman"/>
          <w:szCs w:val="24"/>
        </w:rPr>
        <w:t xml:space="preserve"> enhance the objectivity of data analysis. Sadala and Adorno (2002) believed that at the core of Husserlian phenomenology is ‘the intentionality of consciousness’, which refers to the ability of the human consciousness to understand the world. Husserl (2000) believed that intentionality remains the key concept in his view of phenomenology. Intentionality relates to an individual’s ‘consciousness’ or ‘awareness’ (Spinelli, 2005). Husserl contended that how we react with the world is demonstrated through our consciousness; when we are conscious, we are conscious of some ‘thing’, and objects or ‘things’ direct our consciousness.</w:t>
      </w:r>
    </w:p>
    <w:p w14:paraId="2E9C022B"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Consciousness in this sense means a descriptive phenomenologist is concerned with human interactions with the world and how things appear to them within that world (Spinelli, 2005</w:t>
      </w:r>
      <w:r>
        <w:rPr>
          <w:rFonts w:ascii="Times New Roman" w:hAnsi="Times New Roman"/>
          <w:szCs w:val="24"/>
        </w:rPr>
        <w:t>; 2007</w:t>
      </w:r>
      <w:r w:rsidRPr="00B228C0">
        <w:rPr>
          <w:rFonts w:ascii="Times New Roman" w:hAnsi="Times New Roman"/>
          <w:szCs w:val="24"/>
        </w:rPr>
        <w:t xml:space="preserve">). Husserl sought to find a way through which a person might come to know their experience of a phenomenon so they can identify the ‘essential’ characteristics of the experience. Husserl noted that intentionality was determined by the relationship between the </w:t>
      </w:r>
      <w:r w:rsidRPr="00B228C0">
        <w:rPr>
          <w:rFonts w:ascii="Times New Roman" w:hAnsi="Times New Roman"/>
          <w:i/>
          <w:szCs w:val="24"/>
        </w:rPr>
        <w:t>noema</w:t>
      </w:r>
      <w:r w:rsidRPr="00B228C0">
        <w:rPr>
          <w:rFonts w:ascii="Times New Roman" w:hAnsi="Times New Roman"/>
          <w:szCs w:val="24"/>
        </w:rPr>
        <w:t xml:space="preserve"> and </w:t>
      </w:r>
      <w:r w:rsidRPr="00B228C0">
        <w:rPr>
          <w:rFonts w:ascii="Times New Roman" w:hAnsi="Times New Roman"/>
          <w:i/>
          <w:szCs w:val="24"/>
        </w:rPr>
        <w:t xml:space="preserve">noesis </w:t>
      </w:r>
      <w:r w:rsidRPr="00B228C0">
        <w:rPr>
          <w:rFonts w:ascii="Times New Roman" w:hAnsi="Times New Roman"/>
          <w:szCs w:val="24"/>
        </w:rPr>
        <w:t xml:space="preserve">(Gallagher, 2012). </w:t>
      </w:r>
      <w:r w:rsidRPr="00B228C0">
        <w:rPr>
          <w:rFonts w:ascii="Times New Roman" w:hAnsi="Times New Roman"/>
          <w:i/>
          <w:szCs w:val="24"/>
        </w:rPr>
        <w:t>Noema</w:t>
      </w:r>
      <w:r w:rsidRPr="00B228C0">
        <w:rPr>
          <w:rFonts w:ascii="Times New Roman" w:hAnsi="Times New Roman"/>
          <w:szCs w:val="24"/>
        </w:rPr>
        <w:t xml:space="preserve"> referred to the object (or what is experienced) while </w:t>
      </w:r>
      <w:r w:rsidRPr="00B228C0">
        <w:rPr>
          <w:rFonts w:ascii="Times New Roman" w:hAnsi="Times New Roman"/>
          <w:i/>
          <w:szCs w:val="24"/>
        </w:rPr>
        <w:t>noesis</w:t>
      </w:r>
      <w:r w:rsidRPr="00B228C0">
        <w:rPr>
          <w:rFonts w:ascii="Times New Roman" w:hAnsi="Times New Roman"/>
          <w:szCs w:val="24"/>
        </w:rPr>
        <w:t xml:space="preserve"> is the way in which it is experienced by the subject. Understanding the </w:t>
      </w:r>
      <w:r w:rsidRPr="00B228C0">
        <w:rPr>
          <w:rFonts w:ascii="Times New Roman" w:hAnsi="Times New Roman"/>
          <w:i/>
          <w:szCs w:val="24"/>
        </w:rPr>
        <w:t>noema</w:t>
      </w:r>
      <w:r w:rsidRPr="00B228C0">
        <w:rPr>
          <w:rFonts w:ascii="Times New Roman" w:hAnsi="Times New Roman"/>
          <w:szCs w:val="24"/>
        </w:rPr>
        <w:t xml:space="preserve"> is the first thing most phenomenologists do (Gallagher, 2012). It involves allowing the participant to describe their experience of the phenomena in a case of ‘returning to the things themselves’ before they reflect on their experience and what it means, which is </w:t>
      </w:r>
      <w:r w:rsidRPr="00B228C0">
        <w:rPr>
          <w:rFonts w:ascii="Times New Roman" w:hAnsi="Times New Roman"/>
          <w:i/>
          <w:szCs w:val="24"/>
        </w:rPr>
        <w:t>noesis</w:t>
      </w:r>
      <w:r w:rsidRPr="00B228C0">
        <w:rPr>
          <w:rFonts w:ascii="Times New Roman" w:hAnsi="Times New Roman"/>
          <w:szCs w:val="24"/>
        </w:rPr>
        <w:t xml:space="preserve"> and relates to understanding the way in which the phenomenon is experienced (Spinelli, 2005). </w:t>
      </w:r>
    </w:p>
    <w:p w14:paraId="320BFB45" w14:textId="77777777" w:rsidR="00054353" w:rsidRPr="00B228C0" w:rsidRDefault="00054353" w:rsidP="006869A3">
      <w:pPr>
        <w:pStyle w:val="Heading3"/>
      </w:pPr>
      <w:bookmarkStart w:id="127" w:name="_Toc86417311"/>
      <w:r w:rsidRPr="00B228C0">
        <w:lastRenderedPageBreak/>
        <w:t>5.5.2. Bracketing (Epoché)</w:t>
      </w:r>
      <w:bookmarkEnd w:id="127"/>
    </w:p>
    <w:p w14:paraId="10B36321"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Husserl considered experience as the source of knowledge (Racher and Robinson, 2003) and phenomenology as the accurate and unbiased study of things as they appear, based on human consciousness and experience (Valle </w:t>
      </w:r>
      <w:r w:rsidRPr="008E3C13">
        <w:rPr>
          <w:rFonts w:ascii="Times New Roman" w:hAnsi="Times New Roman"/>
          <w:i/>
          <w:iCs/>
          <w:szCs w:val="24"/>
        </w:rPr>
        <w:t>et al.</w:t>
      </w:r>
      <w:r w:rsidRPr="00B228C0">
        <w:rPr>
          <w:rFonts w:ascii="Times New Roman" w:hAnsi="Times New Roman"/>
          <w:szCs w:val="24"/>
        </w:rPr>
        <w:t xml:space="preserve">, 1989). Husserl contends that the “lifeworld” is discovered only through the consciousness of human experience without necessarily relying on the interpretation of the experience to understand it (Laverty </w:t>
      </w:r>
      <w:r w:rsidRPr="008E3C13">
        <w:rPr>
          <w:rFonts w:ascii="Times New Roman" w:hAnsi="Times New Roman"/>
          <w:i/>
          <w:iCs/>
          <w:szCs w:val="24"/>
        </w:rPr>
        <w:t>et al.</w:t>
      </w:r>
      <w:r w:rsidRPr="00B228C0">
        <w:rPr>
          <w:rFonts w:ascii="Times New Roman" w:hAnsi="Times New Roman"/>
          <w:szCs w:val="24"/>
        </w:rPr>
        <w:t xml:space="preserve">, 2003). Thus, exploring lived experience from Husserl’s perspective involves an immediate but pre-reflective consciousness of life (Laverty </w:t>
      </w:r>
      <w:r w:rsidRPr="008E3C13">
        <w:rPr>
          <w:rFonts w:ascii="Times New Roman" w:hAnsi="Times New Roman"/>
          <w:i/>
          <w:iCs/>
          <w:szCs w:val="24"/>
        </w:rPr>
        <w:t>et al.</w:t>
      </w:r>
      <w:r w:rsidRPr="00B228C0">
        <w:rPr>
          <w:rFonts w:ascii="Times New Roman" w:hAnsi="Times New Roman"/>
          <w:szCs w:val="24"/>
        </w:rPr>
        <w:t xml:space="preserve">, 2003). To reach that point where the phenomena under study are allowed to emerge, the researcher has to make use of ‘bracketing’ or </w:t>
      </w:r>
      <w:r w:rsidRPr="00B228C0">
        <w:rPr>
          <w:rFonts w:ascii="Times New Roman" w:hAnsi="Times New Roman"/>
          <w:i/>
          <w:szCs w:val="24"/>
        </w:rPr>
        <w:t>epoché</w:t>
      </w:r>
      <w:r w:rsidRPr="00B228C0">
        <w:rPr>
          <w:rFonts w:ascii="Times New Roman" w:hAnsi="Times New Roman"/>
          <w:szCs w:val="24"/>
        </w:rPr>
        <w:t>, which Husserl argued would help the researcher withhold their subjective viewpoints and develop the phenomenological approach of studying things through the pre-reflective consciousness of life (Racher and Robinson, 2003). Spinelli (2005) further argued that using ‘bracketing’ as Husserl suggested ensures that the researcher suspends or ‘bracket’ their consciousness of what they believe or know about the phenomenon under study. This suggests that the researcher can in fact ‘return to the things themselves’ by taking a neutral approach through the suspension of their belief, attitude and assumptions with respect to the phenomenon being investigated (Langdridge, 2007). Langdridge noted that using bracketing, individuals could recover the originality of their experience and go “</w:t>
      </w:r>
      <w:r w:rsidRPr="00B228C0">
        <w:rPr>
          <w:rFonts w:ascii="Times New Roman" w:hAnsi="Times New Roman"/>
          <w:i/>
          <w:szCs w:val="24"/>
        </w:rPr>
        <w:t>back to the things themselves</w:t>
      </w:r>
      <w:r w:rsidRPr="00B228C0">
        <w:rPr>
          <w:rFonts w:ascii="Times New Roman" w:hAnsi="Times New Roman"/>
          <w:szCs w:val="24"/>
        </w:rPr>
        <w:t>” (Langdridge, 2007, p.17). However, the use of bracketing continues to divide most phenomenologist as critics of the process argue that the researcher’s engagement with the social world makes the process difficult to achieve (Spinelli, 2005; Langdridge, 2007). This led to the further development of phenomenology, giving rise to a new process called phenomenological reduction (Langdridge, 2007).</w:t>
      </w:r>
    </w:p>
    <w:p w14:paraId="4CEEB364" w14:textId="77777777" w:rsidR="00054353" w:rsidRPr="00B228C0" w:rsidRDefault="00054353" w:rsidP="006869A3">
      <w:pPr>
        <w:pStyle w:val="Heading3"/>
      </w:pPr>
      <w:bookmarkStart w:id="128" w:name="_Toc86417312"/>
      <w:r w:rsidRPr="00B228C0">
        <w:t>5.5.3. Phenomenological reduction</w:t>
      </w:r>
      <w:bookmarkEnd w:id="128"/>
    </w:p>
    <w:p w14:paraId="7C64EB53"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Phenomenological reduction deals with returning to the original source of experiences (Heinonen, 2015). Heinonen (2015) posited that phenomenological reduction is the term used to describe phenomenological bracketing that allows the researcher to discover the ‘lifeworld’ of the participants. Heinonen (2015) further noted that when a researcher brackets a participant’s lived experience, there is the experience of meaning. </w:t>
      </w:r>
      <w:r w:rsidRPr="00B228C0">
        <w:rPr>
          <w:rFonts w:ascii="Times New Roman" w:hAnsi="Times New Roman"/>
          <w:szCs w:val="24"/>
        </w:rPr>
        <w:lastRenderedPageBreak/>
        <w:t>In contrast, phenomenological reduction aims to bring together the specific aspects of meaning that is consistent with the phenomena of our lifeworld (as a researcher). Through the method of reduction, the actual uniqueness of the phenomenon of interest to the researcher is brought into focus and becomes central to the study (van Manen and Adams</w:t>
      </w:r>
      <w:r>
        <w:rPr>
          <w:rFonts w:ascii="Times New Roman" w:hAnsi="Times New Roman"/>
          <w:szCs w:val="24"/>
        </w:rPr>
        <w:t>,</w:t>
      </w:r>
      <w:r w:rsidRPr="00B228C0">
        <w:rPr>
          <w:rFonts w:ascii="Times New Roman" w:hAnsi="Times New Roman"/>
          <w:szCs w:val="24"/>
        </w:rPr>
        <w:t xml:space="preserve"> 2010; Heinonen, 2015). This is what Adams and van Manen (2008) believed helps the researcher to re-establish direct and primal contact with the world as we humans experience it. In this study, reduction was considered a vital tool as opposed to bracketing. From a personal perspective, as a care worker and a Nigerian and Black African myself, I consider that bracketing is challenging to implement, since it demands that I suspend my consciousness as a care worker and as a Nigerian/Black African and therefore, through my literature review I have decided that Husserl approach to bracketing was not appropriate, but that phenomenological reduction would be useful.</w:t>
      </w:r>
    </w:p>
    <w:p w14:paraId="46A4D3DA"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According to Langdridge (2007), phenomenological reduction comprises of three distinct components, which makes it a better approach to exploring experience than bracketing. These include description, horizontalisation and verification or clarification. During the process of description, the researcher describes the experience of the participants without trying to make sense of it (Spinelli, 2005). While describing the experience, I am supposed to remain focused on the participant’s first impression of the experience so that it is described in terms of my consciousness rather than interpreted.</w:t>
      </w:r>
    </w:p>
    <w:p w14:paraId="3C60200C"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 xml:space="preserve">The process of horizontalisation in phenomenological reduction demands that I treat every experience described by the participants as uniquely important and equal with no particular description superior to another in any particular hierarchy. Langdridge (2007) noted that when the contents of participant’s description of their experiences are treated equally, the researcher becomes better positioned to avoid or minimise the degree of bias and prejudgement they bring to the eventual interpretation of the described experience (Spinelli, 1989, 2005; Milton, 2016). Horizontalisation can be described as the compilation of these experiences without placing an aspect of the participant’s account of their experience over the other. Spinelli (2005) compared horizontalisation with the piecing together a large jigsaw, without prior knowledge of what image it </w:t>
      </w:r>
      <w:r w:rsidRPr="00B228C0">
        <w:rPr>
          <w:rFonts w:ascii="Times New Roman" w:hAnsi="Times New Roman"/>
          <w:szCs w:val="24"/>
        </w:rPr>
        <w:lastRenderedPageBreak/>
        <w:t>represents. The process of horizontalisation is essential in this study as it is ideal for treating every aspect of the account of the participant’s experience as equally important.</w:t>
      </w:r>
    </w:p>
    <w:p w14:paraId="6B1F7BB1" w14:textId="4C2CDF35" w:rsidR="00694ED3" w:rsidRPr="00B228C0" w:rsidRDefault="00054353" w:rsidP="00054353">
      <w:pPr>
        <w:spacing w:after="200"/>
        <w:jc w:val="both"/>
        <w:rPr>
          <w:rFonts w:ascii="Times New Roman" w:hAnsi="Times New Roman"/>
          <w:szCs w:val="24"/>
        </w:rPr>
      </w:pPr>
      <w:r w:rsidRPr="00B228C0">
        <w:rPr>
          <w:rFonts w:ascii="Times New Roman" w:hAnsi="Times New Roman"/>
          <w:szCs w:val="24"/>
        </w:rPr>
        <w:t>Lastly, phenomenological reduction involves a final stage known as the process of verification or clarification. During the stage of verification, the researcher is required to revisit the completed interview transcriptions and start to develop hypotheses relating to their order of importance and meanings. After an examination of the phenomenon through this approach, a final description of the experience can be provided (Langdridge, 2007). Following epoche and reduction, ‘imaginative variation’ or ‘imaginative free variation’ can be used to explain the meaning of the experience further. This demands that I imagine alternatives to the participant’s experience by trying to see the phenomenon of care work from different perspectives (Moustakas, 1994). The need to do this is to tease out the essence of the experience by filtering out the richness and depth (transcription) to unearth different themes and subthemes of the participants’ lived experiences. The change to the participant’s experience, through ‘imaginative variation’ is expected to reveal the essence of their experience, enabling different perspectives of the experience to be revealed (Langdridge, 2007). Husserl believed that the principles of epoché, reduction and imaginative variation assists the researcher in identifying the ‘essences’ or understanding of the phenomenon to “go back to the things themselves”.</w:t>
      </w:r>
    </w:p>
    <w:p w14:paraId="598E966F" w14:textId="77777777" w:rsidR="00054353" w:rsidRPr="00B228C0" w:rsidRDefault="00054353" w:rsidP="006869A3">
      <w:pPr>
        <w:pStyle w:val="Heading3"/>
      </w:pPr>
      <w:bookmarkStart w:id="129" w:name="_Toc86417313"/>
      <w:r w:rsidRPr="00B228C0">
        <w:t>5.5.4. Hermeneutic or interpretative phenomenology</w:t>
      </w:r>
      <w:bookmarkEnd w:id="129"/>
    </w:p>
    <w:p w14:paraId="4E2DFF55"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This is the broad branch of phenomenology that challenges some of the ideas within Husserl’s descriptive phenomenology. Key among leading figures that contributed immensely to the development of hermeneutic phenomenology is Heidegger. Martin Heidegger (1889-1976) was a student of Edmund Husserl. Heidegger’s interpretive or hermeneutic phenomenology is a description of a participant’s real world with a subjective perception that allows the researcher to focus on ‘</w:t>
      </w:r>
      <w:r w:rsidRPr="00B228C0">
        <w:rPr>
          <w:rFonts w:ascii="Times New Roman" w:hAnsi="Times New Roman"/>
          <w:i/>
          <w:szCs w:val="24"/>
        </w:rPr>
        <w:t>Dasein</w:t>
      </w:r>
      <w:r w:rsidRPr="00B228C0">
        <w:rPr>
          <w:rFonts w:ascii="Times New Roman" w:hAnsi="Times New Roman"/>
          <w:szCs w:val="24"/>
        </w:rPr>
        <w:t>’ (the German word for “understanding being-in-the-world”) (Heidegger, 1962). Heidegger offered a new dimension to the understanding of human experience through tentative interpretation rather than definitive interpretation.</w:t>
      </w:r>
    </w:p>
    <w:p w14:paraId="55A94601"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lastRenderedPageBreak/>
        <w:t xml:space="preserve">Other leading figures in the development of hermeneutic phenomenology are Gadamer (1900-2002) and Ricoeur (1913-2005). Gadamer believed that understanding is central to human existence and that this can be obtained via language based on historical and cultural influences (Gadamer, </w:t>
      </w:r>
      <w:r>
        <w:rPr>
          <w:rFonts w:ascii="Times New Roman" w:hAnsi="Times New Roman"/>
          <w:szCs w:val="24"/>
        </w:rPr>
        <w:t>2004</w:t>
      </w:r>
      <w:r w:rsidRPr="00B228C0">
        <w:rPr>
          <w:rFonts w:ascii="Times New Roman" w:hAnsi="Times New Roman"/>
          <w:szCs w:val="24"/>
        </w:rPr>
        <w:t>; Langdridge, 2007). Gadamer maintained that conversation is core to understanding, which promotes a shared understanding to reveal the ‘things themselves’. This is essential in phenomenological research into the lived experience as what the conversation reveals is generated from a shared understanding with the researcher accepting the experience of the participants while recognising the role of his/her own experiences in understanding those of the participants (Langdridge, 2007).</w:t>
      </w:r>
    </w:p>
    <w:p w14:paraId="59EF844E" w14:textId="77777777" w:rsidR="00054353" w:rsidRPr="00B228C0" w:rsidRDefault="00054353" w:rsidP="006869A3">
      <w:pPr>
        <w:pStyle w:val="Heading3"/>
      </w:pPr>
      <w:bookmarkStart w:id="130" w:name="_Toc86417314"/>
      <w:r w:rsidRPr="00B228C0">
        <w:t>5.5.5. Fusion of Horizons</w:t>
      </w:r>
      <w:bookmarkEnd w:id="130"/>
    </w:p>
    <w:p w14:paraId="54B38C69" w14:textId="77777777" w:rsidR="00054353" w:rsidRDefault="00054353" w:rsidP="00054353">
      <w:pPr>
        <w:spacing w:after="200"/>
        <w:jc w:val="both"/>
        <w:rPr>
          <w:rFonts w:ascii="Times New Roman" w:hAnsi="Times New Roman"/>
          <w:szCs w:val="24"/>
        </w:rPr>
      </w:pPr>
      <w:r w:rsidRPr="00B228C0">
        <w:rPr>
          <w:rFonts w:ascii="Times New Roman" w:hAnsi="Times New Roman"/>
          <w:szCs w:val="24"/>
        </w:rPr>
        <w:t>Like Heidegger, Gadamer (</w:t>
      </w:r>
      <w:r>
        <w:rPr>
          <w:rFonts w:ascii="Times New Roman" w:hAnsi="Times New Roman"/>
          <w:szCs w:val="24"/>
        </w:rPr>
        <w:t>2004</w:t>
      </w:r>
      <w:r w:rsidRPr="00B228C0">
        <w:rPr>
          <w:rFonts w:ascii="Times New Roman" w:hAnsi="Times New Roman"/>
          <w:szCs w:val="24"/>
        </w:rPr>
        <w:t xml:space="preserve">) also considered it impossible for the researcher to bracket his/her experience of the phenomenon and in effect make </w:t>
      </w:r>
      <w:r w:rsidRPr="00B228C0">
        <w:rPr>
          <w:rFonts w:ascii="Times New Roman" w:hAnsi="Times New Roman"/>
          <w:i/>
          <w:szCs w:val="24"/>
        </w:rPr>
        <w:t>epoché</w:t>
      </w:r>
      <w:r w:rsidRPr="00B228C0">
        <w:rPr>
          <w:rFonts w:ascii="Times New Roman" w:hAnsi="Times New Roman"/>
          <w:szCs w:val="24"/>
        </w:rPr>
        <w:t xml:space="preserve"> unachievable. Gadamer posited that instead of seeking to bracket their experience, researchers must first understand themselves before attempting to understand their participants. Doing this involves the researcher developing an understanding of the pre-judgements they bring into the research which depends mainly on their cultural and historical experiences. Rees (2003) observed that Gadamer uses the concept of horizon to describe how the interpretation of text occurs. Gadamer defined horizon as, “</w:t>
      </w:r>
      <w:r w:rsidRPr="00B228C0">
        <w:rPr>
          <w:rFonts w:ascii="Times New Roman" w:hAnsi="Times New Roman"/>
          <w:i/>
          <w:szCs w:val="24"/>
        </w:rPr>
        <w:t>…the range of vision that includes everything that can be seen from a particular vantage point</w:t>
      </w:r>
      <w:r w:rsidRPr="00B228C0">
        <w:rPr>
          <w:rFonts w:ascii="Times New Roman" w:hAnsi="Times New Roman"/>
          <w:szCs w:val="24"/>
        </w:rPr>
        <w:t xml:space="preserve">” (Gadamer, </w:t>
      </w:r>
      <w:r>
        <w:rPr>
          <w:rFonts w:ascii="Times New Roman" w:hAnsi="Times New Roman"/>
          <w:szCs w:val="24"/>
        </w:rPr>
        <w:t>2004</w:t>
      </w:r>
      <w:r w:rsidRPr="00B228C0">
        <w:rPr>
          <w:rFonts w:ascii="Times New Roman" w:hAnsi="Times New Roman"/>
          <w:szCs w:val="24"/>
        </w:rPr>
        <w:t>, p.30</w:t>
      </w:r>
      <w:r>
        <w:rPr>
          <w:rFonts w:ascii="Times New Roman" w:hAnsi="Times New Roman"/>
          <w:szCs w:val="24"/>
        </w:rPr>
        <w:t>1</w:t>
      </w:r>
      <w:r w:rsidRPr="00B228C0">
        <w:rPr>
          <w:rFonts w:ascii="Times New Roman" w:hAnsi="Times New Roman"/>
          <w:szCs w:val="24"/>
        </w:rPr>
        <w:t>). A researcher’s vantage point is the belief system, desires, and imaginings within which his/her horizon is formed through history, both personal and socio-cultural (Rees, 2003).</w:t>
      </w:r>
    </w:p>
    <w:p w14:paraId="071E7D74" w14:textId="77777777" w:rsidR="00054353" w:rsidRDefault="00054353" w:rsidP="00054353">
      <w:pPr>
        <w:spacing w:after="200"/>
        <w:jc w:val="both"/>
        <w:rPr>
          <w:rFonts w:ascii="Times New Roman" w:hAnsi="Times New Roman"/>
          <w:szCs w:val="24"/>
        </w:rPr>
      </w:pPr>
      <w:r w:rsidRPr="00B228C0">
        <w:rPr>
          <w:rFonts w:ascii="Times New Roman" w:hAnsi="Times New Roman"/>
          <w:szCs w:val="24"/>
        </w:rPr>
        <w:t xml:space="preserve">The researcher’s horizon encapsulates the range of vision that he/she brings to the interpretation of text obtained via conversing with the research participants. When researchers blend their horizon with the meaning expressed by their participants, Gadamer stated that a process called the ‘fusion of horizon’ occurs (Gadamer, </w:t>
      </w:r>
      <w:r>
        <w:rPr>
          <w:rFonts w:ascii="Times New Roman" w:hAnsi="Times New Roman"/>
          <w:szCs w:val="24"/>
        </w:rPr>
        <w:t>2004</w:t>
      </w:r>
      <w:r w:rsidRPr="00B228C0">
        <w:rPr>
          <w:rFonts w:ascii="Times New Roman" w:hAnsi="Times New Roman"/>
          <w:szCs w:val="24"/>
        </w:rPr>
        <w:t>; Rapport, 2005). The fusion of horizon is repeated in a circular process known as the hermeneutic circle, in which the researcher’s interpretations becomes fused with the interpretations of the theme through an iterative and cyclical process that occurs in a back-and-forth manner (Rapport, 2005). As Rapport observed, “</w:t>
      </w:r>
      <w:r w:rsidRPr="00B228C0">
        <w:rPr>
          <w:rFonts w:ascii="Times New Roman" w:hAnsi="Times New Roman"/>
          <w:i/>
          <w:szCs w:val="24"/>
        </w:rPr>
        <w:t xml:space="preserve">With no beginning or </w:t>
      </w:r>
      <w:r w:rsidRPr="00B228C0">
        <w:rPr>
          <w:rFonts w:ascii="Times New Roman" w:hAnsi="Times New Roman"/>
          <w:i/>
          <w:szCs w:val="24"/>
        </w:rPr>
        <w:lastRenderedPageBreak/>
        <w:t>end, top nor bottom, interpretation is revealed as a process of circular movement – a continuum</w:t>
      </w:r>
      <w:r w:rsidRPr="00B228C0">
        <w:rPr>
          <w:rFonts w:ascii="Times New Roman" w:hAnsi="Times New Roman"/>
          <w:szCs w:val="24"/>
        </w:rPr>
        <w:t>” (Rapport, 2005, p.130). Smith, Flowers and Larkin (2009) noted that the researcher engages the text in the data collected in a back-and-forth manner at different levels, interpreting new meanings rather than waiting to complete the process in stages.</w:t>
      </w:r>
    </w:p>
    <w:p w14:paraId="37BF6E6F"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In my study, I engaged with the transcribed text using Gadamer’s concept of the cyclic process. This process was critical in the analysis of data as I sought to make sense of the meaning participants make of their lived experiences and this was used in the entire process of analysing and interpreting the text. Equally crucial to the analysis of the text is the work of Ricoeur (1976) contribution to hermeneutics. Ricoeur (1976) in support of Gadamer (</w:t>
      </w:r>
      <w:r>
        <w:rPr>
          <w:rFonts w:ascii="Times New Roman" w:hAnsi="Times New Roman"/>
          <w:szCs w:val="24"/>
        </w:rPr>
        <w:t>2004</w:t>
      </w:r>
      <w:r w:rsidRPr="00B228C0">
        <w:rPr>
          <w:rFonts w:ascii="Times New Roman" w:hAnsi="Times New Roman"/>
          <w:szCs w:val="24"/>
        </w:rPr>
        <w:t xml:space="preserve">), appreciated the importance of ‘being-in-the-world’ and adopted some of Gadamer’s principles in his approach to hermeneutics. Like Gadamer, Ricoeur considered language significant in the revelation of meaning. Ricoeur (1976) emphasized the role of discourse and discussion in the uncovering of meaning and not the mere interpretation of text through breaking down language, which does not adequately reveal meaning. Ricoeur’s (1976) approach to hermeneutics was one in which the researcher maintains suspicion by analysing text to uncover the hidden meaning within language, analysing metaphor and narratives (Langdridge, 2007; Knotts, 2014). It is essential to note that this study was informed by elements of Gadamer approach (the hermeneutic circle) to interpretive phenomenology and van Manen approach (phenomenological reflection and writing, which is addressed in the data analysis part of the next chapter). </w:t>
      </w:r>
    </w:p>
    <w:p w14:paraId="45FC6101" w14:textId="77777777" w:rsidR="00054353" w:rsidRPr="00B228C0" w:rsidRDefault="00054353" w:rsidP="006869A3">
      <w:pPr>
        <w:pStyle w:val="Heading2"/>
      </w:pPr>
      <w:bookmarkStart w:id="131" w:name="_Toc86417315"/>
      <w:r w:rsidRPr="00B228C0">
        <w:t>5.6. Rationale for the choice of methodological approach</w:t>
      </w:r>
      <w:bookmarkEnd w:id="131"/>
    </w:p>
    <w:p w14:paraId="7E22448B"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t>The methodological approach the researcher decides to adopt is partly determined by his personal philosophical assumptions as well as the nature of the research and partly by the research questions that are drawn up for the study (Gray, 2009). To explore my participant’s experiences, I adopted the qualitative approach because it seeks to gather data on the</w:t>
      </w:r>
      <w:r w:rsidRPr="00B228C0">
        <w:rPr>
          <w:rFonts w:ascii="Times New Roman" w:hAnsi="Times New Roman"/>
          <w:b/>
          <w:szCs w:val="24"/>
        </w:rPr>
        <w:t xml:space="preserve"> </w:t>
      </w:r>
      <w:r w:rsidRPr="00B228C0">
        <w:rPr>
          <w:rFonts w:ascii="Times New Roman" w:hAnsi="Times New Roman"/>
          <w:szCs w:val="24"/>
        </w:rPr>
        <w:t>experiences of the care workers.</w:t>
      </w:r>
      <w:r w:rsidRPr="00B228C0">
        <w:rPr>
          <w:rFonts w:ascii="Times New Roman" w:hAnsi="Times New Roman"/>
          <w:b/>
          <w:szCs w:val="24"/>
        </w:rPr>
        <w:t xml:space="preserve"> </w:t>
      </w:r>
      <w:r w:rsidRPr="00B228C0">
        <w:rPr>
          <w:rFonts w:ascii="Times New Roman" w:hAnsi="Times New Roman"/>
          <w:szCs w:val="24"/>
        </w:rPr>
        <w:t>Although there may be other numerical indicators (e.g.</w:t>
      </w:r>
      <w:r>
        <w:rPr>
          <w:rFonts w:ascii="Times New Roman" w:hAnsi="Times New Roman"/>
          <w:szCs w:val="24"/>
        </w:rPr>
        <w:t>,</w:t>
      </w:r>
      <w:r w:rsidRPr="00B228C0">
        <w:rPr>
          <w:rFonts w:ascii="Times New Roman" w:hAnsi="Times New Roman"/>
          <w:szCs w:val="24"/>
        </w:rPr>
        <w:t xml:space="preserve"> number of work hours) that can relate numbers to experience, it will not be appropriate to explore experience only based on that. As already stated under the sections on my ontological and epistemological assumptions, the reason I chose to adopt the interpretivist paradigm also informed my choice of methodology. </w:t>
      </w:r>
    </w:p>
    <w:p w14:paraId="03AC78E4" w14:textId="77777777" w:rsidR="00054353" w:rsidRPr="00B228C0" w:rsidRDefault="00054353" w:rsidP="00054353">
      <w:pPr>
        <w:spacing w:after="200"/>
        <w:jc w:val="both"/>
        <w:rPr>
          <w:rFonts w:ascii="Times New Roman" w:hAnsi="Times New Roman"/>
          <w:szCs w:val="24"/>
        </w:rPr>
      </w:pPr>
      <w:r w:rsidRPr="00B228C0">
        <w:rPr>
          <w:rFonts w:ascii="Times New Roman" w:hAnsi="Times New Roman"/>
          <w:szCs w:val="24"/>
        </w:rPr>
        <w:lastRenderedPageBreak/>
        <w:t>In brief, early in the planning of this study, I decided not to take a quantitative or positivist approach. I opted for the qualitative approach which has a firm base in constructivism because of the subjective nature of the research into care workers’ experiences. Doing so involves exploring the experience of individuals involved in a particular task as well as eliciting comments from them, and the quantitative approach will be ineffective in undertaking this exploration. Secondly, on the nature of paradigms, interpretivism is the choice of the paradigm used in previous literature to examine experience. Since the paradigm involves an interaction between the research participants, in this case, the care workers and the researcher, it is hoped that meaningful reality about the nature and pattern of caregiving will be uncovered through this interaction. Thirdly, the quantitative approach or positivist was rejected because it is not compatible with the aims and objectives set for the study. The quantitative approach uses a survey or related methods that will not provide the detailed experienced sought in this case. A survey would not allow the researcher to interact with the participants to create an exchange that will elicit and reinforce preconceived core assumptions, beliefs and values. I looked to explore the experience of the care workers which will be subjective. The decision was therefore made to adopt an interpretive paradigm, undertaking a naturalistic, qualitative study to understand these experiences.</w:t>
      </w:r>
    </w:p>
    <w:p w14:paraId="0AA687FE" w14:textId="77777777" w:rsidR="00054353" w:rsidRPr="00B228C0" w:rsidRDefault="00054353" w:rsidP="006869A3">
      <w:pPr>
        <w:pStyle w:val="Heading2"/>
      </w:pPr>
      <w:bookmarkStart w:id="132" w:name="_Toc86417316"/>
      <w:r w:rsidRPr="00B228C0">
        <w:t>5.7. Summary</w:t>
      </w:r>
      <w:bookmarkEnd w:id="132"/>
    </w:p>
    <w:p w14:paraId="347D7A9F" w14:textId="56084221" w:rsidR="00694ED3" w:rsidRPr="00567431" w:rsidRDefault="00054353" w:rsidP="006869A3">
      <w:pPr>
        <w:spacing w:after="200"/>
        <w:jc w:val="both"/>
        <w:rPr>
          <w:rFonts w:ascii="Times New Roman" w:hAnsi="Times New Roman"/>
          <w:szCs w:val="24"/>
        </w:rPr>
      </w:pPr>
      <w:r w:rsidRPr="00B228C0">
        <w:rPr>
          <w:rFonts w:ascii="Times New Roman" w:hAnsi="Times New Roman"/>
          <w:szCs w:val="24"/>
        </w:rPr>
        <w:t>In this chapter, I examined the philosophical underpinnings of my research by looking at the epistemological and ontological perspectives that informed the study of Nigerian migrant care workers. I provided a detailed rationale for my choice of interpretive phenomenology to understand the lived experience of my participants, and I explained what my role as a researcher is in the data collection stage. In the next chapter, I present the steps undertook to collect data from my participants. The specific way data was collected, coding and analysis are also presented.</w:t>
      </w:r>
    </w:p>
    <w:p w14:paraId="1E9758CF" w14:textId="77777777" w:rsidR="006869A3" w:rsidRDefault="006869A3">
      <w:pPr>
        <w:spacing w:after="0" w:line="240" w:lineRule="auto"/>
        <w:rPr>
          <w:rFonts w:ascii="Times New Roman" w:hAnsi="Times New Roman"/>
          <w:b/>
          <w:szCs w:val="24"/>
        </w:rPr>
      </w:pPr>
      <w:r>
        <w:rPr>
          <w:rFonts w:ascii="Times New Roman" w:hAnsi="Times New Roman"/>
          <w:b/>
          <w:szCs w:val="24"/>
        </w:rPr>
        <w:br w:type="page"/>
      </w:r>
    </w:p>
    <w:p w14:paraId="382AC6F3" w14:textId="32C3DA38" w:rsidR="00D443A9" w:rsidRPr="00CC28C1" w:rsidRDefault="00D443A9" w:rsidP="006869A3">
      <w:pPr>
        <w:pStyle w:val="Heading1"/>
      </w:pPr>
      <w:bookmarkStart w:id="133" w:name="_Toc86417317"/>
      <w:r w:rsidRPr="00CC28C1">
        <w:lastRenderedPageBreak/>
        <w:t>CHAPTER SIX</w:t>
      </w:r>
      <w:bookmarkEnd w:id="133"/>
    </w:p>
    <w:p w14:paraId="5C1F18F0" w14:textId="77777777" w:rsidR="00D443A9" w:rsidRPr="00CC28C1" w:rsidRDefault="00D443A9" w:rsidP="00D443A9">
      <w:pPr>
        <w:spacing w:after="0"/>
        <w:jc w:val="center"/>
        <w:rPr>
          <w:rFonts w:ascii="Times New Roman" w:hAnsi="Times New Roman"/>
          <w:b/>
          <w:szCs w:val="24"/>
        </w:rPr>
      </w:pPr>
      <w:r w:rsidRPr="00CC28C1">
        <w:rPr>
          <w:rFonts w:ascii="Times New Roman" w:hAnsi="Times New Roman"/>
          <w:b/>
          <w:szCs w:val="24"/>
        </w:rPr>
        <w:t>METHODS</w:t>
      </w:r>
    </w:p>
    <w:p w14:paraId="300CA606" w14:textId="77777777" w:rsidR="00D443A9" w:rsidRPr="00CC28C1" w:rsidRDefault="00D443A9" w:rsidP="006869A3">
      <w:pPr>
        <w:pStyle w:val="Heading2"/>
      </w:pPr>
      <w:bookmarkStart w:id="134" w:name="_Toc86417318"/>
      <w:r w:rsidRPr="00CC28C1">
        <w:t>6.1. Introduction</w:t>
      </w:r>
      <w:bookmarkEnd w:id="134"/>
    </w:p>
    <w:p w14:paraId="704A112A" w14:textId="06011F7E" w:rsidR="00D443A9" w:rsidRPr="00CC28C1" w:rsidRDefault="00D443A9" w:rsidP="00D443A9">
      <w:pPr>
        <w:jc w:val="both"/>
        <w:rPr>
          <w:rFonts w:ascii="Times New Roman" w:hAnsi="Times New Roman"/>
          <w:szCs w:val="24"/>
        </w:rPr>
      </w:pPr>
      <w:r w:rsidRPr="00CC28C1">
        <w:rPr>
          <w:rFonts w:ascii="Times New Roman" w:hAnsi="Times New Roman"/>
          <w:szCs w:val="24"/>
        </w:rPr>
        <w:t>This chapter discusses the practical activities undertaken during the research to study the lived experience of paid Nigerian migrant care workers for people living with dementia (PLWD). It describes the specific methods I used for data collection, data coding and analysis, which were informed by both my research topic and theoretical perspectives on the methodology. Phenomenology influenced my choice of data collection methods, sampling techniques, ethical considerations and method of data analysis. The study was in two phases; the pilot study with four participants followed by the main study involving twenty-one participants.</w:t>
      </w:r>
    </w:p>
    <w:p w14:paraId="6481620E" w14:textId="77777777" w:rsidR="00D443A9" w:rsidRPr="00CC28C1" w:rsidRDefault="00D443A9" w:rsidP="00D443A9">
      <w:pPr>
        <w:jc w:val="both"/>
        <w:rPr>
          <w:rFonts w:ascii="Times New Roman" w:hAnsi="Times New Roman"/>
          <w:szCs w:val="24"/>
        </w:rPr>
      </w:pPr>
      <w:r w:rsidRPr="00CC28C1">
        <w:rPr>
          <w:rFonts w:ascii="Times New Roman" w:hAnsi="Times New Roman"/>
          <w:color w:val="000000"/>
          <w:szCs w:val="24"/>
        </w:rPr>
        <w:t>Before undertaking the research, I reflected on the ethical issues that I might encounter during and after the research (</w:t>
      </w:r>
      <w:r w:rsidRPr="00CC28C1">
        <w:rPr>
          <w:rFonts w:ascii="Times New Roman" w:eastAsia="Arial Unicode MS" w:hAnsi="Times New Roman"/>
          <w:szCs w:val="24"/>
        </w:rPr>
        <w:t>Emanuel</w:t>
      </w:r>
      <w:r w:rsidRPr="00CC28C1">
        <w:rPr>
          <w:rFonts w:ascii="Times New Roman" w:hAnsi="Times New Roman"/>
          <w:szCs w:val="24"/>
        </w:rPr>
        <w:t xml:space="preserve">, </w:t>
      </w:r>
      <w:r w:rsidRPr="00CC28C1">
        <w:rPr>
          <w:rFonts w:ascii="Times New Roman" w:eastAsia="Arial Unicode MS" w:hAnsi="Times New Roman"/>
          <w:szCs w:val="24"/>
        </w:rPr>
        <w:t>Wendler</w:t>
      </w:r>
      <w:r w:rsidRPr="00CC28C1">
        <w:rPr>
          <w:rFonts w:ascii="Times New Roman" w:hAnsi="Times New Roman"/>
          <w:szCs w:val="24"/>
        </w:rPr>
        <w:t xml:space="preserve"> and </w:t>
      </w:r>
      <w:r w:rsidRPr="00CC28C1">
        <w:rPr>
          <w:rFonts w:ascii="Times New Roman" w:eastAsia="Arial Unicode MS" w:hAnsi="Times New Roman"/>
          <w:szCs w:val="24"/>
        </w:rPr>
        <w:t>Grady</w:t>
      </w:r>
      <w:r w:rsidRPr="00CC28C1">
        <w:rPr>
          <w:rFonts w:ascii="Times New Roman" w:hAnsi="Times New Roman"/>
          <w:szCs w:val="24"/>
        </w:rPr>
        <w:t>, 2000;</w:t>
      </w:r>
      <w:r w:rsidRPr="00CC28C1">
        <w:rPr>
          <w:rFonts w:ascii="Times New Roman" w:hAnsi="Times New Roman"/>
        </w:rPr>
        <w:t xml:space="preserve"> </w:t>
      </w:r>
      <w:r w:rsidRPr="00CC28C1">
        <w:rPr>
          <w:rFonts w:ascii="Times New Roman" w:hAnsi="Times New Roman"/>
          <w:szCs w:val="24"/>
        </w:rPr>
        <w:t>McDonach, Barbour and Williams, 2009</w:t>
      </w:r>
      <w:r w:rsidRPr="00CC28C1">
        <w:rPr>
          <w:rFonts w:ascii="Times New Roman" w:hAnsi="Times New Roman"/>
          <w:color w:val="000000"/>
          <w:szCs w:val="24"/>
        </w:rPr>
        <w:t>). The identified issues informed all the key decisions I made in the planning, implementation and reporting stages of the research (Gray, 2009). By paying attention to all possible ethical issues and setting out a clear plan to address them throughout the course of the study, I was able to set the stage for the credibility and reliability of the research which Homan (1991, p. 1) describes as the “science of morality”. This was in keeping with good research practices which the Economic and Social Research Council (ESRC, 2004) holds as the moral principles that should guide any research.</w:t>
      </w:r>
    </w:p>
    <w:p w14:paraId="529B9F35" w14:textId="77777777" w:rsidR="00D443A9" w:rsidRPr="00CC28C1" w:rsidRDefault="00D443A9" w:rsidP="006869A3">
      <w:pPr>
        <w:pStyle w:val="Heading2"/>
      </w:pPr>
      <w:bookmarkStart w:id="135" w:name="_Toc86417319"/>
      <w:r w:rsidRPr="00CC28C1">
        <w:t>6.2. The ethical and research governance approval process</w:t>
      </w:r>
      <w:bookmarkEnd w:id="135"/>
    </w:p>
    <w:p w14:paraId="37379237" w14:textId="77777777" w:rsidR="00D443A9" w:rsidRPr="00CC28C1" w:rsidRDefault="00D443A9" w:rsidP="00D443A9">
      <w:pPr>
        <w:jc w:val="both"/>
        <w:rPr>
          <w:rFonts w:ascii="Times New Roman" w:hAnsi="Times New Roman"/>
          <w:szCs w:val="24"/>
        </w:rPr>
      </w:pPr>
      <w:r w:rsidRPr="00CC28C1">
        <w:rPr>
          <w:rFonts w:ascii="Times New Roman" w:hAnsi="Times New Roman"/>
          <w:color w:val="000000"/>
          <w:szCs w:val="24"/>
        </w:rPr>
        <w:t xml:space="preserve">Ethical considerations are an important component of the research process because it mitigates against any concern that may put the research participants or the researcher in danger (Creswell, 2014). </w:t>
      </w:r>
      <w:r w:rsidRPr="00CC28C1">
        <w:rPr>
          <w:rFonts w:ascii="Times New Roman" w:hAnsi="Times New Roman"/>
          <w:szCs w:val="24"/>
        </w:rPr>
        <w:t>The main ethical issues addressed in this study includes seeking informed consent, maintaining confidentiality during and after interviews and minimising emotional harm during interviews. Ethical issues related to post data generation and publication of research findings were also addressed.</w:t>
      </w:r>
    </w:p>
    <w:p w14:paraId="69F11947" w14:textId="5BBFEEB4" w:rsidR="00D443A9" w:rsidRPr="00CC28C1" w:rsidRDefault="00D443A9" w:rsidP="00D443A9">
      <w:pPr>
        <w:jc w:val="both"/>
        <w:rPr>
          <w:rFonts w:ascii="Times New Roman" w:hAnsi="Times New Roman"/>
          <w:color w:val="000000"/>
          <w:szCs w:val="24"/>
        </w:rPr>
      </w:pPr>
      <w:r w:rsidRPr="00CC28C1">
        <w:rPr>
          <w:rFonts w:ascii="Times New Roman" w:hAnsi="Times New Roman"/>
          <w:color w:val="000000"/>
          <w:szCs w:val="24"/>
        </w:rPr>
        <w:lastRenderedPageBreak/>
        <w:t>During the planning stage of this research, a multicentre ethical approval was sought from the Health Research Authority (HRA) of the National Health Service (NHS) and the University Ethics committee. Similarly, approval was sought via letters of permission from four local churches in Chelmsford from where I recruited participants for the pilot study (see Appendices</w:t>
      </w:r>
      <w:r w:rsidR="00997882">
        <w:rPr>
          <w:rFonts w:ascii="Times New Roman" w:hAnsi="Times New Roman"/>
          <w:color w:val="000000"/>
          <w:szCs w:val="24"/>
        </w:rPr>
        <w:t xml:space="preserve"> 6.1A, 6.1B, 6.1C and 6.1D</w:t>
      </w:r>
      <w:r w:rsidRPr="00CC28C1">
        <w:rPr>
          <w:rFonts w:ascii="Times New Roman" w:hAnsi="Times New Roman"/>
          <w:color w:val="000000"/>
          <w:szCs w:val="24"/>
        </w:rPr>
        <w:t xml:space="preserve">). The application process to the NHS Health Research Authority (HRA) was completed on the Integrated Research Application System (IRAS). Amendments were requested and addressed before approval was granted (see </w:t>
      </w:r>
      <w:r w:rsidR="00AB7154" w:rsidRPr="00CC28C1">
        <w:rPr>
          <w:rFonts w:ascii="Times New Roman" w:hAnsi="Times New Roman"/>
          <w:color w:val="000000"/>
          <w:szCs w:val="24"/>
        </w:rPr>
        <w:t>Appendi</w:t>
      </w:r>
      <w:r w:rsidR="00AB7154">
        <w:rPr>
          <w:rFonts w:ascii="Times New Roman" w:hAnsi="Times New Roman"/>
          <w:color w:val="000000"/>
          <w:szCs w:val="24"/>
        </w:rPr>
        <w:t>ces</w:t>
      </w:r>
      <w:r w:rsidR="00833717">
        <w:rPr>
          <w:rFonts w:ascii="Times New Roman" w:hAnsi="Times New Roman"/>
          <w:color w:val="000000"/>
          <w:szCs w:val="24"/>
        </w:rPr>
        <w:t xml:space="preserve"> 6.2</w:t>
      </w:r>
      <w:r w:rsidR="00701D26">
        <w:rPr>
          <w:rFonts w:ascii="Times New Roman" w:hAnsi="Times New Roman"/>
          <w:color w:val="000000"/>
          <w:szCs w:val="24"/>
        </w:rPr>
        <w:t>A</w:t>
      </w:r>
      <w:r w:rsidR="000A7DA6">
        <w:rPr>
          <w:rFonts w:ascii="Times New Roman" w:hAnsi="Times New Roman"/>
          <w:color w:val="000000"/>
          <w:szCs w:val="24"/>
        </w:rPr>
        <w:t>, 6.2B</w:t>
      </w:r>
      <w:r w:rsidR="00701D26">
        <w:rPr>
          <w:rFonts w:ascii="Times New Roman" w:hAnsi="Times New Roman"/>
          <w:color w:val="000000"/>
          <w:szCs w:val="24"/>
        </w:rPr>
        <w:t xml:space="preserve"> and 6.2</w:t>
      </w:r>
      <w:r w:rsidR="000A7DA6">
        <w:rPr>
          <w:rFonts w:ascii="Times New Roman" w:hAnsi="Times New Roman"/>
          <w:color w:val="000000"/>
          <w:szCs w:val="24"/>
        </w:rPr>
        <w:t>C</w:t>
      </w:r>
      <w:r w:rsidRPr="00CC28C1">
        <w:rPr>
          <w:rFonts w:ascii="Times New Roman" w:hAnsi="Times New Roman"/>
          <w:color w:val="000000"/>
          <w:szCs w:val="24"/>
        </w:rPr>
        <w:t>). However, a minor amendment was later sought from the HRA when there was a change of study focus from paid African migrant care</w:t>
      </w:r>
      <w:r>
        <w:rPr>
          <w:rFonts w:ascii="Times New Roman" w:hAnsi="Times New Roman"/>
          <w:color w:val="000000"/>
          <w:szCs w:val="24"/>
        </w:rPr>
        <w:t xml:space="preserve"> worke</w:t>
      </w:r>
      <w:r w:rsidRPr="00CC28C1">
        <w:rPr>
          <w:rFonts w:ascii="Times New Roman" w:hAnsi="Times New Roman"/>
          <w:color w:val="000000"/>
          <w:szCs w:val="24"/>
        </w:rPr>
        <w:t>rs to paid Nigerian migrant care</w:t>
      </w:r>
      <w:r>
        <w:rPr>
          <w:rFonts w:ascii="Times New Roman" w:hAnsi="Times New Roman"/>
          <w:color w:val="000000"/>
          <w:szCs w:val="24"/>
        </w:rPr>
        <w:t xml:space="preserve"> worke</w:t>
      </w:r>
      <w:r w:rsidRPr="00CC28C1">
        <w:rPr>
          <w:rFonts w:ascii="Times New Roman" w:hAnsi="Times New Roman"/>
          <w:color w:val="000000"/>
          <w:szCs w:val="24"/>
        </w:rPr>
        <w:t>rs. Once the approval from the HRA was granted</w:t>
      </w:r>
      <w:r w:rsidR="00833717">
        <w:rPr>
          <w:rFonts w:ascii="Times New Roman" w:hAnsi="Times New Roman"/>
          <w:color w:val="000000"/>
          <w:szCs w:val="24"/>
        </w:rPr>
        <w:t xml:space="preserve"> (Appendix 6.</w:t>
      </w:r>
      <w:r w:rsidR="00234BDE">
        <w:rPr>
          <w:rFonts w:ascii="Times New Roman" w:hAnsi="Times New Roman"/>
          <w:color w:val="000000"/>
          <w:szCs w:val="24"/>
        </w:rPr>
        <w:t>2A</w:t>
      </w:r>
      <w:r w:rsidR="00833717">
        <w:rPr>
          <w:rFonts w:ascii="Times New Roman" w:hAnsi="Times New Roman"/>
          <w:color w:val="000000"/>
          <w:szCs w:val="24"/>
        </w:rPr>
        <w:t>)</w:t>
      </w:r>
      <w:r w:rsidRPr="00CC28C1">
        <w:rPr>
          <w:rFonts w:ascii="Times New Roman" w:hAnsi="Times New Roman"/>
          <w:color w:val="000000"/>
          <w:szCs w:val="24"/>
        </w:rPr>
        <w:t xml:space="preserve">, ethical approval from the Faculty Research Ethics Panel (FREP) of Anglia Ruskin University (ARU) was also confirmed </w:t>
      </w:r>
      <w:r w:rsidR="00833717">
        <w:rPr>
          <w:rFonts w:ascii="Times New Roman" w:hAnsi="Times New Roman"/>
          <w:color w:val="000000"/>
          <w:szCs w:val="24"/>
        </w:rPr>
        <w:t>(Appendix 6</w:t>
      </w:r>
      <w:r w:rsidR="001E32A4">
        <w:rPr>
          <w:rFonts w:ascii="Times New Roman" w:hAnsi="Times New Roman"/>
          <w:color w:val="000000"/>
          <w:szCs w:val="24"/>
        </w:rPr>
        <w:t>.</w:t>
      </w:r>
      <w:r w:rsidR="000A7DA6">
        <w:rPr>
          <w:rFonts w:ascii="Times New Roman" w:hAnsi="Times New Roman"/>
          <w:color w:val="000000"/>
          <w:szCs w:val="24"/>
        </w:rPr>
        <w:t>3</w:t>
      </w:r>
      <w:r w:rsidR="00833717">
        <w:rPr>
          <w:rFonts w:ascii="Times New Roman" w:hAnsi="Times New Roman"/>
          <w:color w:val="000000"/>
          <w:szCs w:val="24"/>
        </w:rPr>
        <w:t xml:space="preserve">) </w:t>
      </w:r>
      <w:r w:rsidRPr="00CC28C1">
        <w:rPr>
          <w:rFonts w:ascii="Times New Roman" w:hAnsi="Times New Roman"/>
          <w:color w:val="000000"/>
          <w:szCs w:val="24"/>
        </w:rPr>
        <w:t>and this marked the commencement of the data collection stage.</w:t>
      </w:r>
    </w:p>
    <w:p w14:paraId="616395B4" w14:textId="68E62C94" w:rsidR="00D443A9" w:rsidRPr="00CC28C1" w:rsidRDefault="00D443A9" w:rsidP="00D443A9">
      <w:pPr>
        <w:jc w:val="both"/>
        <w:rPr>
          <w:rFonts w:ascii="Times New Roman" w:hAnsi="Times New Roman"/>
          <w:szCs w:val="24"/>
        </w:rPr>
      </w:pPr>
      <w:r w:rsidRPr="00CC28C1">
        <w:rPr>
          <w:rFonts w:ascii="Times New Roman" w:hAnsi="Times New Roman"/>
          <w:szCs w:val="24"/>
        </w:rPr>
        <w:t xml:space="preserve">Approval was also sought from Research and Development (R&amp;D) department of the participating NHS Trust </w:t>
      </w:r>
      <w:r w:rsidRPr="00CC28C1">
        <w:rPr>
          <w:rFonts w:ascii="Times New Roman" w:hAnsi="Times New Roman"/>
          <w:color w:val="000000"/>
          <w:szCs w:val="24"/>
        </w:rPr>
        <w:t>to allow participants from the two wards within the Trust to be recruited</w:t>
      </w:r>
      <w:r w:rsidR="006B77C8">
        <w:rPr>
          <w:rFonts w:ascii="Times New Roman" w:hAnsi="Times New Roman"/>
          <w:color w:val="000000"/>
          <w:szCs w:val="24"/>
        </w:rPr>
        <w:t xml:space="preserve"> (Appendix 6</w:t>
      </w:r>
      <w:r w:rsidR="00525805">
        <w:rPr>
          <w:rFonts w:ascii="Times New Roman" w:hAnsi="Times New Roman"/>
          <w:color w:val="000000"/>
          <w:szCs w:val="24"/>
        </w:rPr>
        <w:t>.2</w:t>
      </w:r>
      <w:r w:rsidR="006B77C8">
        <w:rPr>
          <w:rFonts w:ascii="Times New Roman" w:hAnsi="Times New Roman"/>
          <w:color w:val="000000"/>
          <w:szCs w:val="24"/>
        </w:rPr>
        <w:t>C)</w:t>
      </w:r>
      <w:r w:rsidRPr="00CC28C1">
        <w:rPr>
          <w:rFonts w:ascii="Times New Roman" w:hAnsi="Times New Roman"/>
          <w:color w:val="000000"/>
          <w:szCs w:val="24"/>
        </w:rPr>
        <w:t>. Obtaining Research Governance approval from the R&amp;D Department of the NHS Trust required sending the R&amp;D manager the approval obtained from the HRA who in turn issued a letter of approval via email. In the process of obtaining HRA approval, copies of the invitation leaflet</w:t>
      </w:r>
      <w:r w:rsidR="00525805">
        <w:rPr>
          <w:rFonts w:ascii="Times New Roman" w:hAnsi="Times New Roman"/>
          <w:color w:val="000000"/>
          <w:szCs w:val="24"/>
        </w:rPr>
        <w:t xml:space="preserve"> (Appendix 6.4)</w:t>
      </w:r>
      <w:r w:rsidRPr="00CC28C1">
        <w:rPr>
          <w:rFonts w:ascii="Times New Roman" w:hAnsi="Times New Roman"/>
          <w:color w:val="000000"/>
          <w:szCs w:val="24"/>
        </w:rPr>
        <w:t xml:space="preserve">, full university indemnity letter </w:t>
      </w:r>
      <w:r w:rsidR="00525805">
        <w:rPr>
          <w:rFonts w:ascii="Times New Roman" w:hAnsi="Times New Roman"/>
          <w:color w:val="000000"/>
          <w:szCs w:val="24"/>
        </w:rPr>
        <w:t xml:space="preserve">(Appendix 6.5) </w:t>
      </w:r>
      <w:r w:rsidRPr="00CC28C1">
        <w:rPr>
          <w:rFonts w:ascii="Times New Roman" w:hAnsi="Times New Roman"/>
          <w:color w:val="000000"/>
          <w:szCs w:val="24"/>
        </w:rPr>
        <w:t>and other documents relating to the research were submitted. Other research documents submitted (and included in the appendices) include the interview guide</w:t>
      </w:r>
      <w:r w:rsidR="00525805">
        <w:rPr>
          <w:rFonts w:ascii="Times New Roman" w:hAnsi="Times New Roman"/>
          <w:color w:val="000000"/>
          <w:szCs w:val="24"/>
        </w:rPr>
        <w:t xml:space="preserve"> (Appendix 6.6)</w:t>
      </w:r>
      <w:r w:rsidRPr="00CC28C1">
        <w:rPr>
          <w:rFonts w:ascii="Times New Roman" w:hAnsi="Times New Roman"/>
          <w:color w:val="000000"/>
          <w:szCs w:val="24"/>
        </w:rPr>
        <w:t>, front page of the completed IRAS application form</w:t>
      </w:r>
      <w:r w:rsidR="00525805">
        <w:rPr>
          <w:rFonts w:ascii="Times New Roman" w:hAnsi="Times New Roman"/>
          <w:color w:val="000000"/>
          <w:szCs w:val="24"/>
        </w:rPr>
        <w:t xml:space="preserve"> (Appendix 6.7)</w:t>
      </w:r>
      <w:r w:rsidRPr="00CC28C1">
        <w:rPr>
          <w:rFonts w:ascii="Times New Roman" w:hAnsi="Times New Roman"/>
          <w:color w:val="000000"/>
          <w:szCs w:val="24"/>
        </w:rPr>
        <w:t>, letter of invitation</w:t>
      </w:r>
      <w:r w:rsidR="00525805">
        <w:rPr>
          <w:rFonts w:ascii="Times New Roman" w:hAnsi="Times New Roman"/>
          <w:color w:val="000000"/>
          <w:szCs w:val="24"/>
        </w:rPr>
        <w:t xml:space="preserve"> (Appendix 6.8)</w:t>
      </w:r>
      <w:r w:rsidRPr="00CC28C1">
        <w:rPr>
          <w:rFonts w:ascii="Times New Roman" w:hAnsi="Times New Roman"/>
          <w:color w:val="000000"/>
          <w:szCs w:val="24"/>
        </w:rPr>
        <w:t>, participant consent form</w:t>
      </w:r>
      <w:r w:rsidR="001E7E7B">
        <w:rPr>
          <w:rFonts w:ascii="Times New Roman" w:hAnsi="Times New Roman"/>
          <w:color w:val="000000"/>
          <w:szCs w:val="24"/>
        </w:rPr>
        <w:t xml:space="preserve"> (PCF)</w:t>
      </w:r>
      <w:r w:rsidR="00525805">
        <w:rPr>
          <w:rFonts w:ascii="Times New Roman" w:hAnsi="Times New Roman"/>
          <w:color w:val="000000"/>
          <w:szCs w:val="24"/>
        </w:rPr>
        <w:t xml:space="preserve"> (Appendix 6.9)</w:t>
      </w:r>
      <w:r w:rsidRPr="00CC28C1">
        <w:rPr>
          <w:rFonts w:ascii="Times New Roman" w:hAnsi="Times New Roman"/>
          <w:color w:val="000000"/>
          <w:szCs w:val="24"/>
        </w:rPr>
        <w:t>, participant information sheet</w:t>
      </w:r>
      <w:r w:rsidR="00525805">
        <w:rPr>
          <w:rFonts w:ascii="Times New Roman" w:hAnsi="Times New Roman"/>
          <w:color w:val="000000"/>
          <w:szCs w:val="24"/>
        </w:rPr>
        <w:t xml:space="preserve"> </w:t>
      </w:r>
      <w:r w:rsidR="001E7E7B">
        <w:rPr>
          <w:rFonts w:ascii="Times New Roman" w:hAnsi="Times New Roman"/>
          <w:color w:val="000000"/>
          <w:szCs w:val="24"/>
        </w:rPr>
        <w:t xml:space="preserve">(PIS) </w:t>
      </w:r>
      <w:r w:rsidR="00525805">
        <w:rPr>
          <w:rFonts w:ascii="Times New Roman" w:hAnsi="Times New Roman"/>
          <w:color w:val="000000"/>
          <w:szCs w:val="24"/>
        </w:rPr>
        <w:t>(Appendix 6.10)</w:t>
      </w:r>
      <w:r w:rsidRPr="00CC28C1">
        <w:rPr>
          <w:rFonts w:ascii="Times New Roman" w:hAnsi="Times New Roman"/>
          <w:color w:val="000000"/>
          <w:szCs w:val="24"/>
        </w:rPr>
        <w:t>, research protocol</w:t>
      </w:r>
      <w:r w:rsidR="00525805">
        <w:rPr>
          <w:rFonts w:ascii="Times New Roman" w:hAnsi="Times New Roman"/>
          <w:color w:val="000000"/>
          <w:szCs w:val="24"/>
        </w:rPr>
        <w:t xml:space="preserve"> (Appendix 6.11)</w:t>
      </w:r>
      <w:r w:rsidRPr="00CC28C1">
        <w:rPr>
          <w:rFonts w:ascii="Times New Roman" w:hAnsi="Times New Roman"/>
          <w:color w:val="000000"/>
          <w:szCs w:val="24"/>
        </w:rPr>
        <w:t xml:space="preserve"> and the summary of my curriculum vitae</w:t>
      </w:r>
      <w:r w:rsidR="00B61500">
        <w:rPr>
          <w:rFonts w:ascii="Times New Roman" w:hAnsi="Times New Roman"/>
          <w:color w:val="000000"/>
          <w:szCs w:val="24"/>
        </w:rPr>
        <w:t xml:space="preserve"> (Appendix 6.12)</w:t>
      </w:r>
      <w:r w:rsidRPr="00CC28C1">
        <w:rPr>
          <w:rFonts w:ascii="Times New Roman" w:hAnsi="Times New Roman"/>
          <w:color w:val="000000"/>
          <w:szCs w:val="24"/>
        </w:rPr>
        <w:t xml:space="preserve"> and those of my supervisors (not included).</w:t>
      </w:r>
    </w:p>
    <w:p w14:paraId="4472FD39" w14:textId="77777777" w:rsidR="00D443A9" w:rsidRPr="00CC28C1" w:rsidRDefault="00D443A9" w:rsidP="006869A3">
      <w:pPr>
        <w:pStyle w:val="Heading2"/>
      </w:pPr>
      <w:bookmarkStart w:id="136" w:name="_Toc86417320"/>
      <w:r w:rsidRPr="00CC28C1">
        <w:t>6.3. Addressing research ethical issues</w:t>
      </w:r>
      <w:bookmarkEnd w:id="136"/>
    </w:p>
    <w:p w14:paraId="0A693D97" w14:textId="77777777" w:rsidR="00D443A9" w:rsidRPr="00CC28C1" w:rsidRDefault="00D443A9" w:rsidP="00D443A9">
      <w:pPr>
        <w:jc w:val="both"/>
        <w:rPr>
          <w:rFonts w:ascii="Times New Roman" w:hAnsi="Times New Roman"/>
          <w:color w:val="000000"/>
          <w:szCs w:val="24"/>
        </w:rPr>
      </w:pPr>
      <w:r w:rsidRPr="00CC28C1">
        <w:rPr>
          <w:rFonts w:ascii="Times New Roman" w:hAnsi="Times New Roman"/>
          <w:color w:val="000000"/>
          <w:szCs w:val="24"/>
        </w:rPr>
        <w:t xml:space="preserve">The ethical issues related to this study were derived from the key ethical principles which ultimately guided the moral choices of behaviour between me as the researcher </w:t>
      </w:r>
      <w:r w:rsidRPr="00CC28C1">
        <w:rPr>
          <w:rFonts w:ascii="Times New Roman" w:hAnsi="Times New Roman"/>
          <w:color w:val="000000"/>
          <w:szCs w:val="24"/>
        </w:rPr>
        <w:lastRenderedPageBreak/>
        <w:t>and the research participants (Redman, Hill and Fry, 1997). The principles include non-maleficence, autonomy, beneficence, justice and veracity (</w:t>
      </w:r>
      <w:r w:rsidRPr="00CC28C1">
        <w:rPr>
          <w:rFonts w:ascii="Times New Roman" w:hAnsi="Times New Roman"/>
          <w:szCs w:val="24"/>
        </w:rPr>
        <w:t>Gillon, 1994</w:t>
      </w:r>
      <w:r w:rsidRPr="00CC28C1">
        <w:rPr>
          <w:rFonts w:ascii="Times New Roman" w:hAnsi="Times New Roman"/>
          <w:color w:val="000000"/>
          <w:szCs w:val="24"/>
        </w:rPr>
        <w:t xml:space="preserve">; </w:t>
      </w:r>
      <w:r w:rsidRPr="00CC28C1">
        <w:rPr>
          <w:rFonts w:ascii="Times New Roman" w:hAnsi="Times New Roman"/>
          <w:szCs w:val="24"/>
        </w:rPr>
        <w:t>Westra, Willems and Smit, 2009</w:t>
      </w:r>
      <w:r w:rsidRPr="00CC28C1">
        <w:rPr>
          <w:rFonts w:ascii="Times New Roman" w:hAnsi="Times New Roman"/>
          <w:color w:val="000000"/>
          <w:szCs w:val="24"/>
        </w:rPr>
        <w:t>).</w:t>
      </w:r>
    </w:p>
    <w:p w14:paraId="026C8115" w14:textId="77777777" w:rsidR="00D443A9" w:rsidRPr="00CC28C1" w:rsidRDefault="00D443A9" w:rsidP="006869A3">
      <w:pPr>
        <w:pStyle w:val="Heading3"/>
      </w:pPr>
      <w:bookmarkStart w:id="137" w:name="_Toc86417321"/>
      <w:r w:rsidRPr="00CC28C1">
        <w:t>6.</w:t>
      </w:r>
      <w:r w:rsidRPr="00CC28C1">
        <w:rPr>
          <w:bCs/>
        </w:rPr>
        <w:t>3</w:t>
      </w:r>
      <w:r w:rsidRPr="00CC28C1">
        <w:t>.1. Risk to participants</w:t>
      </w:r>
      <w:bookmarkEnd w:id="137"/>
    </w:p>
    <w:p w14:paraId="17A0B116" w14:textId="77777777" w:rsidR="00D443A9" w:rsidRPr="00CC28C1" w:rsidRDefault="00D443A9" w:rsidP="00D443A9">
      <w:pPr>
        <w:jc w:val="both"/>
        <w:rPr>
          <w:rFonts w:ascii="Times New Roman" w:hAnsi="Times New Roman"/>
          <w:color w:val="000000"/>
          <w:szCs w:val="24"/>
        </w:rPr>
      </w:pPr>
      <w:r w:rsidRPr="00CC28C1">
        <w:rPr>
          <w:rFonts w:ascii="Times New Roman" w:hAnsi="Times New Roman"/>
          <w:color w:val="000000"/>
          <w:szCs w:val="24"/>
        </w:rPr>
        <w:t>The principle of non-maleficence refers to my responsibilities as the researcher to ensure that research participants did not come to harm (Redman and Fry, 1996; Redman</w:t>
      </w:r>
      <w:r w:rsidRPr="00CC28C1">
        <w:rPr>
          <w:rFonts w:ascii="Times New Roman" w:hAnsi="Times New Roman"/>
          <w:szCs w:val="24"/>
        </w:rPr>
        <w:t>, Hill</w:t>
      </w:r>
      <w:r w:rsidRPr="00CC28C1">
        <w:rPr>
          <w:rFonts w:ascii="Times New Roman" w:hAnsi="Times New Roman"/>
          <w:color w:val="000000"/>
          <w:szCs w:val="24"/>
        </w:rPr>
        <w:t xml:space="preserve"> and Fry, 1997; Redman and Fry, 2000, 2003; </w:t>
      </w:r>
      <w:r w:rsidRPr="00CC28C1">
        <w:rPr>
          <w:rFonts w:ascii="Times New Roman" w:hAnsi="Times New Roman"/>
          <w:szCs w:val="24"/>
        </w:rPr>
        <w:t>Liaw and Tam, 2015</w:t>
      </w:r>
      <w:r w:rsidRPr="00CC28C1">
        <w:rPr>
          <w:rFonts w:ascii="Times New Roman" w:hAnsi="Times New Roman"/>
          <w:color w:val="000000"/>
          <w:szCs w:val="24"/>
        </w:rPr>
        <w:t>). Due to the nature of this study, the principle of non-maleficence with respect to participants coming to physical harm was not applicable. However, another form of harm (emotional harm) was considered, and it was decided from the outset that should it become clear that if a participant becomes distressed because of the interview questions they were being asked, the participant would be given the opportunity to discontinue the interview (</w:t>
      </w:r>
      <w:r w:rsidRPr="00CC28C1">
        <w:rPr>
          <w:rFonts w:ascii="Times New Roman" w:hAnsi="Times New Roman"/>
          <w:szCs w:val="24"/>
        </w:rPr>
        <w:t xml:space="preserve">Sanjari </w:t>
      </w:r>
      <w:r w:rsidRPr="00391498">
        <w:rPr>
          <w:rFonts w:ascii="Times New Roman" w:hAnsi="Times New Roman"/>
          <w:i/>
          <w:iCs/>
          <w:szCs w:val="24"/>
        </w:rPr>
        <w:t>et al.</w:t>
      </w:r>
      <w:r w:rsidRPr="00CC28C1">
        <w:rPr>
          <w:rFonts w:ascii="Times New Roman" w:hAnsi="Times New Roman"/>
          <w:szCs w:val="24"/>
        </w:rPr>
        <w:t>, 2014</w:t>
      </w:r>
      <w:r w:rsidRPr="00CC28C1">
        <w:rPr>
          <w:rFonts w:ascii="Times New Roman" w:hAnsi="Times New Roman"/>
          <w:color w:val="000000"/>
          <w:szCs w:val="24"/>
        </w:rPr>
        <w:t>). No such incident arose in this study although an interview was discontinued and rescheduled because the participant had to attend to an urgent family need. All the preliminary procedures that precede an interview were repeated when the rescheduled interview was conducted.</w:t>
      </w:r>
    </w:p>
    <w:p w14:paraId="0AB66427" w14:textId="77777777" w:rsidR="00D443A9" w:rsidRPr="00CC28C1" w:rsidRDefault="00D443A9" w:rsidP="00D443A9">
      <w:pPr>
        <w:spacing w:before="240"/>
        <w:jc w:val="both"/>
        <w:rPr>
          <w:rFonts w:ascii="Times New Roman" w:hAnsi="Times New Roman"/>
          <w:color w:val="000000"/>
          <w:szCs w:val="24"/>
        </w:rPr>
      </w:pPr>
      <w:r w:rsidRPr="00CC28C1">
        <w:rPr>
          <w:rFonts w:ascii="Times New Roman" w:hAnsi="Times New Roman"/>
          <w:color w:val="000000"/>
          <w:szCs w:val="24"/>
        </w:rPr>
        <w:t>Another risk to participants considered was the financial risk incurred when travelling to the interview venue (the University).  Because funds were not available to pay or reimburse the participants for travelling expenses, it was made clear in the participant information sheet (PIS) that they would not be reimbursed, and participation was completely voluntary as the research was purely for academic purposes.</w:t>
      </w:r>
    </w:p>
    <w:p w14:paraId="122CD768" w14:textId="77777777" w:rsidR="00D443A9" w:rsidRPr="00CC28C1" w:rsidRDefault="00D443A9" w:rsidP="006869A3">
      <w:pPr>
        <w:pStyle w:val="Heading3"/>
        <w:rPr>
          <w:color w:val="000000"/>
        </w:rPr>
      </w:pPr>
      <w:bookmarkStart w:id="138" w:name="_Toc86417322"/>
      <w:r w:rsidRPr="00CC28C1">
        <w:rPr>
          <w:color w:val="000000"/>
        </w:rPr>
        <w:t>6.</w:t>
      </w:r>
      <w:r w:rsidRPr="00CC28C1">
        <w:t>3</w:t>
      </w:r>
      <w:r w:rsidRPr="00CC28C1">
        <w:rPr>
          <w:color w:val="000000"/>
        </w:rPr>
        <w:t xml:space="preserve">.2. </w:t>
      </w:r>
      <w:r w:rsidRPr="00CC28C1">
        <w:t>Freedom to participate</w:t>
      </w:r>
      <w:bookmarkEnd w:id="138"/>
    </w:p>
    <w:p w14:paraId="5D505CD6" w14:textId="77777777" w:rsidR="00D443A9" w:rsidRPr="00CC28C1" w:rsidRDefault="00D443A9" w:rsidP="00D443A9">
      <w:pPr>
        <w:jc w:val="both"/>
        <w:rPr>
          <w:rFonts w:ascii="Times New Roman" w:hAnsi="Times New Roman"/>
          <w:color w:val="000000"/>
          <w:szCs w:val="24"/>
        </w:rPr>
      </w:pPr>
      <w:r w:rsidRPr="00CC28C1">
        <w:rPr>
          <w:rFonts w:ascii="Times New Roman" w:hAnsi="Times New Roman"/>
          <w:color w:val="000000"/>
          <w:szCs w:val="24"/>
        </w:rPr>
        <w:t xml:space="preserve">The principle of autonomy demands that research participants are given enough time and space to make meaningful choices, without any controlling interference on their decision to participate in the research (Redman and Fry, 2003). Apart from providing participants with the opportunity to give their consent to taking part in the study, I took practical steps to ensure that they had the freedom to make the decision whether to participate. To make an informed consent, along with the letter of invitation to participate in the study, participants were also provided with the participant information </w:t>
      </w:r>
      <w:r w:rsidRPr="00CC28C1">
        <w:rPr>
          <w:rFonts w:ascii="Times New Roman" w:hAnsi="Times New Roman"/>
          <w:color w:val="000000"/>
          <w:szCs w:val="24"/>
        </w:rPr>
        <w:lastRenderedPageBreak/>
        <w:t>sheet (PIS) and a copy of the consent form to read and familiarise themselves with the details of the research. They were given a discretionary period of at least 7 days to read and decide whether to participate before the interview was scheduled (for details, see Appendix), and were given the participant consent form (PCF) to sign before the face-to-face interview session began.</w:t>
      </w:r>
    </w:p>
    <w:p w14:paraId="6F067673" w14:textId="77777777" w:rsidR="00D443A9" w:rsidRPr="00CC28C1" w:rsidRDefault="00D443A9" w:rsidP="00D443A9">
      <w:pPr>
        <w:spacing w:before="240"/>
        <w:jc w:val="both"/>
        <w:rPr>
          <w:rFonts w:ascii="Times New Roman" w:hAnsi="Times New Roman"/>
          <w:color w:val="000000"/>
          <w:szCs w:val="24"/>
        </w:rPr>
      </w:pPr>
      <w:r w:rsidRPr="00CC28C1">
        <w:rPr>
          <w:rFonts w:ascii="Times New Roman" w:hAnsi="Times New Roman"/>
          <w:color w:val="000000"/>
          <w:szCs w:val="24"/>
        </w:rPr>
        <w:t>The principle of autonomy guiding research of this nature is closely related to the principle of veracity which refers to my duty as the researcher to communicate all risk associated with the research to the participants involved in the research. Doing so honestly and providing the participants with adequate information necessary for them to make an informed decision on whether to participate is the principle on which informed consent for research participants is founded (Gray, 2009). It holds that participants deserve the right to know any risk associated with the research. I was bound by the principle of veracity to disclose the risks and benefits associated with the research to the participants using language that is clear and unambiguous (Gray, 2009). The participant information sheet (PIS) was therefore designed to provide potential participants with the information they required to make an informed decision. The PIS was reviewed by the Faculty Research Ethics Panel (FREP) and used in the pilot phase of the study before it was used in the main study phase.</w:t>
      </w:r>
    </w:p>
    <w:p w14:paraId="65FB0B84" w14:textId="77777777" w:rsidR="00D443A9" w:rsidRPr="00CC28C1" w:rsidRDefault="00D443A9" w:rsidP="006869A3">
      <w:pPr>
        <w:pStyle w:val="Heading3"/>
      </w:pPr>
      <w:bookmarkStart w:id="139" w:name="_Toc86417323"/>
      <w:r w:rsidRPr="00CC28C1">
        <w:t>6.</w:t>
      </w:r>
      <w:r w:rsidRPr="00CC28C1">
        <w:rPr>
          <w:bCs/>
        </w:rPr>
        <w:t>3</w:t>
      </w:r>
      <w:r w:rsidRPr="00CC28C1">
        <w:t>.3. Addressing trust issues in the research</w:t>
      </w:r>
      <w:bookmarkEnd w:id="139"/>
    </w:p>
    <w:p w14:paraId="6AF5BCF6" w14:textId="77777777" w:rsidR="00D443A9" w:rsidRPr="00CC28C1" w:rsidRDefault="00D443A9" w:rsidP="00D443A9">
      <w:pPr>
        <w:jc w:val="both"/>
        <w:rPr>
          <w:rFonts w:ascii="Times New Roman" w:hAnsi="Times New Roman"/>
          <w:color w:val="000000"/>
          <w:szCs w:val="24"/>
        </w:rPr>
      </w:pPr>
      <w:r w:rsidRPr="00CC28C1">
        <w:rPr>
          <w:rFonts w:ascii="Times New Roman" w:hAnsi="Times New Roman"/>
          <w:color w:val="000000"/>
          <w:szCs w:val="24"/>
        </w:rPr>
        <w:t>In the design of the participant information sheet (PIS), consideration was given to the ethnic background of the study participants. Historically, low rates of participation have been reported in research involving participants of African origin (</w:t>
      </w:r>
      <w:r w:rsidRPr="00CC28C1">
        <w:rPr>
          <w:rFonts w:ascii="Times New Roman" w:hAnsi="Times New Roman"/>
          <w:szCs w:val="24"/>
        </w:rPr>
        <w:t xml:space="preserve">Corbie-Smith, 1999; Corbie-Smith </w:t>
      </w:r>
      <w:r w:rsidRPr="00391498">
        <w:rPr>
          <w:rFonts w:ascii="Times New Roman" w:hAnsi="Times New Roman"/>
          <w:i/>
          <w:iCs/>
          <w:szCs w:val="24"/>
        </w:rPr>
        <w:t>et al.</w:t>
      </w:r>
      <w:r w:rsidRPr="00CC28C1">
        <w:rPr>
          <w:rFonts w:ascii="Times New Roman" w:hAnsi="Times New Roman"/>
          <w:szCs w:val="24"/>
        </w:rPr>
        <w:t>, 1999</w:t>
      </w:r>
      <w:r w:rsidRPr="00CC28C1">
        <w:rPr>
          <w:rFonts w:ascii="Times New Roman" w:hAnsi="Times New Roman"/>
          <w:color w:val="000000"/>
          <w:szCs w:val="24"/>
        </w:rPr>
        <w:t>). This is often due to trust issues. Fear of deception by the researcher, lack of understanding of the true purpose of a study and the fear of being used as a ‘guinea pig’ have been reported (</w:t>
      </w:r>
      <w:r w:rsidRPr="00CC28C1">
        <w:rPr>
          <w:rFonts w:ascii="Times New Roman" w:hAnsi="Times New Roman"/>
          <w:szCs w:val="24"/>
        </w:rPr>
        <w:t xml:space="preserve">Corbie-Smith, 1999; Katz </w:t>
      </w:r>
      <w:r w:rsidRPr="00391498">
        <w:rPr>
          <w:rFonts w:ascii="Times New Roman" w:hAnsi="Times New Roman"/>
          <w:i/>
          <w:iCs/>
          <w:szCs w:val="24"/>
        </w:rPr>
        <w:t>et al.</w:t>
      </w:r>
      <w:r w:rsidRPr="00CC28C1">
        <w:rPr>
          <w:rFonts w:ascii="Times New Roman" w:hAnsi="Times New Roman"/>
          <w:szCs w:val="24"/>
        </w:rPr>
        <w:t xml:space="preserve">, 2006; Quinn </w:t>
      </w:r>
      <w:r w:rsidRPr="00391498">
        <w:rPr>
          <w:rFonts w:ascii="Times New Roman" w:hAnsi="Times New Roman"/>
          <w:i/>
          <w:iCs/>
          <w:szCs w:val="24"/>
        </w:rPr>
        <w:t>et al.</w:t>
      </w:r>
      <w:r w:rsidRPr="00CC28C1">
        <w:rPr>
          <w:rFonts w:ascii="Times New Roman" w:hAnsi="Times New Roman"/>
          <w:szCs w:val="24"/>
        </w:rPr>
        <w:t>, 2007; Williams, Beckmann-Mendez and Turkheimer, 2013; Somayaji and Cloyes, 2015)</w:t>
      </w:r>
      <w:r w:rsidRPr="00CC28C1">
        <w:rPr>
          <w:rFonts w:ascii="Times New Roman" w:hAnsi="Times New Roman"/>
          <w:color w:val="000000"/>
          <w:szCs w:val="24"/>
        </w:rPr>
        <w:t xml:space="preserve">. Consequently, I ensured that these concerns were addressed. In addition, being an African of Nigerian descent placed me in a position of strength, as the study participants potentially could identify with me because of our shared ethnic background. Our shared ethnic background helped break that barrier that could exist </w:t>
      </w:r>
      <w:r w:rsidRPr="00CC28C1">
        <w:rPr>
          <w:rFonts w:ascii="Times New Roman" w:hAnsi="Times New Roman"/>
          <w:color w:val="000000"/>
          <w:szCs w:val="24"/>
        </w:rPr>
        <w:lastRenderedPageBreak/>
        <w:t>between Black African research participants and White researchers (Bond and Harrell, 2006).</w:t>
      </w:r>
    </w:p>
    <w:p w14:paraId="705F2CCA" w14:textId="77777777" w:rsidR="00D443A9" w:rsidRPr="00CC28C1" w:rsidRDefault="00D443A9" w:rsidP="006869A3">
      <w:pPr>
        <w:pStyle w:val="Heading3"/>
        <w:rPr>
          <w:color w:val="000000"/>
        </w:rPr>
      </w:pPr>
      <w:bookmarkStart w:id="140" w:name="_Toc86417324"/>
      <w:r w:rsidRPr="00CC28C1">
        <w:t>6.</w:t>
      </w:r>
      <w:r w:rsidRPr="00CC28C1">
        <w:rPr>
          <w:color w:val="000000"/>
        </w:rPr>
        <w:t>3</w:t>
      </w:r>
      <w:r w:rsidRPr="00CC28C1">
        <w:t>.4. Confidentiality and recording</w:t>
      </w:r>
      <w:bookmarkEnd w:id="140"/>
    </w:p>
    <w:p w14:paraId="0E46324E"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Steps were taken to ensure confidentiality was maintained throughout the study. First, participants were informed of the need to record the interview session using an audio recorder. This was highlighted in the participant information sheet and reiterated before the interview session began. The audio recording was sometimes complemented with note taking, writing down some points or anything that I thought I might need to further probe into or that I might need to explore further after the interview. This practice was explained to each of the participants before every interview session began and they were told not to hesitate to inform the researcher if they find it distracting.</w:t>
      </w:r>
    </w:p>
    <w:p w14:paraId="3604839F"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As part of the preliminary interaction with the participants before the interview began, I also re-emphasised the procedure for storing and managing the audio recording and other materials relating to the interview. All audio recordings were assigned pseudonyms chosen by the participants and were transferred from the audio recording device to a password-protected computer (Newing, 2010; Galletta, 2013).  The time required by the University for storing the audio-recording was also explained. All the participants accepted the data storage procedures and signed the consent form before the interview began.</w:t>
      </w:r>
    </w:p>
    <w:p w14:paraId="4F6485FD" w14:textId="5B777E69" w:rsidR="00F818A2" w:rsidRPr="00CC28C1" w:rsidRDefault="00D443A9" w:rsidP="00D443A9">
      <w:pPr>
        <w:spacing w:before="240"/>
        <w:jc w:val="both"/>
        <w:rPr>
          <w:rFonts w:ascii="Times New Roman" w:hAnsi="Times New Roman"/>
          <w:szCs w:val="24"/>
        </w:rPr>
      </w:pPr>
      <w:r w:rsidRPr="00CC28C1">
        <w:rPr>
          <w:rFonts w:ascii="Times New Roman" w:hAnsi="Times New Roman"/>
          <w:szCs w:val="24"/>
        </w:rPr>
        <w:t>The study strictly observed to the Data Protection Act 1998 (Great Britain, 1998; Granger, 2018). Although, the Data Protection Act of 1998 is now superseded by the General Data Protection Regulation (GDPR) of 2018, it was in use at the time of ethical approvals and the data collection stage. Moreover, both the Act and the regulation have at their core the protection of the participants (Lovell and Foy, 2018). The actual names of the participants were written on the consent form being an official document and consent forms were kept securely in a locked cupboard.</w:t>
      </w:r>
    </w:p>
    <w:p w14:paraId="64E2340E" w14:textId="77777777" w:rsidR="00D443A9" w:rsidRPr="00CC28C1" w:rsidRDefault="00D443A9" w:rsidP="006869A3">
      <w:pPr>
        <w:pStyle w:val="Heading3"/>
        <w:rPr>
          <w:color w:val="000000"/>
        </w:rPr>
      </w:pPr>
      <w:bookmarkStart w:id="141" w:name="_Toc86417325"/>
      <w:r w:rsidRPr="00CC28C1">
        <w:t>6.3.5. Benefit of participating</w:t>
      </w:r>
      <w:bookmarkEnd w:id="141"/>
    </w:p>
    <w:p w14:paraId="54F3E516" w14:textId="4B13737B" w:rsidR="00D443A9" w:rsidRPr="00CC28C1" w:rsidRDefault="00D443A9" w:rsidP="00D443A9">
      <w:pPr>
        <w:spacing w:before="240"/>
        <w:jc w:val="both"/>
        <w:rPr>
          <w:rFonts w:ascii="Times New Roman" w:hAnsi="Times New Roman"/>
          <w:color w:val="000000"/>
          <w:szCs w:val="24"/>
        </w:rPr>
      </w:pPr>
      <w:r w:rsidRPr="00CC28C1">
        <w:rPr>
          <w:rFonts w:ascii="Times New Roman" w:hAnsi="Times New Roman"/>
          <w:color w:val="000000"/>
          <w:szCs w:val="24"/>
        </w:rPr>
        <w:t xml:space="preserve">Another key principle in research ethics is the principle of beneficence, which refers to research being conducted for “the benefit of others” (Redman and Fry, 1996; </w:t>
      </w:r>
      <w:r w:rsidRPr="00CC28C1">
        <w:rPr>
          <w:rFonts w:ascii="Times New Roman" w:hAnsi="Times New Roman"/>
          <w:szCs w:val="24"/>
        </w:rPr>
        <w:t xml:space="preserve">Orb, </w:t>
      </w:r>
      <w:r w:rsidRPr="00CC28C1">
        <w:rPr>
          <w:rFonts w:ascii="Times New Roman" w:hAnsi="Times New Roman"/>
          <w:szCs w:val="24"/>
        </w:rPr>
        <w:lastRenderedPageBreak/>
        <w:t>Eisenhauer and Wynaden, 2001</w:t>
      </w:r>
      <w:r w:rsidRPr="00CC28C1">
        <w:rPr>
          <w:rFonts w:ascii="Times New Roman" w:hAnsi="Times New Roman"/>
          <w:color w:val="000000"/>
          <w:szCs w:val="24"/>
        </w:rPr>
        <w:t xml:space="preserve">). Participants were made aware of the possible benefits that participating in the study may bring either to themselves or to promoting good care for people with dementia, and this information was provided in the participant information sheet (PIS). In brief, although there were no individual benefits likely to be directly accrued to the participants, their participation in the study might produce findings that could be used to improve services to </w:t>
      </w:r>
      <w:r>
        <w:rPr>
          <w:rFonts w:ascii="Times New Roman" w:hAnsi="Times New Roman"/>
          <w:color w:val="000000"/>
          <w:szCs w:val="24"/>
        </w:rPr>
        <w:t xml:space="preserve">migrant </w:t>
      </w:r>
      <w:r w:rsidRPr="00CC28C1">
        <w:rPr>
          <w:rFonts w:ascii="Times New Roman" w:hAnsi="Times New Roman"/>
          <w:color w:val="000000"/>
          <w:szCs w:val="24"/>
        </w:rPr>
        <w:t>care</w:t>
      </w:r>
      <w:r>
        <w:rPr>
          <w:rFonts w:ascii="Times New Roman" w:hAnsi="Times New Roman"/>
          <w:color w:val="000000"/>
          <w:szCs w:val="24"/>
        </w:rPr>
        <w:t xml:space="preserve"> worke</w:t>
      </w:r>
      <w:r w:rsidRPr="00CC28C1">
        <w:rPr>
          <w:rFonts w:ascii="Times New Roman" w:hAnsi="Times New Roman"/>
          <w:color w:val="000000"/>
          <w:szCs w:val="24"/>
        </w:rPr>
        <w:t xml:space="preserve">rs (especially those of Nigerian origin) and the relevant authorities directly focusing on coping strategies that works best for them. Another benefit to the participants is that the findings </w:t>
      </w:r>
      <w:r>
        <w:rPr>
          <w:rFonts w:ascii="Times New Roman" w:hAnsi="Times New Roman"/>
          <w:color w:val="000000"/>
          <w:szCs w:val="24"/>
        </w:rPr>
        <w:t>might</w:t>
      </w:r>
      <w:r w:rsidRPr="00CC28C1">
        <w:rPr>
          <w:rFonts w:ascii="Times New Roman" w:hAnsi="Times New Roman"/>
          <w:color w:val="000000"/>
          <w:szCs w:val="24"/>
        </w:rPr>
        <w:t xml:space="preserve"> provide information on Nigerian migrant care</w:t>
      </w:r>
      <w:r>
        <w:rPr>
          <w:rFonts w:ascii="Times New Roman" w:hAnsi="Times New Roman"/>
          <w:color w:val="000000"/>
          <w:szCs w:val="24"/>
        </w:rPr>
        <w:t xml:space="preserve"> worke</w:t>
      </w:r>
      <w:r w:rsidRPr="00CC28C1">
        <w:rPr>
          <w:rFonts w:ascii="Times New Roman" w:hAnsi="Times New Roman"/>
          <w:color w:val="000000"/>
          <w:szCs w:val="24"/>
        </w:rPr>
        <w:t xml:space="preserve">rs’ motivation to </w:t>
      </w:r>
      <w:r>
        <w:rPr>
          <w:rFonts w:ascii="Times New Roman" w:hAnsi="Times New Roman"/>
          <w:color w:val="000000"/>
          <w:szCs w:val="24"/>
        </w:rPr>
        <w:t>assume</w:t>
      </w:r>
      <w:r w:rsidRPr="00CC28C1">
        <w:rPr>
          <w:rFonts w:ascii="Times New Roman" w:hAnsi="Times New Roman"/>
          <w:color w:val="000000"/>
          <w:szCs w:val="24"/>
        </w:rPr>
        <w:t xml:space="preserve"> and </w:t>
      </w:r>
      <w:r>
        <w:rPr>
          <w:rFonts w:ascii="Times New Roman" w:hAnsi="Times New Roman"/>
          <w:color w:val="000000"/>
          <w:szCs w:val="24"/>
        </w:rPr>
        <w:t>continue in their role</w:t>
      </w:r>
      <w:r w:rsidRPr="00CC28C1">
        <w:rPr>
          <w:rFonts w:ascii="Times New Roman" w:hAnsi="Times New Roman"/>
          <w:color w:val="000000"/>
          <w:szCs w:val="24"/>
        </w:rPr>
        <w:t>. Having this understanding might provide insight on the caregiving experience of staff of Nigerian or African origin (</w:t>
      </w:r>
      <w:r w:rsidRPr="00CC28C1">
        <w:rPr>
          <w:rFonts w:ascii="Times New Roman" w:hAnsi="Times New Roman"/>
          <w:szCs w:val="24"/>
        </w:rPr>
        <w:t>Lepore, 2008</w:t>
      </w:r>
      <w:r w:rsidRPr="00CC28C1">
        <w:rPr>
          <w:rFonts w:ascii="Times New Roman" w:hAnsi="Times New Roman"/>
          <w:color w:val="000000"/>
          <w:szCs w:val="24"/>
        </w:rPr>
        <w:t>), which may benefit care workers of other ethnic groups.</w:t>
      </w:r>
    </w:p>
    <w:p w14:paraId="2BA85B54" w14:textId="77777777" w:rsidR="00D443A9" w:rsidRPr="00CC28C1" w:rsidRDefault="00D443A9" w:rsidP="006869A3">
      <w:pPr>
        <w:pStyle w:val="Heading3"/>
        <w:rPr>
          <w:rFonts w:eastAsia="MS Gothic"/>
        </w:rPr>
      </w:pPr>
      <w:bookmarkStart w:id="142" w:name="_Toc86417326"/>
      <w:r w:rsidRPr="00CC28C1">
        <w:rPr>
          <w:rFonts w:eastAsia="MS Gothic"/>
        </w:rPr>
        <w:t>6.3.6. Ethical dilemmas during interviews</w:t>
      </w:r>
      <w:bookmarkEnd w:id="142"/>
    </w:p>
    <w:p w14:paraId="74C4734A" w14:textId="77777777" w:rsidR="00D443A9" w:rsidRPr="00CC28C1" w:rsidRDefault="00D443A9" w:rsidP="00D443A9">
      <w:pPr>
        <w:jc w:val="both"/>
        <w:rPr>
          <w:rFonts w:ascii="Times New Roman" w:eastAsia="MS Gothic" w:hAnsi="Times New Roman"/>
          <w:iCs/>
          <w:szCs w:val="24"/>
        </w:rPr>
      </w:pPr>
      <w:r w:rsidRPr="00CC28C1">
        <w:rPr>
          <w:rFonts w:ascii="Times New Roman" w:eastAsia="MS Gothic" w:hAnsi="Times New Roman"/>
          <w:iCs/>
          <w:szCs w:val="24"/>
        </w:rPr>
        <w:t>Participants were advised prior to consenting to interview, that if they revealed information concerning dangerous practice, harm to others or a criminal offence, an appropriate authority would be informed. However, no revelations were forthcoming during interviews.</w:t>
      </w:r>
    </w:p>
    <w:p w14:paraId="2F87CC8E" w14:textId="77777777" w:rsidR="00D443A9" w:rsidRPr="00CC28C1" w:rsidRDefault="00D443A9" w:rsidP="006869A3">
      <w:pPr>
        <w:pStyle w:val="Heading2"/>
        <w:rPr>
          <w:i/>
        </w:rPr>
      </w:pPr>
      <w:bookmarkStart w:id="143" w:name="_Toc86417327"/>
      <w:r w:rsidRPr="00CC28C1">
        <w:t>6.4. Study setting and location</w:t>
      </w:r>
      <w:bookmarkEnd w:id="143"/>
    </w:p>
    <w:p w14:paraId="07BF2201" w14:textId="684E495C" w:rsidR="00D443A9" w:rsidRDefault="00D443A9" w:rsidP="00D443A9">
      <w:pPr>
        <w:jc w:val="both"/>
        <w:rPr>
          <w:rFonts w:ascii="Times New Roman" w:hAnsi="Times New Roman"/>
          <w:szCs w:val="24"/>
        </w:rPr>
      </w:pPr>
      <w:r w:rsidRPr="00CC28C1">
        <w:rPr>
          <w:rFonts w:ascii="Times New Roman" w:hAnsi="Times New Roman"/>
          <w:szCs w:val="24"/>
        </w:rPr>
        <w:t>The study was conducted with participants recruited from two National Health Service dementia wards in Essex. However, during the pilot study, participants were recruited from four churches attended by Nigerian migrant care workers located also in Essex. The initial plan was to recruit participants only from the care setting in which they currently work but this changed due to challenges faced while seeking the consent of potential gatekeepers. These challenges are highlighted in the later part of this chapter. The difficulty in recruiting all the participants from one location prompted me to look at other avenues through which participants could be recruited including the eventual use of snowballing sampling techniques (Creswell, 2014).</w:t>
      </w:r>
    </w:p>
    <w:p w14:paraId="1E61439D" w14:textId="146B94D0" w:rsidR="006869A3" w:rsidRDefault="006869A3" w:rsidP="00D443A9">
      <w:pPr>
        <w:jc w:val="both"/>
        <w:rPr>
          <w:rFonts w:ascii="Times New Roman" w:hAnsi="Times New Roman"/>
          <w:szCs w:val="24"/>
        </w:rPr>
      </w:pPr>
    </w:p>
    <w:p w14:paraId="7E389A91" w14:textId="77777777" w:rsidR="006869A3" w:rsidRPr="00CC28C1" w:rsidRDefault="006869A3" w:rsidP="00D443A9">
      <w:pPr>
        <w:jc w:val="both"/>
        <w:rPr>
          <w:rFonts w:ascii="Times New Roman" w:hAnsi="Times New Roman"/>
          <w:szCs w:val="24"/>
        </w:rPr>
      </w:pPr>
    </w:p>
    <w:p w14:paraId="4A883F9A" w14:textId="77777777" w:rsidR="00D443A9" w:rsidRPr="00CC28C1" w:rsidRDefault="00D443A9" w:rsidP="006869A3">
      <w:pPr>
        <w:pStyle w:val="Heading2"/>
      </w:pPr>
      <w:bookmarkStart w:id="144" w:name="_Toc86417328"/>
      <w:r w:rsidRPr="00CC28C1">
        <w:lastRenderedPageBreak/>
        <w:t>6.5. Data collection methods</w:t>
      </w:r>
      <w:bookmarkEnd w:id="144"/>
    </w:p>
    <w:p w14:paraId="67FCDC79"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 xml:space="preserve">Face-to-face in-depth interviews were used to gather data on the lived experiences of Nigerian migrant care workers caring for people with dementia in formal care settings in Essex. The interviews were transcribed and analysed </w:t>
      </w:r>
      <w:r w:rsidRPr="00CC28C1">
        <w:rPr>
          <w:rFonts w:ascii="Times New Roman" w:hAnsi="Times New Roman"/>
          <w:szCs w:val="24"/>
          <w:lang w:val="en-AU"/>
        </w:rPr>
        <w:t>using interpretative phenomenology informed by Van Manen (1997; 2014)</w:t>
      </w:r>
      <w:r w:rsidRPr="00CC28C1">
        <w:rPr>
          <w:rFonts w:ascii="Times New Roman" w:hAnsi="Times New Roman"/>
          <w:szCs w:val="24"/>
        </w:rPr>
        <w:t>. To understand the experiences of migrant care workers, th</w:t>
      </w:r>
      <w:r>
        <w:rPr>
          <w:rFonts w:ascii="Times New Roman" w:hAnsi="Times New Roman"/>
          <w:szCs w:val="24"/>
        </w:rPr>
        <w:t>is</w:t>
      </w:r>
      <w:r w:rsidRPr="00CC28C1">
        <w:rPr>
          <w:rFonts w:ascii="Times New Roman" w:hAnsi="Times New Roman"/>
          <w:szCs w:val="24"/>
        </w:rPr>
        <w:t xml:space="preserve"> study was tailored to investigate three </w:t>
      </w:r>
      <w:r>
        <w:rPr>
          <w:rFonts w:ascii="Times New Roman" w:hAnsi="Times New Roman"/>
          <w:szCs w:val="24"/>
        </w:rPr>
        <w:t>main</w:t>
      </w:r>
      <w:r w:rsidRPr="00CC28C1">
        <w:rPr>
          <w:rFonts w:ascii="Times New Roman" w:hAnsi="Times New Roman"/>
          <w:szCs w:val="24"/>
        </w:rPr>
        <w:t xml:space="preserve"> but interwoven concepts on their caregiving experience, namely: their journey into care, their cultural perception of dementia and how that informed their caregiving practices, their motivation for taking up and continuing in the role as care workers and the strategies they employed to cope with the demands of the role if they find it demanding.</w:t>
      </w:r>
    </w:p>
    <w:p w14:paraId="6AA2EC84"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 xml:space="preserve">The use of in-depth interviews is consistent with the phenomenological approach adopted for the study. In-depth interviews apart from being frequently used in health research are suitable to explore personal and intimate experience of caregiving as it allows for the use of open, direct or verbal questions to gather narratives on their time as </w:t>
      </w:r>
      <w:r w:rsidRPr="00CC28C1">
        <w:rPr>
          <w:rFonts w:ascii="Times New Roman" w:hAnsi="Times New Roman"/>
          <w:color w:val="000000"/>
          <w:szCs w:val="24"/>
        </w:rPr>
        <w:t>care</w:t>
      </w:r>
      <w:r>
        <w:rPr>
          <w:rFonts w:ascii="Times New Roman" w:hAnsi="Times New Roman"/>
          <w:color w:val="000000"/>
          <w:szCs w:val="24"/>
        </w:rPr>
        <w:t xml:space="preserve"> worke</w:t>
      </w:r>
      <w:r w:rsidRPr="00CC28C1">
        <w:rPr>
          <w:rFonts w:ascii="Times New Roman" w:hAnsi="Times New Roman"/>
          <w:color w:val="000000"/>
          <w:szCs w:val="24"/>
        </w:rPr>
        <w:t>rs</w:t>
      </w:r>
      <w:r w:rsidRPr="00CC28C1">
        <w:rPr>
          <w:rFonts w:ascii="Times New Roman" w:hAnsi="Times New Roman"/>
          <w:szCs w:val="24"/>
        </w:rPr>
        <w:t xml:space="preserve"> (DiCicco-Bloom and Crabtree 2006; Whiting, 2008). The use of individual in-depth interviews allowed me to discuss the lived experiences and beliefs of paid Nigerian migrant registered mental-health nurses (RMNs) and health care assistants (HCAs). Twenty-one participants were recruited for the main study phase, the sampling procedure and the inclusion and exclusion criteria are detailed below.</w:t>
      </w:r>
    </w:p>
    <w:p w14:paraId="075866A3" w14:textId="77777777" w:rsidR="00D443A9" w:rsidRPr="00CC28C1" w:rsidRDefault="00D443A9" w:rsidP="006869A3">
      <w:pPr>
        <w:pStyle w:val="Heading3"/>
      </w:pPr>
      <w:bookmarkStart w:id="145" w:name="_Toc86417329"/>
      <w:r w:rsidRPr="00CC28C1">
        <w:t xml:space="preserve">6.5.1. Inclusion </w:t>
      </w:r>
      <w:r>
        <w:t>c</w:t>
      </w:r>
      <w:r w:rsidRPr="00CC28C1">
        <w:t>riteria</w:t>
      </w:r>
      <w:bookmarkEnd w:id="145"/>
    </w:p>
    <w:p w14:paraId="65663728" w14:textId="77777777" w:rsidR="00D443A9" w:rsidRPr="00CC28C1" w:rsidRDefault="00D443A9" w:rsidP="00D443A9">
      <w:pPr>
        <w:numPr>
          <w:ilvl w:val="0"/>
          <w:numId w:val="5"/>
        </w:numPr>
        <w:spacing w:after="0"/>
        <w:contextualSpacing/>
        <w:jc w:val="both"/>
        <w:rPr>
          <w:rFonts w:ascii="Times New Roman" w:hAnsi="Times New Roman"/>
          <w:szCs w:val="24"/>
        </w:rPr>
      </w:pPr>
      <w:r w:rsidRPr="00CC28C1">
        <w:rPr>
          <w:rFonts w:ascii="Times New Roman" w:hAnsi="Times New Roman"/>
          <w:szCs w:val="24"/>
        </w:rPr>
        <w:t>Age requirement: Care workers between the ages of 18 and 65 took part in the study because this was a study focused on adult Nigerian migrant care workers. The minimum age limit of 18 years was set to reflect the definition of adult in Nigeria and the UK</w:t>
      </w:r>
      <w:r>
        <w:rPr>
          <w:rFonts w:ascii="Times New Roman" w:hAnsi="Times New Roman"/>
          <w:szCs w:val="24"/>
        </w:rPr>
        <w:t>,</w:t>
      </w:r>
      <w:r w:rsidRPr="00CC28C1">
        <w:rPr>
          <w:rFonts w:ascii="Times New Roman" w:hAnsi="Times New Roman"/>
          <w:szCs w:val="24"/>
        </w:rPr>
        <w:t xml:space="preserve"> and the maximum age limit of 65 years was set because it is the average state pension age in the UK (</w:t>
      </w:r>
      <w:r>
        <w:rPr>
          <w:rFonts w:ascii="Times New Roman" w:hAnsi="Times New Roman"/>
          <w:szCs w:val="24"/>
        </w:rPr>
        <w:t>Storey, 2018</w:t>
      </w:r>
      <w:r w:rsidRPr="00CC28C1">
        <w:rPr>
          <w:rFonts w:ascii="Times New Roman" w:hAnsi="Times New Roman"/>
          <w:szCs w:val="24"/>
        </w:rPr>
        <w:t>). However, the youngest of the participants was 28 years while the oldest was 56 years old.</w:t>
      </w:r>
    </w:p>
    <w:p w14:paraId="1D5EDF5C" w14:textId="77777777" w:rsidR="00D443A9" w:rsidRPr="00CC28C1" w:rsidRDefault="00D443A9" w:rsidP="00D443A9">
      <w:pPr>
        <w:numPr>
          <w:ilvl w:val="0"/>
          <w:numId w:val="5"/>
        </w:numPr>
        <w:spacing w:after="0"/>
        <w:contextualSpacing/>
        <w:jc w:val="both"/>
        <w:rPr>
          <w:rFonts w:ascii="Times New Roman" w:hAnsi="Times New Roman"/>
          <w:szCs w:val="24"/>
        </w:rPr>
      </w:pPr>
      <w:r w:rsidRPr="00CC28C1">
        <w:rPr>
          <w:rFonts w:ascii="Times New Roman" w:hAnsi="Times New Roman"/>
          <w:szCs w:val="24"/>
        </w:rPr>
        <w:t xml:space="preserve">Birthplace: Preferably Nigeria. However, participants who were born outside Nigeria but self-identified as Nigerian and have spent most of their early years in Nigeria were also considered. Nigerians born in the UK who have spent most of </w:t>
      </w:r>
      <w:r w:rsidRPr="00CC28C1">
        <w:rPr>
          <w:rFonts w:ascii="Times New Roman" w:hAnsi="Times New Roman"/>
          <w:szCs w:val="24"/>
        </w:rPr>
        <w:lastRenderedPageBreak/>
        <w:t>their lives in the UK were excluded from the study. All but one of the participants were born and lived in Nigeria.</w:t>
      </w:r>
    </w:p>
    <w:p w14:paraId="5BABA07D" w14:textId="77777777" w:rsidR="00D443A9" w:rsidRPr="00CC28C1" w:rsidRDefault="00D443A9" w:rsidP="00D443A9">
      <w:pPr>
        <w:numPr>
          <w:ilvl w:val="0"/>
          <w:numId w:val="5"/>
        </w:numPr>
        <w:spacing w:after="0"/>
        <w:contextualSpacing/>
        <w:jc w:val="both"/>
        <w:rPr>
          <w:rFonts w:ascii="Times New Roman" w:hAnsi="Times New Roman"/>
          <w:szCs w:val="24"/>
        </w:rPr>
      </w:pPr>
      <w:r w:rsidRPr="00CC28C1">
        <w:rPr>
          <w:rFonts w:ascii="Times New Roman" w:hAnsi="Times New Roman"/>
          <w:szCs w:val="24"/>
        </w:rPr>
        <w:t>Duration of caregiving: I recruited participants who had been in their paid caregiving roles, working as nurses or HCAs, for at least a minimum of 6 months and were currently still in the role. This was to ensure only care workers who had experience with caregiving and currently doing so were recruited for the study.</w:t>
      </w:r>
    </w:p>
    <w:p w14:paraId="6238D3F8" w14:textId="5C8EB6EB" w:rsidR="00D443A9" w:rsidRDefault="00D443A9" w:rsidP="00D443A9">
      <w:pPr>
        <w:numPr>
          <w:ilvl w:val="0"/>
          <w:numId w:val="5"/>
        </w:numPr>
        <w:spacing w:after="0"/>
        <w:contextualSpacing/>
        <w:jc w:val="both"/>
        <w:rPr>
          <w:rFonts w:ascii="Times New Roman" w:hAnsi="Times New Roman"/>
          <w:szCs w:val="24"/>
        </w:rPr>
      </w:pPr>
      <w:r w:rsidRPr="00CC28C1">
        <w:rPr>
          <w:rFonts w:ascii="Times New Roman" w:hAnsi="Times New Roman"/>
          <w:szCs w:val="24"/>
        </w:rPr>
        <w:t>Language proficiency: Participants were also required to be fluent in English language and be willingly able to complete and sign the participants consent form.</w:t>
      </w:r>
    </w:p>
    <w:p w14:paraId="6A0C3427" w14:textId="77777777" w:rsidR="006869A3" w:rsidRPr="00984625" w:rsidRDefault="006869A3" w:rsidP="006869A3">
      <w:pPr>
        <w:spacing w:after="0"/>
        <w:contextualSpacing/>
        <w:jc w:val="both"/>
        <w:rPr>
          <w:rFonts w:ascii="Times New Roman" w:hAnsi="Times New Roman"/>
          <w:szCs w:val="24"/>
        </w:rPr>
      </w:pPr>
    </w:p>
    <w:p w14:paraId="3928B4E6" w14:textId="77777777" w:rsidR="00D443A9" w:rsidRDefault="00D443A9" w:rsidP="006869A3">
      <w:pPr>
        <w:pStyle w:val="Heading3"/>
      </w:pPr>
      <w:bookmarkStart w:id="146" w:name="_Toc86417330"/>
      <w:r w:rsidRPr="00CC28C1">
        <w:t>6.5.</w:t>
      </w:r>
      <w:r>
        <w:t>2</w:t>
      </w:r>
      <w:r w:rsidRPr="00CC28C1">
        <w:t xml:space="preserve">. Exclusion </w:t>
      </w:r>
      <w:r w:rsidRPr="00984625">
        <w:t>c</w:t>
      </w:r>
      <w:r w:rsidRPr="00CC28C1">
        <w:t>riteria</w:t>
      </w:r>
      <w:bookmarkEnd w:id="146"/>
    </w:p>
    <w:p w14:paraId="69B0B34B" w14:textId="77777777" w:rsidR="00D443A9" w:rsidRPr="00CC28C1" w:rsidRDefault="00D443A9" w:rsidP="00D443A9">
      <w:pPr>
        <w:numPr>
          <w:ilvl w:val="0"/>
          <w:numId w:val="6"/>
        </w:numPr>
        <w:spacing w:after="0"/>
        <w:contextualSpacing/>
        <w:jc w:val="both"/>
        <w:rPr>
          <w:rFonts w:ascii="Times New Roman" w:hAnsi="Times New Roman"/>
          <w:szCs w:val="24"/>
        </w:rPr>
      </w:pPr>
      <w:r w:rsidRPr="00CC28C1">
        <w:rPr>
          <w:rFonts w:ascii="Times New Roman" w:hAnsi="Times New Roman"/>
          <w:szCs w:val="24"/>
        </w:rPr>
        <w:t>Young care workers who under 18 years.</w:t>
      </w:r>
    </w:p>
    <w:p w14:paraId="3ADB38FC" w14:textId="77777777" w:rsidR="00D443A9" w:rsidRDefault="00D443A9" w:rsidP="00D443A9">
      <w:pPr>
        <w:numPr>
          <w:ilvl w:val="0"/>
          <w:numId w:val="6"/>
        </w:numPr>
        <w:spacing w:after="0"/>
        <w:contextualSpacing/>
        <w:jc w:val="both"/>
        <w:rPr>
          <w:rFonts w:ascii="Times New Roman" w:hAnsi="Times New Roman"/>
          <w:szCs w:val="24"/>
        </w:rPr>
      </w:pPr>
      <w:r w:rsidRPr="00CC28C1">
        <w:rPr>
          <w:rFonts w:ascii="Times New Roman" w:hAnsi="Times New Roman"/>
          <w:szCs w:val="24"/>
        </w:rPr>
        <w:t>Care workers who have not spent up to three months on the role.</w:t>
      </w:r>
    </w:p>
    <w:p w14:paraId="0725F53D" w14:textId="7139B3C0" w:rsidR="00D443A9" w:rsidRPr="006869A3" w:rsidRDefault="00D443A9" w:rsidP="00D443A9">
      <w:pPr>
        <w:numPr>
          <w:ilvl w:val="0"/>
          <w:numId w:val="6"/>
        </w:numPr>
        <w:spacing w:after="0"/>
        <w:contextualSpacing/>
        <w:jc w:val="both"/>
        <w:rPr>
          <w:rFonts w:ascii="Times New Roman" w:hAnsi="Times New Roman"/>
          <w:szCs w:val="24"/>
        </w:rPr>
      </w:pPr>
      <w:r w:rsidRPr="00CC28C1">
        <w:rPr>
          <w:rFonts w:ascii="Times New Roman" w:hAnsi="Times New Roman"/>
          <w:szCs w:val="24"/>
        </w:rPr>
        <w:t>Nigerians born in the UK or those who self-identified as Nigerians but were born elsewhere and spent most part of their lives outside Nigeria.</w:t>
      </w:r>
      <w:r w:rsidRPr="00340B76">
        <w:rPr>
          <w:rFonts w:ascii="Times New Roman" w:hAnsi="Times New Roman"/>
          <w:b/>
          <w:szCs w:val="24"/>
        </w:rPr>
        <w:t xml:space="preserve"> </w:t>
      </w:r>
    </w:p>
    <w:p w14:paraId="4DB1C90E" w14:textId="77777777" w:rsidR="006869A3" w:rsidRPr="00340B76" w:rsidRDefault="006869A3" w:rsidP="006869A3">
      <w:pPr>
        <w:spacing w:after="0"/>
        <w:contextualSpacing/>
        <w:jc w:val="both"/>
        <w:rPr>
          <w:rFonts w:ascii="Times New Roman" w:hAnsi="Times New Roman"/>
          <w:szCs w:val="24"/>
        </w:rPr>
      </w:pPr>
    </w:p>
    <w:p w14:paraId="563DE8E5" w14:textId="77777777" w:rsidR="00D443A9" w:rsidRPr="00340B76" w:rsidRDefault="00D443A9" w:rsidP="006869A3">
      <w:pPr>
        <w:pStyle w:val="Heading3"/>
      </w:pPr>
      <w:bookmarkStart w:id="147" w:name="_Toc86417331"/>
      <w:r w:rsidRPr="00CC28C1">
        <w:t>6.5.3. Sampling</w:t>
      </w:r>
      <w:bookmarkEnd w:id="147"/>
    </w:p>
    <w:p w14:paraId="201C7AD3"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Sampling refers to the process through which the study participants were recruited from the wider study population of paid Nigerian nurses and HCAs (Seaman, 1987). Burns and Grove (2003) described sampling as “</w:t>
      </w:r>
      <w:r w:rsidRPr="00CC28C1">
        <w:rPr>
          <w:rFonts w:ascii="Times New Roman" w:hAnsi="Times New Roman"/>
          <w:i/>
          <w:szCs w:val="24"/>
        </w:rPr>
        <w:t>a process of selecting a group of people, events or behaviour with which to conduct a study</w:t>
      </w:r>
      <w:r w:rsidRPr="00CC28C1">
        <w:rPr>
          <w:rFonts w:ascii="Times New Roman" w:hAnsi="Times New Roman"/>
          <w:szCs w:val="24"/>
        </w:rPr>
        <w:t xml:space="preserve">” (p. 31). It is argued that sampling is important because it results in a study sample that represent the study population (Polit, Beck and Hungler (2001). The study sample of </w:t>
      </w:r>
      <w:r w:rsidRPr="00CC28C1">
        <w:rPr>
          <w:rFonts w:ascii="Times New Roman" w:hAnsi="Times New Roman"/>
          <w:color w:val="000000"/>
          <w:szCs w:val="24"/>
        </w:rPr>
        <w:t>care</w:t>
      </w:r>
      <w:r>
        <w:rPr>
          <w:rFonts w:ascii="Times New Roman" w:hAnsi="Times New Roman"/>
          <w:color w:val="000000"/>
          <w:szCs w:val="24"/>
        </w:rPr>
        <w:t xml:space="preserve"> worke</w:t>
      </w:r>
      <w:r w:rsidRPr="00CC28C1">
        <w:rPr>
          <w:rFonts w:ascii="Times New Roman" w:hAnsi="Times New Roman"/>
          <w:color w:val="000000"/>
          <w:szCs w:val="24"/>
        </w:rPr>
        <w:t>rs</w:t>
      </w:r>
      <w:r w:rsidRPr="00CC28C1">
        <w:rPr>
          <w:rFonts w:ascii="Times New Roman" w:hAnsi="Times New Roman"/>
          <w:szCs w:val="24"/>
        </w:rPr>
        <w:t xml:space="preserve"> were recruited using the ‘invitation leaflet’ designed for the study and by word of mouth from two hospital wards in an NHS Trust within Essex. It included permanent, bank staffs and care agency workers, who worked as HCAs, senior HCAs, support workers and nurses. This group of care workers were chosen because they worked directly with the patients on the ward and maintained almost daily contact with people living with dementia.</w:t>
      </w:r>
    </w:p>
    <w:p w14:paraId="7FA0BE20"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 xml:space="preserve">Participants in the main study phase were drawn from two NHS wards with a combined number of 34 beds providing care for older adult (usually over the age of 65). They include an assessment and treatment ward for older adults with dementia, organic and </w:t>
      </w:r>
      <w:r w:rsidRPr="00CC28C1">
        <w:rPr>
          <w:rFonts w:ascii="Times New Roman" w:hAnsi="Times New Roman"/>
          <w:szCs w:val="24"/>
        </w:rPr>
        <w:lastRenderedPageBreak/>
        <w:t>other functional illnesses. These wards were chosen because staff, particularly those on the flexible-hours contract can work in either of the wards. The inclusion criteria also included anyone who worked regularly in either of the wards whether as regular or bank (temporary) staff on zero-hours contract.</w:t>
      </w:r>
    </w:p>
    <w:p w14:paraId="54AACAC8"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 xml:space="preserve">Participants for the pilot study were recruited from four churches mostly frequented by Nigerian migrant worshippers using convenient sampling and snowballing. These methods of participant recruitment were chosen due to their effective use in previous research involving similar populations (Gorelick </w:t>
      </w:r>
      <w:r w:rsidRPr="00391498">
        <w:rPr>
          <w:rFonts w:ascii="Times New Roman" w:hAnsi="Times New Roman"/>
          <w:i/>
          <w:iCs/>
          <w:szCs w:val="24"/>
        </w:rPr>
        <w:t>et al.</w:t>
      </w:r>
      <w:r w:rsidRPr="00CC28C1">
        <w:rPr>
          <w:rFonts w:ascii="Times New Roman" w:hAnsi="Times New Roman"/>
          <w:szCs w:val="24"/>
        </w:rPr>
        <w:t xml:space="preserve">, 1996; Gordon-Larsen </w:t>
      </w:r>
      <w:r w:rsidRPr="00391498">
        <w:rPr>
          <w:rFonts w:ascii="Times New Roman" w:hAnsi="Times New Roman"/>
          <w:i/>
          <w:iCs/>
          <w:szCs w:val="24"/>
        </w:rPr>
        <w:t>et al.</w:t>
      </w:r>
      <w:r w:rsidRPr="00CC28C1">
        <w:rPr>
          <w:rFonts w:ascii="Times New Roman" w:hAnsi="Times New Roman"/>
          <w:szCs w:val="24"/>
        </w:rPr>
        <w:t xml:space="preserve">, 2004; Scharlach </w:t>
      </w:r>
      <w:r w:rsidRPr="00391498">
        <w:rPr>
          <w:rFonts w:ascii="Times New Roman" w:hAnsi="Times New Roman"/>
          <w:i/>
          <w:iCs/>
          <w:szCs w:val="24"/>
        </w:rPr>
        <w:t>et al.</w:t>
      </w:r>
      <w:r w:rsidRPr="00CC28C1">
        <w:rPr>
          <w:rFonts w:ascii="Times New Roman" w:hAnsi="Times New Roman"/>
          <w:szCs w:val="24"/>
        </w:rPr>
        <w:t>, 2006). I was also aware from personal experience that sometimes, Nigerian migrants do have an affiliation to a church and the church has been identified as one of the commonly used organisation</w:t>
      </w:r>
      <w:r>
        <w:rPr>
          <w:rFonts w:ascii="Times New Roman" w:hAnsi="Times New Roman"/>
          <w:szCs w:val="24"/>
        </w:rPr>
        <w:t>s</w:t>
      </w:r>
      <w:r w:rsidRPr="00CC28C1">
        <w:rPr>
          <w:rFonts w:ascii="Times New Roman" w:hAnsi="Times New Roman"/>
          <w:szCs w:val="24"/>
        </w:rPr>
        <w:t xml:space="preserve"> for recruiting Nigerian migrants because it often serves as a source of social support (Taylor, Lincoln and Chatters, 2005; Taylor, Chatters and Jackson, 2007; Chatters </w:t>
      </w:r>
      <w:r w:rsidRPr="00391498">
        <w:rPr>
          <w:rFonts w:ascii="Times New Roman" w:hAnsi="Times New Roman"/>
          <w:i/>
          <w:iCs/>
          <w:szCs w:val="24"/>
        </w:rPr>
        <w:t>et al.</w:t>
      </w:r>
      <w:r w:rsidRPr="00CC28C1">
        <w:rPr>
          <w:rFonts w:ascii="Times New Roman" w:hAnsi="Times New Roman"/>
          <w:szCs w:val="24"/>
        </w:rPr>
        <w:t>, 2011). Other religious houses of worship (for example, the mosque) were not considered as only a small sample were sought to participate in the pilot study.</w:t>
      </w:r>
    </w:p>
    <w:p w14:paraId="37324FEB" w14:textId="0E2C0CAB" w:rsidR="00D443A9" w:rsidRDefault="00D443A9" w:rsidP="00D443A9">
      <w:pPr>
        <w:jc w:val="both"/>
        <w:rPr>
          <w:rFonts w:ascii="Times New Roman" w:hAnsi="Times New Roman"/>
          <w:szCs w:val="24"/>
        </w:rPr>
      </w:pPr>
      <w:r w:rsidRPr="00CC28C1">
        <w:rPr>
          <w:rFonts w:ascii="Times New Roman" w:hAnsi="Times New Roman"/>
          <w:szCs w:val="24"/>
        </w:rPr>
        <w:t>Informal contact w</w:t>
      </w:r>
      <w:r>
        <w:rPr>
          <w:rFonts w:ascii="Times New Roman" w:hAnsi="Times New Roman"/>
          <w:szCs w:val="24"/>
        </w:rPr>
        <w:t>as</w:t>
      </w:r>
      <w:r w:rsidRPr="00CC28C1">
        <w:rPr>
          <w:rFonts w:ascii="Times New Roman" w:hAnsi="Times New Roman"/>
          <w:szCs w:val="24"/>
        </w:rPr>
        <w:t xml:space="preserve"> made with each of the identified church pastor/head to discuss the research and what their role would be in the recruitment process. After discussion with the church pastors, I sent them a copy of my research proposal and a letter briefly outlining my research and requesting their permission to let me invite their members to take part in my study. In each of the churches, the pastor/head been the gatekeeper introduced me to the congregation so I could ask them to participate in the study. On my visits to each of the churches, the pastor allowed me to speak to the church secretary who suggested that I speak with an identified care worker. Before I spoke to anyone about the research, I handed them the invitation leaflet and requested that they call me if they would like to participate in the pilot study. The entire process of recruiting study participants for the pilot study commenced after an amendment to the final approval for the study was granted by the Anglia Ruskin University’s Faculty of Medical Science’s Faculty Research Ethics Panel (FMS-FREP). Four participants eventually took part in the pilot study, three were from one church, and one participant was from another.</w:t>
      </w:r>
    </w:p>
    <w:p w14:paraId="4AEEC0C1" w14:textId="77777777" w:rsidR="006869A3" w:rsidRPr="00CC28C1" w:rsidRDefault="006869A3" w:rsidP="00D443A9">
      <w:pPr>
        <w:jc w:val="both"/>
        <w:rPr>
          <w:rFonts w:ascii="Times New Roman" w:hAnsi="Times New Roman"/>
          <w:szCs w:val="24"/>
        </w:rPr>
      </w:pPr>
    </w:p>
    <w:p w14:paraId="2030CE7A" w14:textId="77777777" w:rsidR="00D443A9" w:rsidRPr="00CC28C1" w:rsidRDefault="00D443A9" w:rsidP="006869A3">
      <w:pPr>
        <w:pStyle w:val="Heading3"/>
      </w:pPr>
      <w:bookmarkStart w:id="148" w:name="_Toc86417332"/>
      <w:r w:rsidRPr="00CC28C1">
        <w:lastRenderedPageBreak/>
        <w:t>6.5.4. Sampling methods for recruiting participants</w:t>
      </w:r>
      <w:bookmarkEnd w:id="148"/>
    </w:p>
    <w:p w14:paraId="0B6DEB93"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Qualitative research uses non-probability sampling because it does not seek to obtain a statistically representative sample required to make statistical inference. With a purposive non-random sample, the number of care workers interviewed is not as important as the criteria used for their selection (Gr</w:t>
      </w:r>
      <w:r>
        <w:rPr>
          <w:rFonts w:ascii="Times New Roman" w:hAnsi="Times New Roman"/>
          <w:szCs w:val="24"/>
        </w:rPr>
        <w:t>a</w:t>
      </w:r>
      <w:r w:rsidRPr="00CC28C1">
        <w:rPr>
          <w:rFonts w:ascii="Times New Roman" w:hAnsi="Times New Roman"/>
          <w:szCs w:val="24"/>
        </w:rPr>
        <w:t>y, 2009). To be included, participants had to meet the inclusion and exclusion criteria and be willing to sign the consent form to show their willingness and consent to take part in the study.</w:t>
      </w:r>
    </w:p>
    <w:p w14:paraId="12F3244C"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Using purposive non-probability sampling, I was required to use my judgement to select participants who would participate in the study based on their knowledge of the phenomenon (Oisín, 2007). The nature of this study favoured the use of purposive sampling technique during which I made a conscious effort to select participants who specifically met the criteria for inclusion in the study (Devers and Frankel, 2000).</w:t>
      </w:r>
    </w:p>
    <w:p w14:paraId="14C42C70"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 xml:space="preserve">In addition to the purposive sampling, snowball sampling was also used. Snowballing techniques complement the purposive sampling technique to ensure that an adequate number of participants who met the criteria for inclusion were included in the study. Snowball sampling technique is a sampling method that involves recruiting research participants via a chain process in which an eligible participant informs the researcher of another potential participant who in turn recommends another and the chain continues (Vogt, 2005; Gentles </w:t>
      </w:r>
      <w:r w:rsidRPr="00391498">
        <w:rPr>
          <w:rFonts w:ascii="Times New Roman" w:hAnsi="Times New Roman"/>
          <w:i/>
          <w:iCs/>
          <w:szCs w:val="24"/>
        </w:rPr>
        <w:t>et al.</w:t>
      </w:r>
      <w:r w:rsidRPr="00CC28C1">
        <w:rPr>
          <w:rFonts w:ascii="Times New Roman" w:hAnsi="Times New Roman"/>
          <w:szCs w:val="24"/>
        </w:rPr>
        <w:t>, 2015). This develops into a chain of participants recommending each other to participate in the study. It is best suited for studies where the study participants might be hard to access. In this study, whilst there are many Nigerians involved in care work, I was specifically interested in those Nigerian care workers who were actively involved in caring for people with dementia. The profile of the participants is presented at the beginning of Chapter 7.</w:t>
      </w:r>
    </w:p>
    <w:p w14:paraId="44E97A56" w14:textId="77777777" w:rsidR="00D443A9" w:rsidRPr="00CC28C1" w:rsidRDefault="00D443A9" w:rsidP="006869A3">
      <w:pPr>
        <w:pStyle w:val="Heading3"/>
      </w:pPr>
      <w:bookmarkStart w:id="149" w:name="_Toc86417333"/>
      <w:r w:rsidRPr="00CC28C1">
        <w:t>6.5.5. Interviewing: language of choice</w:t>
      </w:r>
      <w:bookmarkEnd w:id="149"/>
    </w:p>
    <w:p w14:paraId="4C07112E"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The face-to-face in-depth interviews were conducted in English. However, participants who use the colloquial (‘broken’) or pidgin English, were invited to discuss some issues in more detail to make sure I understood what they were really saying when they spoke in pidgin English.</w:t>
      </w:r>
    </w:p>
    <w:p w14:paraId="462AE6AE" w14:textId="77777777" w:rsidR="00D443A9" w:rsidRPr="00CC28C1" w:rsidRDefault="00D443A9" w:rsidP="006869A3">
      <w:pPr>
        <w:pStyle w:val="Heading3"/>
      </w:pPr>
      <w:bookmarkStart w:id="150" w:name="_Toc86417334"/>
      <w:r w:rsidRPr="00CC28C1">
        <w:lastRenderedPageBreak/>
        <w:t xml:space="preserve">6.5.6. Phase One: Pilot interviews with paid Nigerian migrant </w:t>
      </w:r>
      <w:r w:rsidRPr="00CC28C1">
        <w:rPr>
          <w:color w:val="000000"/>
        </w:rPr>
        <w:t>care</w:t>
      </w:r>
      <w:r w:rsidRPr="001906F3">
        <w:rPr>
          <w:color w:val="000000"/>
        </w:rPr>
        <w:t xml:space="preserve"> worke</w:t>
      </w:r>
      <w:r w:rsidRPr="00CC28C1">
        <w:rPr>
          <w:color w:val="000000"/>
        </w:rPr>
        <w:t>rs</w:t>
      </w:r>
      <w:bookmarkEnd w:id="150"/>
    </w:p>
    <w:p w14:paraId="76E07A4C"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Prior to conducting the main study, a pilot study was conducted to test the interview guide and to practice interviewing skills. A pilot study is a small size version of a main study and has been defined as a “</w:t>
      </w:r>
      <w:r w:rsidRPr="00CC28C1">
        <w:rPr>
          <w:rFonts w:ascii="Times New Roman" w:hAnsi="Times New Roman"/>
          <w:i/>
          <w:szCs w:val="24"/>
        </w:rPr>
        <w:t>small scale version or trial run in preparation for a major study</w:t>
      </w:r>
      <w:r w:rsidRPr="00CC28C1">
        <w:rPr>
          <w:rFonts w:ascii="Times New Roman" w:hAnsi="Times New Roman"/>
          <w:szCs w:val="24"/>
        </w:rPr>
        <w:t xml:space="preserve">” (p. 467) (Polit, Beck and Hungler, 2001). In this study the pilot was conducted to pre-test or try-out the data collection instrument (interview guide) developed for the study (Baker, 1994). The interview guide was an essential tool in the interview process as it helped to guide me and focus on the core issues of the interview. The interview guide was developed from the literature as well as the research questions (Chan, Fung and Chien, 2013). </w:t>
      </w:r>
      <w:bookmarkStart w:id="151" w:name="_Hlk63263670"/>
      <w:r w:rsidRPr="00CC28C1">
        <w:rPr>
          <w:rFonts w:ascii="Times New Roman" w:hAnsi="Times New Roman"/>
          <w:szCs w:val="24"/>
        </w:rPr>
        <w:t>The piloting process enhanced my confidence and helped me develop and refine the interview guide further in terms of clarity, content, and length. It also helped me develop my ability to stimulate and maintain interactions and sharpen my transcribing skills.</w:t>
      </w:r>
      <w:bookmarkEnd w:id="151"/>
    </w:p>
    <w:p w14:paraId="1CC0B4B1"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Although conducting a pilot study does not imply that the main study will be automatically successful, Simon (2011) noted that it helps the researcher do better research by making adjustments that might improve the quality of the data collection tool. Simon (2011) also suggested that pilot study can help the researcher address some of the logistical issues associated with a study. The use of pilot study was very beneficial in this study as it helped me check the wording of the interview guide. Turner (2010) observed that conducting a pilot study can assist the researcher in determining the flaws, limitations and weaknesses associated with the interview design. As Turner (2010) argued, the beauty of the pilot study is that it acts like the imperfect prototype of the main study whose eventual refining and adjustment produces the main study that has less weakness. Although the role of pilot study in research has sometimes been undermined by the limited numbers of pilot study published, they have been found to aid the researcher in addressing any concerns raised with the design of the interview guide (Mason, 2010). I presented a part of the findings from the pilot study in a research student conference and received feedback on issues that I needed to address before moving on to the main study phase.</w:t>
      </w:r>
    </w:p>
    <w:p w14:paraId="27E0A02D"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lastRenderedPageBreak/>
        <w:t>One of the issues addressed in conducting the pilot study was rephrasing poorly asked questions (</w:t>
      </w:r>
      <w:r w:rsidRPr="00CC28C1">
        <w:rPr>
          <w:rFonts w:ascii="Times New Roman" w:hAnsi="Times New Roman"/>
          <w:bCs/>
          <w:color w:val="000000"/>
          <w:szCs w:val="24"/>
        </w:rPr>
        <w:t xml:space="preserve">Lancaster, Dodd and Williamson, 2004; </w:t>
      </w:r>
      <w:r w:rsidRPr="00CC28C1">
        <w:rPr>
          <w:rFonts w:ascii="Times New Roman" w:hAnsi="Times New Roman"/>
          <w:bCs/>
          <w:szCs w:val="24"/>
        </w:rPr>
        <w:t>van Teijlingen and Hundley, 2002</w:t>
      </w:r>
      <w:r w:rsidRPr="00CC28C1">
        <w:rPr>
          <w:rFonts w:ascii="Times New Roman" w:hAnsi="Times New Roman"/>
          <w:szCs w:val="24"/>
        </w:rPr>
        <w:t>). Poorly asked questions limit the amount and quality of description obtained from research participants</w:t>
      </w:r>
      <w:r w:rsidRPr="00CC28C1">
        <w:rPr>
          <w:rFonts w:ascii="Times New Roman" w:hAnsi="Times New Roman"/>
          <w:bCs/>
          <w:color w:val="000000"/>
          <w:szCs w:val="24"/>
        </w:rPr>
        <w:t xml:space="preserve"> (Lancaster, Dodd and Williamson 2004)</w:t>
      </w:r>
      <w:r w:rsidRPr="00CC28C1">
        <w:rPr>
          <w:rFonts w:ascii="Times New Roman" w:hAnsi="Times New Roman"/>
          <w:szCs w:val="24"/>
        </w:rPr>
        <w:t>. During the pilot phase of this study, my conceptualisation of culture as the way of life undertook serious scrutiny which demanded that I define in clear terms what I sought from the participants when I asked them how they thought their culture as Nigerians influenced their care as care workers. Another lesson learnt was the way I asked my questions. With an early research background that was based on empirical research rooted in the quantitative research tools, I initially struggled with trying to be present with the participant as opposed to extricating myself, which is the bane of quantitative research. However, once I completed the first two pilot interviews, I adjusted into the role of being a researcher indeed present in the research and being the main data collection tool. Lastly, my confidence as a qualitative researcher improved from feeling nervous in my first interview to becoming relaxed. The pilot study was a confidence building process for me.</w:t>
      </w:r>
    </w:p>
    <w:p w14:paraId="6F6DA8D3"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The pilot study helped me to rephrase inappropriately developed questions to allow for thick description of the phenomenon of caring for PLWD. In this research project, there were no notable differences between participants in the pilot interviews and the main study. However, participants involved in the pilot study were not allowed to participate in the main study as I was opposed to re-interviewing participants who would know what to expect in the interview. They were therefore excluded from the main study to allow for new participants to be recruited and the data from the 4 pilot interviews were not included in the data analysis. Another reason for doing this was to allow for the adjusted interview guide to be tested on participants new to the research. With respect to sample size, there is no fixed number of participants required for a pilot study. Baker (1994) suggested that an appropriate size for a pilot study should be about 10-20% of the sample size required for the main study. However, in this present study, it was difficult to predict the final number of participants who would participate in the in-depth interviews. This was due in part to recruitment rates, and whether new themes were observed during data collection (data saturation) (</w:t>
      </w:r>
      <w:r w:rsidRPr="00CC28C1">
        <w:rPr>
          <w:rFonts w:ascii="Times New Roman" w:hAnsi="Times New Roman"/>
          <w:bCs/>
          <w:szCs w:val="24"/>
        </w:rPr>
        <w:t xml:space="preserve">Guest, Bunce and Johnson, 2006; </w:t>
      </w:r>
      <w:r w:rsidRPr="00CC28C1">
        <w:rPr>
          <w:rFonts w:ascii="Times New Roman" w:hAnsi="Times New Roman"/>
          <w:szCs w:val="24"/>
        </w:rPr>
        <w:t xml:space="preserve">Mason, 2010). I eventually interviewed a total of 21 participants (15 HCAs and </w:t>
      </w:r>
      <w:r w:rsidRPr="00CC28C1">
        <w:rPr>
          <w:rFonts w:ascii="Times New Roman" w:hAnsi="Times New Roman"/>
          <w:szCs w:val="24"/>
        </w:rPr>
        <w:lastRenderedPageBreak/>
        <w:t>6 RMNs) in the main study and only stopped once I was convinced that saturation has being achieved (Mason, 2010).</w:t>
      </w:r>
    </w:p>
    <w:p w14:paraId="5CF2959F" w14:textId="77777777" w:rsidR="00D443A9" w:rsidRPr="00CC28C1" w:rsidRDefault="00D443A9" w:rsidP="006869A3">
      <w:pPr>
        <w:pStyle w:val="Heading3"/>
      </w:pPr>
      <w:bookmarkStart w:id="152" w:name="_Toc86417335"/>
      <w:r w:rsidRPr="00CC28C1">
        <w:t>6.5.7. Challenges of recruitment</w:t>
      </w:r>
      <w:bookmarkEnd w:id="152"/>
    </w:p>
    <w:p w14:paraId="6162CF0C" w14:textId="77777777" w:rsidR="00D443A9" w:rsidRPr="00CC28C1" w:rsidRDefault="00D443A9" w:rsidP="00D443A9">
      <w:pPr>
        <w:jc w:val="both"/>
        <w:rPr>
          <w:rFonts w:ascii="Times New Roman" w:hAnsi="Times New Roman"/>
          <w:szCs w:val="24"/>
        </w:rPr>
      </w:pPr>
      <w:r w:rsidRPr="00CC28C1">
        <w:rPr>
          <w:rFonts w:ascii="Times New Roman" w:hAnsi="Times New Roman"/>
          <w:szCs w:val="24"/>
        </w:rPr>
        <w:t>Following all the necessary ethical approvals, I handed out information sheet and consent form to each of the participants and ask them to complete and return. Once these were completed and returned, I contacted them via their preferred medium to arrange the place, date and time of interview. Most of the interviews took place in a pre-booked room at the University. This was chosen because it offered an environment with little distraction, and it was mutually agreed by the participant and the researcher (Turner, 2010). One of the interviews took place at the participants own home. I observed the lone working guide as outlined in my application for ethics and all risk were addressed.</w:t>
      </w:r>
    </w:p>
    <w:p w14:paraId="26ADFAD8" w14:textId="77777777" w:rsidR="00D443A9" w:rsidRPr="00CC28C1" w:rsidRDefault="00D443A9" w:rsidP="00D443A9">
      <w:pPr>
        <w:autoSpaceDE w:val="0"/>
        <w:autoSpaceDN w:val="0"/>
        <w:adjustRightInd w:val="0"/>
        <w:spacing w:before="240"/>
        <w:jc w:val="both"/>
        <w:rPr>
          <w:rFonts w:ascii="Times New Roman" w:hAnsi="Times New Roman"/>
          <w:iCs/>
          <w:szCs w:val="24"/>
        </w:rPr>
      </w:pPr>
      <w:r w:rsidRPr="00CC28C1">
        <w:rPr>
          <w:rFonts w:ascii="Times New Roman" w:hAnsi="Times New Roman"/>
          <w:iCs/>
          <w:szCs w:val="24"/>
        </w:rPr>
        <w:t>It was initially planned to recruit participants directly from care homes, nursing homes and other care settings without using the snowballing sampling technique. However, gate keepers (contact persons) in the care settings who were informally contacted were unwilling to allow me to recruit their staff. This was despite assurances that participants would not be linked to where they work and that the recruitment sites would remain anonymous. Their reluctance may not be unconnected with the media spotlight on care homes in recent times with reports of some abuse in some and poor quality of care in others (</w:t>
      </w:r>
      <w:r>
        <w:rPr>
          <w:rFonts w:ascii="Times New Roman" w:hAnsi="Times New Roman"/>
          <w:iCs/>
          <w:szCs w:val="24"/>
        </w:rPr>
        <w:t>British Broadcasting Corporation (</w:t>
      </w:r>
      <w:r w:rsidRPr="00CC28C1">
        <w:rPr>
          <w:rFonts w:ascii="Times New Roman" w:hAnsi="Times New Roman"/>
          <w:iCs/>
          <w:szCs w:val="24"/>
        </w:rPr>
        <w:t>BBC</w:t>
      </w:r>
      <w:r>
        <w:rPr>
          <w:rFonts w:ascii="Times New Roman" w:hAnsi="Times New Roman"/>
          <w:iCs/>
          <w:szCs w:val="24"/>
        </w:rPr>
        <w:t>)</w:t>
      </w:r>
      <w:r w:rsidRPr="00CC28C1">
        <w:rPr>
          <w:rFonts w:ascii="Times New Roman" w:hAnsi="Times New Roman"/>
          <w:iCs/>
          <w:szCs w:val="24"/>
        </w:rPr>
        <w:t>, 2016</w:t>
      </w:r>
      <w:r>
        <w:rPr>
          <w:rFonts w:ascii="Times New Roman" w:hAnsi="Times New Roman"/>
          <w:iCs/>
          <w:szCs w:val="24"/>
        </w:rPr>
        <w:t>;</w:t>
      </w:r>
      <w:r w:rsidRPr="00CC28C1">
        <w:rPr>
          <w:rFonts w:ascii="Times New Roman" w:hAnsi="Times New Roman"/>
          <w:iCs/>
          <w:szCs w:val="24"/>
        </w:rPr>
        <w:t xml:space="preserve"> </w:t>
      </w:r>
      <w:r>
        <w:rPr>
          <w:rFonts w:ascii="Times New Roman" w:hAnsi="Times New Roman"/>
          <w:iCs/>
          <w:szCs w:val="24"/>
        </w:rPr>
        <w:t xml:space="preserve">Gordon, 2016; </w:t>
      </w:r>
      <w:r w:rsidRPr="007B34EB">
        <w:rPr>
          <w:rFonts w:ascii="Times New Roman" w:hAnsi="Times New Roman"/>
          <w:iCs/>
          <w:szCs w:val="24"/>
        </w:rPr>
        <w:t>Triggle</w:t>
      </w:r>
      <w:r>
        <w:rPr>
          <w:rFonts w:ascii="Times New Roman" w:hAnsi="Times New Roman"/>
          <w:iCs/>
          <w:szCs w:val="24"/>
        </w:rPr>
        <w:t>,</w:t>
      </w:r>
      <w:r w:rsidRPr="007B34EB">
        <w:rPr>
          <w:rFonts w:ascii="Times New Roman" w:hAnsi="Times New Roman"/>
          <w:iCs/>
          <w:szCs w:val="24"/>
        </w:rPr>
        <w:t xml:space="preserve"> 2019</w:t>
      </w:r>
      <w:r w:rsidRPr="00CC28C1">
        <w:rPr>
          <w:rFonts w:ascii="Times New Roman" w:hAnsi="Times New Roman"/>
          <w:iCs/>
          <w:szCs w:val="24"/>
        </w:rPr>
        <w:t>) and fear that interviewees might inadvertently reveal the nature of care within the care setting.</w:t>
      </w:r>
    </w:p>
    <w:p w14:paraId="7B7CF121" w14:textId="77777777" w:rsidR="00D443A9" w:rsidRPr="00CC28C1" w:rsidRDefault="00D443A9" w:rsidP="00D443A9">
      <w:pPr>
        <w:spacing w:before="240"/>
        <w:jc w:val="both"/>
        <w:rPr>
          <w:rFonts w:ascii="Times New Roman" w:hAnsi="Times New Roman"/>
          <w:b/>
          <w:szCs w:val="24"/>
        </w:rPr>
      </w:pPr>
      <w:r w:rsidRPr="00CC28C1">
        <w:rPr>
          <w:rFonts w:ascii="Times New Roman" w:hAnsi="Times New Roman"/>
          <w:iCs/>
          <w:szCs w:val="24"/>
        </w:rPr>
        <w:t>The initial challenges encountered whilst trying to recruit participants directly from the places they work did not result in any changes to the inclusion or exclusion criteria. Participants recruited from the two hospital wards to take part in the main study or those recruited from churches to take part in the pilot study had everything in common with respect to meeting the inclusion criteria set for the study.</w:t>
      </w:r>
      <w:r w:rsidRPr="00CC28C1">
        <w:rPr>
          <w:rFonts w:ascii="Times New Roman" w:hAnsi="Times New Roman"/>
          <w:b/>
          <w:szCs w:val="24"/>
        </w:rPr>
        <w:t xml:space="preserve"> </w:t>
      </w:r>
      <w:r w:rsidRPr="00CC28C1">
        <w:rPr>
          <w:rFonts w:ascii="Times New Roman" w:hAnsi="Times New Roman"/>
          <w:szCs w:val="24"/>
        </w:rPr>
        <w:t>I am aware that participants recruited from churches in the pilot study may have systems/values that are different from those recruited from the hospital mental health wards, so I took account of this during the analysis and discussion of findings.</w:t>
      </w:r>
    </w:p>
    <w:p w14:paraId="033B75D4" w14:textId="77777777" w:rsidR="00D443A9" w:rsidRPr="00CC28C1" w:rsidRDefault="00D443A9" w:rsidP="006869A3">
      <w:pPr>
        <w:pStyle w:val="Heading3"/>
      </w:pPr>
      <w:bookmarkStart w:id="153" w:name="_Toc86417336"/>
      <w:r w:rsidRPr="00CC28C1">
        <w:lastRenderedPageBreak/>
        <w:t>6.5.8. Phase Two: Interviews with Nigerian migrant care workers</w:t>
      </w:r>
      <w:bookmarkEnd w:id="153"/>
    </w:p>
    <w:p w14:paraId="1B23FCCA" w14:textId="041A2AC0"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 xml:space="preserve">The second phase of this study is the main in-depth interview phase involving participants from the study setting. One of the benefits of doing interview in this phase is to allow me to capture the experience of the participants in a face-to-face discussion (Smith, 1995; Gall, Gall and Borg, 2003; Willig, 2008). The complete interview guide is shown and presented on Appendix </w:t>
      </w:r>
      <w:r w:rsidR="001E7E7B">
        <w:rPr>
          <w:rFonts w:ascii="Times New Roman" w:hAnsi="Times New Roman"/>
          <w:szCs w:val="24"/>
        </w:rPr>
        <w:t>6.6</w:t>
      </w:r>
      <w:r w:rsidRPr="00CC28C1">
        <w:rPr>
          <w:rFonts w:ascii="Times New Roman" w:hAnsi="Times New Roman"/>
          <w:szCs w:val="24"/>
        </w:rPr>
        <w:t>.</w:t>
      </w:r>
    </w:p>
    <w:p w14:paraId="4EA5A2C2"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 xml:space="preserve">A typical interview began with me introducing myself to the participant. I then proceeded to explain the purpose of the research in brief. I also explained to each of the participants why they were chosen and reassured them of complete confidentiality (Wiles </w:t>
      </w:r>
      <w:r w:rsidRPr="00391498">
        <w:rPr>
          <w:rFonts w:ascii="Times New Roman" w:hAnsi="Times New Roman"/>
          <w:i/>
          <w:iCs/>
          <w:szCs w:val="24"/>
        </w:rPr>
        <w:t>et al.</w:t>
      </w:r>
      <w:r w:rsidRPr="00CC28C1">
        <w:rPr>
          <w:rFonts w:ascii="Times New Roman" w:hAnsi="Times New Roman"/>
          <w:szCs w:val="24"/>
        </w:rPr>
        <w:t>, 2008). I also gave them a consent form to sign before the interview began with me asking them to tell me a bit about themselves as well as their caregiving background. Beginning on this general note served to get to know them and allowed them to relax. As the interview progressed, I proceeded to ask them questions relating to their perception of dementia, motivation as care workers and the support they receive to cope with the demand of the role.</w:t>
      </w:r>
    </w:p>
    <w:p w14:paraId="4361C0FF" w14:textId="77777777" w:rsidR="00D443A9" w:rsidRPr="00CC28C1" w:rsidRDefault="00D443A9" w:rsidP="006869A3">
      <w:pPr>
        <w:pStyle w:val="Heading3"/>
      </w:pPr>
      <w:bookmarkStart w:id="154" w:name="_Toc86417337"/>
      <w:r w:rsidRPr="00CC28C1">
        <w:t>6.5.9. Withdrawing from the study</w:t>
      </w:r>
      <w:bookmarkEnd w:id="154"/>
    </w:p>
    <w:p w14:paraId="175432CA" w14:textId="467AB060" w:rsidR="00CB09C9" w:rsidRDefault="00D443A9" w:rsidP="00D443A9">
      <w:pPr>
        <w:spacing w:before="240" w:after="0"/>
        <w:jc w:val="both"/>
        <w:rPr>
          <w:rFonts w:ascii="Times New Roman" w:hAnsi="Times New Roman"/>
          <w:szCs w:val="24"/>
        </w:rPr>
      </w:pPr>
      <w:r w:rsidRPr="00CC28C1">
        <w:rPr>
          <w:rFonts w:ascii="Times New Roman" w:hAnsi="Times New Roman"/>
          <w:szCs w:val="24"/>
        </w:rPr>
        <w:t xml:space="preserve">Participants were informed of their right to withdraw at any time if they felt they no longer wanted to participate in the study or interview for any reason. They were also told that they are free to withhold any information if they did not wish to share it. Participants were informed that </w:t>
      </w:r>
      <w:r>
        <w:rPr>
          <w:rFonts w:ascii="Times New Roman" w:hAnsi="Times New Roman"/>
          <w:szCs w:val="24"/>
        </w:rPr>
        <w:t>there would be no consequences if they chose to withdraw as this is within their legal right.</w:t>
      </w:r>
      <w:r w:rsidRPr="00CC28C1">
        <w:rPr>
          <w:rFonts w:ascii="Times New Roman" w:hAnsi="Times New Roman"/>
          <w:szCs w:val="24"/>
        </w:rPr>
        <w:t xml:space="preserve"> Hence, throughout the course of the interview, participants had a copy of the signed consent form which also include a withdrawal form. They were told that those who withdraw from the study and subsequently changed their mind would gladly be welcomed back. However, nobody withdrew from the study.</w:t>
      </w:r>
    </w:p>
    <w:p w14:paraId="6BCD1CE7" w14:textId="77777777" w:rsidR="006869A3" w:rsidRPr="00CC28C1" w:rsidRDefault="006869A3" w:rsidP="00D443A9">
      <w:pPr>
        <w:spacing w:before="240" w:after="0"/>
        <w:jc w:val="both"/>
        <w:rPr>
          <w:rFonts w:ascii="Times New Roman" w:hAnsi="Times New Roman"/>
          <w:szCs w:val="24"/>
        </w:rPr>
      </w:pPr>
    </w:p>
    <w:p w14:paraId="62EAB13C" w14:textId="77777777" w:rsidR="00D443A9" w:rsidRPr="00CC28C1" w:rsidRDefault="00D443A9" w:rsidP="006869A3">
      <w:pPr>
        <w:pStyle w:val="Heading2"/>
      </w:pPr>
      <w:bookmarkStart w:id="155" w:name="_Toc86417338"/>
      <w:r w:rsidRPr="00CC28C1">
        <w:t>6.6. Data Analysis</w:t>
      </w:r>
      <w:bookmarkEnd w:id="155"/>
    </w:p>
    <w:p w14:paraId="609E24C9"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 xml:space="preserve">Analysis involved organisation of the data in a well-structured manner to elicit the meaning and implications of the data. Data analysis in qualitative research is generally </w:t>
      </w:r>
      <w:r w:rsidRPr="00CC28C1">
        <w:rPr>
          <w:rFonts w:ascii="Times New Roman" w:hAnsi="Times New Roman"/>
          <w:szCs w:val="24"/>
        </w:rPr>
        <w:lastRenderedPageBreak/>
        <w:t>an active and interactive process involving the active involvement of the researcher (Polit, Beck and Hungler, 2001). Data analysis commenced immediately after conducting an interview. Precisely, it was done simultaneously with data collection (Holloway and Wheeler 2002</w:t>
      </w:r>
      <w:r>
        <w:rPr>
          <w:rFonts w:ascii="Times New Roman" w:hAnsi="Times New Roman"/>
          <w:szCs w:val="24"/>
        </w:rPr>
        <w:t>; 2010</w:t>
      </w:r>
      <w:r w:rsidRPr="00CC28C1">
        <w:rPr>
          <w:rFonts w:ascii="Times New Roman" w:hAnsi="Times New Roman"/>
          <w:szCs w:val="24"/>
        </w:rPr>
        <w:t xml:space="preserve">). </w:t>
      </w:r>
      <w:r w:rsidRPr="00CC28C1">
        <w:rPr>
          <w:rFonts w:ascii="Times New Roman" w:hAnsi="Times New Roman"/>
          <w:szCs w:val="24"/>
          <w:lang w:val="en-AU"/>
        </w:rPr>
        <w:t xml:space="preserve">To begin, </w:t>
      </w:r>
      <w:r w:rsidRPr="00CC28C1">
        <w:rPr>
          <w:rFonts w:ascii="Times New Roman" w:hAnsi="Times New Roman"/>
          <w:szCs w:val="24"/>
        </w:rPr>
        <w:t>each interview was transcribed verbatim. This process included listening to an interview recording over again, pausing and rewinding when necessary, checking for mis-hearings and making sure all words from the recorded piece are well captured in the transcript.</w:t>
      </w:r>
    </w:p>
    <w:p w14:paraId="2DF612A1" w14:textId="36DAB571" w:rsidR="00D443A9" w:rsidRDefault="00D443A9" w:rsidP="00D443A9">
      <w:pPr>
        <w:spacing w:before="240" w:after="0"/>
        <w:jc w:val="both"/>
        <w:rPr>
          <w:rFonts w:ascii="Times New Roman" w:hAnsi="Times New Roman"/>
          <w:szCs w:val="24"/>
          <w:lang w:val="en-AU"/>
        </w:rPr>
      </w:pPr>
      <w:r w:rsidRPr="00CC28C1">
        <w:rPr>
          <w:rFonts w:ascii="Times New Roman" w:hAnsi="Times New Roman"/>
          <w:szCs w:val="24"/>
          <w:lang w:val="en-AU"/>
        </w:rPr>
        <w:t xml:space="preserve">The transcripts were analysed using interpretative phenomenology informed by Van Manen’s (1997) phenomenological reflection and Gadamer’s (1990) hermeneutic circle. Following transcription, the interviews were re-read to make sure everything from the recordings was captured. After manual coding of data, it was processed using NVivo, a software specifically designed for use in qualitative research. Coded data was then arranged in themes before the final process of making meaning of the data commenced. This process of analysing the data was undertaken in a structured way to enable the researcher do a thorough interpretation of the participants’ experience (Wimpenny and Gass, 2000; </w:t>
      </w:r>
      <w:r w:rsidRPr="00CC28C1">
        <w:rPr>
          <w:rFonts w:ascii="Times New Roman" w:hAnsi="Times New Roman"/>
          <w:szCs w:val="24"/>
        </w:rPr>
        <w:t>Smith, Flowers and Larkin, 2009</w:t>
      </w:r>
      <w:r w:rsidRPr="00CC28C1">
        <w:rPr>
          <w:rFonts w:ascii="Times New Roman" w:hAnsi="Times New Roman"/>
          <w:szCs w:val="24"/>
          <w:lang w:val="en-AU"/>
        </w:rPr>
        <w:t>).</w:t>
      </w:r>
    </w:p>
    <w:p w14:paraId="7F6F7CB3" w14:textId="77777777" w:rsidR="006869A3" w:rsidRPr="00CC28C1" w:rsidRDefault="006869A3" w:rsidP="00D443A9">
      <w:pPr>
        <w:spacing w:before="240" w:after="0"/>
        <w:jc w:val="both"/>
        <w:rPr>
          <w:rFonts w:ascii="Times New Roman" w:hAnsi="Times New Roman"/>
          <w:szCs w:val="24"/>
          <w:lang w:val="en-AU"/>
        </w:rPr>
      </w:pPr>
    </w:p>
    <w:p w14:paraId="54357BA2" w14:textId="77777777" w:rsidR="00D443A9" w:rsidRPr="00CC28C1" w:rsidRDefault="00D443A9" w:rsidP="006869A3">
      <w:pPr>
        <w:pStyle w:val="Heading3"/>
      </w:pPr>
      <w:bookmarkStart w:id="156" w:name="_Toc86417339"/>
      <w:r w:rsidRPr="00CC28C1">
        <w:t xml:space="preserve">6.6.1. </w:t>
      </w:r>
      <w:r w:rsidRPr="009D7AC7">
        <w:t>The role of the researcher in data analysis</w:t>
      </w:r>
      <w:bookmarkEnd w:id="156"/>
    </w:p>
    <w:p w14:paraId="22D4EB31" w14:textId="77777777" w:rsidR="00D443A9" w:rsidRPr="00CC28C1" w:rsidRDefault="00D443A9" w:rsidP="00D443A9">
      <w:pPr>
        <w:spacing w:before="240" w:after="0"/>
        <w:jc w:val="both"/>
        <w:rPr>
          <w:rFonts w:ascii="Times New Roman" w:hAnsi="Times New Roman"/>
          <w:szCs w:val="24"/>
        </w:rPr>
      </w:pPr>
      <w:r w:rsidRPr="00CC28C1">
        <w:rPr>
          <w:rFonts w:ascii="Times New Roman" w:hAnsi="Times New Roman"/>
          <w:szCs w:val="24"/>
        </w:rPr>
        <w:t xml:space="preserve">Since the process of data analysis in qualitative research is a very active and interactive one, I was actively involved to tease out meaning from the collected data. Usually, in a phenomenological study of this nature certain analytic practices are employed by the researcher, which includes reflexivity, bracketing and intuiting. However, I did not use bracketing. The essence of following through these practices is to ensure that as the researcher, I can put my preconceptions regarding the phenomenon under study aside. However, as noted in the discussion on the study methodology and methodological underpinning for this research, I discussed why I felt at the time, that I would not be doing any bracketing during data analysis. Just to reemphasise, my position both as a researcher who has and is still actively involved in the care of people with dementia and the added advantage of being a Nigerian makes it difficult to successfully apply bracketing to this study. Despite not bracketing or actively intuiting, steps were taken </w:t>
      </w:r>
      <w:r w:rsidRPr="00CC28C1">
        <w:rPr>
          <w:rFonts w:ascii="Times New Roman" w:hAnsi="Times New Roman"/>
          <w:szCs w:val="24"/>
        </w:rPr>
        <w:lastRenderedPageBreak/>
        <w:t>to apply reflexivity to the analysis, as informed by phenomenological reflection and phenomenological writing (Van Manen, 2007).</w:t>
      </w:r>
    </w:p>
    <w:p w14:paraId="5D4F7B82" w14:textId="77777777" w:rsidR="00D443A9" w:rsidRPr="00CC28C1" w:rsidRDefault="00D443A9" w:rsidP="00D443A9">
      <w:pPr>
        <w:spacing w:before="240"/>
        <w:jc w:val="both"/>
        <w:rPr>
          <w:rFonts w:ascii="Times New Roman" w:hAnsi="Times New Roman"/>
          <w:szCs w:val="24"/>
        </w:rPr>
      </w:pPr>
      <w:r w:rsidRPr="00CC28C1">
        <w:rPr>
          <w:rFonts w:ascii="Times New Roman" w:hAnsi="Times New Roman"/>
          <w:szCs w:val="24"/>
        </w:rPr>
        <w:t>In reflexivity, I continuously reflected on my personal preconceived values as well as those of the participants. I reflected on how data collected will be influenced by how the participants perceives me as the researcher (Holloway and Wheeler, 201</w:t>
      </w:r>
      <w:r>
        <w:rPr>
          <w:rFonts w:ascii="Times New Roman" w:hAnsi="Times New Roman"/>
          <w:szCs w:val="24"/>
        </w:rPr>
        <w:t>0; Holloway and Galvin, 2016</w:t>
      </w:r>
      <w:r w:rsidRPr="00CC28C1">
        <w:rPr>
          <w:rFonts w:ascii="Times New Roman" w:hAnsi="Times New Roman"/>
          <w:szCs w:val="24"/>
        </w:rPr>
        <w:t>). I also reflected on my personal actions, feelings and conflicts experienced throughout the research. To successfully do this would require that I maintain a self-critical stance to the study, the participants, my personal assumptions, role as researcher and relationship to the research and study participants. The main motivation to engage in reflexivity was among other things to help me self-monitor the research, to analyse data and to minimise my personal bias as the researcher and increase the study’s trustworthiness.</w:t>
      </w:r>
    </w:p>
    <w:p w14:paraId="4D4219B8" w14:textId="77777777" w:rsidR="00D443A9" w:rsidRPr="00CC28C1" w:rsidRDefault="00D443A9" w:rsidP="006869A3">
      <w:pPr>
        <w:pStyle w:val="Heading3"/>
      </w:pPr>
      <w:bookmarkStart w:id="157" w:name="_Toc86417340"/>
      <w:r w:rsidRPr="00CC28C1">
        <w:t xml:space="preserve">6.6.2. </w:t>
      </w:r>
      <w:r w:rsidRPr="009D7AC7">
        <w:t>Analytical process informed by van Manen’s reflection and writing</w:t>
      </w:r>
      <w:bookmarkEnd w:id="157"/>
    </w:p>
    <w:p w14:paraId="7BE18C78" w14:textId="77777777" w:rsidR="00D443A9" w:rsidRPr="00CC28C1" w:rsidRDefault="00D443A9" w:rsidP="00D443A9">
      <w:pPr>
        <w:autoSpaceDE w:val="0"/>
        <w:autoSpaceDN w:val="0"/>
        <w:adjustRightInd w:val="0"/>
        <w:spacing w:before="240"/>
        <w:rPr>
          <w:rFonts w:ascii="Times New Roman" w:hAnsi="Times New Roman"/>
          <w:color w:val="000000"/>
          <w:szCs w:val="24"/>
        </w:rPr>
      </w:pPr>
      <w:r w:rsidRPr="00CC28C1">
        <w:rPr>
          <w:rFonts w:ascii="Times New Roman" w:hAnsi="Times New Roman"/>
          <w:color w:val="000000"/>
          <w:szCs w:val="24"/>
        </w:rPr>
        <w:t>It was possible to generate emergent themes from my research interviews by directly participating in the data generation process, transcribing and conducting thematic analysis. The entire process of data analysis was guided using two research activities proposed for interpretive phenomenology by van Manen (1990, 1997, 2014), that is, phenomenological reflection and writing.</w:t>
      </w:r>
    </w:p>
    <w:p w14:paraId="16D6D5A0" w14:textId="77777777" w:rsidR="00D443A9" w:rsidRPr="00CC28C1" w:rsidRDefault="00D443A9" w:rsidP="006869A3">
      <w:pPr>
        <w:pStyle w:val="Heading3"/>
      </w:pPr>
      <w:bookmarkStart w:id="158" w:name="_Toc86417341"/>
      <w:r w:rsidRPr="00CC28C1">
        <w:t xml:space="preserve">6.6.3. </w:t>
      </w:r>
      <w:r w:rsidRPr="009D7AC7">
        <w:t>Phenomenological reflection – discovering themes through detailed, selective and holistic reading of transcripts</w:t>
      </w:r>
      <w:bookmarkEnd w:id="158"/>
    </w:p>
    <w:p w14:paraId="4ACE22AE" w14:textId="77777777"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 xml:space="preserve">According to van Manen (1990; 2016), to undertake a phenomenological reflection of the lived experience of paid Nigerian nurses and HCAs, the researcher would have to have “a more direct contact with the experience as lived” (van Manen, 2016, p.78). Explaining this, van Manen (1990, 1997 and 2016) gave further description of what phenomenological reflection entails using the analogy of a teacher and a parent. He pointed that if one wants to grasp the pedagogic essence of being a teacher or parent so as to live it fully with children of his or her own, the individual will have to phenomenologically reflect on the lived experience of a teacher or parent as a teacher or parent. In other words, it is not enough to simply reflect on the lived experience of </w:t>
      </w:r>
      <w:r w:rsidRPr="00CC28C1">
        <w:rPr>
          <w:rFonts w:ascii="Times New Roman" w:hAnsi="Times New Roman"/>
          <w:color w:val="000000"/>
          <w:szCs w:val="24"/>
        </w:rPr>
        <w:lastRenderedPageBreak/>
        <w:t>paid Nigerian migrant care</w:t>
      </w:r>
      <w:r>
        <w:rPr>
          <w:rFonts w:ascii="Times New Roman" w:hAnsi="Times New Roman"/>
          <w:color w:val="000000"/>
          <w:szCs w:val="24"/>
        </w:rPr>
        <w:t xml:space="preserve"> worker</w:t>
      </w:r>
      <w:r w:rsidRPr="00CC28C1">
        <w:rPr>
          <w:rFonts w:ascii="Times New Roman" w:hAnsi="Times New Roman"/>
          <w:color w:val="000000"/>
          <w:szCs w:val="24"/>
        </w:rPr>
        <w:t xml:space="preserve">s in the UK, but it is important to reflect phenomenologically on the experiences by capturing the essence of lived experiences of caring for </w:t>
      </w:r>
      <w:r>
        <w:rPr>
          <w:rFonts w:ascii="Times New Roman" w:hAnsi="Times New Roman"/>
          <w:color w:val="000000"/>
          <w:szCs w:val="24"/>
        </w:rPr>
        <w:t>PLWD</w:t>
      </w:r>
      <w:r w:rsidRPr="00CC28C1">
        <w:rPr>
          <w:rFonts w:ascii="Times New Roman" w:hAnsi="Times New Roman"/>
          <w:color w:val="000000"/>
          <w:szCs w:val="24"/>
        </w:rPr>
        <w:t xml:space="preserve"> as lived by paid Nigerian nurses and HCAs in the UK.</w:t>
      </w:r>
    </w:p>
    <w:p w14:paraId="611558F5" w14:textId="77777777"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To engage with the essence of caregiving, I considered the multi-layered nature of what it means to care. Hence, I did not reduce the meaning of caregiving to a simple definition. As acknowledged in the review of literature on the concept of caregiving, no standard definition of caregiving is widely accepted. Therefore, in this study, the meaning of caregiving was described through participants’ narratives of their experience of it. After transcribing the narratives into texts, it was important to reflectively engage with the text to explicate the experience of caregiving. To fully grasp the structure of the meanings in the texts, their experiences of caregiving was described in themes. Consequently, phenomenologically reflecting on the lived experience of caregiving thus becomes reflectively analysing the themes captured in their experiences.</w:t>
      </w:r>
    </w:p>
    <w:p w14:paraId="0B02907D" w14:textId="25A2ABD1"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Thematic analysis is common to other methods within qualitative research but what makes van Manen’s interpretive phenomenology thematic analysis different is that it is “</w:t>
      </w:r>
      <w:r w:rsidRPr="00CC28C1">
        <w:rPr>
          <w:rFonts w:ascii="Times New Roman" w:hAnsi="Times New Roman"/>
          <w:i/>
          <w:color w:val="000000"/>
          <w:szCs w:val="24"/>
        </w:rPr>
        <w:t>the process of recovering structures of meanings that are embodied and dramatised in human experience represented in the text</w:t>
      </w:r>
      <w:r w:rsidR="00AE766F">
        <w:rPr>
          <w:rFonts w:ascii="Times New Roman" w:hAnsi="Times New Roman"/>
          <w:color w:val="000000"/>
          <w:szCs w:val="24"/>
        </w:rPr>
        <w:t>”</w:t>
      </w:r>
      <w:r w:rsidRPr="00CC28C1">
        <w:rPr>
          <w:rFonts w:ascii="Times New Roman" w:hAnsi="Times New Roman"/>
          <w:color w:val="000000"/>
          <w:szCs w:val="24"/>
        </w:rPr>
        <w:t xml:space="preserve"> (van Manen, 2014, p.319). This </w:t>
      </w:r>
      <w:r w:rsidR="009A460A" w:rsidRPr="00CC28C1">
        <w:rPr>
          <w:rFonts w:ascii="Times New Roman" w:hAnsi="Times New Roman"/>
          <w:color w:val="000000"/>
          <w:szCs w:val="24"/>
        </w:rPr>
        <w:t>contrasts with</w:t>
      </w:r>
      <w:r w:rsidRPr="00CC28C1">
        <w:rPr>
          <w:rFonts w:ascii="Times New Roman" w:hAnsi="Times New Roman"/>
          <w:color w:val="000000"/>
          <w:szCs w:val="24"/>
        </w:rPr>
        <w:t xml:space="preserve"> ethnography </w:t>
      </w:r>
      <w:r w:rsidR="00AE766F">
        <w:rPr>
          <w:rFonts w:ascii="Times New Roman" w:hAnsi="Times New Roman"/>
          <w:color w:val="000000"/>
          <w:szCs w:val="24"/>
        </w:rPr>
        <w:t>in which</w:t>
      </w:r>
      <w:r w:rsidRPr="00CC28C1">
        <w:rPr>
          <w:rFonts w:ascii="Times New Roman" w:hAnsi="Times New Roman"/>
          <w:color w:val="000000"/>
          <w:szCs w:val="24"/>
        </w:rPr>
        <w:t xml:space="preserve"> the goal of thematic analysis is to discover the categories that makes for the description of cultural groups and practices (Hammersley, and Atkinson, 2007). The unique style of thematic analysis in ethnography is </w:t>
      </w:r>
      <w:r w:rsidR="00525711">
        <w:rPr>
          <w:rFonts w:ascii="Times New Roman" w:hAnsi="Times New Roman"/>
          <w:color w:val="000000"/>
          <w:szCs w:val="24"/>
        </w:rPr>
        <w:t xml:space="preserve">also </w:t>
      </w:r>
      <w:r w:rsidRPr="00CC28C1">
        <w:rPr>
          <w:rFonts w:ascii="Times New Roman" w:hAnsi="Times New Roman"/>
          <w:color w:val="000000"/>
          <w:szCs w:val="24"/>
        </w:rPr>
        <w:t xml:space="preserve">markedly different from that carried out in </w:t>
      </w:r>
      <w:r w:rsidR="00AE766F">
        <w:rPr>
          <w:rFonts w:ascii="Times New Roman" w:hAnsi="Times New Roman"/>
          <w:color w:val="000000"/>
          <w:szCs w:val="24"/>
        </w:rPr>
        <w:t xml:space="preserve">a </w:t>
      </w:r>
      <w:r w:rsidRPr="00CC28C1">
        <w:rPr>
          <w:rFonts w:ascii="Times New Roman" w:hAnsi="Times New Roman"/>
          <w:color w:val="000000"/>
          <w:szCs w:val="24"/>
        </w:rPr>
        <w:t>grounded theory research</w:t>
      </w:r>
      <w:r w:rsidR="00525711">
        <w:rPr>
          <w:rFonts w:ascii="Times New Roman" w:hAnsi="Times New Roman"/>
          <w:color w:val="000000"/>
          <w:szCs w:val="24"/>
        </w:rPr>
        <w:t xml:space="preserve"> which involves</w:t>
      </w:r>
      <w:r w:rsidR="00AE766F">
        <w:rPr>
          <w:rFonts w:ascii="Times New Roman" w:hAnsi="Times New Roman"/>
          <w:color w:val="000000"/>
          <w:szCs w:val="24"/>
        </w:rPr>
        <w:t xml:space="preserve"> </w:t>
      </w:r>
      <w:r w:rsidRPr="00CC28C1">
        <w:rPr>
          <w:rFonts w:ascii="Times New Roman" w:hAnsi="Times New Roman"/>
          <w:color w:val="000000"/>
          <w:szCs w:val="24"/>
        </w:rPr>
        <w:t>thematic coding</w:t>
      </w:r>
      <w:r w:rsidR="00525711">
        <w:rPr>
          <w:rFonts w:ascii="Times New Roman" w:hAnsi="Times New Roman"/>
          <w:color w:val="000000"/>
          <w:szCs w:val="24"/>
        </w:rPr>
        <w:t>, done</w:t>
      </w:r>
      <w:r w:rsidRPr="00CC28C1">
        <w:rPr>
          <w:rFonts w:ascii="Times New Roman" w:hAnsi="Times New Roman"/>
          <w:color w:val="000000"/>
          <w:szCs w:val="24"/>
        </w:rPr>
        <w:t xml:space="preserve"> by constantly comparing analysis to develop a theory (Glaser and Strauss 1967; Strauss and Corbin, 1998; Bryant and Charmaz, 2007).</w:t>
      </w:r>
    </w:p>
    <w:p w14:paraId="7C6DCAF2" w14:textId="77777777"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 xml:space="preserve">Simple coding and conceptual abstraction would not provide phenomenological understandings into caregiving (van Manen, 2014). Therefore, my analysis of thematic meaning of caregiving amongst paid Nigerian migrant care workers caring for PLWD was a free but creative process of insightful invention, discovery and disclosure. Rather than being a fixed process with strict rules, the explication of meaning was guided by phenomenological reduction (see chapter 5) (van Manen, 2016). As van Manen (1997) </w:t>
      </w:r>
      <w:r w:rsidRPr="00CC28C1">
        <w:rPr>
          <w:rFonts w:ascii="Times New Roman" w:hAnsi="Times New Roman"/>
          <w:color w:val="000000"/>
          <w:szCs w:val="24"/>
        </w:rPr>
        <w:lastRenderedPageBreak/>
        <w:t>suggested, to gain insight into the lived experience of Nigerian migrant caregiving, text</w:t>
      </w:r>
      <w:r>
        <w:rPr>
          <w:rFonts w:ascii="Times New Roman" w:hAnsi="Times New Roman"/>
          <w:color w:val="000000"/>
          <w:szCs w:val="24"/>
        </w:rPr>
        <w:t>s</w:t>
      </w:r>
      <w:r w:rsidRPr="00CC28C1">
        <w:rPr>
          <w:rFonts w:ascii="Times New Roman" w:hAnsi="Times New Roman"/>
          <w:color w:val="000000"/>
          <w:szCs w:val="24"/>
        </w:rPr>
        <w:t xml:space="preserve"> were regarded as sources of meaning including single words, a phrase, an expression, a sentence, a paragraph or even at the level of the whole story (van Manen, 2014). This is what van Manen referred to as detailed, selective and ‘</w:t>
      </w:r>
      <w:r w:rsidRPr="00CC28C1">
        <w:rPr>
          <w:rFonts w:ascii="Times New Roman" w:hAnsi="Times New Roman"/>
          <w:i/>
          <w:color w:val="000000"/>
          <w:szCs w:val="24"/>
        </w:rPr>
        <w:t>wholistic’</w:t>
      </w:r>
      <w:r w:rsidRPr="00CC28C1">
        <w:rPr>
          <w:rFonts w:ascii="Times New Roman" w:hAnsi="Times New Roman"/>
          <w:color w:val="000000"/>
          <w:szCs w:val="24"/>
        </w:rPr>
        <w:t xml:space="preserve"> reading.</w:t>
      </w:r>
    </w:p>
    <w:p w14:paraId="1B0FA751" w14:textId="1AE7DD80"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I utilised the three processes of reading to generate details of the lived experience of paid Nigerian migrant care workers, through a description of their experience of caregiving (selective) and an overall understanding of their caregiving (holistic). Thus, from reading each transcript, I constantly questioned what the individual sentences uncovered about the lived experience of Nigerian migrant care workers for PLWD. Through this, I was able to identify thematic expressions, phrases and descriptive paragraphs that allowed the phenomenological meaning of my participant’s experience to uncover itself in the text (van Manen, 2014). Beginning with a detailed reading and analysis of the transcripts, different meaningful units of paid migrant caregiving were identified giving rise to several subthemes (see Figure 6.1).</w:t>
      </w:r>
    </w:p>
    <w:p w14:paraId="42929C93" w14:textId="0C6B17D9" w:rsidR="006869A3"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 xml:space="preserve">Using similar method of analysis as the detailed reading of sentences, I also read selective texts several times whilst posing the question, ‘What does this expression or phrase reveal about migrant caregiving? During selective reading, the subthemes were categorised into main themes. Some of the phrases or expressions were very thought provoking, for instance, ‘it is good for my CV’. Phrases like this were used to develop and write the phenomenological text (van Manen, 2014). Lastly, using the ‘wholistic’ reading approach by van Manen (2014), the text from this study was read in whole to ascertain how the main importance of the text </w:t>
      </w:r>
      <w:r w:rsidR="00CB09C9">
        <w:rPr>
          <w:rFonts w:ascii="Times New Roman" w:hAnsi="Times New Roman"/>
          <w:color w:val="000000"/>
          <w:szCs w:val="24"/>
        </w:rPr>
        <w:t>(</w:t>
      </w:r>
      <w:r w:rsidRPr="00CC28C1">
        <w:rPr>
          <w:rFonts w:ascii="Times New Roman" w:hAnsi="Times New Roman"/>
          <w:color w:val="000000"/>
          <w:szCs w:val="24"/>
        </w:rPr>
        <w:t>as a whole</w:t>
      </w:r>
      <w:r w:rsidR="00CB09C9">
        <w:rPr>
          <w:rFonts w:ascii="Times New Roman" w:hAnsi="Times New Roman"/>
          <w:color w:val="000000"/>
          <w:szCs w:val="24"/>
        </w:rPr>
        <w:t>)</w:t>
      </w:r>
      <w:r w:rsidRPr="00CC28C1">
        <w:rPr>
          <w:rFonts w:ascii="Times New Roman" w:hAnsi="Times New Roman"/>
          <w:color w:val="000000"/>
          <w:szCs w:val="24"/>
        </w:rPr>
        <w:t xml:space="preserve"> could be captured.</w:t>
      </w:r>
    </w:p>
    <w:p w14:paraId="7AC995B3" w14:textId="23761F72" w:rsidR="00CB09C9" w:rsidRPr="00CC28C1" w:rsidRDefault="006869A3" w:rsidP="006869A3">
      <w:pPr>
        <w:spacing w:after="0" w:line="240" w:lineRule="auto"/>
        <w:rPr>
          <w:rFonts w:ascii="Times New Roman" w:hAnsi="Times New Roman"/>
          <w:color w:val="000000"/>
          <w:szCs w:val="24"/>
        </w:rPr>
      </w:pPr>
      <w:r>
        <w:rPr>
          <w:rFonts w:ascii="Times New Roman" w:hAnsi="Times New Roman"/>
          <w:color w:val="000000"/>
          <w:szCs w:val="24"/>
        </w:rPr>
        <w:br w:type="page"/>
      </w:r>
    </w:p>
    <w:p w14:paraId="0D085753" w14:textId="0CDD185A" w:rsidR="00D443A9" w:rsidRPr="00CC28C1" w:rsidRDefault="00D210D9" w:rsidP="00D443A9">
      <w:pPr>
        <w:autoSpaceDE w:val="0"/>
        <w:autoSpaceDN w:val="0"/>
        <w:adjustRightInd w:val="0"/>
        <w:spacing w:before="240"/>
        <w:rPr>
          <w:rFonts w:ascii="Times New Roman" w:hAnsi="Times New Roman"/>
          <w:color w:val="000000"/>
          <w:szCs w:val="24"/>
        </w:rPr>
      </w:pPr>
      <w:r>
        <w:rPr>
          <w:noProof/>
        </w:rPr>
        <w:lastRenderedPageBreak/>
        <mc:AlternateContent>
          <mc:Choice Requires="wpg">
            <w:drawing>
              <wp:anchor distT="0" distB="0" distL="114300" distR="114300" simplePos="0" relativeHeight="251791360" behindDoc="0" locked="0" layoutInCell="1" allowOverlap="1" wp14:anchorId="6C4ACC0D" wp14:editId="63C32A74">
                <wp:simplePos x="0" y="0"/>
                <wp:positionH relativeFrom="column">
                  <wp:posOffset>85725</wp:posOffset>
                </wp:positionH>
                <wp:positionV relativeFrom="paragraph">
                  <wp:posOffset>52705</wp:posOffset>
                </wp:positionV>
                <wp:extent cx="5943600" cy="4200525"/>
                <wp:effectExtent l="0" t="0" r="0" b="9525"/>
                <wp:wrapNone/>
                <wp:docPr id="211" name="Group 1" descr="P899#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4200525"/>
                          <a:chOff x="0" y="0"/>
                          <a:chExt cx="5943600" cy="4200525"/>
                        </a:xfrm>
                      </wpg:grpSpPr>
                      <wps:wsp>
                        <wps:cNvPr id="212" name="Rectangle 348"/>
                        <wps:cNvSpPr>
                          <a:spLocks/>
                        </wps:cNvSpPr>
                        <wps:spPr>
                          <a:xfrm>
                            <a:off x="0" y="2266950"/>
                            <a:ext cx="2428875" cy="1933575"/>
                          </a:xfrm>
                          <a:prstGeom prst="rect">
                            <a:avLst/>
                          </a:prstGeom>
                          <a:solidFill>
                            <a:srgbClr val="5B9BD5"/>
                          </a:solidFill>
                          <a:ln w="12700" cap="flat" cmpd="sng" algn="ctr">
                            <a:solidFill>
                              <a:srgbClr val="5B9BD5">
                                <a:shade val="50000"/>
                              </a:srgbClr>
                            </a:solidFill>
                            <a:prstDash val="solid"/>
                            <a:miter lim="800000"/>
                          </a:ln>
                          <a:effectLst/>
                        </wps:spPr>
                        <wps:txbx>
                          <w:txbxContent>
                            <w:p w14:paraId="09504992"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Out of necessity</w:t>
                              </w:r>
                            </w:p>
                            <w:p w14:paraId="682321E8"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To help others</w:t>
                              </w:r>
                            </w:p>
                            <w:p w14:paraId="26D8A024"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Not bad on my CV</w:t>
                              </w:r>
                            </w:p>
                            <w:p w14:paraId="5F845D44"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For the money</w:t>
                              </w:r>
                            </w:p>
                            <w:p w14:paraId="73FAF1E3" w14:textId="77777777" w:rsidR="00D443A9" w:rsidRDefault="00D443A9" w:rsidP="00D443A9">
                              <w:pPr>
                                <w:pStyle w:val="ListParagraph"/>
                                <w:numPr>
                                  <w:ilvl w:val="0"/>
                                  <w:numId w:val="28"/>
                                </w:numPr>
                                <w:spacing w:after="160" w:line="259" w:lineRule="auto"/>
                              </w:pPr>
                              <w:r w:rsidRPr="00116799">
                                <w:rPr>
                                  <w:rFonts w:ascii="Times New Roman" w:hAnsi="Times New Roman" w:cs="Times New Roman"/>
                                  <w:b/>
                                  <w:bCs/>
                                </w:rPr>
                                <w:t>Pathway into nursing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347"/>
                        <wps:cNvSpPr>
                          <a:spLocks/>
                        </wps:cNvSpPr>
                        <wps:spPr>
                          <a:xfrm>
                            <a:off x="2924175" y="3076575"/>
                            <a:ext cx="1085850" cy="657225"/>
                          </a:xfrm>
                          <a:prstGeom prst="rect">
                            <a:avLst/>
                          </a:prstGeom>
                          <a:solidFill>
                            <a:srgbClr val="5B9BD5"/>
                          </a:solidFill>
                          <a:ln w="12700" cap="flat" cmpd="sng" algn="ctr">
                            <a:solidFill>
                              <a:srgbClr val="5B9BD5">
                                <a:shade val="50000"/>
                              </a:srgbClr>
                            </a:solidFill>
                            <a:prstDash val="solid"/>
                            <a:miter lim="800000"/>
                          </a:ln>
                          <a:effectLst/>
                        </wps:spPr>
                        <wps:txbx>
                          <w:txbxContent>
                            <w:p w14:paraId="7D1E78CA"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Motivation to become a care worker.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Arrow: Right 346"/>
                        <wps:cNvSpPr>
                          <a:spLocks/>
                        </wps:cNvSpPr>
                        <wps:spPr>
                          <a:xfrm>
                            <a:off x="4067175" y="3324225"/>
                            <a:ext cx="352425" cy="17145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Arrow: Right 345"/>
                        <wps:cNvSpPr>
                          <a:spLocks/>
                        </wps:cNvSpPr>
                        <wps:spPr>
                          <a:xfrm>
                            <a:off x="2457450" y="3324225"/>
                            <a:ext cx="400050" cy="18097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5" name="Rectangle 355"/>
                        <wps:cNvSpPr>
                          <a:spLocks/>
                        </wps:cNvSpPr>
                        <wps:spPr>
                          <a:xfrm>
                            <a:off x="523875" y="57150"/>
                            <a:ext cx="1352550" cy="419100"/>
                          </a:xfrm>
                          <a:prstGeom prst="rect">
                            <a:avLst/>
                          </a:prstGeom>
                          <a:solidFill>
                            <a:srgbClr val="5B9BD5"/>
                          </a:solidFill>
                          <a:ln w="12700" cap="flat" cmpd="sng" algn="ctr">
                            <a:solidFill>
                              <a:srgbClr val="5B9BD5">
                                <a:shade val="50000"/>
                              </a:srgbClr>
                            </a:solidFill>
                            <a:prstDash val="solid"/>
                            <a:miter lim="800000"/>
                          </a:ln>
                          <a:effectLst/>
                        </wps:spPr>
                        <wps:txbx>
                          <w:txbxContent>
                            <w:p w14:paraId="150CC9CF"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Sub-theme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4" name="Rectangle 354"/>
                        <wps:cNvSpPr>
                          <a:spLocks/>
                        </wps:cNvSpPr>
                        <wps:spPr>
                          <a:xfrm>
                            <a:off x="2743200" y="9525"/>
                            <a:ext cx="1352550" cy="457200"/>
                          </a:xfrm>
                          <a:prstGeom prst="rect">
                            <a:avLst/>
                          </a:prstGeom>
                          <a:solidFill>
                            <a:srgbClr val="5B9BD5"/>
                          </a:solidFill>
                          <a:ln w="12700" cap="flat" cmpd="sng" algn="ctr">
                            <a:solidFill>
                              <a:srgbClr val="5B9BD5">
                                <a:shade val="50000"/>
                              </a:srgbClr>
                            </a:solidFill>
                            <a:prstDash val="solid"/>
                            <a:miter lim="800000"/>
                          </a:ln>
                          <a:effectLst/>
                        </wps:spPr>
                        <wps:txbx>
                          <w:txbxContent>
                            <w:p w14:paraId="26A6B762"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Main Themes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3" name="Rectangle 353"/>
                        <wps:cNvSpPr>
                          <a:spLocks/>
                        </wps:cNvSpPr>
                        <wps:spPr>
                          <a:xfrm>
                            <a:off x="4419600" y="0"/>
                            <a:ext cx="1524000" cy="666750"/>
                          </a:xfrm>
                          <a:prstGeom prst="rect">
                            <a:avLst/>
                          </a:prstGeom>
                          <a:solidFill>
                            <a:srgbClr val="5B9BD5"/>
                          </a:solidFill>
                          <a:ln w="12700" cap="flat" cmpd="sng" algn="ctr">
                            <a:solidFill>
                              <a:srgbClr val="5B9BD5">
                                <a:shade val="50000"/>
                              </a:srgbClr>
                            </a:solidFill>
                            <a:prstDash val="solid"/>
                            <a:miter lim="800000"/>
                          </a:ln>
                          <a:effectLst/>
                        </wps:spPr>
                        <wps:txbx>
                          <w:txbxContent>
                            <w:p w14:paraId="64D5F262"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Essence of caring for PLWD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Arrow: Down 350"/>
                        <wps:cNvSpPr>
                          <a:spLocks/>
                        </wps:cNvSpPr>
                        <wps:spPr>
                          <a:xfrm>
                            <a:off x="1066800" y="514350"/>
                            <a:ext cx="257175" cy="17335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2" name="Arrow: Down 352"/>
                        <wps:cNvSpPr>
                          <a:spLocks/>
                        </wps:cNvSpPr>
                        <wps:spPr>
                          <a:xfrm>
                            <a:off x="3324225" y="495300"/>
                            <a:ext cx="257175" cy="252412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C4ACC0D" id="_x0000_s1037" alt="P899#y1" style="position:absolute;margin-left:6.75pt;margin-top:4.15pt;width:468pt;height:330.75pt;z-index:251791360;mso-position-horizontal-relative:text;mso-position-vertical-relative:text" coordsize="59436,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NWHxgQAAFokAAAOAAAAZHJzL2Uyb0RvYy54bWzsWktv4zYQvhfofyDUc2O9ZQlxFt64CQoE&#10;u8Fmiz3TEvVAJVElmcjZX98hKcqOY6yxcVAUhnwwRJEckjPzzYu6/LBpavREGK9ou7CcC9tCpE1p&#10;VrXFwvrr683vcwtxgdsM17QlC+uZcOvD1a+/XPZdQlxa0jojDAGRlid9t7BKIbpkNuNpSRrML2hH&#10;WujMKWuwgCYrZhnDPVBv6plr2+GspyzrGE0J5/B2pTutK0U/z0kqPuc5JwLVCwv2JtQ/U/9r+T+7&#10;usRJwXBXVumwDfyGXTS4amHRkdQKC4weWfWKVFOljHKai4uUNjOa51VK1BngNI69d5pbRh87dZYi&#10;6YtuZBOwdo9Pbyabfnq6Z6jKFpbrOBZqcQNCUusiaGaEp8Cs+3kc//bsSGb1XZHAnFvWPXT3TJ8Y&#10;Hu9o+jeH7tl+v2wX28GbnDVyEhwcbZQUnkcpkI1AKbwMYt8LbRBWCn0+CDlwAy2ntARhvpqXln8c&#10;mTnDiV5YbW/cTt+BzvEtW/lpbH0ocUeUtLhk0chW17D1C2gjbouaIM+fa2aqkYaTfJeNOz1yn3zg&#10;9kEGum4YxsGgzIaNru/O51Gg2ejEnhdAQ4rIMAMnHePiltAGyYeFxWB/Sonx0x0XeqgZIoXGaV1l&#10;N1VdqwYr1tc1Q08YkBV8jD+uDPUXw+oW9WAX3EgJFAPC8xoL2FTTgc7xtrAQrgswHalgau0Xs/mB&#10;RdTiJc7IsLQNv+Fcw3B1xhd05ClWmJd6iurSGtVUAsxPXTULay4JGUp1K5chyoAMvNhKQT6JzXqj&#10;YBMaQa5p9gwyZ1TbGN6lNxUse4e5uMcMjApoNBhK8Rn+8poCV+jwZKGSsu+H3svxoJTQa6EejBRw&#10;7J9HzIiF6j9bUNfY8X1p1VTDDyIXGmy3Z73b0z421xSkBcCG3alHOV7U5jFntPkG9nQpV4Uu3Kaw&#10;tpbN0LgW2niCRU7JcqmGgSXrsLhrH7pUEpeckwz/uvmGWTfolgC1/EQNRHCyp2J6rJzZ0uWjoHml&#10;9E9yWvNVmRYFV2mD/hPceodwGxlxA8JPwK0bu74jwQkmzrOjcMAmqNxgyhx7HswB0soIQrerbeAE&#10;3ncF7yjNCbxnBl7fgHfJGO0T9KUqSgF+dzTXp+HXt8NoxK8HrtaEKAa/XgAvjfONHF975x/AV+5P&#10;7XXywMp/H/XAE2TPDLKAFp1+7EFWxZXS558GWRfiIwlD5XIPQdaH8M94XGdux0fD5QmyPxk0T5A9&#10;K8h6wQjZndQWXqo6wal4DVxPpa8QIQeRo/3nTnwMDjYwaPWd2BlTN5Mhm8x1Sm7fntyOVYoJuWeG&#10;3DE+3kWu/z7IdSPfg7Kd8rTxWLwzkbHzArmyZmGKLhNyq0xKACenl6ViI8oJuWeG3ENlqcAz4j4t&#10;RvbBk6rS++uqvAMJrayP6oJUGEbaI/8go52qycawHc1lx2qyo6Zsy55TOflsysnhXnq7on2LPI2i&#10;07Nbxw5DuMFQPjdw/IHuNl52IYYeL4MiuAw6Bt8MtjfVo37iRmhytGfmaMd726EeNQDWfR9X6w0l&#10;KFmO8uPA01HwYcC64HudYxdAE2CnatT/9MJWfXYBH7Cowv7wsY38Qma3rS54t58EXf0LAAD//wMA&#10;UEsDBBQABgAIAAAAIQDAAdDM3gAAAAgBAAAPAAAAZHJzL2Rvd25yZXYueG1sTI9Ba4NAEIXvhf6H&#10;ZQq9Nau1ETWuIYS2p1BoUii5TXSiEndX3I2af9/pqT1+vMebb/L1rDsx0uBaaxSEiwAEmdJWrakV&#10;fB3enhIQzqOpsLOGFNzIwbq4v8sxq+xkPmnc+1rwiHEZKmi87zMpXdmQRrewPRnOznbQ6BmHWlYD&#10;TjyuO/kcBLHU2Bq+0GBP24bKy/6qFbxPOG2i8HXcXc7b2/Gw/PjehaTU48O8WYHwNPu/MvzqszoU&#10;7HSyV1M50TFHS24qSCIQHKcvKfNJQRynCcgil/8fKH4AAAD//wMAUEsBAi0AFAAGAAgAAAAhALaD&#10;OJL+AAAA4QEAABMAAAAAAAAAAAAAAAAAAAAAAFtDb250ZW50X1R5cGVzXS54bWxQSwECLQAUAAYA&#10;CAAAACEAOP0h/9YAAACUAQAACwAAAAAAAAAAAAAAAAAvAQAAX3JlbHMvLnJlbHNQSwECLQAUAAYA&#10;CAAAACEAxXjVh8YEAABaJAAADgAAAAAAAAAAAAAAAAAuAgAAZHJzL2Uyb0RvYy54bWxQSwECLQAU&#10;AAYACAAAACEAwAHQzN4AAAAIAQAADwAAAAAAAAAAAAAAAAAgBwAAZHJzL2Rvd25yZXYueG1sUEsF&#10;BgAAAAAEAAQA8wAAACsIAAAAAA==&#10;">
                <v:rect id="Rectangle 348" o:spid="_x0000_s1038" style="position:absolute;top:22669;width:24288;height:19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5sxgAAANwAAAAPAAAAZHJzL2Rvd25yZXYueG1sRI9Ba8JA&#10;FITvBf/D8oTe6iYplRJdRaUtPQhi6sXbM/uapGbfht1tkv77rlDocZiZb5jlejSt6Mn5xrKCdJaA&#10;IC6tbrhScPp4fXgG4QOyxtYyKfghD+vV5G6JubYDH6kvQiUihH2OCuoQulxKX9Zk0M9sRxy9T+sM&#10;hihdJbXDIcJNK7MkmUuDDceFGjva1VRei2+j4KovX+m26Hv3pl8OjzycN/v2San76bhZgAg0hv/w&#10;X/tdK8jSDG5n4hGQq18AAAD//wMAUEsBAi0AFAAGAAgAAAAhANvh9svuAAAAhQEAABMAAAAAAAAA&#10;AAAAAAAAAAAAAFtDb250ZW50X1R5cGVzXS54bWxQSwECLQAUAAYACAAAACEAWvQsW78AAAAVAQAA&#10;CwAAAAAAAAAAAAAAAAAfAQAAX3JlbHMvLnJlbHNQSwECLQAUAAYACAAAACEAvgZ+bMYAAADcAAAA&#10;DwAAAAAAAAAAAAAAAAAHAgAAZHJzL2Rvd25yZXYueG1sUEsFBgAAAAADAAMAtwAAAPoCAAAAAA==&#10;" fillcolor="#5b9bd5" strokecolor="#41719c" strokeweight="1pt">
                  <v:path arrowok="t"/>
                  <v:textbox>
                    <w:txbxContent>
                      <w:p w14:paraId="09504992"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Out of necessity</w:t>
                        </w:r>
                      </w:p>
                      <w:p w14:paraId="682321E8"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To help others</w:t>
                        </w:r>
                      </w:p>
                      <w:p w14:paraId="26D8A024"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Not bad on my CV</w:t>
                        </w:r>
                      </w:p>
                      <w:p w14:paraId="5F845D44" w14:textId="77777777" w:rsidR="00D443A9" w:rsidRPr="00116799" w:rsidRDefault="00D443A9" w:rsidP="00D443A9">
                        <w:pPr>
                          <w:pStyle w:val="ListParagraph"/>
                          <w:numPr>
                            <w:ilvl w:val="0"/>
                            <w:numId w:val="28"/>
                          </w:numPr>
                          <w:spacing w:after="160" w:line="259" w:lineRule="auto"/>
                          <w:rPr>
                            <w:rFonts w:ascii="Times New Roman" w:hAnsi="Times New Roman" w:cs="Times New Roman"/>
                            <w:b/>
                            <w:bCs/>
                          </w:rPr>
                        </w:pPr>
                        <w:r w:rsidRPr="00116799">
                          <w:rPr>
                            <w:rFonts w:ascii="Times New Roman" w:hAnsi="Times New Roman" w:cs="Times New Roman"/>
                            <w:b/>
                            <w:bCs/>
                          </w:rPr>
                          <w:t>For the money</w:t>
                        </w:r>
                      </w:p>
                      <w:p w14:paraId="73FAF1E3" w14:textId="77777777" w:rsidR="00D443A9" w:rsidRDefault="00D443A9" w:rsidP="00D443A9">
                        <w:pPr>
                          <w:pStyle w:val="ListParagraph"/>
                          <w:numPr>
                            <w:ilvl w:val="0"/>
                            <w:numId w:val="28"/>
                          </w:numPr>
                          <w:spacing w:after="160" w:line="259" w:lineRule="auto"/>
                        </w:pPr>
                        <w:r w:rsidRPr="00116799">
                          <w:rPr>
                            <w:rFonts w:ascii="Times New Roman" w:hAnsi="Times New Roman" w:cs="Times New Roman"/>
                            <w:b/>
                            <w:bCs/>
                          </w:rPr>
                          <w:t>Pathway into nursing</w:t>
                        </w:r>
                      </w:p>
                    </w:txbxContent>
                  </v:textbox>
                </v:rect>
                <v:rect id="Rectangle 347" o:spid="_x0000_s1039" style="position:absolute;left:29241;top:30765;width:10859;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tv3xQAAANwAAAAPAAAAZHJzL2Rvd25yZXYueG1sRI9Ba8JA&#10;FITvBf/D8gRvuonSUqKraKmlh0Jp9OLtmX0m0ezbsLtN0n/fLQg9DjPzDbPaDKYRHTlfW1aQzhIQ&#10;xIXVNZcKjof99BmED8gaG8uk4Ic8bNajhxVm2vb8RV0eShEh7DNUUIXQZlL6oiKDfmZb4uhdrDMY&#10;onSl1A77CDeNnCfJkzRYc1yosKWXiopb/m0U3PT5mu7yrnNv+vVzwf1p+9E8KjUZD9sliEBD+A/f&#10;2+9awTxdwN+ZeATk+hcAAP//AwBQSwECLQAUAAYACAAAACEA2+H2y+4AAACFAQAAEwAAAAAAAAAA&#10;AAAAAAAAAAAAW0NvbnRlbnRfVHlwZXNdLnhtbFBLAQItABQABgAIAAAAIQBa9CxbvwAAABUBAAAL&#10;AAAAAAAAAAAAAAAAAB8BAABfcmVscy8ucmVsc1BLAQItABQABgAIAAAAIQDRStv3xQAAANwAAAAP&#10;AAAAAAAAAAAAAAAAAAcCAABkcnMvZG93bnJldi54bWxQSwUGAAAAAAMAAwC3AAAA+QIAAAAA&#10;" fillcolor="#5b9bd5" strokecolor="#41719c" strokeweight="1pt">
                  <v:path arrowok="t"/>
                  <v:textbox>
                    <w:txbxContent>
                      <w:p w14:paraId="7D1E78CA"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Motivation to become a care worker.</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46" o:spid="_x0000_s1040" type="#_x0000_t13" style="position:absolute;left:40671;top:33242;width:3525;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qxAAAANwAAAAPAAAAZHJzL2Rvd25yZXYueG1sRI9PawIx&#10;FMTvhX6H8ArealarRVejFKEgeFJL6fGxefuHbl5iEnX10xtB8DjMzG+Y+bIzrTiRD41lBYN+BoK4&#10;sLrhSsHP/vt9AiJEZI2tZVJwoQDLxevLHHNtz7yl0y5WIkE45KigjtHlUoaiJoOhbx1x8krrDcYk&#10;fSW1x3OCm1YOs+xTGmw4LdToaFVT8b87GgXubzz9KLnxW9cefqfXMmwO+6BU7637moGI1MVn+NFe&#10;awXDwQjuZ9IRkIsbAAAA//8DAFBLAQItABQABgAIAAAAIQDb4fbL7gAAAIUBAAATAAAAAAAAAAAA&#10;AAAAAAAAAABbQ29udGVudF9UeXBlc10ueG1sUEsBAi0AFAAGAAgAAAAhAFr0LFu/AAAAFQEAAAsA&#10;AAAAAAAAAAAAAAAAHwEAAF9yZWxzLy5yZWxzUEsBAi0AFAAGAAgAAAAhAAKH4GrEAAAA3AAAAA8A&#10;AAAAAAAAAAAAAAAABwIAAGRycy9kb3ducmV2LnhtbFBLBQYAAAAAAwADALcAAAD4AgAAAAA=&#10;" adj="16346" fillcolor="#5b9bd5" strokecolor="#41719c" strokeweight="1pt">
                  <v:path arrowok="t"/>
                </v:shape>
                <v:shape id="Arrow: Right 345" o:spid="_x0000_s1041" type="#_x0000_t13" style="position:absolute;left:24574;top:33242;width:4001;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eyAwAAAANwAAAAPAAAAZHJzL2Rvd25yZXYueG1sRI9Bi8Iw&#10;FITvgv8hPGFvmtZVka5RZEHwuip4fTRv22LzUvKidv31G0HwOMzMN8xq07tW3ShI49lAPslAEZfe&#10;NlwZOB134yUoicgWW89k4I8ENuvhYIWF9Xf+odshVipBWAo0UMfYFVpLWZNDmfiOOHm/PjiMSYZK&#10;24D3BHetnmbZQjtsOC3U2NF3TeXlcHUGPqU973KhZnt9XHhGs6VkQYz5GPXbL1CR+vgOv9p7a2Ca&#10;z+F5Jh0Bvf4HAAD//wMAUEsBAi0AFAAGAAgAAAAhANvh9svuAAAAhQEAABMAAAAAAAAAAAAAAAAA&#10;AAAAAFtDb250ZW50X1R5cGVzXS54bWxQSwECLQAUAAYACAAAACEAWvQsW78AAAAVAQAACwAAAAAA&#10;AAAAAAAAAAAfAQAAX3JlbHMvLnJlbHNQSwECLQAUAAYACAAAACEAOBHsgMAAAADcAAAADwAAAAAA&#10;AAAAAAAAAAAHAgAAZHJzL2Rvd25yZXYueG1sUEsFBgAAAAADAAMAtwAAAPQCAAAAAA==&#10;" adj="16714" fillcolor="#5b9bd5" strokecolor="#41719c" strokeweight="1pt">
                  <v:path arrowok="t"/>
                </v:shape>
                <v:rect id="Rectangle 355" o:spid="_x0000_s1042" style="position:absolute;left:5238;top:571;width:13526;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FBFxQAAANwAAAAPAAAAZHJzL2Rvd25yZXYueG1sRI9Ba8JA&#10;FITvBf/D8gq96UYlUqKrqLSlh4I0evH2mn1NUrNvw+42if/eLQg9DjPzDbPaDKYRHTlfW1YwnSQg&#10;iAuray4VnI6v42cQPiBrbCyTgit52KxHDyvMtO35k7o8lCJC2GeooAqhzaT0RUUG/cS2xNH7ts5g&#10;iNKVUjvsI9w0cpYkC2mw5rhQYUv7iopL/msUXPTXz3SXd5170y+HOffn7UeTKvX0OGyXIAIN4T98&#10;b79rBfM0hb8z8QjI9Q0AAP//AwBQSwECLQAUAAYACAAAACEA2+H2y+4AAACFAQAAEwAAAAAAAAAA&#10;AAAAAAAAAAAAW0NvbnRlbnRfVHlwZXNdLnhtbFBLAQItABQABgAIAAAAIQBa9CxbvwAAABUBAAAL&#10;AAAAAAAAAAAAAAAAAB8BAABfcmVscy8ucmVsc1BLAQItABQABgAIAAAAIQDRZFBFxQAAANwAAAAP&#10;AAAAAAAAAAAAAAAAAAcCAABkcnMvZG93bnJldi54bWxQSwUGAAAAAAMAAwC3AAAA+QIAAAAA&#10;" fillcolor="#5b9bd5" strokecolor="#41719c" strokeweight="1pt">
                  <v:path arrowok="t"/>
                  <v:textbox>
                    <w:txbxContent>
                      <w:p w14:paraId="150CC9CF"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Sub-theme</w:t>
                        </w:r>
                      </w:p>
                    </w:txbxContent>
                  </v:textbox>
                </v:rect>
                <v:rect id="Rectangle 354" o:spid="_x0000_s1043" style="position:absolute;left:27432;top:95;width:13525;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XexgAAANwAAAAPAAAAZHJzL2Rvd25yZXYueG1sRI9Pa8JA&#10;FMTvBb/D8oTedOO/ItFVtLSlh4I0evH2zL4mqdm3YXebxG/fLQg9DjPzG2a97U0tWnK+sqxgMk5A&#10;EOdWV1woOB1fR0sQPiBrrC2Tght52G4GD2tMte34k9osFCJC2KeooAyhSaX0eUkG/dg2xNH7ss5g&#10;iNIVUjvsItzUcpokT9JgxXGhxIaeS8qv2Y9RcNWX78k+a1v3pl8OM+7Ou496odTjsN+tQATqw3/4&#10;3n7XCmaLOfydiUdAbn4BAAD//wMAUEsBAi0AFAAGAAgAAAAhANvh9svuAAAAhQEAABMAAAAAAAAA&#10;AAAAAAAAAAAAAFtDb250ZW50X1R5cGVzXS54bWxQSwECLQAUAAYACAAAACEAWvQsW78AAAAVAQAA&#10;CwAAAAAAAAAAAAAAAAAfAQAAX3JlbHMvLnJlbHNQSwECLQAUAAYACAAAACEAvij13sYAAADcAAAA&#10;DwAAAAAAAAAAAAAAAAAHAgAAZHJzL2Rvd25yZXYueG1sUEsFBgAAAAADAAMAtwAAAPoCAAAAAA==&#10;" fillcolor="#5b9bd5" strokecolor="#41719c" strokeweight="1pt">
                  <v:path arrowok="t"/>
                  <v:textbox>
                    <w:txbxContent>
                      <w:p w14:paraId="26A6B762"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Main Themes</w:t>
                        </w:r>
                      </w:p>
                    </w:txbxContent>
                  </v:textbox>
                </v:rect>
                <v:rect id="Rectangle 353" o:spid="_x0000_s1044" style="position:absolute;left:44196;width:15240;height:6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2qxQAAANwAAAAPAAAAZHJzL2Rvd25yZXYueG1sRI9Ba8JA&#10;FITvBf/D8gq96UaDRaKrqLSlh0IxevH2mn1NUrNvw+42if/eLQg9DjPzDbPaDKYRHTlfW1YwnSQg&#10;iAuray4VnI6v4wUIH5A1NpZJwZU8bNajhxVm2vZ8oC4PpYgQ9hkqqEJoMyl9UZFBP7EtcfS+rTMY&#10;onSl1A77CDeNnCXJszRYc1yosKV9RcUl/zUKLvrrZ7rLu8696ZfPlPvz9qOZK/X0OGyXIAIN4T98&#10;b79rBek8hb8z8QjI9Q0AAP//AwBQSwECLQAUAAYACAAAACEA2+H2y+4AAACFAQAAEwAAAAAAAAAA&#10;AAAAAAAAAAAAW0NvbnRlbnRfVHlwZXNdLnhtbFBLAQItABQABgAIAAAAIQBa9CxbvwAAABUBAAAL&#10;AAAAAAAAAAAAAAAAAB8BAABfcmVscy8ucmVsc1BLAQItABQABgAIAAAAIQAxwW2qxQAAANwAAAAP&#10;AAAAAAAAAAAAAAAAAAcCAABkcnMvZG93bnJldi54bWxQSwUGAAAAAAMAAwC3AAAA+QIAAAAA&#10;" fillcolor="#5b9bd5" strokecolor="#41719c" strokeweight="1pt">
                  <v:path arrowok="t"/>
                  <v:textbox>
                    <w:txbxContent>
                      <w:p w14:paraId="64D5F262"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Essence of caring for PLWD</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50" o:spid="_x0000_s1045" type="#_x0000_t67" style="position:absolute;left:10668;top:5143;width:2571;height:17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WzZxgAAANwAAAAPAAAAZHJzL2Rvd25yZXYueG1sRI/NasMw&#10;EITvgb6D2EJvsRwfXONaCSElEEpbiNMH2FrrH2KtjKXEbp4+KhR6HGbmG6bYzKYXVxpdZ1nBKopB&#10;EFdWd9wo+DrtlxkI55E19pZJwQ852KwfFgXm2k58pGvpGxEg7HJU0Ho/5FK6qiWDLrIDcfBqOxr0&#10;QY6N1CNOAW56mcRxKg12HBZaHGjXUnUuL0bB9ryrj7fnb3pN3t+yj0+us+RSK/X0OG9fQHia/X/4&#10;r33QCpJVCr9nwhGQ6zsAAAD//wMAUEsBAi0AFAAGAAgAAAAhANvh9svuAAAAhQEAABMAAAAAAAAA&#10;AAAAAAAAAAAAAFtDb250ZW50X1R5cGVzXS54bWxQSwECLQAUAAYACAAAACEAWvQsW78AAAAVAQAA&#10;CwAAAAAAAAAAAAAAAAAfAQAAX3JlbHMvLnJlbHNQSwECLQAUAAYACAAAACEAo8Vs2cYAAADcAAAA&#10;DwAAAAAAAAAAAAAAAAAHAgAAZHJzL2Rvd25yZXYueG1sUEsFBgAAAAADAAMAtwAAAPoCAAAAAA==&#10;" adj="19998" fillcolor="#5b9bd5" strokecolor="#41719c" strokeweight="1pt">
                  <v:path arrowok="t"/>
                </v:shape>
                <v:shape id="Arrow: Down 352" o:spid="_x0000_s1046" type="#_x0000_t67" style="position:absolute;left:33242;top:4953;width:2572;height:25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iLxAAAANwAAAAPAAAAZHJzL2Rvd25yZXYueG1sRI9fS8Mw&#10;FMXfBb9DuIJvLrViGbXpEP+APm4r+Hpp7ppuzU1M4lb99EYQ9ng45/wOp1nNdhJHCnF0rOB2UYAg&#10;7p0eeVDQbV9vliBiQtY4OSYF3xRh1V5eNFhrd+I1HTdpEBnCsUYFJiVfSxl7Qxbjwnni7O1csJiy&#10;DIPUAU8ZbidZFkUlLY6cFwx6ejLUHzZfVkH58f5i/K5jv99+VpVbP89B/ih1fTU/PoBINKdz+L/9&#10;phXc3ZfwdyYfAdn+AgAA//8DAFBLAQItABQABgAIAAAAIQDb4fbL7gAAAIUBAAATAAAAAAAAAAAA&#10;AAAAAAAAAABbQ29udGVudF9UeXBlc10ueG1sUEsBAi0AFAAGAAgAAAAhAFr0LFu/AAAAFQEAAAsA&#10;AAAAAAAAAAAAAAAAHwEAAF9yZWxzLy5yZWxzUEsBAi0AFAAGAAgAAAAhAO8mCIvEAAAA3AAAAA8A&#10;AAAAAAAAAAAAAAAABwIAAGRycy9kb3ducmV2LnhtbFBLBQYAAAAAAwADALcAAAD4AgAAAAA=&#10;" adj="20500" fillcolor="#5b9bd5" strokecolor="#41719c" strokeweight="1pt">
                  <v:path arrowok="t"/>
                </v:shape>
              </v:group>
            </w:pict>
          </mc:Fallback>
        </mc:AlternateContent>
      </w:r>
    </w:p>
    <w:p w14:paraId="140AC54D" w14:textId="41E5A53D" w:rsidR="00D443A9" w:rsidRPr="00CC28C1" w:rsidRDefault="00D210D9" w:rsidP="00D443A9">
      <w:pPr>
        <w:autoSpaceDE w:val="0"/>
        <w:autoSpaceDN w:val="0"/>
        <w:adjustRightInd w:val="0"/>
        <w:spacing w:before="240"/>
        <w:rPr>
          <w:rFonts w:ascii="Times New Roman" w:hAnsi="Times New Roman"/>
          <w:color w:val="000000"/>
          <w:szCs w:val="24"/>
        </w:rPr>
      </w:pPr>
      <w:r>
        <w:rPr>
          <w:noProof/>
        </w:rPr>
        <mc:AlternateContent>
          <mc:Choice Requires="wps">
            <w:drawing>
              <wp:anchor distT="0" distB="0" distL="114300" distR="114300" simplePos="0" relativeHeight="251792384" behindDoc="0" locked="0" layoutInCell="1" allowOverlap="1" wp14:anchorId="312BF547" wp14:editId="25F7AF5F">
                <wp:simplePos x="0" y="0"/>
                <wp:positionH relativeFrom="rightMargin">
                  <wp:posOffset>-549910</wp:posOffset>
                </wp:positionH>
                <wp:positionV relativeFrom="paragraph">
                  <wp:posOffset>370840</wp:posOffset>
                </wp:positionV>
                <wp:extent cx="266700" cy="1619250"/>
                <wp:effectExtent l="19050" t="0" r="19050" b="19050"/>
                <wp:wrapNone/>
                <wp:docPr id="210" name="Arrow: Down 351" descr="P90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16192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EBC3A" id="Arrow: Down 351" o:spid="_x0000_s1026" type="#_x0000_t67" alt="P906#y1" style="position:absolute;margin-left:-43.3pt;margin-top:29.2pt;width:21pt;height:127.5pt;z-index:251792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VlXlQIAAEYFAAAOAAAAZHJzL2Uyb0RvYy54bWysVMlu2zAQvRfoPxDsudHS2ImFyIETI0UB&#10;IzGQFDmPKcoSyq0kbdn9+g4p2XGWU1EdCI5mf/OGV9c7KciWW9dqVdLsLKWEK6arVq1L+vPp7usl&#10;Jc6DqkBoxUu6545eTz9/uupMwXPdaFFxSzCIckVnStp4b4okcazhEtyZNlyhstZWgkfRrpPKQofR&#10;pUjyNB0nnbaVsZpx5/DvvFfSaYxf15z5h7p23BNRUqzNx9PGcxXOZHoFxdqCaVo2lAH/UIWEVmHS&#10;Y6g5eCAb274LJVtmtdO1P2NaJrquW8ZjD9hNlr7p5rEBw2MvCI4zR5jc/wvL7rdLS9qqpHmG+CiQ&#10;OKSZtboryFx3inwbZZRU3DEEbTlJx1/2WQCtM65A30eztKFtZxaa/XKoSF5pguAGm11tZbDFpsku&#10;TmB/nADfecLwZz4eX6RYB0NVNs4m+SiOKIHi4G2s89+5liRcSlphjbHciD5sF86HIqA42MXqtGir&#10;u1aIKNj16lZYsgWkxOhmcjMfhYbQxZ2aCUU6rCHvywGkZi3AY2XSIFhOrSkBsUbOM29j7lfe7oMk&#10;MXkDFR9Sp/gdMvfm76sIXczBNb1LTNFTVrYe90a0sqSXIdAhklAhDY/MH7B4mUG4rXS1x4lb3a+C&#10;M+yuxSQLcH4JFrmP6OM++wc8aqERAz3cKGm0/fPR/2CPlEQtJR3uEuLzewOWUyJ+KCTrJDs/D8sX&#10;hfPRRY6CPdWsTjVqI281zgZ5h9XFa7D34nCtrZbPuPazkBVVoBjm7icxCLe+33F8OBifzaIZLpwB&#10;v1CPhoXgAacA79PuGawZ6OSRiPf6sHdQvCFUbxs8lZ5tvK7byLYXXAf+47LGWQ4PS3gNTuVo9fL8&#10;Tf8CAAD//wMAUEsDBBQABgAIAAAAIQC4Udu24AAAAAoBAAAPAAAAZHJzL2Rvd25yZXYueG1sTI9B&#10;TsMwEEX3SNzBGiQ2KHVKTZSmcSqEAAmxgcABprGbRInHUeymhtNjVrCcmac/75f7YEa26Nn1liSs&#10;VykwTY1VPbUSPj+ekhyY80gKR0tawpd2sK8uL0oslD3Tu15q37IYQq5ACZ33U8G5azpt0K3spCne&#10;jnY26OM4t1zNeI7hZuS3aZpxgz3FDx1O+qHTzVCfjAQaJnHzXOPj9vi9hNeXMLT0Nkh5fRXud8C8&#10;Dv4Phl/9qA5VdDrYEynHRglJnmURlXCXC2ARSISIi4OEzXojgFcl/1+h+gEAAP//AwBQSwECLQAU&#10;AAYACAAAACEAtoM4kv4AAADhAQAAEwAAAAAAAAAAAAAAAAAAAAAAW0NvbnRlbnRfVHlwZXNdLnht&#10;bFBLAQItABQABgAIAAAAIQA4/SH/1gAAAJQBAAALAAAAAAAAAAAAAAAAAC8BAABfcmVscy8ucmVs&#10;c1BLAQItABQABgAIAAAAIQBv4VlXlQIAAEYFAAAOAAAAAAAAAAAAAAAAAC4CAABkcnMvZTJvRG9j&#10;LnhtbFBLAQItABQABgAIAAAAIQC4Udu24AAAAAoBAAAPAAAAAAAAAAAAAAAAAO8EAABkcnMvZG93&#10;bnJldi54bWxQSwUGAAAAAAQABADzAAAA/AUAAAAA&#10;" adj="19821" fillcolor="#5b9bd5" strokecolor="#41719c" strokeweight="1pt">
                <v:path arrowok="t"/>
                <w10:wrap anchorx="margin"/>
              </v:shape>
            </w:pict>
          </mc:Fallback>
        </mc:AlternateContent>
      </w:r>
    </w:p>
    <w:p w14:paraId="7C3FCCA6"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369AE68E"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6F8B9EF0"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5A5D56B8" w14:textId="7686207F" w:rsidR="00D443A9" w:rsidRPr="00CC28C1" w:rsidRDefault="00D210D9" w:rsidP="00D443A9">
      <w:pPr>
        <w:autoSpaceDE w:val="0"/>
        <w:autoSpaceDN w:val="0"/>
        <w:adjustRightInd w:val="0"/>
        <w:spacing w:before="240"/>
        <w:rPr>
          <w:rFonts w:ascii="Times New Roman" w:hAnsi="Times New Roman"/>
          <w:color w:val="000000"/>
          <w:szCs w:val="24"/>
        </w:rPr>
      </w:pPr>
      <w:r>
        <w:rPr>
          <w:noProof/>
        </w:rPr>
        <mc:AlternateContent>
          <mc:Choice Requires="wps">
            <w:drawing>
              <wp:anchor distT="0" distB="0" distL="114300" distR="114300" simplePos="0" relativeHeight="251790336" behindDoc="0" locked="0" layoutInCell="1" allowOverlap="1" wp14:anchorId="1492EBD6" wp14:editId="375DDC1C">
                <wp:simplePos x="0" y="0"/>
                <wp:positionH relativeFrom="column">
                  <wp:posOffset>4583430</wp:posOffset>
                </wp:positionH>
                <wp:positionV relativeFrom="paragraph">
                  <wp:posOffset>415925</wp:posOffset>
                </wp:positionV>
                <wp:extent cx="1657350" cy="1866900"/>
                <wp:effectExtent l="0" t="0" r="0" b="0"/>
                <wp:wrapNone/>
                <wp:docPr id="209" name="Rectangle 349" descr="P904TB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1866900"/>
                        </a:xfrm>
                        <a:prstGeom prst="rect">
                          <a:avLst/>
                        </a:prstGeom>
                        <a:solidFill>
                          <a:srgbClr val="5B9BD5"/>
                        </a:solidFill>
                        <a:ln w="12700" cap="flat" cmpd="sng" algn="ctr">
                          <a:solidFill>
                            <a:srgbClr val="5B9BD5">
                              <a:shade val="50000"/>
                            </a:srgbClr>
                          </a:solidFill>
                          <a:prstDash val="solid"/>
                          <a:miter lim="800000"/>
                        </a:ln>
                        <a:effectLst/>
                      </wps:spPr>
                      <wps:txbx>
                        <w:txbxContent>
                          <w:p w14:paraId="7EC073E3"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Lived experience</w:t>
                            </w:r>
                            <w:r>
                              <w:rPr>
                                <w:rFonts w:ascii="Times New Roman" w:hAnsi="Times New Roman"/>
                                <w:b/>
                                <w:bCs/>
                                <w:szCs w:val="24"/>
                              </w:rPr>
                              <w:t>s</w:t>
                            </w:r>
                            <w:r w:rsidRPr="00116799">
                              <w:rPr>
                                <w:rFonts w:ascii="Times New Roman" w:hAnsi="Times New Roman"/>
                                <w:b/>
                                <w:bCs/>
                                <w:szCs w:val="24"/>
                              </w:rPr>
                              <w:t xml:space="preserve"> of paid Nigerian migrant care workers for PLWD</w:t>
                            </w:r>
                            <w:r>
                              <w:rPr>
                                <w:rFonts w:ascii="Times New Roman" w:hAnsi="Times New Roman"/>
                                <w:b/>
                                <w:bCs/>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92EBD6" id="Rectangle 349" o:spid="_x0000_s1047" alt="P904TB5#y1" style="position:absolute;margin-left:360.9pt;margin-top:32.75pt;width:130.5pt;height:14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04epAIAAFYFAAAOAAAAZHJzL2Uyb0RvYy54bWysVEtv2zAMvg/YfxC082o7TdLGqFOkDToM&#10;CNpg7dAzI8uxMb0mKXGyXz9KdtL0cRrmgyGKFD/y4+PqeicF2XLrGq0Kmp2llHDFdNmodUF/Pt19&#10;vaTEeVAlCK14Qffc0evp509Xrcn5QNdalNwSdKJc3pqC1t6bPEkcq7kEd6YNV6istJXgUbTrpLTQ&#10;oncpkkGajpNW29JYzbhzeDvvlHQa/VcVZ/6hqhz3RBQUY/Pxb+N/Ff7J9ArytQVTN6wPA/4hCgmN&#10;QtCjqzl4IBvbvHMlG2a105U/Y1omuqoaxmMOmE2WvsnmsQbDYy5IjjNHmtz/c8vut0tLmrKgg3RC&#10;iQKJRfqBtIFaC07Oh3hZcseQsuUkHT7djL7ss8Baa1yOjx/N0oa8nVlo9suhInmlCYLrbXaVlcEW&#10;sya7WIL9sQR85wnDy2w8ujgfYaUY6rLL8XiSxiIlkB+eG+v8N64lCYeCWgw2Ug/bhfMhAMgPJjEy&#10;LZryrhEiCna9uhWWbAH7YXQzuZmPQjL4xJ2aCUVahB9cIDhhgH1ZCfB4lAaZcmpNCYg1NjzzNmK/&#10;eu0+AIngNZS8h07xOyB35u+jCFnMwdXdkwjR9atsPA6NaGRBL4OjgyehAgyPbd9z8cJ/OPndaheL&#10;nR1ruNLlHjvA6m40nGF3DeIuwPklWJwFZADn2z/grxIaadH9iZJa2z8f3Qd7bFHUUtLibCFlvzdg&#10;OSXiu8LmnWTDYRjGKAxHFwMU7KlmdapRG3mrsVwZbhLD4jHYe3E4VlbLZ1wDs4CKKlAMsbvi9MKt&#10;72YeFwnjs1k0wwE04Bfq0bDgPFAXGH/aPYM1fXN57Mt7fZhDyN/0WGcbXio923hdNbEBA9Udr/04&#10;4PDG8vaLJmyHUzlavazD6V8AAAD//wMAUEsDBBQABgAIAAAAIQAX1aUP4AAAAAoBAAAPAAAAZHJz&#10;L2Rvd25yZXYueG1sTI/BTsMwEETvSPyDtUjcqJNULm3IpioIOCFVBC7cnNgkofY6it0k/D3mBMed&#10;Hc28KfaLNWzSo+8dIaSrBJimxqmeWoT3t6ebLTAfJClpHGmEb+1hX15eFDJXbqZXPVWhZTGEfC4R&#10;uhCGnHPfdNpKv3KDpvj7dKOVIZ5jy9Uo5xhuDc+SZMOt7Ck2dHLQD51uTtXZIpxU/ZXeV9M0PqvH&#10;45rmj8OLEYjXV8vhDljQS/gzwy9+RIcyMtXuTMozg3CbpRE9IGyEABYNu20WhRphLXYCeFnw/xPK&#10;HwAAAP//AwBQSwECLQAUAAYACAAAACEAtoM4kv4AAADhAQAAEwAAAAAAAAAAAAAAAAAAAAAAW0Nv&#10;bnRlbnRfVHlwZXNdLnhtbFBLAQItABQABgAIAAAAIQA4/SH/1gAAAJQBAAALAAAAAAAAAAAAAAAA&#10;AC8BAABfcmVscy8ucmVsc1BLAQItABQABgAIAAAAIQAmS04epAIAAFYFAAAOAAAAAAAAAAAAAAAA&#10;AC4CAABkcnMvZTJvRG9jLnhtbFBLAQItABQABgAIAAAAIQAX1aUP4AAAAAoBAAAPAAAAAAAAAAAA&#10;AAAAAP4EAABkcnMvZG93bnJldi54bWxQSwUGAAAAAAQABADzAAAACwYAAAAA&#10;" fillcolor="#5b9bd5" strokecolor="#41719c" strokeweight="1pt">
                <v:path arrowok="t"/>
                <v:textbox>
                  <w:txbxContent>
                    <w:p w14:paraId="7EC073E3" w14:textId="77777777" w:rsidR="00D443A9" w:rsidRPr="00116799" w:rsidRDefault="00D443A9" w:rsidP="00D443A9">
                      <w:pPr>
                        <w:jc w:val="center"/>
                        <w:rPr>
                          <w:rFonts w:ascii="Times New Roman" w:hAnsi="Times New Roman"/>
                          <w:b/>
                          <w:bCs/>
                          <w:szCs w:val="24"/>
                        </w:rPr>
                      </w:pPr>
                      <w:r w:rsidRPr="00116799">
                        <w:rPr>
                          <w:rFonts w:ascii="Times New Roman" w:hAnsi="Times New Roman"/>
                          <w:b/>
                          <w:bCs/>
                          <w:szCs w:val="24"/>
                        </w:rPr>
                        <w:t>Lived experience</w:t>
                      </w:r>
                      <w:r>
                        <w:rPr>
                          <w:rFonts w:ascii="Times New Roman" w:hAnsi="Times New Roman"/>
                          <w:b/>
                          <w:bCs/>
                          <w:szCs w:val="24"/>
                        </w:rPr>
                        <w:t>s</w:t>
                      </w:r>
                      <w:r w:rsidRPr="00116799">
                        <w:rPr>
                          <w:rFonts w:ascii="Times New Roman" w:hAnsi="Times New Roman"/>
                          <w:b/>
                          <w:bCs/>
                          <w:szCs w:val="24"/>
                        </w:rPr>
                        <w:t xml:space="preserve"> of paid Nigerian migrant care workers for PLWD</w:t>
                      </w:r>
                      <w:r>
                        <w:rPr>
                          <w:rFonts w:ascii="Times New Roman" w:hAnsi="Times New Roman"/>
                          <w:b/>
                          <w:bCs/>
                          <w:szCs w:val="24"/>
                        </w:rPr>
                        <w:t>.</w:t>
                      </w:r>
                    </w:p>
                  </w:txbxContent>
                </v:textbox>
              </v:rect>
            </w:pict>
          </mc:Fallback>
        </mc:AlternateContent>
      </w:r>
    </w:p>
    <w:p w14:paraId="49D4C2A9"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023CA3DE"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6B672049"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6E4E89E7"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560D5DB9" w14:textId="77777777" w:rsidR="00D443A9" w:rsidRPr="00CC28C1" w:rsidRDefault="00D443A9" w:rsidP="00D443A9">
      <w:pPr>
        <w:autoSpaceDE w:val="0"/>
        <w:autoSpaceDN w:val="0"/>
        <w:adjustRightInd w:val="0"/>
        <w:spacing w:before="240"/>
        <w:rPr>
          <w:rFonts w:ascii="Times New Roman" w:hAnsi="Times New Roman"/>
          <w:color w:val="000000"/>
          <w:szCs w:val="24"/>
        </w:rPr>
      </w:pPr>
    </w:p>
    <w:p w14:paraId="59D17752" w14:textId="77777777" w:rsidR="00D443A9" w:rsidRPr="00CC28C1" w:rsidRDefault="00D443A9" w:rsidP="00D443A9">
      <w:pPr>
        <w:autoSpaceDE w:val="0"/>
        <w:autoSpaceDN w:val="0"/>
        <w:adjustRightInd w:val="0"/>
        <w:spacing w:before="240"/>
        <w:rPr>
          <w:rFonts w:ascii="Times New Roman" w:hAnsi="Times New Roman"/>
          <w:b/>
          <w:color w:val="000000"/>
          <w:szCs w:val="24"/>
        </w:rPr>
      </w:pPr>
      <w:r w:rsidRPr="00CC28C1">
        <w:rPr>
          <w:rFonts w:ascii="Times New Roman" w:hAnsi="Times New Roman"/>
          <w:b/>
          <w:color w:val="000000"/>
          <w:szCs w:val="24"/>
        </w:rPr>
        <w:t>Figure 6.1: A working example of the data analysis process</w:t>
      </w:r>
    </w:p>
    <w:p w14:paraId="53DB5AF5" w14:textId="77777777" w:rsidR="00D443A9" w:rsidRPr="00CC28C1" w:rsidRDefault="00D443A9" w:rsidP="00D443A9">
      <w:pPr>
        <w:autoSpaceDE w:val="0"/>
        <w:autoSpaceDN w:val="0"/>
        <w:adjustRightInd w:val="0"/>
        <w:spacing w:before="240"/>
        <w:rPr>
          <w:rFonts w:ascii="Times New Roman" w:hAnsi="Times New Roman"/>
          <w:color w:val="000000"/>
          <w:szCs w:val="24"/>
        </w:rPr>
      </w:pPr>
      <w:r w:rsidRPr="00CC28C1">
        <w:rPr>
          <w:rFonts w:ascii="Times New Roman" w:hAnsi="Times New Roman"/>
          <w:color w:val="000000"/>
          <w:szCs w:val="24"/>
        </w:rPr>
        <w:t>These subthemes were identified, which led to emergence of the main theme of motivation to care and subsequently the discovery of the essences of caregiving in paid Nigerian migrant care workers for PLWD in the UK.</w:t>
      </w:r>
    </w:p>
    <w:p w14:paraId="213D3E80" w14:textId="314AD7C9" w:rsidR="00D443A9" w:rsidRPr="00CC28C1" w:rsidRDefault="00D443A9" w:rsidP="006869A3">
      <w:pPr>
        <w:pStyle w:val="Heading3"/>
      </w:pPr>
      <w:bookmarkStart w:id="159" w:name="_Toc86417342"/>
      <w:r w:rsidRPr="00CC28C1">
        <w:t xml:space="preserve">6.6.4. </w:t>
      </w:r>
      <w:r w:rsidRPr="009D7AC7">
        <w:t>Phenomenological writing</w:t>
      </w:r>
      <w:bookmarkEnd w:id="159"/>
    </w:p>
    <w:p w14:paraId="459371A4" w14:textId="77777777" w:rsidR="00D443A9" w:rsidRPr="00CC28C1" w:rsidRDefault="00D443A9" w:rsidP="00D443A9">
      <w:pPr>
        <w:autoSpaceDE w:val="0"/>
        <w:autoSpaceDN w:val="0"/>
        <w:adjustRightInd w:val="0"/>
        <w:spacing w:before="240"/>
        <w:jc w:val="both"/>
        <w:rPr>
          <w:rFonts w:ascii="Times New Roman" w:hAnsi="Times New Roman"/>
          <w:color w:val="000000"/>
          <w:szCs w:val="24"/>
        </w:rPr>
      </w:pPr>
      <w:r w:rsidRPr="00CC28C1">
        <w:rPr>
          <w:rFonts w:ascii="Times New Roman" w:hAnsi="Times New Roman"/>
          <w:color w:val="000000"/>
          <w:szCs w:val="24"/>
        </w:rPr>
        <w:t>The conceptual categories which emerged from the text and the entire data are abstract but are influenced by the researcher’s theoretical, personal and professional characteristics. Since phenomenological writings is a representation of the researcher’s interpretation and thoughts on the data (van Manen, 1997). I engaged in writing down my interpretation of the data using a pattern of the worked example of data analysis shown in Table 6.1 below. Phenomenological writing was essential to bringing the essence of the lived experience of Nigerian migrant care workers to life.</w:t>
      </w:r>
    </w:p>
    <w:p w14:paraId="447B82CF" w14:textId="77777777" w:rsidR="00D443A9" w:rsidRPr="006869A3" w:rsidRDefault="00D443A9" w:rsidP="006869A3">
      <w:pPr>
        <w:pStyle w:val="Heading3"/>
        <w:rPr>
          <w:i w:val="0"/>
        </w:rPr>
      </w:pPr>
      <w:bookmarkStart w:id="160" w:name="_Toc86417343"/>
      <w:r w:rsidRPr="006869A3">
        <w:rPr>
          <w:i w:val="0"/>
        </w:rPr>
        <w:lastRenderedPageBreak/>
        <w:t>Worked Examples of data analysis</w:t>
      </w:r>
      <w:bookmarkEnd w:id="160"/>
    </w:p>
    <w:p w14:paraId="51561E0F" w14:textId="77777777" w:rsidR="00D443A9" w:rsidRPr="00CC28C1" w:rsidRDefault="00D443A9" w:rsidP="00D443A9">
      <w:pPr>
        <w:spacing w:before="240"/>
        <w:rPr>
          <w:rFonts w:ascii="Times New Roman" w:hAnsi="Times New Roman"/>
          <w:b/>
          <w:bCs/>
          <w:i/>
          <w:szCs w:val="24"/>
        </w:rPr>
      </w:pPr>
      <w:r w:rsidRPr="00CC28C1">
        <w:rPr>
          <w:rFonts w:ascii="Times New Roman" w:hAnsi="Times New Roman"/>
          <w:b/>
          <w:bCs/>
          <w:i/>
          <w:szCs w:val="24"/>
        </w:rPr>
        <w:t>Journey into care</w:t>
      </w:r>
    </w:p>
    <w:tbl>
      <w:tblPr>
        <w:tblStyle w:val="TableGrid"/>
        <w:tblW w:w="0" w:type="auto"/>
        <w:tblLook w:val="04A0" w:firstRow="1" w:lastRow="0" w:firstColumn="1" w:lastColumn="0" w:noHBand="0" w:noVBand="1"/>
      </w:tblPr>
      <w:tblGrid>
        <w:gridCol w:w="1818"/>
        <w:gridCol w:w="2100"/>
        <w:gridCol w:w="2314"/>
        <w:gridCol w:w="2070"/>
      </w:tblGrid>
      <w:tr w:rsidR="00D443A9" w:rsidRPr="00CB09C9" w14:paraId="6606DDDD" w14:textId="77777777" w:rsidTr="00110D28">
        <w:tc>
          <w:tcPr>
            <w:tcW w:w="1818" w:type="dxa"/>
          </w:tcPr>
          <w:p w14:paraId="6FCBFDA3" w14:textId="77777777" w:rsidR="00D443A9" w:rsidRPr="00CB09C9" w:rsidRDefault="00D443A9" w:rsidP="00110D28">
            <w:pPr>
              <w:spacing w:before="240"/>
              <w:rPr>
                <w:rFonts w:ascii="Times New Roman" w:hAnsi="Times New Roman"/>
                <w:b/>
                <w:bCs/>
                <w:szCs w:val="24"/>
              </w:rPr>
            </w:pPr>
            <w:r w:rsidRPr="00CB09C9">
              <w:rPr>
                <w:rFonts w:ascii="Times New Roman" w:hAnsi="Times New Roman"/>
                <w:b/>
                <w:bCs/>
                <w:szCs w:val="24"/>
              </w:rPr>
              <w:t>Main theme</w:t>
            </w:r>
          </w:p>
        </w:tc>
        <w:tc>
          <w:tcPr>
            <w:tcW w:w="2100" w:type="dxa"/>
          </w:tcPr>
          <w:p w14:paraId="7FCE4E65" w14:textId="77777777" w:rsidR="00D443A9" w:rsidRPr="00CB09C9" w:rsidRDefault="00D443A9" w:rsidP="00110D28">
            <w:pPr>
              <w:spacing w:before="240"/>
              <w:rPr>
                <w:rFonts w:ascii="Times New Roman" w:hAnsi="Times New Roman"/>
                <w:b/>
                <w:bCs/>
                <w:szCs w:val="24"/>
              </w:rPr>
            </w:pPr>
            <w:r w:rsidRPr="00CB09C9">
              <w:rPr>
                <w:rFonts w:ascii="Times New Roman" w:hAnsi="Times New Roman"/>
                <w:b/>
                <w:bCs/>
                <w:szCs w:val="24"/>
              </w:rPr>
              <w:t>Sub-theme</w:t>
            </w:r>
          </w:p>
        </w:tc>
        <w:tc>
          <w:tcPr>
            <w:tcW w:w="2314" w:type="dxa"/>
          </w:tcPr>
          <w:p w14:paraId="28A28662" w14:textId="77777777" w:rsidR="00D443A9" w:rsidRPr="00CB09C9" w:rsidRDefault="00D443A9" w:rsidP="00110D28">
            <w:pPr>
              <w:spacing w:before="240"/>
              <w:rPr>
                <w:rFonts w:ascii="Times New Roman" w:hAnsi="Times New Roman"/>
                <w:b/>
                <w:bCs/>
                <w:szCs w:val="24"/>
              </w:rPr>
            </w:pPr>
            <w:r w:rsidRPr="00CB09C9">
              <w:rPr>
                <w:rFonts w:ascii="Times New Roman" w:hAnsi="Times New Roman"/>
                <w:b/>
                <w:bCs/>
                <w:szCs w:val="24"/>
              </w:rPr>
              <w:t>Example of extract</w:t>
            </w:r>
          </w:p>
        </w:tc>
        <w:tc>
          <w:tcPr>
            <w:tcW w:w="2070" w:type="dxa"/>
          </w:tcPr>
          <w:p w14:paraId="7E0A23A8" w14:textId="77777777" w:rsidR="00D443A9" w:rsidRPr="00CB09C9" w:rsidRDefault="00D443A9" w:rsidP="00110D28">
            <w:pPr>
              <w:spacing w:before="240"/>
              <w:rPr>
                <w:rFonts w:ascii="Times New Roman" w:hAnsi="Times New Roman"/>
                <w:b/>
                <w:bCs/>
                <w:szCs w:val="24"/>
              </w:rPr>
            </w:pPr>
            <w:r w:rsidRPr="00CB09C9">
              <w:rPr>
                <w:rFonts w:ascii="Times New Roman" w:hAnsi="Times New Roman"/>
                <w:b/>
                <w:bCs/>
                <w:szCs w:val="24"/>
              </w:rPr>
              <w:t>Explanation</w:t>
            </w:r>
          </w:p>
        </w:tc>
      </w:tr>
      <w:tr w:rsidR="00D443A9" w:rsidRPr="00CB09C9" w14:paraId="416EC83E" w14:textId="77777777" w:rsidTr="00110D28">
        <w:tc>
          <w:tcPr>
            <w:tcW w:w="1818" w:type="dxa"/>
          </w:tcPr>
          <w:p w14:paraId="307A4E9D" w14:textId="77777777" w:rsidR="00D443A9" w:rsidRPr="00CB09C9" w:rsidRDefault="00D443A9" w:rsidP="00110D28">
            <w:pPr>
              <w:spacing w:before="240"/>
              <w:rPr>
                <w:rFonts w:ascii="Times New Roman" w:hAnsi="Times New Roman"/>
                <w:szCs w:val="24"/>
              </w:rPr>
            </w:pPr>
            <w:r w:rsidRPr="00CB09C9">
              <w:rPr>
                <w:rFonts w:ascii="Times New Roman" w:hAnsi="Times New Roman"/>
                <w:szCs w:val="24"/>
              </w:rPr>
              <w:t>Journey into care</w:t>
            </w:r>
          </w:p>
        </w:tc>
        <w:tc>
          <w:tcPr>
            <w:tcW w:w="2100" w:type="dxa"/>
          </w:tcPr>
          <w:p w14:paraId="5F26A304" w14:textId="77777777" w:rsidR="00D443A9" w:rsidRPr="00CB09C9" w:rsidRDefault="00D443A9" w:rsidP="00110D28">
            <w:pPr>
              <w:spacing w:before="240"/>
              <w:rPr>
                <w:rFonts w:ascii="Times New Roman" w:hAnsi="Times New Roman"/>
                <w:szCs w:val="24"/>
              </w:rPr>
            </w:pPr>
            <w:r w:rsidRPr="00CB09C9">
              <w:rPr>
                <w:rFonts w:ascii="Times New Roman" w:hAnsi="Times New Roman"/>
                <w:szCs w:val="24"/>
              </w:rPr>
              <w:t>Motivation for leaving Nigeria for the UK</w:t>
            </w:r>
          </w:p>
        </w:tc>
        <w:tc>
          <w:tcPr>
            <w:tcW w:w="2314" w:type="dxa"/>
          </w:tcPr>
          <w:p w14:paraId="6848C351" w14:textId="1F8E4DC9" w:rsidR="00D443A9" w:rsidRPr="00CB09C9" w:rsidRDefault="00D443A9" w:rsidP="00110D28">
            <w:pPr>
              <w:spacing w:before="240"/>
              <w:rPr>
                <w:rFonts w:ascii="Times New Roman" w:hAnsi="Times New Roman"/>
                <w:szCs w:val="24"/>
              </w:rPr>
            </w:pPr>
            <w:r w:rsidRPr="00CB09C9">
              <w:rPr>
                <w:rFonts w:ascii="Times New Roman" w:hAnsi="Times New Roman"/>
                <w:szCs w:val="24"/>
              </w:rPr>
              <w:t>“</w:t>
            </w:r>
            <w:r w:rsidRPr="00CB09C9">
              <w:rPr>
                <w:rFonts w:ascii="Times New Roman" w:hAnsi="Times New Roman"/>
                <w:i/>
                <w:iCs/>
                <w:szCs w:val="24"/>
              </w:rPr>
              <w:t>…because there is need for career progression, I had to quit my job to further</w:t>
            </w:r>
            <w:r w:rsidR="00210293">
              <w:rPr>
                <w:rFonts w:ascii="Times New Roman" w:hAnsi="Times New Roman"/>
                <w:i/>
                <w:iCs/>
                <w:szCs w:val="24"/>
              </w:rPr>
              <w:t>…</w:t>
            </w:r>
            <w:r w:rsidRPr="00CB09C9">
              <w:rPr>
                <w:rFonts w:ascii="Times New Roman" w:hAnsi="Times New Roman"/>
                <w:szCs w:val="24"/>
              </w:rPr>
              <w:t>”</w:t>
            </w:r>
          </w:p>
        </w:tc>
        <w:tc>
          <w:tcPr>
            <w:tcW w:w="2070" w:type="dxa"/>
          </w:tcPr>
          <w:p w14:paraId="4A79E5B9" w14:textId="77777777" w:rsidR="00D443A9" w:rsidRPr="00CB09C9" w:rsidRDefault="00D443A9" w:rsidP="00110D28">
            <w:pPr>
              <w:spacing w:before="240"/>
              <w:rPr>
                <w:rFonts w:ascii="Times New Roman" w:hAnsi="Times New Roman"/>
                <w:szCs w:val="24"/>
              </w:rPr>
            </w:pPr>
            <w:r w:rsidRPr="00CB09C9">
              <w:rPr>
                <w:rFonts w:ascii="Times New Roman" w:hAnsi="Times New Roman"/>
                <w:szCs w:val="24"/>
              </w:rPr>
              <w:t xml:space="preserve">Lola considers her desire to further herself in her career as the primary reason for leaving her job as a nurse in Nigeria. She further added that completing her top-up course in nursing will make a whole lot of difference when she returns to Nigeria. </w:t>
            </w:r>
          </w:p>
        </w:tc>
      </w:tr>
    </w:tbl>
    <w:p w14:paraId="5204CACA" w14:textId="77777777" w:rsidR="00D443A9" w:rsidRPr="00CC28C1" w:rsidRDefault="00D443A9" w:rsidP="00D443A9">
      <w:pPr>
        <w:spacing w:before="240"/>
        <w:rPr>
          <w:rFonts w:ascii="Times New Roman" w:hAnsi="Times New Roman"/>
          <w:szCs w:val="24"/>
        </w:rPr>
      </w:pPr>
    </w:p>
    <w:p w14:paraId="1CE4802D" w14:textId="77777777" w:rsidR="00D443A9" w:rsidRPr="00CC28C1" w:rsidRDefault="00D443A9" w:rsidP="00D443A9">
      <w:pPr>
        <w:spacing w:before="240"/>
        <w:rPr>
          <w:rFonts w:ascii="Times New Roman" w:hAnsi="Times New Roman"/>
          <w:b/>
          <w:szCs w:val="24"/>
        </w:rPr>
      </w:pPr>
      <w:r w:rsidRPr="00CC28C1">
        <w:rPr>
          <w:rFonts w:ascii="Times New Roman" w:hAnsi="Times New Roman"/>
          <w:b/>
          <w:szCs w:val="24"/>
        </w:rPr>
        <w:t>Table 6.1: Worked example of data analysis</w:t>
      </w:r>
    </w:p>
    <w:p w14:paraId="0515FB31" w14:textId="77777777" w:rsidR="00D443A9" w:rsidRPr="00CC28C1" w:rsidRDefault="00D443A9" w:rsidP="006869A3">
      <w:pPr>
        <w:pStyle w:val="Heading2"/>
      </w:pPr>
      <w:bookmarkStart w:id="161" w:name="_Toc86417344"/>
      <w:r w:rsidRPr="00CC28C1">
        <w:rPr>
          <w:rFonts w:eastAsia="MS Mincho"/>
        </w:rPr>
        <w:t>6.7. Data storage and NVivo</w:t>
      </w:r>
      <w:bookmarkEnd w:id="161"/>
    </w:p>
    <w:p w14:paraId="37524D29" w14:textId="77777777" w:rsidR="00D443A9" w:rsidRPr="00CC28C1" w:rsidRDefault="00D443A9" w:rsidP="00D443A9">
      <w:pPr>
        <w:autoSpaceDE w:val="0"/>
        <w:autoSpaceDN w:val="0"/>
        <w:adjustRightInd w:val="0"/>
        <w:spacing w:before="240"/>
        <w:jc w:val="both"/>
        <w:rPr>
          <w:rFonts w:ascii="Times New Roman" w:eastAsia="MS Mincho" w:hAnsi="Times New Roman"/>
          <w:szCs w:val="24"/>
        </w:rPr>
      </w:pPr>
      <w:r w:rsidRPr="00CC28C1">
        <w:rPr>
          <w:rFonts w:ascii="Times New Roman" w:hAnsi="Times New Roman"/>
          <w:bCs/>
          <w:color w:val="000000"/>
          <w:szCs w:val="24"/>
        </w:rPr>
        <w:t>Data coding was done manually. However, t</w:t>
      </w:r>
      <w:r w:rsidRPr="00CC28C1">
        <w:rPr>
          <w:rFonts w:ascii="Times New Roman" w:eastAsia="MS Mincho" w:hAnsi="Times New Roman"/>
          <w:color w:val="000000"/>
          <w:szCs w:val="24"/>
        </w:rPr>
        <w:t xml:space="preserve">o effectively manage qualitative data, </w:t>
      </w:r>
      <w:r w:rsidRPr="00FF7F37">
        <w:rPr>
          <w:rFonts w:ascii="Times New Roman" w:eastAsia="MS Mincho" w:hAnsi="Times New Roman"/>
          <w:color w:val="000000"/>
          <w:szCs w:val="24"/>
        </w:rPr>
        <w:t>Gibbs, Friese and Manabeira</w:t>
      </w:r>
      <w:r w:rsidRPr="00CC28C1">
        <w:rPr>
          <w:rFonts w:ascii="Times New Roman" w:eastAsia="MS Mincho" w:hAnsi="Times New Roman"/>
          <w:color w:val="000000"/>
          <w:szCs w:val="24"/>
        </w:rPr>
        <w:t xml:space="preserve"> (2002) advocated for a consistent, efficient and systematic storage of the data which can be facilitated using suitable software packages such as NVivo, or Atlas-ti.  NVivo, like most qualitative data management packages, enabled the storage of all transcribed data in an organised faction. Considering the number of </w:t>
      </w:r>
      <w:r w:rsidRPr="00CC28C1">
        <w:rPr>
          <w:rFonts w:ascii="Times New Roman" w:eastAsia="MS Mincho" w:hAnsi="Times New Roman"/>
          <w:color w:val="000000"/>
          <w:szCs w:val="24"/>
        </w:rPr>
        <w:lastRenderedPageBreak/>
        <w:t>interviews (21) conducted in this study, with each averaging an hour, the large amount of transcribed materials that emerged were conveniently handled using NVivo software. Although, coding was done manually, the use of NVivo also aided the line-by-line process of coding adopted for the data analysis and ensured the data was better organised. It allowed me track codes as they developed and then to develop categories.</w:t>
      </w:r>
    </w:p>
    <w:p w14:paraId="6B66E6DF" w14:textId="77777777" w:rsidR="00D443A9" w:rsidRPr="00CC28C1" w:rsidRDefault="00D443A9" w:rsidP="006869A3">
      <w:pPr>
        <w:pStyle w:val="Heading2"/>
      </w:pPr>
      <w:bookmarkStart w:id="162" w:name="_Toc86417345"/>
      <w:r w:rsidRPr="00CC28C1">
        <w:rPr>
          <w:rFonts w:eastAsia="MS Mincho"/>
        </w:rPr>
        <w:t>6.8. Assessing study trustworthiness</w:t>
      </w:r>
      <w:bookmarkEnd w:id="162"/>
    </w:p>
    <w:p w14:paraId="65B3F611" w14:textId="77777777" w:rsidR="00D443A9" w:rsidRPr="00CC28C1" w:rsidRDefault="00D443A9" w:rsidP="00D443A9">
      <w:pPr>
        <w:spacing w:before="240"/>
        <w:jc w:val="both"/>
        <w:textAlignment w:val="baseline"/>
        <w:rPr>
          <w:rFonts w:ascii="Times New Roman" w:eastAsia="MS Mincho" w:hAnsi="Times New Roman"/>
          <w:color w:val="000000"/>
          <w:szCs w:val="24"/>
        </w:rPr>
      </w:pPr>
      <w:r w:rsidRPr="00CC28C1">
        <w:rPr>
          <w:rFonts w:ascii="Times New Roman" w:eastAsia="MS Mincho" w:hAnsi="Times New Roman"/>
          <w:color w:val="000000"/>
          <w:szCs w:val="24"/>
        </w:rPr>
        <w:t xml:space="preserve">This study gained an </w:t>
      </w:r>
      <w:r w:rsidRPr="00CC28C1">
        <w:rPr>
          <w:rFonts w:ascii="Times New Roman" w:hAnsi="Times New Roman"/>
          <w:color w:val="000000"/>
          <w:szCs w:val="24"/>
        </w:rPr>
        <w:t>increased understanding of the lived experiences</w:t>
      </w:r>
      <w:r w:rsidRPr="00CC28C1">
        <w:rPr>
          <w:rFonts w:ascii="Times New Roman" w:eastAsia="MS Mincho" w:hAnsi="Times New Roman"/>
          <w:color w:val="000000"/>
          <w:szCs w:val="24"/>
        </w:rPr>
        <w:t xml:space="preserve"> of Nigerian migrant care workers of people living with dementia through an empirical approach, and it was essential to ensure a rigorous approach to legitimise the findings of the research (</w:t>
      </w:r>
      <w:r w:rsidRPr="00CC28C1">
        <w:rPr>
          <w:rFonts w:ascii="Times New Roman" w:hAnsi="Times New Roman"/>
          <w:szCs w:val="24"/>
        </w:rPr>
        <w:t>Armour, Rivaux and Bell, 2009</w:t>
      </w:r>
      <w:r w:rsidRPr="00CC28C1">
        <w:rPr>
          <w:rFonts w:ascii="Times New Roman" w:eastAsia="MS Mincho" w:hAnsi="Times New Roman"/>
          <w:color w:val="000000"/>
          <w:szCs w:val="24"/>
        </w:rPr>
        <w:t xml:space="preserve">). Morse </w:t>
      </w:r>
      <w:r w:rsidRPr="00391498">
        <w:rPr>
          <w:rFonts w:ascii="Times New Roman" w:eastAsia="MS Mincho" w:hAnsi="Times New Roman"/>
          <w:i/>
          <w:iCs/>
          <w:color w:val="000000"/>
          <w:szCs w:val="24"/>
        </w:rPr>
        <w:t>et al.</w:t>
      </w:r>
      <w:r w:rsidRPr="00CC28C1">
        <w:rPr>
          <w:rFonts w:ascii="Times New Roman" w:eastAsia="MS Mincho" w:hAnsi="Times New Roman"/>
          <w:color w:val="000000"/>
          <w:szCs w:val="24"/>
        </w:rPr>
        <w:t xml:space="preserve"> (2002, p. 14) described research void of rigour as, ‘</w:t>
      </w:r>
      <w:r w:rsidRPr="00CC28C1">
        <w:rPr>
          <w:rFonts w:ascii="Times New Roman" w:eastAsia="MS Mincho" w:hAnsi="Times New Roman"/>
          <w:i/>
          <w:color w:val="000000"/>
          <w:szCs w:val="24"/>
        </w:rPr>
        <w:t>worthless’</w:t>
      </w:r>
      <w:r w:rsidRPr="00CC28C1">
        <w:rPr>
          <w:rFonts w:ascii="Times New Roman" w:eastAsia="MS Mincho" w:hAnsi="Times New Roman"/>
          <w:color w:val="000000"/>
          <w:szCs w:val="24"/>
        </w:rPr>
        <w:t>, stating that such research, ‘</w:t>
      </w:r>
      <w:r w:rsidRPr="00CC28C1">
        <w:rPr>
          <w:rFonts w:ascii="Times New Roman" w:eastAsia="MS Mincho" w:hAnsi="Times New Roman"/>
          <w:i/>
          <w:color w:val="000000"/>
          <w:szCs w:val="24"/>
        </w:rPr>
        <w:t>becomes fiction, and loses its utility</w:t>
      </w:r>
      <w:r w:rsidRPr="00CC28C1">
        <w:rPr>
          <w:rFonts w:ascii="Times New Roman" w:eastAsia="MS Mincho" w:hAnsi="Times New Roman"/>
          <w:color w:val="000000"/>
          <w:szCs w:val="24"/>
        </w:rPr>
        <w:t>’.</w:t>
      </w:r>
    </w:p>
    <w:p w14:paraId="43F3CA29" w14:textId="77777777" w:rsidR="00D443A9" w:rsidRPr="00CC28C1" w:rsidRDefault="00D443A9" w:rsidP="00D443A9">
      <w:pPr>
        <w:spacing w:before="240"/>
        <w:jc w:val="both"/>
        <w:textAlignment w:val="baseline"/>
        <w:rPr>
          <w:rFonts w:ascii="Times New Roman" w:hAnsi="Times New Roman"/>
          <w:szCs w:val="24"/>
        </w:rPr>
      </w:pPr>
      <w:r w:rsidRPr="00CC28C1">
        <w:rPr>
          <w:rFonts w:ascii="Times New Roman" w:eastAsia="MS Mincho" w:hAnsi="Times New Roman"/>
          <w:color w:val="000000"/>
          <w:szCs w:val="24"/>
        </w:rPr>
        <w:t xml:space="preserve">Hence, whilst conducting the study, I observed the four aspects of ‘trustworthiness’ relevant to qualitative research, namely, </w:t>
      </w:r>
      <w:r w:rsidRPr="00CC28C1">
        <w:rPr>
          <w:rFonts w:ascii="Times New Roman" w:hAnsi="Times New Roman"/>
          <w:szCs w:val="24"/>
        </w:rPr>
        <w:t>credibility, transferability, dependability, and confirmability (Lincoln and Guba, 1985; Rolfe, 2006). For example, during my transcription and analysis, my supervisor offered valuable guidance and helped check to ensure things were going as planned. They also looked at a copy of some anonymised transcripts. Throughout the process, the confidentiality of the participants was protected.</w:t>
      </w:r>
    </w:p>
    <w:p w14:paraId="7A9F5484" w14:textId="77777777" w:rsidR="00D443A9" w:rsidRPr="00CC28C1" w:rsidRDefault="00D443A9" w:rsidP="006869A3">
      <w:pPr>
        <w:pStyle w:val="Heading2"/>
      </w:pPr>
      <w:bookmarkStart w:id="163" w:name="_Toc86417346"/>
      <w:r w:rsidRPr="00CC28C1">
        <w:t>6.9. Summary</w:t>
      </w:r>
      <w:bookmarkEnd w:id="163"/>
    </w:p>
    <w:p w14:paraId="79D61020" w14:textId="12F6012D" w:rsidR="00882CEB" w:rsidRPr="006869A3" w:rsidRDefault="00D443A9" w:rsidP="006869A3">
      <w:pPr>
        <w:spacing w:before="240"/>
      </w:pPr>
      <w:r w:rsidRPr="00CC28C1">
        <w:rPr>
          <w:rFonts w:ascii="Times New Roman" w:hAnsi="Times New Roman"/>
          <w:szCs w:val="24"/>
        </w:rPr>
        <w:t>This chapter highlights the practical activities undertaken during the research and described the specific data collection methods, data coding and analysis. I discussed the ethics application process, noting the ethical issues that were significant to the study and how they were addressed. I also discussed how I gained access to my participants, recruiting them from two NHS wards using purposive sampling. Lastly, the processes of data generation and analysis were also discussed. In the next chapter, the study findings are presented, beginning with an introduction to the chapter followed by a consideration of the main themes that emerged from the data coding process.</w:t>
      </w:r>
    </w:p>
    <w:p w14:paraId="5B6D8689" w14:textId="77777777" w:rsidR="008407BB" w:rsidRPr="00BA6E2D" w:rsidRDefault="008407BB" w:rsidP="006869A3">
      <w:pPr>
        <w:pStyle w:val="Heading1"/>
      </w:pPr>
      <w:bookmarkStart w:id="164" w:name="_Toc86417347"/>
      <w:r w:rsidRPr="00BA6E2D">
        <w:lastRenderedPageBreak/>
        <w:t>CHAPTER SEVEN</w:t>
      </w:r>
      <w:bookmarkEnd w:id="164"/>
    </w:p>
    <w:p w14:paraId="13CF2471" w14:textId="77777777" w:rsidR="008407BB" w:rsidRPr="00BA6E2D" w:rsidRDefault="008407BB" w:rsidP="008407BB">
      <w:pPr>
        <w:jc w:val="center"/>
        <w:rPr>
          <w:rFonts w:ascii="Times New Roman" w:hAnsi="Times New Roman"/>
          <w:b/>
          <w:szCs w:val="24"/>
        </w:rPr>
      </w:pPr>
      <w:r w:rsidRPr="00BA6E2D">
        <w:rPr>
          <w:rFonts w:ascii="Times New Roman" w:hAnsi="Times New Roman"/>
          <w:b/>
          <w:szCs w:val="24"/>
        </w:rPr>
        <w:t>BACKGROUND OF PAID NIGERIAN MIGRANT HEALTH CARE ASSISTANTS AND NURSES AND THEIR MOTIVATION TO MIGRATE TO THE UK</w:t>
      </w:r>
    </w:p>
    <w:p w14:paraId="0CB5C165" w14:textId="77777777" w:rsidR="008407BB" w:rsidRPr="00BA6E2D" w:rsidRDefault="008407BB" w:rsidP="006869A3">
      <w:pPr>
        <w:pStyle w:val="Heading2"/>
      </w:pPr>
      <w:bookmarkStart w:id="165" w:name="_Toc86417348"/>
      <w:r w:rsidRPr="00BA6E2D">
        <w:t>7.1. Introduction</w:t>
      </w:r>
      <w:bookmarkEnd w:id="165"/>
    </w:p>
    <w:p w14:paraId="33C8F7F7"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This chap</w:t>
      </w:r>
      <w:r>
        <w:rPr>
          <w:rFonts w:ascii="Times New Roman" w:hAnsi="Times New Roman"/>
          <w:szCs w:val="24"/>
        </w:rPr>
        <w:t>ter presents the findings on</w:t>
      </w:r>
      <w:r w:rsidRPr="00BA6E2D">
        <w:rPr>
          <w:rFonts w:ascii="Times New Roman" w:hAnsi="Times New Roman"/>
          <w:szCs w:val="24"/>
        </w:rPr>
        <w:t xml:space="preserve"> paid Nigerian migrants’ health care assistants (HCAs) and nurses working in the NHS and their experience of caring for people living with dementia (PLWD) in the UK. It is the first of four chapters that explores my participants’ experiences using a qualitative approach (phenomenology) informed by the work of van Manen (1990; 2014) and Gadamer (1990). As noted in the last chapter, this research involved understanding the lived experience of my participants through phenomenological reflection and writing as captured in a face-to-face in-depth interview. This chapter presents the background of my participants, to provide a context for understanding their experience of migrating to the UK and their experience of caring for PLWD in the UK.</w:t>
      </w:r>
    </w:p>
    <w:p w14:paraId="3FDD8204"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This chapter is in two key sections. The first section reports and discusses my participants’ background characteristics, thus providing a profile for paid Nigerian registered mental health nurses (RMN or nurses) and healthcare assistants (HCAs). The second section captures my participants lived experiences of migrating from Nigeria to the UK.</w:t>
      </w:r>
    </w:p>
    <w:p w14:paraId="2FD1B1A4" w14:textId="77777777" w:rsidR="008407BB" w:rsidRPr="00BA6E2D" w:rsidRDefault="008407BB" w:rsidP="006869A3">
      <w:pPr>
        <w:pStyle w:val="Heading2"/>
      </w:pPr>
      <w:bookmarkStart w:id="166" w:name="_Toc86417349"/>
      <w:r w:rsidRPr="00BA6E2D">
        <w:t>7.2. Background of paid Nigerian migrant HCA and nurses caring for people with dementia in the NHS.</w:t>
      </w:r>
      <w:bookmarkEnd w:id="166"/>
    </w:p>
    <w:p w14:paraId="1A98A06B" w14:textId="77777777" w:rsidR="008407BB" w:rsidRPr="00BA6E2D" w:rsidRDefault="008407BB" w:rsidP="006869A3">
      <w:pPr>
        <w:pStyle w:val="Heading3"/>
        <w:rPr>
          <w:i w:val="0"/>
        </w:rPr>
      </w:pPr>
      <w:bookmarkStart w:id="167" w:name="_Toc86417350"/>
      <w:r w:rsidRPr="00BA6E2D">
        <w:t>7.2.1. Introduction</w:t>
      </w:r>
      <w:bookmarkEnd w:id="167"/>
    </w:p>
    <w:p w14:paraId="6C4EF96B"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In this section, I highlight the characteristics of the participants, including their place of origin and where they lived in Nigeria before migrating to the United Kingdom (UK). This provides some background to the participants’ educational and professional backgrounds, as well as their motivation to migrate to the UK. </w:t>
      </w:r>
    </w:p>
    <w:p w14:paraId="2CC361D4"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lastRenderedPageBreak/>
        <w:t xml:space="preserve">This foundational information was essential to understand the profile of the </w:t>
      </w:r>
      <w:r>
        <w:rPr>
          <w:rFonts w:ascii="Times New Roman" w:hAnsi="Times New Roman"/>
          <w:szCs w:val="24"/>
        </w:rPr>
        <w:t>paid Nigerian migrant care workers</w:t>
      </w:r>
      <w:r w:rsidRPr="00BA6E2D">
        <w:rPr>
          <w:rFonts w:ascii="Times New Roman" w:hAnsi="Times New Roman"/>
          <w:szCs w:val="24"/>
        </w:rPr>
        <w:t>, as previous studies on migrant care workers have not specifically considered the profile of Nigerian migrants working as nurses or HCAs (Aboderin, 2007). I also wanted to gain insight into why they began to work as paid carers and nurses for PLWD in the National Health Service (NHS) in the UK. Hence in this section, I discuss the characteristics of the participants, looking at their gender, age, and their educational and professional background prior to migrating to the UK. Extensive searches for literature on the profiles of Nigerian migrant health care workers and nurses caring for people with dementia failed to identify any relevant literature.</w:t>
      </w:r>
    </w:p>
    <w:p w14:paraId="5E8CC17A" w14:textId="77777777" w:rsidR="008407BB" w:rsidRPr="00BA6E2D" w:rsidRDefault="008407BB" w:rsidP="006869A3">
      <w:pPr>
        <w:pStyle w:val="Heading3"/>
      </w:pPr>
      <w:bookmarkStart w:id="168" w:name="_Toc86417351"/>
      <w:r w:rsidRPr="00BA6E2D">
        <w:t>7.2.2. Participant characteristics</w:t>
      </w:r>
      <w:bookmarkEnd w:id="168"/>
    </w:p>
    <w:p w14:paraId="58E75FC0" w14:textId="0FB29210"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As noted in the last chapter, data collected from participants during the pilot study was not included in this analysis. </w:t>
      </w:r>
      <w:r>
        <w:rPr>
          <w:rFonts w:ascii="Times New Roman" w:hAnsi="Times New Roman"/>
          <w:szCs w:val="24"/>
        </w:rPr>
        <w:t>Of the twenty-one care workers</w:t>
      </w:r>
      <w:r w:rsidRPr="00BA6E2D">
        <w:rPr>
          <w:rFonts w:ascii="Times New Roman" w:hAnsi="Times New Roman"/>
          <w:szCs w:val="24"/>
        </w:rPr>
        <w:t xml:space="preserve"> interviewed in this study, fifteen were currently working as HCAs and six were RMNs, all working in the NHS. As noted earlier (see section 3.2.6), HCAs and RMNs have different professional responsibilities with reference to the care they provide to the patients. However, despite their differences in terms of professional qualification and training, they essentially work together as the nursing team (Spilsbury and Meyer, 2004; Ball and Pike, 2009)</w:t>
      </w:r>
      <w:r w:rsidRPr="00BA6E2D">
        <w:t xml:space="preserve"> </w:t>
      </w:r>
      <w:r w:rsidRPr="00BA6E2D">
        <w:rPr>
          <w:rFonts w:ascii="Times New Roman" w:hAnsi="Times New Roman"/>
          <w:szCs w:val="24"/>
        </w:rPr>
        <w:t>to provide care for PLWD in most dementia care setting including the NHS hospital from where these twenty-one participants were recruited. One of the criteria therefore observed in recruiting participants to this study was that they have</w:t>
      </w:r>
      <w:r>
        <w:rPr>
          <w:rFonts w:ascii="Times New Roman" w:hAnsi="Times New Roman"/>
          <w:szCs w:val="24"/>
        </w:rPr>
        <w:t xml:space="preserve"> all worked as HCA at some point</w:t>
      </w:r>
      <w:r w:rsidRPr="00BA6E2D">
        <w:rPr>
          <w:rFonts w:ascii="Times New Roman" w:hAnsi="Times New Roman"/>
          <w:szCs w:val="24"/>
        </w:rPr>
        <w:t>, whether currently or before training to become RMN in the UK. However, among those currently working as HCA</w:t>
      </w:r>
      <w:r>
        <w:rPr>
          <w:rFonts w:ascii="Times New Roman" w:hAnsi="Times New Roman"/>
          <w:szCs w:val="24"/>
        </w:rPr>
        <w:t>s</w:t>
      </w:r>
      <w:r w:rsidRPr="00BA6E2D">
        <w:rPr>
          <w:rFonts w:ascii="Times New Roman" w:hAnsi="Times New Roman"/>
          <w:szCs w:val="24"/>
        </w:rPr>
        <w:t>, some (</w:t>
      </w:r>
      <w:r w:rsidR="005A2615">
        <w:rPr>
          <w:rFonts w:ascii="Times New Roman" w:hAnsi="Times New Roman"/>
          <w:szCs w:val="24"/>
        </w:rPr>
        <w:t>n=</w:t>
      </w:r>
      <w:r w:rsidRPr="00BA6E2D">
        <w:rPr>
          <w:rFonts w:ascii="Times New Roman" w:hAnsi="Times New Roman"/>
          <w:szCs w:val="24"/>
        </w:rPr>
        <w:t>5) originally trained as nurses in Nigeria while the others had varied background (and most of them not linked to healthcare). As i</w:t>
      </w:r>
      <w:r>
        <w:rPr>
          <w:rFonts w:ascii="Times New Roman" w:hAnsi="Times New Roman"/>
          <w:szCs w:val="24"/>
        </w:rPr>
        <w:t>t is</w:t>
      </w:r>
      <w:r w:rsidRPr="00BA6E2D">
        <w:rPr>
          <w:rFonts w:ascii="Times New Roman" w:hAnsi="Times New Roman"/>
          <w:szCs w:val="24"/>
        </w:rPr>
        <w:t xml:space="preserve"> the case throughout this study, pseudonyms were used to protect the identity of the participants. The six nurses in this study all trained in the UK and had previously worked as HCAs.</w:t>
      </w:r>
    </w:p>
    <w:p w14:paraId="3F51414F" w14:textId="47FBCC44" w:rsidR="008407BB" w:rsidRPr="00BA6E2D" w:rsidRDefault="008407BB" w:rsidP="008407BB">
      <w:pPr>
        <w:jc w:val="both"/>
        <w:rPr>
          <w:rFonts w:ascii="Times New Roman" w:hAnsi="Times New Roman"/>
          <w:szCs w:val="24"/>
        </w:rPr>
      </w:pPr>
      <w:r w:rsidRPr="00BA6E2D">
        <w:rPr>
          <w:rFonts w:ascii="Times New Roman" w:hAnsi="Times New Roman"/>
          <w:szCs w:val="24"/>
        </w:rPr>
        <w:t>Other data collected from a participant at the beginning of an interview included their self-reported gender, age, educational qualification, and places of birth/origin in Nigeria. These data which were entered in a sample form (Appendix 7.1) are presented and discussed below.</w:t>
      </w:r>
    </w:p>
    <w:p w14:paraId="2B435781" w14:textId="77777777" w:rsidR="008407BB" w:rsidRPr="00BA6E2D" w:rsidRDefault="008407BB" w:rsidP="006869A3">
      <w:pPr>
        <w:pStyle w:val="Heading3"/>
      </w:pPr>
      <w:bookmarkStart w:id="169" w:name="_Toc86417352"/>
      <w:r w:rsidRPr="00BA6E2D">
        <w:lastRenderedPageBreak/>
        <w:t>7.2.3. Gender</w:t>
      </w:r>
      <w:bookmarkEnd w:id="169"/>
    </w:p>
    <w:p w14:paraId="5180C79B"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Research suggests that the task of caring for older family relatives in most cultures has generally been delegated to women (Kim, 2001; Tsuji, Sauvaget and Hisamichi, 2002; Koh and Koh, 2008; Nishi </w:t>
      </w:r>
      <w:r w:rsidRPr="00EC07D0">
        <w:rPr>
          <w:rFonts w:ascii="Times New Roman" w:hAnsi="Times New Roman"/>
          <w:i/>
          <w:iCs/>
          <w:szCs w:val="24"/>
        </w:rPr>
        <w:t>et al.</w:t>
      </w:r>
      <w:r w:rsidRPr="00BA6E2D">
        <w:rPr>
          <w:rFonts w:ascii="Times New Roman" w:hAnsi="Times New Roman"/>
          <w:szCs w:val="24"/>
        </w:rPr>
        <w:t xml:space="preserve">, 2010; </w:t>
      </w:r>
      <w:r w:rsidRPr="00BA6E2D">
        <w:rPr>
          <w:rFonts w:ascii="Times New Roman" w:hAnsi="Times New Roman"/>
          <w:iCs/>
          <w:szCs w:val="24"/>
        </w:rPr>
        <w:t xml:space="preserve">Day, Anderson and Davis, 2014; </w:t>
      </w:r>
      <w:r w:rsidRPr="00BA6E2D">
        <w:rPr>
          <w:rFonts w:ascii="Times New Roman" w:hAnsi="Times New Roman"/>
          <w:szCs w:val="24"/>
        </w:rPr>
        <w:t>Kuo, 2015). Hence, previous literature on caregiving has overly focused on the assumption that caring for older adults is the role reserved for female relatives (Trussell and Shaw, 2009; Rabins</w:t>
      </w:r>
      <w:r>
        <w:rPr>
          <w:rFonts w:ascii="Times New Roman" w:hAnsi="Times New Roman"/>
          <w:szCs w:val="24"/>
        </w:rPr>
        <w:t>,</w:t>
      </w:r>
      <w:r w:rsidRPr="00D559CB">
        <w:rPr>
          <w:rFonts w:ascii="Times New Roman" w:hAnsi="Times New Roman"/>
          <w:szCs w:val="24"/>
        </w:rPr>
        <w:t xml:space="preserve"> </w:t>
      </w:r>
      <w:r w:rsidRPr="00CF1AE8">
        <w:rPr>
          <w:rFonts w:ascii="Times New Roman" w:hAnsi="Times New Roman"/>
          <w:szCs w:val="24"/>
        </w:rPr>
        <w:t>Lyketsos and Steele</w:t>
      </w:r>
      <w:r w:rsidRPr="00BA6E2D">
        <w:rPr>
          <w:rFonts w:ascii="Times New Roman" w:hAnsi="Times New Roman"/>
          <w:szCs w:val="24"/>
        </w:rPr>
        <w:t>, 2016). Consequently, many studies on the care for PLWD have recruited more women than men participants in their study sample, with women reported to experience more of caregiving burden than men (</w:t>
      </w:r>
      <w:r w:rsidRPr="00BA6E2D">
        <w:rPr>
          <w:rFonts w:ascii="Times New Roman" w:hAnsi="Times New Roman"/>
          <w:iCs/>
          <w:szCs w:val="24"/>
        </w:rPr>
        <w:t>Kao and McHugh, 2004; Chiou, Chen and Wang, 2005; Pinquart and Sörensen, 2006</w:t>
      </w:r>
      <w:r w:rsidRPr="00BA6E2D">
        <w:rPr>
          <w:rFonts w:ascii="Times New Roman" w:hAnsi="Times New Roman"/>
          <w:szCs w:val="24"/>
        </w:rPr>
        <w:t>).</w:t>
      </w:r>
    </w:p>
    <w:p w14:paraId="547653A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With these assumptions and knowledge in mind,</w:t>
      </w:r>
      <w:r w:rsidRPr="00BA6E2D">
        <w:rPr>
          <w:rFonts w:ascii="Times New Roman" w:hAnsi="Times New Roman"/>
          <w:b/>
          <w:szCs w:val="24"/>
        </w:rPr>
        <w:t xml:space="preserve"> </w:t>
      </w:r>
      <w:r w:rsidRPr="00BA6E2D">
        <w:rPr>
          <w:rFonts w:ascii="Times New Roman" w:hAnsi="Times New Roman"/>
          <w:szCs w:val="24"/>
        </w:rPr>
        <w:t>during sampling, the initial goal of the research was to ensure that an equal number of male and female participants were recruited. However, due to some practical limitations, this could not be achieved. In total, of the twenty-one participants who took part in the study, there were twelve males and nine females (see Table 7.1 below). Of the twelve males, nine were HCA and three were RMN while of the nine females, six HCAs and three RMNs and all of them were working in the NHS.</w:t>
      </w:r>
    </w:p>
    <w:p w14:paraId="5A753A43" w14:textId="77777777" w:rsidR="008407BB" w:rsidRPr="00BA6E2D" w:rsidRDefault="008407BB" w:rsidP="008407BB">
      <w:pPr>
        <w:jc w:val="both"/>
        <w:rPr>
          <w:rFonts w:ascii="Times New Roman" w:hAnsi="Times New Roman"/>
          <w:szCs w:val="24"/>
        </w:rPr>
      </w:pPr>
    </w:p>
    <w:p w14:paraId="5E490670" w14:textId="77777777" w:rsidR="008407BB" w:rsidRPr="00BA6E2D" w:rsidRDefault="008407BB" w:rsidP="008407BB">
      <w:pPr>
        <w:jc w:val="both"/>
        <w:rPr>
          <w:rFonts w:ascii="Times New Roman" w:hAnsi="Times New Roman"/>
          <w:szCs w:val="24"/>
        </w:rPr>
        <w:sectPr w:rsidR="008407BB" w:rsidRPr="00BA6E2D" w:rsidSect="00260E21">
          <w:footerReference w:type="default" r:id="rId24"/>
          <w:pgSz w:w="11906" w:h="16838"/>
          <w:pgMar w:top="1440" w:right="1797" w:bottom="1440" w:left="1797" w:header="709" w:footer="709" w:gutter="0"/>
          <w:cols w:space="708"/>
          <w:docGrid w:linePitch="360"/>
        </w:sectPr>
      </w:pPr>
    </w:p>
    <w:tbl>
      <w:tblPr>
        <w:tblStyle w:val="TableGrid"/>
        <w:tblpPr w:leftFromText="180" w:rightFromText="180" w:vertAnchor="text" w:tblpY="409"/>
        <w:tblW w:w="0" w:type="auto"/>
        <w:tblLayout w:type="fixed"/>
        <w:tblLook w:val="04A0" w:firstRow="1" w:lastRow="0" w:firstColumn="1" w:lastColumn="0" w:noHBand="0" w:noVBand="1"/>
      </w:tblPr>
      <w:tblGrid>
        <w:gridCol w:w="988"/>
        <w:gridCol w:w="4590"/>
        <w:gridCol w:w="2790"/>
        <w:gridCol w:w="2790"/>
        <w:gridCol w:w="2790"/>
      </w:tblGrid>
      <w:tr w:rsidR="008407BB" w:rsidRPr="00BA6E2D" w14:paraId="0B755442" w14:textId="77777777" w:rsidTr="00110D28">
        <w:trPr>
          <w:trHeight w:hRule="exact" w:val="284"/>
        </w:trPr>
        <w:tc>
          <w:tcPr>
            <w:tcW w:w="988" w:type="dxa"/>
          </w:tcPr>
          <w:p w14:paraId="3288D852" w14:textId="77777777" w:rsidR="008407BB" w:rsidRPr="00BA6E2D" w:rsidRDefault="008407BB" w:rsidP="00110D28">
            <w:pPr>
              <w:rPr>
                <w:rFonts w:ascii="Times New Roman" w:hAnsi="Times New Roman"/>
                <w:szCs w:val="24"/>
              </w:rPr>
            </w:pPr>
            <w:r w:rsidRPr="00BA6E2D">
              <w:rPr>
                <w:rFonts w:ascii="Times New Roman" w:hAnsi="Times New Roman"/>
                <w:szCs w:val="24"/>
              </w:rPr>
              <w:lastRenderedPageBreak/>
              <w:t>S/No</w:t>
            </w:r>
          </w:p>
        </w:tc>
        <w:tc>
          <w:tcPr>
            <w:tcW w:w="4590" w:type="dxa"/>
          </w:tcPr>
          <w:p w14:paraId="46DF8F44" w14:textId="77777777" w:rsidR="008407BB" w:rsidRPr="00BA6E2D" w:rsidRDefault="008407BB" w:rsidP="00110D28">
            <w:pPr>
              <w:rPr>
                <w:rFonts w:ascii="Times New Roman" w:hAnsi="Times New Roman"/>
                <w:szCs w:val="24"/>
              </w:rPr>
            </w:pPr>
            <w:r w:rsidRPr="00BA6E2D">
              <w:rPr>
                <w:rFonts w:ascii="Times New Roman" w:hAnsi="Times New Roman"/>
                <w:szCs w:val="24"/>
              </w:rPr>
              <w:t>Participants</w:t>
            </w:r>
          </w:p>
        </w:tc>
        <w:tc>
          <w:tcPr>
            <w:tcW w:w="2790" w:type="dxa"/>
          </w:tcPr>
          <w:p w14:paraId="0987F681" w14:textId="77777777" w:rsidR="008407BB" w:rsidRPr="00BA6E2D" w:rsidRDefault="008407BB" w:rsidP="00110D28">
            <w:pPr>
              <w:rPr>
                <w:rFonts w:ascii="Times New Roman" w:hAnsi="Times New Roman"/>
                <w:szCs w:val="24"/>
              </w:rPr>
            </w:pPr>
            <w:r w:rsidRPr="00BA6E2D">
              <w:rPr>
                <w:rFonts w:ascii="Times New Roman" w:hAnsi="Times New Roman"/>
                <w:szCs w:val="24"/>
              </w:rPr>
              <w:t>Sex</w:t>
            </w:r>
          </w:p>
        </w:tc>
        <w:tc>
          <w:tcPr>
            <w:tcW w:w="2790" w:type="dxa"/>
          </w:tcPr>
          <w:p w14:paraId="40085B53"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Age</w:t>
            </w:r>
          </w:p>
        </w:tc>
        <w:tc>
          <w:tcPr>
            <w:tcW w:w="2790" w:type="dxa"/>
          </w:tcPr>
          <w:p w14:paraId="1BA45C4A"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Current role</w:t>
            </w:r>
          </w:p>
        </w:tc>
      </w:tr>
      <w:tr w:rsidR="008407BB" w:rsidRPr="00BA6E2D" w14:paraId="699394DB" w14:textId="77777777" w:rsidTr="00110D28">
        <w:trPr>
          <w:trHeight w:hRule="exact" w:val="284"/>
        </w:trPr>
        <w:tc>
          <w:tcPr>
            <w:tcW w:w="988" w:type="dxa"/>
          </w:tcPr>
          <w:p w14:paraId="2F2E257E"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1861317C" w14:textId="77777777" w:rsidR="008407BB" w:rsidRPr="00BA6E2D" w:rsidRDefault="008407BB" w:rsidP="00110D28">
            <w:pPr>
              <w:rPr>
                <w:rFonts w:ascii="Times New Roman" w:hAnsi="Times New Roman"/>
                <w:szCs w:val="24"/>
              </w:rPr>
            </w:pPr>
            <w:r w:rsidRPr="00BA6E2D">
              <w:rPr>
                <w:rFonts w:ascii="Times New Roman" w:hAnsi="Times New Roman"/>
                <w:szCs w:val="24"/>
              </w:rPr>
              <w:t>Adams</w:t>
            </w:r>
          </w:p>
        </w:tc>
        <w:tc>
          <w:tcPr>
            <w:tcW w:w="2790" w:type="dxa"/>
          </w:tcPr>
          <w:p w14:paraId="63B42C4D"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1214600A"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50</w:t>
            </w:r>
          </w:p>
        </w:tc>
        <w:tc>
          <w:tcPr>
            <w:tcW w:w="2790" w:type="dxa"/>
          </w:tcPr>
          <w:p w14:paraId="32B51FD9"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461937B5" w14:textId="77777777" w:rsidTr="00110D28">
        <w:trPr>
          <w:trHeight w:hRule="exact" w:val="284"/>
        </w:trPr>
        <w:tc>
          <w:tcPr>
            <w:tcW w:w="988" w:type="dxa"/>
          </w:tcPr>
          <w:p w14:paraId="5DC28B45"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0B65BD9F" w14:textId="77777777" w:rsidR="008407BB" w:rsidRPr="00BA6E2D" w:rsidRDefault="008407BB" w:rsidP="00110D28">
            <w:pPr>
              <w:rPr>
                <w:rFonts w:ascii="Times New Roman" w:hAnsi="Times New Roman"/>
                <w:szCs w:val="24"/>
              </w:rPr>
            </w:pPr>
            <w:r w:rsidRPr="00BA6E2D">
              <w:rPr>
                <w:rFonts w:ascii="Times New Roman" w:hAnsi="Times New Roman"/>
                <w:szCs w:val="24"/>
              </w:rPr>
              <w:t>Ademola</w:t>
            </w:r>
          </w:p>
        </w:tc>
        <w:tc>
          <w:tcPr>
            <w:tcW w:w="2790" w:type="dxa"/>
          </w:tcPr>
          <w:p w14:paraId="59283149"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75F7A405"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51</w:t>
            </w:r>
          </w:p>
        </w:tc>
        <w:tc>
          <w:tcPr>
            <w:tcW w:w="2790" w:type="dxa"/>
          </w:tcPr>
          <w:p w14:paraId="385C403D"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59DDE924" w14:textId="77777777" w:rsidTr="00110D28">
        <w:trPr>
          <w:trHeight w:hRule="exact" w:val="284"/>
        </w:trPr>
        <w:tc>
          <w:tcPr>
            <w:tcW w:w="988" w:type="dxa"/>
          </w:tcPr>
          <w:p w14:paraId="507AE289"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15517C10" w14:textId="77777777" w:rsidR="008407BB" w:rsidRPr="00BA6E2D" w:rsidRDefault="008407BB" w:rsidP="00110D28">
            <w:pPr>
              <w:rPr>
                <w:rFonts w:ascii="Times New Roman" w:hAnsi="Times New Roman"/>
                <w:szCs w:val="24"/>
              </w:rPr>
            </w:pPr>
            <w:r w:rsidRPr="00BA6E2D">
              <w:rPr>
                <w:rFonts w:ascii="Times New Roman" w:hAnsi="Times New Roman"/>
                <w:szCs w:val="24"/>
              </w:rPr>
              <w:t>Benard</w:t>
            </w:r>
          </w:p>
        </w:tc>
        <w:tc>
          <w:tcPr>
            <w:tcW w:w="2790" w:type="dxa"/>
          </w:tcPr>
          <w:p w14:paraId="72112091"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161B41B4"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55</w:t>
            </w:r>
          </w:p>
        </w:tc>
        <w:tc>
          <w:tcPr>
            <w:tcW w:w="2790" w:type="dxa"/>
          </w:tcPr>
          <w:p w14:paraId="2EB466F1"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1247D4C9" w14:textId="77777777" w:rsidTr="00110D28">
        <w:trPr>
          <w:trHeight w:hRule="exact" w:val="284"/>
        </w:trPr>
        <w:tc>
          <w:tcPr>
            <w:tcW w:w="988" w:type="dxa"/>
          </w:tcPr>
          <w:p w14:paraId="3145EFC2"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630BAB9C" w14:textId="77777777" w:rsidR="008407BB" w:rsidRPr="00BA6E2D" w:rsidRDefault="008407BB" w:rsidP="00110D28">
            <w:pPr>
              <w:rPr>
                <w:rFonts w:ascii="Times New Roman" w:hAnsi="Times New Roman"/>
                <w:szCs w:val="24"/>
              </w:rPr>
            </w:pPr>
            <w:r w:rsidRPr="00BA6E2D">
              <w:rPr>
                <w:rFonts w:ascii="Times New Roman" w:hAnsi="Times New Roman"/>
                <w:szCs w:val="24"/>
              </w:rPr>
              <w:t>Bosede</w:t>
            </w:r>
          </w:p>
        </w:tc>
        <w:tc>
          <w:tcPr>
            <w:tcW w:w="2790" w:type="dxa"/>
          </w:tcPr>
          <w:p w14:paraId="51C35A1C"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4E64C73A"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54</w:t>
            </w:r>
          </w:p>
        </w:tc>
        <w:tc>
          <w:tcPr>
            <w:tcW w:w="2790" w:type="dxa"/>
          </w:tcPr>
          <w:p w14:paraId="0B3BDAD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5C663584" w14:textId="77777777" w:rsidTr="00110D28">
        <w:trPr>
          <w:trHeight w:hRule="exact" w:val="284"/>
        </w:trPr>
        <w:tc>
          <w:tcPr>
            <w:tcW w:w="988" w:type="dxa"/>
          </w:tcPr>
          <w:p w14:paraId="68BAD299" w14:textId="77777777" w:rsidR="008407BB" w:rsidRPr="00BA6E2D" w:rsidRDefault="008407BB" w:rsidP="00110D28">
            <w:pPr>
              <w:pStyle w:val="ListParagraph"/>
              <w:numPr>
                <w:ilvl w:val="0"/>
                <w:numId w:val="1"/>
              </w:numPr>
              <w:jc w:val="center"/>
              <w:rPr>
                <w:rFonts w:ascii="Times New Roman" w:eastAsia="Times New Roman" w:hAnsi="Times New Roman" w:cs="Times New Roman"/>
                <w:sz w:val="24"/>
                <w:szCs w:val="24"/>
              </w:rPr>
            </w:pPr>
          </w:p>
        </w:tc>
        <w:tc>
          <w:tcPr>
            <w:tcW w:w="4590" w:type="dxa"/>
          </w:tcPr>
          <w:p w14:paraId="622E1E88" w14:textId="77777777" w:rsidR="008407BB" w:rsidRPr="00BA6E2D" w:rsidRDefault="008407BB" w:rsidP="00110D28">
            <w:pPr>
              <w:rPr>
                <w:rFonts w:ascii="Times New Roman" w:hAnsi="Times New Roman"/>
                <w:szCs w:val="24"/>
              </w:rPr>
            </w:pPr>
            <w:r w:rsidRPr="00BA6E2D">
              <w:rPr>
                <w:rFonts w:ascii="Times New Roman" w:hAnsi="Times New Roman"/>
                <w:szCs w:val="24"/>
              </w:rPr>
              <w:t>Cynthia</w:t>
            </w:r>
          </w:p>
        </w:tc>
        <w:tc>
          <w:tcPr>
            <w:tcW w:w="2790" w:type="dxa"/>
          </w:tcPr>
          <w:p w14:paraId="1E563747"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6C935989"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38</w:t>
            </w:r>
          </w:p>
        </w:tc>
        <w:tc>
          <w:tcPr>
            <w:tcW w:w="2790" w:type="dxa"/>
          </w:tcPr>
          <w:p w14:paraId="6BDEC631"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77C6CF44" w14:textId="77777777" w:rsidTr="00110D28">
        <w:trPr>
          <w:trHeight w:hRule="exact" w:val="284"/>
        </w:trPr>
        <w:tc>
          <w:tcPr>
            <w:tcW w:w="988" w:type="dxa"/>
          </w:tcPr>
          <w:p w14:paraId="58200290"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5F0F2095" w14:textId="77777777" w:rsidR="008407BB" w:rsidRPr="00BA6E2D" w:rsidRDefault="008407BB" w:rsidP="00110D28">
            <w:pPr>
              <w:rPr>
                <w:rFonts w:ascii="Times New Roman" w:hAnsi="Times New Roman"/>
                <w:szCs w:val="24"/>
              </w:rPr>
            </w:pPr>
            <w:r w:rsidRPr="00BA6E2D">
              <w:rPr>
                <w:rFonts w:ascii="Times New Roman" w:hAnsi="Times New Roman"/>
                <w:szCs w:val="24"/>
              </w:rPr>
              <w:t>Dankay</w:t>
            </w:r>
          </w:p>
        </w:tc>
        <w:tc>
          <w:tcPr>
            <w:tcW w:w="2790" w:type="dxa"/>
          </w:tcPr>
          <w:p w14:paraId="6261DEE6"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5FB11789"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50</w:t>
            </w:r>
          </w:p>
        </w:tc>
        <w:tc>
          <w:tcPr>
            <w:tcW w:w="2790" w:type="dxa"/>
          </w:tcPr>
          <w:p w14:paraId="27E0D7E2"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047E8196" w14:textId="77777777" w:rsidTr="00110D28">
        <w:trPr>
          <w:trHeight w:hRule="exact" w:val="284"/>
        </w:trPr>
        <w:tc>
          <w:tcPr>
            <w:tcW w:w="988" w:type="dxa"/>
          </w:tcPr>
          <w:p w14:paraId="210A5F90"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2600D488" w14:textId="77777777" w:rsidR="008407BB" w:rsidRPr="00BA6E2D" w:rsidRDefault="008407BB" w:rsidP="00110D28">
            <w:pPr>
              <w:rPr>
                <w:rFonts w:ascii="Times New Roman" w:hAnsi="Times New Roman"/>
                <w:szCs w:val="24"/>
              </w:rPr>
            </w:pPr>
            <w:r w:rsidRPr="00BA6E2D">
              <w:rPr>
                <w:rFonts w:ascii="Times New Roman" w:hAnsi="Times New Roman"/>
                <w:szCs w:val="24"/>
              </w:rPr>
              <w:t>Doris</w:t>
            </w:r>
          </w:p>
        </w:tc>
        <w:tc>
          <w:tcPr>
            <w:tcW w:w="2790" w:type="dxa"/>
          </w:tcPr>
          <w:p w14:paraId="08E6283F"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00A2AD44"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28</w:t>
            </w:r>
          </w:p>
        </w:tc>
        <w:tc>
          <w:tcPr>
            <w:tcW w:w="2790" w:type="dxa"/>
          </w:tcPr>
          <w:p w14:paraId="7BDDBBE7"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3F61EAFC" w14:textId="77777777" w:rsidTr="00110D28">
        <w:trPr>
          <w:trHeight w:hRule="exact" w:val="284"/>
        </w:trPr>
        <w:tc>
          <w:tcPr>
            <w:tcW w:w="988" w:type="dxa"/>
          </w:tcPr>
          <w:p w14:paraId="043E0F78"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5BE41601" w14:textId="77777777" w:rsidR="008407BB" w:rsidRPr="00BA6E2D" w:rsidRDefault="008407BB" w:rsidP="00110D28">
            <w:pPr>
              <w:rPr>
                <w:rFonts w:ascii="Times New Roman" w:hAnsi="Times New Roman"/>
                <w:szCs w:val="24"/>
              </w:rPr>
            </w:pPr>
            <w:r w:rsidRPr="00BA6E2D">
              <w:rPr>
                <w:rFonts w:ascii="Times New Roman" w:hAnsi="Times New Roman"/>
                <w:szCs w:val="24"/>
              </w:rPr>
              <w:t>Folashade</w:t>
            </w:r>
          </w:p>
        </w:tc>
        <w:tc>
          <w:tcPr>
            <w:tcW w:w="2790" w:type="dxa"/>
          </w:tcPr>
          <w:p w14:paraId="582D1308"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543FFE9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38</w:t>
            </w:r>
          </w:p>
        </w:tc>
        <w:tc>
          <w:tcPr>
            <w:tcW w:w="2790" w:type="dxa"/>
          </w:tcPr>
          <w:p w14:paraId="3617854F"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0AF16E9F" w14:textId="77777777" w:rsidTr="00110D28">
        <w:trPr>
          <w:trHeight w:hRule="exact" w:val="284"/>
        </w:trPr>
        <w:tc>
          <w:tcPr>
            <w:tcW w:w="988" w:type="dxa"/>
          </w:tcPr>
          <w:p w14:paraId="2A80A3BC"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24162323" w14:textId="77777777" w:rsidR="008407BB" w:rsidRPr="00BA6E2D" w:rsidRDefault="008407BB" w:rsidP="00110D28">
            <w:pPr>
              <w:rPr>
                <w:rFonts w:ascii="Times New Roman" w:hAnsi="Times New Roman"/>
                <w:szCs w:val="24"/>
              </w:rPr>
            </w:pPr>
            <w:r w:rsidRPr="00BA6E2D">
              <w:rPr>
                <w:rFonts w:ascii="Times New Roman" w:hAnsi="Times New Roman"/>
                <w:szCs w:val="24"/>
              </w:rPr>
              <w:t>Jackie</w:t>
            </w:r>
          </w:p>
        </w:tc>
        <w:tc>
          <w:tcPr>
            <w:tcW w:w="2790" w:type="dxa"/>
          </w:tcPr>
          <w:p w14:paraId="004EC644"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6918DC4B"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39</w:t>
            </w:r>
          </w:p>
        </w:tc>
        <w:tc>
          <w:tcPr>
            <w:tcW w:w="2790" w:type="dxa"/>
          </w:tcPr>
          <w:p w14:paraId="79C80EE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4B21B01F" w14:textId="77777777" w:rsidTr="00110D28">
        <w:trPr>
          <w:trHeight w:hRule="exact" w:val="284"/>
        </w:trPr>
        <w:tc>
          <w:tcPr>
            <w:tcW w:w="988" w:type="dxa"/>
          </w:tcPr>
          <w:p w14:paraId="6B2D790A"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4A896613" w14:textId="77777777" w:rsidR="008407BB" w:rsidRPr="00BA6E2D" w:rsidRDefault="008407BB" w:rsidP="00110D28">
            <w:pPr>
              <w:rPr>
                <w:rFonts w:ascii="Times New Roman" w:hAnsi="Times New Roman"/>
                <w:szCs w:val="24"/>
              </w:rPr>
            </w:pPr>
            <w:r w:rsidRPr="00BA6E2D">
              <w:rPr>
                <w:rFonts w:ascii="Times New Roman" w:hAnsi="Times New Roman"/>
                <w:szCs w:val="24"/>
              </w:rPr>
              <w:t>Jane</w:t>
            </w:r>
          </w:p>
        </w:tc>
        <w:tc>
          <w:tcPr>
            <w:tcW w:w="2790" w:type="dxa"/>
          </w:tcPr>
          <w:p w14:paraId="141DC10B"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54838A2D"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35</w:t>
            </w:r>
          </w:p>
        </w:tc>
        <w:tc>
          <w:tcPr>
            <w:tcW w:w="2790" w:type="dxa"/>
          </w:tcPr>
          <w:p w14:paraId="5558CF9D"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5F2F7359" w14:textId="77777777" w:rsidTr="00110D28">
        <w:trPr>
          <w:trHeight w:hRule="exact" w:val="284"/>
        </w:trPr>
        <w:tc>
          <w:tcPr>
            <w:tcW w:w="988" w:type="dxa"/>
          </w:tcPr>
          <w:p w14:paraId="666E794A"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372FF888" w14:textId="77777777" w:rsidR="008407BB" w:rsidRPr="00BA6E2D" w:rsidRDefault="008407BB" w:rsidP="00110D28">
            <w:pPr>
              <w:rPr>
                <w:rFonts w:ascii="Times New Roman" w:hAnsi="Times New Roman"/>
                <w:szCs w:val="24"/>
              </w:rPr>
            </w:pPr>
            <w:r w:rsidRPr="00BA6E2D">
              <w:rPr>
                <w:rFonts w:ascii="Times New Roman" w:hAnsi="Times New Roman"/>
                <w:szCs w:val="24"/>
              </w:rPr>
              <w:t>Jeff</w:t>
            </w:r>
          </w:p>
        </w:tc>
        <w:tc>
          <w:tcPr>
            <w:tcW w:w="2790" w:type="dxa"/>
          </w:tcPr>
          <w:p w14:paraId="465E3B6B"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281A52B0"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32</w:t>
            </w:r>
          </w:p>
        </w:tc>
        <w:tc>
          <w:tcPr>
            <w:tcW w:w="2790" w:type="dxa"/>
          </w:tcPr>
          <w:p w14:paraId="14E2E31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78CDCD25" w14:textId="77777777" w:rsidTr="00110D28">
        <w:trPr>
          <w:trHeight w:hRule="exact" w:val="284"/>
        </w:trPr>
        <w:tc>
          <w:tcPr>
            <w:tcW w:w="988" w:type="dxa"/>
          </w:tcPr>
          <w:p w14:paraId="3A6916CB"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6C9C2E14" w14:textId="77777777" w:rsidR="008407BB" w:rsidRPr="00BA6E2D" w:rsidRDefault="008407BB" w:rsidP="00110D28">
            <w:pPr>
              <w:rPr>
                <w:rFonts w:ascii="Times New Roman" w:hAnsi="Times New Roman"/>
                <w:szCs w:val="24"/>
              </w:rPr>
            </w:pPr>
            <w:r w:rsidRPr="00BA6E2D">
              <w:rPr>
                <w:rFonts w:ascii="Times New Roman" w:hAnsi="Times New Roman"/>
                <w:szCs w:val="24"/>
              </w:rPr>
              <w:t>John</w:t>
            </w:r>
          </w:p>
        </w:tc>
        <w:tc>
          <w:tcPr>
            <w:tcW w:w="2790" w:type="dxa"/>
          </w:tcPr>
          <w:p w14:paraId="3EA0A848"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3464A51A"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28</w:t>
            </w:r>
          </w:p>
        </w:tc>
        <w:tc>
          <w:tcPr>
            <w:tcW w:w="2790" w:type="dxa"/>
          </w:tcPr>
          <w:p w14:paraId="141EB336"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1A4E360D" w14:textId="77777777" w:rsidTr="00110D28">
        <w:trPr>
          <w:trHeight w:hRule="exact" w:val="284"/>
        </w:trPr>
        <w:tc>
          <w:tcPr>
            <w:tcW w:w="988" w:type="dxa"/>
          </w:tcPr>
          <w:p w14:paraId="0A43FCEE"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6D4AECEE" w14:textId="77777777" w:rsidR="008407BB" w:rsidRPr="00BA6E2D" w:rsidRDefault="008407BB" w:rsidP="00110D28">
            <w:pPr>
              <w:rPr>
                <w:rFonts w:ascii="Times New Roman" w:hAnsi="Times New Roman"/>
                <w:szCs w:val="24"/>
              </w:rPr>
            </w:pPr>
            <w:r w:rsidRPr="00BA6E2D">
              <w:rPr>
                <w:rFonts w:ascii="Times New Roman" w:hAnsi="Times New Roman"/>
                <w:szCs w:val="24"/>
              </w:rPr>
              <w:t>Kate</w:t>
            </w:r>
          </w:p>
        </w:tc>
        <w:tc>
          <w:tcPr>
            <w:tcW w:w="2790" w:type="dxa"/>
          </w:tcPr>
          <w:p w14:paraId="6E7068AF"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696CF616"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30</w:t>
            </w:r>
          </w:p>
        </w:tc>
        <w:tc>
          <w:tcPr>
            <w:tcW w:w="2790" w:type="dxa"/>
          </w:tcPr>
          <w:p w14:paraId="14299538"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5EBB6F09" w14:textId="77777777" w:rsidTr="00110D28">
        <w:trPr>
          <w:trHeight w:hRule="exact" w:val="284"/>
        </w:trPr>
        <w:tc>
          <w:tcPr>
            <w:tcW w:w="988" w:type="dxa"/>
          </w:tcPr>
          <w:p w14:paraId="457C46BF"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4BB2E5CD" w14:textId="77777777" w:rsidR="008407BB" w:rsidRPr="00BA6E2D" w:rsidRDefault="008407BB" w:rsidP="00110D28">
            <w:pPr>
              <w:rPr>
                <w:rFonts w:ascii="Times New Roman" w:hAnsi="Times New Roman"/>
                <w:szCs w:val="24"/>
              </w:rPr>
            </w:pPr>
            <w:r w:rsidRPr="00BA6E2D">
              <w:rPr>
                <w:rFonts w:ascii="Times New Roman" w:hAnsi="Times New Roman"/>
                <w:szCs w:val="24"/>
              </w:rPr>
              <w:t>Kemdo</w:t>
            </w:r>
          </w:p>
        </w:tc>
        <w:tc>
          <w:tcPr>
            <w:tcW w:w="2790" w:type="dxa"/>
          </w:tcPr>
          <w:p w14:paraId="2926D033"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510E0F7D"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44</w:t>
            </w:r>
          </w:p>
        </w:tc>
        <w:tc>
          <w:tcPr>
            <w:tcW w:w="2790" w:type="dxa"/>
          </w:tcPr>
          <w:p w14:paraId="23751BE2"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12209483" w14:textId="77777777" w:rsidTr="00110D28">
        <w:trPr>
          <w:trHeight w:hRule="exact" w:val="284"/>
        </w:trPr>
        <w:tc>
          <w:tcPr>
            <w:tcW w:w="988" w:type="dxa"/>
          </w:tcPr>
          <w:p w14:paraId="579FA67A"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22C279FA" w14:textId="77777777" w:rsidR="008407BB" w:rsidRPr="00BA6E2D" w:rsidRDefault="008407BB" w:rsidP="00110D28">
            <w:pPr>
              <w:rPr>
                <w:rFonts w:ascii="Times New Roman" w:hAnsi="Times New Roman"/>
                <w:szCs w:val="24"/>
              </w:rPr>
            </w:pPr>
            <w:r w:rsidRPr="00BA6E2D">
              <w:rPr>
                <w:rFonts w:ascii="Times New Roman" w:hAnsi="Times New Roman"/>
                <w:szCs w:val="24"/>
              </w:rPr>
              <w:t>Miriam</w:t>
            </w:r>
          </w:p>
        </w:tc>
        <w:tc>
          <w:tcPr>
            <w:tcW w:w="2790" w:type="dxa"/>
          </w:tcPr>
          <w:p w14:paraId="19CE35A1"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16EC11BF"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30</w:t>
            </w:r>
          </w:p>
        </w:tc>
        <w:tc>
          <w:tcPr>
            <w:tcW w:w="2790" w:type="dxa"/>
          </w:tcPr>
          <w:p w14:paraId="79717EF6"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248BB22A" w14:textId="77777777" w:rsidTr="00110D28">
        <w:trPr>
          <w:trHeight w:hRule="exact" w:val="284"/>
        </w:trPr>
        <w:tc>
          <w:tcPr>
            <w:tcW w:w="988" w:type="dxa"/>
          </w:tcPr>
          <w:p w14:paraId="06EE23DC"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78E26039" w14:textId="77777777" w:rsidR="008407BB" w:rsidRPr="00BA6E2D" w:rsidRDefault="008407BB" w:rsidP="00110D28">
            <w:pPr>
              <w:rPr>
                <w:rFonts w:ascii="Times New Roman" w:hAnsi="Times New Roman"/>
                <w:szCs w:val="24"/>
              </w:rPr>
            </w:pPr>
            <w:r w:rsidRPr="00BA6E2D">
              <w:rPr>
                <w:rFonts w:ascii="Times New Roman" w:hAnsi="Times New Roman"/>
                <w:szCs w:val="24"/>
              </w:rPr>
              <w:t>Morgan</w:t>
            </w:r>
          </w:p>
        </w:tc>
        <w:tc>
          <w:tcPr>
            <w:tcW w:w="2790" w:type="dxa"/>
          </w:tcPr>
          <w:p w14:paraId="1F92587B"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4C591E34"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40</w:t>
            </w:r>
          </w:p>
        </w:tc>
        <w:tc>
          <w:tcPr>
            <w:tcW w:w="2790" w:type="dxa"/>
          </w:tcPr>
          <w:p w14:paraId="11E8A196"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53032929" w14:textId="77777777" w:rsidTr="00110D28">
        <w:trPr>
          <w:trHeight w:hRule="exact" w:val="284"/>
        </w:trPr>
        <w:tc>
          <w:tcPr>
            <w:tcW w:w="988" w:type="dxa"/>
          </w:tcPr>
          <w:p w14:paraId="1E3EB15A" w14:textId="77777777" w:rsidR="008407BB" w:rsidRPr="00BA6E2D" w:rsidRDefault="008407BB" w:rsidP="00110D28">
            <w:pPr>
              <w:pStyle w:val="ListParagraph"/>
              <w:numPr>
                <w:ilvl w:val="0"/>
                <w:numId w:val="1"/>
              </w:numPr>
              <w:jc w:val="center"/>
              <w:rPr>
                <w:rFonts w:ascii="Times New Roman" w:eastAsia="Times New Roman" w:hAnsi="Times New Roman" w:cs="Times New Roman"/>
                <w:sz w:val="24"/>
                <w:szCs w:val="24"/>
              </w:rPr>
            </w:pPr>
          </w:p>
        </w:tc>
        <w:tc>
          <w:tcPr>
            <w:tcW w:w="4590" w:type="dxa"/>
          </w:tcPr>
          <w:p w14:paraId="66269718" w14:textId="77777777" w:rsidR="008407BB" w:rsidRPr="00BA6E2D" w:rsidRDefault="008407BB" w:rsidP="00110D28">
            <w:pPr>
              <w:rPr>
                <w:rFonts w:ascii="Times New Roman" w:hAnsi="Times New Roman"/>
                <w:szCs w:val="24"/>
              </w:rPr>
            </w:pPr>
            <w:r w:rsidRPr="00BA6E2D">
              <w:rPr>
                <w:rFonts w:ascii="Times New Roman" w:hAnsi="Times New Roman"/>
                <w:szCs w:val="24"/>
              </w:rPr>
              <w:t>Omolara</w:t>
            </w:r>
          </w:p>
        </w:tc>
        <w:tc>
          <w:tcPr>
            <w:tcW w:w="2790" w:type="dxa"/>
          </w:tcPr>
          <w:p w14:paraId="717F65E8" w14:textId="77777777" w:rsidR="008407BB" w:rsidRPr="00BA6E2D" w:rsidRDefault="008407BB" w:rsidP="00110D28">
            <w:pPr>
              <w:rPr>
                <w:rFonts w:ascii="Times New Roman" w:hAnsi="Times New Roman"/>
                <w:szCs w:val="24"/>
              </w:rPr>
            </w:pPr>
            <w:r w:rsidRPr="00BA6E2D">
              <w:rPr>
                <w:rFonts w:ascii="Times New Roman" w:hAnsi="Times New Roman"/>
                <w:szCs w:val="24"/>
              </w:rPr>
              <w:t>Female</w:t>
            </w:r>
          </w:p>
        </w:tc>
        <w:tc>
          <w:tcPr>
            <w:tcW w:w="2790" w:type="dxa"/>
          </w:tcPr>
          <w:p w14:paraId="3F756E97"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46</w:t>
            </w:r>
          </w:p>
        </w:tc>
        <w:tc>
          <w:tcPr>
            <w:tcW w:w="2790" w:type="dxa"/>
          </w:tcPr>
          <w:p w14:paraId="172073B2"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RMN</w:t>
            </w:r>
          </w:p>
        </w:tc>
      </w:tr>
      <w:tr w:rsidR="008407BB" w:rsidRPr="00BA6E2D" w14:paraId="57D35EEE" w14:textId="77777777" w:rsidTr="00110D28">
        <w:trPr>
          <w:trHeight w:hRule="exact" w:val="284"/>
        </w:trPr>
        <w:tc>
          <w:tcPr>
            <w:tcW w:w="988" w:type="dxa"/>
          </w:tcPr>
          <w:p w14:paraId="3B4EFE42"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607D0730" w14:textId="77777777" w:rsidR="008407BB" w:rsidRPr="00BA6E2D" w:rsidRDefault="008407BB" w:rsidP="00110D28">
            <w:pPr>
              <w:rPr>
                <w:rFonts w:ascii="Times New Roman" w:hAnsi="Times New Roman"/>
                <w:szCs w:val="24"/>
              </w:rPr>
            </w:pPr>
            <w:r w:rsidRPr="00BA6E2D">
              <w:rPr>
                <w:rFonts w:ascii="Times New Roman" w:hAnsi="Times New Roman"/>
                <w:szCs w:val="24"/>
              </w:rPr>
              <w:t>Oscar</w:t>
            </w:r>
          </w:p>
        </w:tc>
        <w:tc>
          <w:tcPr>
            <w:tcW w:w="2790" w:type="dxa"/>
          </w:tcPr>
          <w:p w14:paraId="378994C7"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341D760D"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33</w:t>
            </w:r>
          </w:p>
        </w:tc>
        <w:tc>
          <w:tcPr>
            <w:tcW w:w="2790" w:type="dxa"/>
          </w:tcPr>
          <w:p w14:paraId="6946AFCE"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29A7E3D7" w14:textId="77777777" w:rsidTr="00110D28">
        <w:trPr>
          <w:trHeight w:hRule="exact" w:val="284"/>
        </w:trPr>
        <w:tc>
          <w:tcPr>
            <w:tcW w:w="988" w:type="dxa"/>
          </w:tcPr>
          <w:p w14:paraId="62EDBC48"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555CFE9B" w14:textId="77777777" w:rsidR="008407BB" w:rsidRPr="00BA6E2D" w:rsidRDefault="008407BB" w:rsidP="00110D28">
            <w:pPr>
              <w:rPr>
                <w:rFonts w:ascii="Times New Roman" w:hAnsi="Times New Roman"/>
                <w:szCs w:val="24"/>
              </w:rPr>
            </w:pPr>
            <w:r w:rsidRPr="00BA6E2D">
              <w:rPr>
                <w:rFonts w:ascii="Times New Roman" w:hAnsi="Times New Roman"/>
                <w:szCs w:val="24"/>
              </w:rPr>
              <w:t>Paul</w:t>
            </w:r>
          </w:p>
        </w:tc>
        <w:tc>
          <w:tcPr>
            <w:tcW w:w="2790" w:type="dxa"/>
          </w:tcPr>
          <w:p w14:paraId="6BA06216"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02DFE7C6"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42</w:t>
            </w:r>
          </w:p>
        </w:tc>
        <w:tc>
          <w:tcPr>
            <w:tcW w:w="2790" w:type="dxa"/>
          </w:tcPr>
          <w:p w14:paraId="62CB3B1E"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0EB7CFE8" w14:textId="77777777" w:rsidTr="00110D28">
        <w:trPr>
          <w:trHeight w:hRule="exact" w:val="284"/>
        </w:trPr>
        <w:tc>
          <w:tcPr>
            <w:tcW w:w="988" w:type="dxa"/>
          </w:tcPr>
          <w:p w14:paraId="28DC75D7"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2CA17E91" w14:textId="77777777" w:rsidR="008407BB" w:rsidRPr="00BA6E2D" w:rsidRDefault="008407BB" w:rsidP="00110D28">
            <w:pPr>
              <w:rPr>
                <w:rFonts w:ascii="Times New Roman" w:hAnsi="Times New Roman"/>
                <w:szCs w:val="24"/>
              </w:rPr>
            </w:pPr>
            <w:r w:rsidRPr="00BA6E2D">
              <w:rPr>
                <w:rFonts w:ascii="Times New Roman" w:hAnsi="Times New Roman"/>
                <w:szCs w:val="24"/>
              </w:rPr>
              <w:t>Robert</w:t>
            </w:r>
          </w:p>
        </w:tc>
        <w:tc>
          <w:tcPr>
            <w:tcW w:w="2790" w:type="dxa"/>
          </w:tcPr>
          <w:p w14:paraId="4A8142C3"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5BEB149F"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31</w:t>
            </w:r>
          </w:p>
        </w:tc>
        <w:tc>
          <w:tcPr>
            <w:tcW w:w="2790" w:type="dxa"/>
          </w:tcPr>
          <w:p w14:paraId="6482F32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r w:rsidR="008407BB" w:rsidRPr="00BA6E2D" w14:paraId="2085B46D" w14:textId="77777777" w:rsidTr="00110D28">
        <w:trPr>
          <w:trHeight w:hRule="exact" w:val="284"/>
        </w:trPr>
        <w:tc>
          <w:tcPr>
            <w:tcW w:w="988" w:type="dxa"/>
          </w:tcPr>
          <w:p w14:paraId="3CAFA07E" w14:textId="77777777" w:rsidR="008407BB" w:rsidRPr="00BA6E2D" w:rsidRDefault="008407BB" w:rsidP="00110D28">
            <w:pPr>
              <w:pStyle w:val="ListParagraph"/>
              <w:numPr>
                <w:ilvl w:val="0"/>
                <w:numId w:val="1"/>
              </w:numPr>
              <w:rPr>
                <w:rFonts w:ascii="Times New Roman" w:eastAsia="Times New Roman" w:hAnsi="Times New Roman" w:cs="Times New Roman"/>
                <w:sz w:val="24"/>
                <w:szCs w:val="24"/>
              </w:rPr>
            </w:pPr>
          </w:p>
        </w:tc>
        <w:tc>
          <w:tcPr>
            <w:tcW w:w="4590" w:type="dxa"/>
          </w:tcPr>
          <w:p w14:paraId="38ACD7DE" w14:textId="77777777" w:rsidR="008407BB" w:rsidRPr="00BA6E2D" w:rsidRDefault="008407BB" w:rsidP="00110D28">
            <w:pPr>
              <w:rPr>
                <w:rFonts w:ascii="Times New Roman" w:hAnsi="Times New Roman"/>
                <w:szCs w:val="24"/>
              </w:rPr>
            </w:pPr>
            <w:r w:rsidRPr="00BA6E2D">
              <w:rPr>
                <w:rFonts w:ascii="Times New Roman" w:hAnsi="Times New Roman"/>
                <w:szCs w:val="24"/>
              </w:rPr>
              <w:t>Sharpiro</w:t>
            </w:r>
          </w:p>
        </w:tc>
        <w:tc>
          <w:tcPr>
            <w:tcW w:w="2790" w:type="dxa"/>
          </w:tcPr>
          <w:p w14:paraId="59E22E2C" w14:textId="77777777" w:rsidR="008407BB" w:rsidRPr="00BA6E2D" w:rsidRDefault="008407BB" w:rsidP="00110D28">
            <w:pPr>
              <w:rPr>
                <w:rFonts w:ascii="Times New Roman" w:hAnsi="Times New Roman"/>
                <w:szCs w:val="24"/>
              </w:rPr>
            </w:pPr>
            <w:r w:rsidRPr="00BA6E2D">
              <w:rPr>
                <w:rFonts w:ascii="Times New Roman" w:hAnsi="Times New Roman"/>
                <w:szCs w:val="24"/>
              </w:rPr>
              <w:t>Male</w:t>
            </w:r>
          </w:p>
        </w:tc>
        <w:tc>
          <w:tcPr>
            <w:tcW w:w="2790" w:type="dxa"/>
          </w:tcPr>
          <w:p w14:paraId="5512359C"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47</w:t>
            </w:r>
          </w:p>
        </w:tc>
        <w:tc>
          <w:tcPr>
            <w:tcW w:w="2790" w:type="dxa"/>
          </w:tcPr>
          <w:p w14:paraId="369F8387" w14:textId="77777777" w:rsidR="008407BB" w:rsidRPr="00BA6E2D" w:rsidRDefault="008407BB" w:rsidP="00110D28">
            <w:pPr>
              <w:jc w:val="center"/>
              <w:rPr>
                <w:rFonts w:ascii="Times New Roman" w:hAnsi="Times New Roman"/>
                <w:szCs w:val="24"/>
              </w:rPr>
            </w:pPr>
            <w:r w:rsidRPr="00BA6E2D">
              <w:rPr>
                <w:rFonts w:ascii="Times New Roman" w:hAnsi="Times New Roman"/>
                <w:szCs w:val="24"/>
              </w:rPr>
              <w:t>HCA</w:t>
            </w:r>
          </w:p>
        </w:tc>
      </w:tr>
    </w:tbl>
    <w:p w14:paraId="44678008" w14:textId="77777777" w:rsidR="008407BB" w:rsidRPr="00BA6E2D" w:rsidRDefault="008407BB" w:rsidP="008407BB">
      <w:pPr>
        <w:rPr>
          <w:rFonts w:ascii="Times New Roman" w:hAnsi="Times New Roman"/>
          <w:szCs w:val="24"/>
        </w:rPr>
      </w:pPr>
      <w:r w:rsidRPr="00BA6E2D">
        <w:rPr>
          <w:rFonts w:ascii="Times New Roman" w:hAnsi="Times New Roman"/>
          <w:b/>
          <w:szCs w:val="24"/>
        </w:rPr>
        <w:t xml:space="preserve"> Table 7.1: Participants’ gender, age and current role</w:t>
      </w:r>
    </w:p>
    <w:p w14:paraId="51A782DB" w14:textId="711C6D72" w:rsidR="008407BB" w:rsidRPr="00BA6E2D" w:rsidRDefault="008407BB" w:rsidP="008407BB">
      <w:pPr>
        <w:spacing w:line="240" w:lineRule="auto"/>
        <w:rPr>
          <w:rFonts w:ascii="Times New Roman" w:hAnsi="Times New Roman"/>
          <w:szCs w:val="24"/>
        </w:rPr>
        <w:sectPr w:rsidR="008407BB" w:rsidRPr="00BA6E2D" w:rsidSect="005C73C8">
          <w:pgSz w:w="16838" w:h="11906" w:orient="landscape" w:code="9"/>
          <w:pgMar w:top="1797" w:right="1440" w:bottom="1797" w:left="1440" w:header="709" w:footer="709" w:gutter="0"/>
          <w:cols w:space="708"/>
          <w:docGrid w:linePitch="360"/>
        </w:sectPr>
      </w:pPr>
      <w:r w:rsidRPr="00BA6E2D">
        <w:rPr>
          <w:rFonts w:ascii="Times New Roman" w:hAnsi="Times New Roman"/>
          <w:szCs w:val="24"/>
        </w:rPr>
        <w:t>HCA – Health Care Assistant; RMN – Registered Mental-health Nurs</w:t>
      </w:r>
      <w:r w:rsidR="006869A3">
        <w:rPr>
          <w:rFonts w:ascii="Times New Roman" w:hAnsi="Times New Roman"/>
          <w:szCs w:val="24"/>
        </w:rPr>
        <w:t>e</w:t>
      </w:r>
    </w:p>
    <w:p w14:paraId="2253DE22" w14:textId="77777777" w:rsidR="008407BB" w:rsidRPr="00BA6E2D" w:rsidRDefault="008407BB" w:rsidP="008407BB">
      <w:pPr>
        <w:jc w:val="both"/>
        <w:rPr>
          <w:rFonts w:ascii="Times New Roman" w:hAnsi="Times New Roman"/>
          <w:szCs w:val="24"/>
        </w:rPr>
      </w:pPr>
    </w:p>
    <w:p w14:paraId="067D7846"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Another element of the care</w:t>
      </w:r>
      <w:r>
        <w:rPr>
          <w:rFonts w:ascii="Times New Roman" w:hAnsi="Times New Roman"/>
          <w:szCs w:val="24"/>
        </w:rPr>
        <w:t xml:space="preserve"> work</w:t>
      </w:r>
      <w:r w:rsidRPr="00BA6E2D">
        <w:rPr>
          <w:rFonts w:ascii="Times New Roman" w:hAnsi="Times New Roman"/>
          <w:szCs w:val="24"/>
        </w:rPr>
        <w:t xml:space="preserve">er’s profile explored in this study was the age of the </w:t>
      </w:r>
      <w:r>
        <w:rPr>
          <w:rFonts w:ascii="Times New Roman" w:hAnsi="Times New Roman"/>
          <w:szCs w:val="24"/>
        </w:rPr>
        <w:t>participant</w:t>
      </w:r>
      <w:r w:rsidRPr="00BA6E2D">
        <w:rPr>
          <w:rFonts w:ascii="Times New Roman" w:hAnsi="Times New Roman"/>
          <w:szCs w:val="24"/>
        </w:rPr>
        <w:t>s and this is outlined below.</w:t>
      </w:r>
    </w:p>
    <w:p w14:paraId="167BD891" w14:textId="77777777" w:rsidR="008407BB" w:rsidRPr="00BA6E2D" w:rsidRDefault="008407BB" w:rsidP="006869A3">
      <w:pPr>
        <w:pStyle w:val="Heading3"/>
      </w:pPr>
      <w:bookmarkStart w:id="170" w:name="_Toc86417353"/>
      <w:r w:rsidRPr="00BA6E2D">
        <w:t>7.2.4. Age</w:t>
      </w:r>
      <w:bookmarkEnd w:id="170"/>
    </w:p>
    <w:p w14:paraId="283002ED"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This study focused on the experience of adult care</w:t>
      </w:r>
      <w:r>
        <w:rPr>
          <w:rFonts w:ascii="Times New Roman" w:hAnsi="Times New Roman"/>
          <w:szCs w:val="24"/>
        </w:rPr>
        <w:t xml:space="preserve"> workers </w:t>
      </w:r>
      <w:r w:rsidRPr="00BA6E2D">
        <w:rPr>
          <w:rFonts w:ascii="Times New Roman" w:hAnsi="Times New Roman"/>
          <w:szCs w:val="24"/>
        </w:rPr>
        <w:t xml:space="preserve">and the participants were aged between 28 years and 56 years, with a mean age of 40 years and a median of 41years (see Table 7.1). All six RMNs were over 38 years old, whilst most of the HCAs were aged between 25 and 40 years. The reason the nurses were older in age than those who were HCA might be because most of the qualified nurses have stayed in the UK longer than most of the HCAs. Most of them came to the UK as young adults, and they worked as HCAs before training to be nurses. I thought that the age of the participants was important, because literature seems to suggest a relationship between age and coping with caregiving stress (Okoye and Asa, 2011). Hence one of the possible relationships considered in a later section of this chapter was how my younger participants coped with the challenges of caregiving identified in comparison to older participants. For instance, </w:t>
      </w:r>
      <w:r w:rsidRPr="00BA6E2D">
        <w:rPr>
          <w:rFonts w:ascii="Times New Roman" w:hAnsi="Times New Roman"/>
          <w:iCs/>
          <w:szCs w:val="24"/>
        </w:rPr>
        <w:t>Van Wijk (1997) observed that younger military nurses experienced more stress than older counterparts. Although, the literature on the age of care</w:t>
      </w:r>
      <w:r>
        <w:rPr>
          <w:rFonts w:ascii="Times New Roman" w:hAnsi="Times New Roman"/>
          <w:iCs/>
          <w:szCs w:val="24"/>
        </w:rPr>
        <w:t xml:space="preserve"> worke</w:t>
      </w:r>
      <w:r w:rsidRPr="00BA6E2D">
        <w:rPr>
          <w:rFonts w:ascii="Times New Roman" w:hAnsi="Times New Roman"/>
          <w:iCs/>
          <w:szCs w:val="24"/>
        </w:rPr>
        <w:t xml:space="preserve">rs and how they cope with work related stress does not provide a conclusive picture of the relationship between age and stress, because there may be other confounding factors. For example, </w:t>
      </w:r>
      <w:r w:rsidRPr="00BA6E2D">
        <w:rPr>
          <w:rFonts w:ascii="Times New Roman" w:hAnsi="Times New Roman"/>
          <w:szCs w:val="24"/>
        </w:rPr>
        <w:t xml:space="preserve">Landa </w:t>
      </w:r>
      <w:r w:rsidRPr="00EC07D0">
        <w:rPr>
          <w:rFonts w:ascii="Times New Roman" w:hAnsi="Times New Roman"/>
          <w:i/>
          <w:iCs/>
          <w:szCs w:val="24"/>
        </w:rPr>
        <w:t>et al.</w:t>
      </w:r>
      <w:r w:rsidRPr="00BA6E2D">
        <w:rPr>
          <w:rFonts w:ascii="Times New Roman" w:hAnsi="Times New Roman"/>
          <w:szCs w:val="24"/>
        </w:rPr>
        <w:t xml:space="preserve"> (2008), whilst noting that younger nurses experienced more stress than their older counterpart, they also acknowledge that the effect of the age of the nurse might be influenced by their emotional intelligence and their length of service. </w:t>
      </w:r>
      <w:r w:rsidRPr="00BA6E2D">
        <w:rPr>
          <w:rFonts w:ascii="Times New Roman" w:hAnsi="Times New Roman"/>
          <w:iCs/>
          <w:szCs w:val="24"/>
        </w:rPr>
        <w:t>There is nonetheless some evidence that age does play a role in how care</w:t>
      </w:r>
      <w:r>
        <w:rPr>
          <w:rFonts w:ascii="Times New Roman" w:hAnsi="Times New Roman"/>
          <w:iCs/>
          <w:szCs w:val="24"/>
        </w:rPr>
        <w:t xml:space="preserve"> work</w:t>
      </w:r>
      <w:r w:rsidRPr="00BA6E2D">
        <w:rPr>
          <w:rFonts w:ascii="Times New Roman" w:hAnsi="Times New Roman"/>
          <w:iCs/>
          <w:szCs w:val="24"/>
        </w:rPr>
        <w:t xml:space="preserve">ers handle stress (Saks and Ashforth, 2000; </w:t>
      </w:r>
      <w:r w:rsidRPr="00BA6E2D">
        <w:rPr>
          <w:rFonts w:ascii="Times New Roman" w:hAnsi="Times New Roman"/>
          <w:szCs w:val="24"/>
        </w:rPr>
        <w:t xml:space="preserve">Purcell, Kutash and Cobb, 2011; </w:t>
      </w:r>
      <w:r w:rsidRPr="00BA6E2D">
        <w:rPr>
          <w:rFonts w:ascii="Times New Roman" w:hAnsi="Times New Roman"/>
          <w:iCs/>
          <w:szCs w:val="24"/>
        </w:rPr>
        <w:t xml:space="preserve">Tomietto </w:t>
      </w:r>
      <w:r w:rsidRPr="00EC07D0">
        <w:rPr>
          <w:rFonts w:ascii="Times New Roman" w:hAnsi="Times New Roman"/>
          <w:i/>
          <w:iCs/>
          <w:szCs w:val="24"/>
        </w:rPr>
        <w:t>et al.</w:t>
      </w:r>
      <w:r w:rsidRPr="00BA6E2D">
        <w:rPr>
          <w:rFonts w:ascii="Times New Roman" w:hAnsi="Times New Roman"/>
          <w:iCs/>
          <w:szCs w:val="24"/>
        </w:rPr>
        <w:t>, 2015; Tourigny, Baba and Lituchy, 2016).</w:t>
      </w:r>
    </w:p>
    <w:p w14:paraId="2412E283" w14:textId="3C1E93A1" w:rsidR="008407BB" w:rsidRDefault="008407BB" w:rsidP="008407BB">
      <w:pPr>
        <w:jc w:val="both"/>
        <w:rPr>
          <w:rFonts w:ascii="Times New Roman" w:hAnsi="Times New Roman"/>
          <w:szCs w:val="24"/>
        </w:rPr>
      </w:pPr>
      <w:r w:rsidRPr="00BA6E2D">
        <w:rPr>
          <w:rFonts w:ascii="Times New Roman" w:hAnsi="Times New Roman"/>
          <w:iCs/>
          <w:szCs w:val="24"/>
        </w:rPr>
        <w:t>Another aspect of the care</w:t>
      </w:r>
      <w:r>
        <w:rPr>
          <w:rFonts w:ascii="Times New Roman" w:hAnsi="Times New Roman"/>
          <w:iCs/>
          <w:szCs w:val="24"/>
        </w:rPr>
        <w:t xml:space="preserve"> worker</w:t>
      </w:r>
      <w:r w:rsidRPr="00BA6E2D">
        <w:rPr>
          <w:rFonts w:ascii="Times New Roman" w:hAnsi="Times New Roman"/>
          <w:iCs/>
          <w:szCs w:val="24"/>
        </w:rPr>
        <w:t>’s experience of living in Nigeria before migrating to the UK was their place of origin in Nigeria.</w:t>
      </w:r>
      <w:r w:rsidRPr="00BA6E2D">
        <w:rPr>
          <w:rFonts w:ascii="Times New Roman" w:hAnsi="Times New Roman"/>
          <w:szCs w:val="24"/>
        </w:rPr>
        <w:t xml:space="preserve"> </w:t>
      </w:r>
    </w:p>
    <w:p w14:paraId="7C1251F7" w14:textId="65DF5FB3" w:rsidR="006869A3" w:rsidRDefault="006869A3" w:rsidP="008407BB">
      <w:pPr>
        <w:jc w:val="both"/>
        <w:rPr>
          <w:rFonts w:ascii="Times New Roman" w:hAnsi="Times New Roman"/>
          <w:szCs w:val="24"/>
        </w:rPr>
      </w:pPr>
    </w:p>
    <w:p w14:paraId="45673051" w14:textId="77777777" w:rsidR="006869A3" w:rsidRPr="006869A3" w:rsidRDefault="006869A3" w:rsidP="008407BB">
      <w:pPr>
        <w:jc w:val="both"/>
        <w:rPr>
          <w:rFonts w:ascii="Times New Roman" w:hAnsi="Times New Roman"/>
          <w:szCs w:val="24"/>
        </w:rPr>
      </w:pPr>
    </w:p>
    <w:p w14:paraId="0388803A" w14:textId="77777777" w:rsidR="008407BB" w:rsidRPr="00BA6E2D" w:rsidRDefault="008407BB" w:rsidP="006869A3">
      <w:pPr>
        <w:pStyle w:val="Heading3"/>
      </w:pPr>
      <w:bookmarkStart w:id="171" w:name="_Toc86417354"/>
      <w:r w:rsidRPr="00BA6E2D">
        <w:lastRenderedPageBreak/>
        <w:t>7.2.5. Place of origin</w:t>
      </w:r>
      <w:bookmarkEnd w:id="171"/>
    </w:p>
    <w:p w14:paraId="26ABF33C"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Nigeria has at least 374 ethnic groups, occupying 36 different states (Otite, 1990). The ethnic groups are spread across the country’s six geopolitical zones, three each in the northern and southern parts of the country. The geopolitical zones includes; the South-East (consisting of mainly the Ibo ethnic group), South-South (consisting of diverse ethnic groups such as Edo, Urhobo, Ijaw, Eket, Oron, Itsekiri, Kalabari and other ethnic minority groups), South-West (consisting of mainly the Yoruba ethnic group), North-West (Hausa, Fulani, Nupe, etc), North-Central (consisting of Hausa, Fulani, Tiv, Idoma, Igala, Ebira and many other minority ethnic groups) and North-East (comprising Kanuri, Hausa, Fulani, and other smaller ethnic groups) (National Population Commission</w:t>
      </w:r>
      <w:r>
        <w:rPr>
          <w:rFonts w:ascii="Times New Roman" w:hAnsi="Times New Roman"/>
          <w:szCs w:val="24"/>
        </w:rPr>
        <w:t>, NPC,</w:t>
      </w:r>
      <w:r w:rsidRPr="00BA6E2D">
        <w:rPr>
          <w:rFonts w:ascii="Times New Roman" w:hAnsi="Times New Roman"/>
          <w:szCs w:val="24"/>
        </w:rPr>
        <w:t xml:space="preserve"> and ICF Macro, 2009</w:t>
      </w:r>
      <w:r>
        <w:rPr>
          <w:rFonts w:ascii="Times New Roman" w:hAnsi="Times New Roman"/>
          <w:szCs w:val="24"/>
        </w:rPr>
        <w:t>; NPC</w:t>
      </w:r>
      <w:r w:rsidRPr="00BA6E2D">
        <w:rPr>
          <w:rFonts w:ascii="Times New Roman" w:hAnsi="Times New Roman"/>
          <w:szCs w:val="24"/>
        </w:rPr>
        <w:t xml:space="preserve"> and ICF </w:t>
      </w:r>
      <w:r>
        <w:rPr>
          <w:rFonts w:ascii="Times New Roman" w:hAnsi="Times New Roman"/>
          <w:szCs w:val="24"/>
        </w:rPr>
        <w:t>International, 2014; 2019</w:t>
      </w:r>
      <w:r w:rsidRPr="00BA6E2D">
        <w:rPr>
          <w:rFonts w:ascii="Times New Roman" w:hAnsi="Times New Roman"/>
          <w:szCs w:val="24"/>
        </w:rPr>
        <w:t xml:space="preserve">). Of these ethnic groups, Hausa/Fulani, Yoruba and Ibo ethnic group constitute almost 70% of the total population (Otite, 1990; Vande, 2012; </w:t>
      </w:r>
      <w:r w:rsidRPr="00BA6E2D">
        <w:rPr>
          <w:rFonts w:ascii="Times New Roman" w:hAnsi="Times New Roman"/>
          <w:iCs/>
          <w:szCs w:val="24"/>
        </w:rPr>
        <w:t>Amali and Jekayinfa, 2013</w:t>
      </w:r>
      <w:r w:rsidRPr="00BA6E2D">
        <w:rPr>
          <w:rFonts w:ascii="Times New Roman" w:hAnsi="Times New Roman"/>
          <w:szCs w:val="24"/>
        </w:rPr>
        <w:t>).</w:t>
      </w:r>
    </w:p>
    <w:p w14:paraId="2D9F072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In this study, 17 of my 21 participants were from the three geopolitical zones in the southern part of Nigeria, while the remaining four participants were from the North-Central geopolitical zone in the northern part of Nigeria (Table 7.2). Of the 17 participants who were from southern part of Nigeria, 9 were from South-West, 5 from the South-East and 4 from the South-South. This has implications because the different ethnic identities, may result in their cultural orientation being different and this may influence understandings and perceptions of dementia. Apart from these differences in ethnic identities, they had similar religious affiliations with the 21 participants in this study self-identified as Christian. Research suggests that Nigerians from the southern part of Nigeria are predominately Christian, while those who originate from the northern part of the country are predominantly Muslim (Paden, 2007, 2008).</w:t>
      </w:r>
    </w:p>
    <w:p w14:paraId="48E36D5E" w14:textId="77777777" w:rsidR="008407BB" w:rsidRPr="00BA6E2D" w:rsidRDefault="008407BB" w:rsidP="008407BB">
      <w:pPr>
        <w:jc w:val="both"/>
        <w:rPr>
          <w:rFonts w:ascii="Times New Roman" w:hAnsi="Times New Roman"/>
          <w:szCs w:val="24"/>
        </w:rPr>
      </w:pPr>
    </w:p>
    <w:p w14:paraId="57E77A13" w14:textId="77777777" w:rsidR="008407BB" w:rsidRPr="00BA6E2D" w:rsidRDefault="008407BB" w:rsidP="008407BB">
      <w:pPr>
        <w:jc w:val="both"/>
        <w:rPr>
          <w:rFonts w:ascii="Times New Roman" w:hAnsi="Times New Roman"/>
          <w:szCs w:val="24"/>
        </w:rPr>
      </w:pPr>
    </w:p>
    <w:p w14:paraId="66431D51" w14:textId="77777777" w:rsidR="008407BB" w:rsidRPr="00BA6E2D" w:rsidRDefault="008407BB" w:rsidP="008407BB">
      <w:pPr>
        <w:jc w:val="both"/>
        <w:rPr>
          <w:rFonts w:ascii="Times New Roman" w:hAnsi="Times New Roman"/>
          <w:szCs w:val="24"/>
        </w:rPr>
      </w:pPr>
    </w:p>
    <w:p w14:paraId="37C89447" w14:textId="77777777" w:rsidR="008407BB" w:rsidRPr="00BA6E2D" w:rsidRDefault="008407BB" w:rsidP="008407BB">
      <w:pPr>
        <w:jc w:val="both"/>
        <w:rPr>
          <w:rFonts w:ascii="Times New Roman" w:hAnsi="Times New Roman"/>
          <w:szCs w:val="24"/>
        </w:rPr>
        <w:sectPr w:rsidR="008407BB" w:rsidRPr="00BA6E2D" w:rsidSect="00260E21">
          <w:pgSz w:w="11906" w:h="16838"/>
          <w:pgMar w:top="1440" w:right="1797" w:bottom="1440" w:left="1797" w:header="709" w:footer="709" w:gutter="0"/>
          <w:cols w:space="708"/>
          <w:docGrid w:linePitch="360"/>
        </w:sectPr>
      </w:pPr>
    </w:p>
    <w:p w14:paraId="24ED3831" w14:textId="77777777" w:rsidR="008407BB" w:rsidRPr="00BA6E2D" w:rsidRDefault="008407BB" w:rsidP="008407BB">
      <w:pPr>
        <w:jc w:val="center"/>
        <w:rPr>
          <w:rFonts w:ascii="Times New Roman" w:hAnsi="Times New Roman"/>
          <w:szCs w:val="24"/>
        </w:rPr>
      </w:pPr>
      <w:r w:rsidRPr="00BA6E2D">
        <w:rPr>
          <w:rFonts w:ascii="Times New Roman" w:hAnsi="Times New Roman"/>
          <w:b/>
          <w:szCs w:val="24"/>
        </w:rPr>
        <w:lastRenderedPageBreak/>
        <w:t>Table 7.2: Table showing the participants place of origin, place of birth and place of residence before coming to the UK</w:t>
      </w:r>
    </w:p>
    <w:tbl>
      <w:tblPr>
        <w:tblStyle w:val="TableGrid"/>
        <w:tblW w:w="14939" w:type="dxa"/>
        <w:jc w:val="center"/>
        <w:tblLook w:val="04A0" w:firstRow="1" w:lastRow="0" w:firstColumn="1" w:lastColumn="0" w:noHBand="0" w:noVBand="1"/>
      </w:tblPr>
      <w:tblGrid>
        <w:gridCol w:w="711"/>
        <w:gridCol w:w="1470"/>
        <w:gridCol w:w="1783"/>
        <w:gridCol w:w="2268"/>
        <w:gridCol w:w="1762"/>
        <w:gridCol w:w="1701"/>
        <w:gridCol w:w="3908"/>
        <w:gridCol w:w="1336"/>
      </w:tblGrid>
      <w:tr w:rsidR="008407BB" w:rsidRPr="00BA6E2D" w14:paraId="12D7C43F" w14:textId="77777777" w:rsidTr="00110D28">
        <w:trPr>
          <w:trHeight w:hRule="exact" w:val="284"/>
          <w:jc w:val="center"/>
        </w:trPr>
        <w:tc>
          <w:tcPr>
            <w:tcW w:w="711" w:type="dxa"/>
          </w:tcPr>
          <w:p w14:paraId="3B9185D2" w14:textId="77777777" w:rsidR="008407BB" w:rsidRPr="00BA6E2D" w:rsidRDefault="008407BB" w:rsidP="00110D28">
            <w:pPr>
              <w:jc w:val="center"/>
              <w:rPr>
                <w:rFonts w:ascii="Times New Roman" w:hAnsi="Times New Roman"/>
                <w:b/>
                <w:szCs w:val="24"/>
              </w:rPr>
            </w:pPr>
            <w:r w:rsidRPr="00BA6E2D">
              <w:rPr>
                <w:rFonts w:ascii="Times New Roman" w:hAnsi="Times New Roman"/>
                <w:b/>
                <w:szCs w:val="24"/>
              </w:rPr>
              <w:t>S/No</w:t>
            </w:r>
          </w:p>
        </w:tc>
        <w:tc>
          <w:tcPr>
            <w:tcW w:w="1470" w:type="dxa"/>
          </w:tcPr>
          <w:p w14:paraId="58C790D8" w14:textId="77777777" w:rsidR="008407BB" w:rsidRPr="00BA6E2D" w:rsidRDefault="008407BB" w:rsidP="00110D28">
            <w:pPr>
              <w:rPr>
                <w:rFonts w:ascii="Times New Roman" w:hAnsi="Times New Roman"/>
                <w:b/>
                <w:szCs w:val="24"/>
              </w:rPr>
            </w:pPr>
            <w:r w:rsidRPr="00BA6E2D">
              <w:rPr>
                <w:rFonts w:ascii="Times New Roman" w:hAnsi="Times New Roman"/>
                <w:b/>
                <w:szCs w:val="24"/>
              </w:rPr>
              <w:t>Participants</w:t>
            </w:r>
          </w:p>
        </w:tc>
        <w:tc>
          <w:tcPr>
            <w:tcW w:w="1783" w:type="dxa"/>
          </w:tcPr>
          <w:p w14:paraId="7B0C9A36" w14:textId="77777777" w:rsidR="008407BB" w:rsidRPr="00BA6E2D" w:rsidRDefault="008407BB" w:rsidP="00110D28">
            <w:pPr>
              <w:rPr>
                <w:rFonts w:ascii="Times New Roman" w:hAnsi="Times New Roman"/>
                <w:b/>
                <w:szCs w:val="24"/>
              </w:rPr>
            </w:pPr>
            <w:r w:rsidRPr="00BA6E2D">
              <w:rPr>
                <w:rFonts w:ascii="Times New Roman" w:hAnsi="Times New Roman"/>
                <w:b/>
                <w:szCs w:val="24"/>
              </w:rPr>
              <w:t>State of origin</w:t>
            </w:r>
          </w:p>
        </w:tc>
        <w:tc>
          <w:tcPr>
            <w:tcW w:w="2268" w:type="dxa"/>
          </w:tcPr>
          <w:p w14:paraId="2D851177" w14:textId="77777777" w:rsidR="008407BB" w:rsidRPr="00BA6E2D" w:rsidRDefault="008407BB" w:rsidP="00110D28">
            <w:pPr>
              <w:rPr>
                <w:rFonts w:ascii="Times New Roman" w:hAnsi="Times New Roman"/>
                <w:b/>
                <w:szCs w:val="24"/>
              </w:rPr>
            </w:pPr>
            <w:r w:rsidRPr="00BA6E2D">
              <w:rPr>
                <w:rFonts w:ascii="Times New Roman" w:hAnsi="Times New Roman"/>
                <w:b/>
                <w:szCs w:val="24"/>
              </w:rPr>
              <w:t>Geopolitical zone</w:t>
            </w:r>
          </w:p>
        </w:tc>
        <w:tc>
          <w:tcPr>
            <w:tcW w:w="1762" w:type="dxa"/>
          </w:tcPr>
          <w:p w14:paraId="64FBC1D8" w14:textId="77777777" w:rsidR="008407BB" w:rsidRPr="00BA6E2D" w:rsidRDefault="008407BB" w:rsidP="00110D28">
            <w:pPr>
              <w:rPr>
                <w:rFonts w:ascii="Times New Roman" w:hAnsi="Times New Roman"/>
                <w:b/>
                <w:szCs w:val="24"/>
              </w:rPr>
            </w:pPr>
            <w:r w:rsidRPr="00BA6E2D">
              <w:rPr>
                <w:rFonts w:ascii="Times New Roman" w:hAnsi="Times New Roman"/>
                <w:b/>
                <w:szCs w:val="24"/>
              </w:rPr>
              <w:t>Ethnic group</w:t>
            </w:r>
          </w:p>
        </w:tc>
        <w:tc>
          <w:tcPr>
            <w:tcW w:w="1701" w:type="dxa"/>
          </w:tcPr>
          <w:p w14:paraId="29485D7A" w14:textId="77777777" w:rsidR="008407BB" w:rsidRPr="00BA6E2D" w:rsidRDefault="008407BB" w:rsidP="00110D28">
            <w:pPr>
              <w:rPr>
                <w:rFonts w:ascii="Times New Roman" w:hAnsi="Times New Roman"/>
                <w:b/>
                <w:bCs/>
                <w:szCs w:val="24"/>
              </w:rPr>
            </w:pPr>
            <w:r w:rsidRPr="00BA6E2D">
              <w:rPr>
                <w:rFonts w:ascii="Times New Roman" w:hAnsi="Times New Roman"/>
                <w:b/>
                <w:bCs/>
                <w:szCs w:val="24"/>
              </w:rPr>
              <w:t>Place of birth</w:t>
            </w:r>
          </w:p>
        </w:tc>
        <w:tc>
          <w:tcPr>
            <w:tcW w:w="3908" w:type="dxa"/>
          </w:tcPr>
          <w:p w14:paraId="5836DB46" w14:textId="77777777" w:rsidR="008407BB" w:rsidRPr="00BA6E2D" w:rsidRDefault="008407BB" w:rsidP="00110D28">
            <w:pPr>
              <w:rPr>
                <w:rFonts w:ascii="Times New Roman" w:hAnsi="Times New Roman"/>
                <w:b/>
                <w:bCs/>
                <w:szCs w:val="24"/>
              </w:rPr>
            </w:pPr>
            <w:r w:rsidRPr="00BA6E2D">
              <w:rPr>
                <w:rFonts w:ascii="Times New Roman" w:hAnsi="Times New Roman"/>
                <w:b/>
                <w:bCs/>
                <w:szCs w:val="24"/>
              </w:rPr>
              <w:t>Place of residence/work</w:t>
            </w:r>
          </w:p>
        </w:tc>
        <w:tc>
          <w:tcPr>
            <w:tcW w:w="1336" w:type="dxa"/>
          </w:tcPr>
          <w:p w14:paraId="4B86F0FC" w14:textId="77777777" w:rsidR="008407BB" w:rsidRPr="00BA6E2D" w:rsidRDefault="008407BB" w:rsidP="00110D28">
            <w:pPr>
              <w:rPr>
                <w:rFonts w:ascii="Times New Roman" w:hAnsi="Times New Roman"/>
                <w:b/>
                <w:bCs/>
                <w:szCs w:val="24"/>
              </w:rPr>
            </w:pPr>
            <w:r w:rsidRPr="00BA6E2D">
              <w:rPr>
                <w:rFonts w:ascii="Times New Roman" w:hAnsi="Times New Roman"/>
                <w:b/>
                <w:bCs/>
                <w:szCs w:val="24"/>
              </w:rPr>
              <w:t>Place type</w:t>
            </w:r>
          </w:p>
        </w:tc>
      </w:tr>
      <w:tr w:rsidR="008407BB" w:rsidRPr="00BA6E2D" w14:paraId="5046B42B" w14:textId="77777777" w:rsidTr="00110D28">
        <w:trPr>
          <w:trHeight w:hRule="exact" w:val="284"/>
          <w:jc w:val="center"/>
        </w:trPr>
        <w:tc>
          <w:tcPr>
            <w:tcW w:w="711" w:type="dxa"/>
          </w:tcPr>
          <w:p w14:paraId="7A907069"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12356FF2" w14:textId="77777777" w:rsidR="008407BB" w:rsidRPr="00BA6E2D" w:rsidRDefault="008407BB" w:rsidP="00110D28">
            <w:pPr>
              <w:rPr>
                <w:rFonts w:ascii="Times New Roman" w:hAnsi="Times New Roman"/>
                <w:szCs w:val="24"/>
              </w:rPr>
            </w:pPr>
            <w:r w:rsidRPr="00BA6E2D">
              <w:rPr>
                <w:rFonts w:ascii="Times New Roman" w:hAnsi="Times New Roman"/>
                <w:szCs w:val="24"/>
              </w:rPr>
              <w:t>Adams</w:t>
            </w:r>
          </w:p>
        </w:tc>
        <w:tc>
          <w:tcPr>
            <w:tcW w:w="1783" w:type="dxa"/>
          </w:tcPr>
          <w:p w14:paraId="27145DDF" w14:textId="77777777" w:rsidR="008407BB" w:rsidRPr="00BA6E2D" w:rsidRDefault="008407BB" w:rsidP="00110D28">
            <w:pPr>
              <w:rPr>
                <w:rFonts w:ascii="Times New Roman" w:hAnsi="Times New Roman"/>
                <w:szCs w:val="24"/>
              </w:rPr>
            </w:pPr>
            <w:r w:rsidRPr="00BA6E2D">
              <w:rPr>
                <w:rFonts w:ascii="Times New Roman" w:hAnsi="Times New Roman"/>
                <w:szCs w:val="24"/>
              </w:rPr>
              <w:t>Akwa-Ibom</w:t>
            </w:r>
          </w:p>
        </w:tc>
        <w:tc>
          <w:tcPr>
            <w:tcW w:w="2268" w:type="dxa"/>
          </w:tcPr>
          <w:p w14:paraId="53620E60" w14:textId="77777777" w:rsidR="008407BB" w:rsidRPr="00BA6E2D" w:rsidRDefault="008407BB" w:rsidP="00110D28">
            <w:pPr>
              <w:rPr>
                <w:rFonts w:ascii="Times New Roman" w:hAnsi="Times New Roman"/>
                <w:szCs w:val="24"/>
              </w:rPr>
            </w:pPr>
            <w:r w:rsidRPr="00BA6E2D">
              <w:rPr>
                <w:rFonts w:ascii="Times New Roman" w:hAnsi="Times New Roman"/>
                <w:szCs w:val="24"/>
              </w:rPr>
              <w:t>South-South</w:t>
            </w:r>
          </w:p>
        </w:tc>
        <w:tc>
          <w:tcPr>
            <w:tcW w:w="1762" w:type="dxa"/>
          </w:tcPr>
          <w:p w14:paraId="73CE54F6" w14:textId="77777777" w:rsidR="008407BB" w:rsidRPr="00BA6E2D" w:rsidRDefault="008407BB" w:rsidP="00110D28">
            <w:pPr>
              <w:rPr>
                <w:rFonts w:ascii="Times New Roman" w:hAnsi="Times New Roman"/>
                <w:szCs w:val="24"/>
              </w:rPr>
            </w:pPr>
            <w:r w:rsidRPr="00BA6E2D">
              <w:rPr>
                <w:rFonts w:ascii="Times New Roman" w:hAnsi="Times New Roman"/>
                <w:szCs w:val="24"/>
              </w:rPr>
              <w:t>Oron</w:t>
            </w:r>
          </w:p>
        </w:tc>
        <w:tc>
          <w:tcPr>
            <w:tcW w:w="1701" w:type="dxa"/>
          </w:tcPr>
          <w:p w14:paraId="4D9E4446"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3908" w:type="dxa"/>
          </w:tcPr>
          <w:p w14:paraId="4BAE0247"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1336" w:type="dxa"/>
          </w:tcPr>
          <w:p w14:paraId="6D9A3741"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5E3F2220" w14:textId="77777777" w:rsidTr="00110D28">
        <w:trPr>
          <w:trHeight w:hRule="exact" w:val="284"/>
          <w:jc w:val="center"/>
        </w:trPr>
        <w:tc>
          <w:tcPr>
            <w:tcW w:w="711" w:type="dxa"/>
          </w:tcPr>
          <w:p w14:paraId="437AC3B1"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57B2309F" w14:textId="77777777" w:rsidR="008407BB" w:rsidRPr="00BA6E2D" w:rsidRDefault="008407BB" w:rsidP="00110D28">
            <w:pPr>
              <w:rPr>
                <w:rFonts w:ascii="Times New Roman" w:hAnsi="Times New Roman"/>
                <w:szCs w:val="24"/>
              </w:rPr>
            </w:pPr>
            <w:r w:rsidRPr="00BA6E2D">
              <w:rPr>
                <w:rFonts w:ascii="Times New Roman" w:hAnsi="Times New Roman"/>
                <w:szCs w:val="24"/>
              </w:rPr>
              <w:t>Ademola</w:t>
            </w:r>
          </w:p>
        </w:tc>
        <w:tc>
          <w:tcPr>
            <w:tcW w:w="1783" w:type="dxa"/>
          </w:tcPr>
          <w:p w14:paraId="6A001D00" w14:textId="77777777" w:rsidR="008407BB" w:rsidRPr="00BA6E2D" w:rsidRDefault="008407BB" w:rsidP="00110D28">
            <w:pPr>
              <w:rPr>
                <w:rFonts w:ascii="Times New Roman" w:hAnsi="Times New Roman"/>
                <w:szCs w:val="24"/>
              </w:rPr>
            </w:pPr>
            <w:r w:rsidRPr="00BA6E2D">
              <w:rPr>
                <w:rFonts w:ascii="Times New Roman" w:hAnsi="Times New Roman"/>
                <w:szCs w:val="24"/>
              </w:rPr>
              <w:t>Ekiti</w:t>
            </w:r>
          </w:p>
        </w:tc>
        <w:tc>
          <w:tcPr>
            <w:tcW w:w="2268" w:type="dxa"/>
          </w:tcPr>
          <w:p w14:paraId="21656FA7"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4B792DAA"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02D99DFD" w14:textId="77777777" w:rsidR="008407BB" w:rsidRPr="00BA6E2D" w:rsidRDefault="008407BB" w:rsidP="00110D28">
            <w:pPr>
              <w:rPr>
                <w:rFonts w:ascii="Times New Roman" w:hAnsi="Times New Roman"/>
                <w:szCs w:val="24"/>
              </w:rPr>
            </w:pPr>
            <w:r w:rsidRPr="00BA6E2D">
              <w:rPr>
                <w:rFonts w:ascii="Times New Roman" w:hAnsi="Times New Roman"/>
                <w:szCs w:val="24"/>
              </w:rPr>
              <w:t>Ekiti</w:t>
            </w:r>
          </w:p>
        </w:tc>
        <w:tc>
          <w:tcPr>
            <w:tcW w:w="3908" w:type="dxa"/>
          </w:tcPr>
          <w:p w14:paraId="718EB478" w14:textId="77777777" w:rsidR="008407BB" w:rsidRPr="00BA6E2D" w:rsidRDefault="008407BB" w:rsidP="00110D28">
            <w:pPr>
              <w:rPr>
                <w:rFonts w:ascii="Times New Roman" w:hAnsi="Times New Roman"/>
                <w:szCs w:val="24"/>
              </w:rPr>
            </w:pPr>
            <w:r w:rsidRPr="00BA6E2D">
              <w:rPr>
                <w:rFonts w:ascii="Times New Roman" w:hAnsi="Times New Roman"/>
                <w:szCs w:val="24"/>
              </w:rPr>
              <w:t>Ibadan</w:t>
            </w:r>
          </w:p>
        </w:tc>
        <w:tc>
          <w:tcPr>
            <w:tcW w:w="1336" w:type="dxa"/>
          </w:tcPr>
          <w:p w14:paraId="0AAE5D54"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7D512CC5" w14:textId="77777777" w:rsidTr="00110D28">
        <w:trPr>
          <w:trHeight w:hRule="exact" w:val="284"/>
          <w:jc w:val="center"/>
        </w:trPr>
        <w:tc>
          <w:tcPr>
            <w:tcW w:w="711" w:type="dxa"/>
          </w:tcPr>
          <w:p w14:paraId="370D11D3"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0B718A39" w14:textId="77777777" w:rsidR="008407BB" w:rsidRPr="00BA6E2D" w:rsidRDefault="008407BB" w:rsidP="00110D28">
            <w:pPr>
              <w:rPr>
                <w:rFonts w:ascii="Times New Roman" w:hAnsi="Times New Roman"/>
                <w:szCs w:val="24"/>
              </w:rPr>
            </w:pPr>
            <w:r w:rsidRPr="00BA6E2D">
              <w:rPr>
                <w:rFonts w:ascii="Times New Roman" w:hAnsi="Times New Roman"/>
                <w:szCs w:val="24"/>
              </w:rPr>
              <w:t>Benard</w:t>
            </w:r>
          </w:p>
        </w:tc>
        <w:tc>
          <w:tcPr>
            <w:tcW w:w="1783" w:type="dxa"/>
          </w:tcPr>
          <w:p w14:paraId="1DD05386" w14:textId="77777777" w:rsidR="008407BB" w:rsidRPr="00BA6E2D" w:rsidRDefault="008407BB" w:rsidP="00110D28">
            <w:pPr>
              <w:rPr>
                <w:rFonts w:ascii="Times New Roman" w:hAnsi="Times New Roman"/>
                <w:szCs w:val="24"/>
              </w:rPr>
            </w:pPr>
            <w:r w:rsidRPr="00BA6E2D">
              <w:rPr>
                <w:rFonts w:ascii="Times New Roman" w:hAnsi="Times New Roman"/>
                <w:szCs w:val="24"/>
              </w:rPr>
              <w:t>Edo</w:t>
            </w:r>
          </w:p>
        </w:tc>
        <w:tc>
          <w:tcPr>
            <w:tcW w:w="2268" w:type="dxa"/>
          </w:tcPr>
          <w:p w14:paraId="5C20F29A" w14:textId="77777777" w:rsidR="008407BB" w:rsidRPr="00BA6E2D" w:rsidRDefault="008407BB" w:rsidP="00110D28">
            <w:pPr>
              <w:rPr>
                <w:rFonts w:ascii="Times New Roman" w:hAnsi="Times New Roman"/>
                <w:szCs w:val="24"/>
              </w:rPr>
            </w:pPr>
            <w:r w:rsidRPr="00BA6E2D">
              <w:rPr>
                <w:rFonts w:ascii="Times New Roman" w:hAnsi="Times New Roman"/>
                <w:szCs w:val="24"/>
              </w:rPr>
              <w:t>South-South</w:t>
            </w:r>
          </w:p>
        </w:tc>
        <w:tc>
          <w:tcPr>
            <w:tcW w:w="1762" w:type="dxa"/>
          </w:tcPr>
          <w:p w14:paraId="7707DD40" w14:textId="77777777" w:rsidR="008407BB" w:rsidRPr="00BA6E2D" w:rsidRDefault="008407BB" w:rsidP="00110D28">
            <w:pPr>
              <w:rPr>
                <w:rFonts w:ascii="Times New Roman" w:hAnsi="Times New Roman"/>
                <w:szCs w:val="24"/>
              </w:rPr>
            </w:pPr>
            <w:r w:rsidRPr="00BA6E2D">
              <w:rPr>
                <w:rFonts w:ascii="Times New Roman" w:hAnsi="Times New Roman"/>
                <w:szCs w:val="24"/>
              </w:rPr>
              <w:t>Edo</w:t>
            </w:r>
          </w:p>
        </w:tc>
        <w:tc>
          <w:tcPr>
            <w:tcW w:w="1701" w:type="dxa"/>
          </w:tcPr>
          <w:p w14:paraId="03BFE241" w14:textId="77777777" w:rsidR="008407BB" w:rsidRPr="00BA6E2D" w:rsidRDefault="008407BB" w:rsidP="00110D28">
            <w:pPr>
              <w:rPr>
                <w:rFonts w:ascii="Times New Roman" w:hAnsi="Times New Roman"/>
                <w:szCs w:val="24"/>
              </w:rPr>
            </w:pPr>
            <w:r w:rsidRPr="00BA6E2D">
              <w:rPr>
                <w:rFonts w:ascii="Times New Roman" w:hAnsi="Times New Roman"/>
                <w:szCs w:val="24"/>
              </w:rPr>
              <w:t>Ekpoma</w:t>
            </w:r>
          </w:p>
        </w:tc>
        <w:tc>
          <w:tcPr>
            <w:tcW w:w="3908" w:type="dxa"/>
          </w:tcPr>
          <w:p w14:paraId="735790C8" w14:textId="77777777" w:rsidR="008407BB" w:rsidRPr="00BA6E2D" w:rsidRDefault="008407BB" w:rsidP="00110D28">
            <w:pPr>
              <w:rPr>
                <w:rFonts w:ascii="Times New Roman" w:hAnsi="Times New Roman"/>
                <w:szCs w:val="24"/>
              </w:rPr>
            </w:pPr>
            <w:r w:rsidRPr="00BA6E2D">
              <w:rPr>
                <w:rFonts w:ascii="Times New Roman" w:hAnsi="Times New Roman"/>
                <w:szCs w:val="24"/>
              </w:rPr>
              <w:t>Benin City; Germany</w:t>
            </w:r>
          </w:p>
        </w:tc>
        <w:tc>
          <w:tcPr>
            <w:tcW w:w="1336" w:type="dxa"/>
          </w:tcPr>
          <w:p w14:paraId="015A3934"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237A7BB6" w14:textId="77777777" w:rsidTr="00110D28">
        <w:trPr>
          <w:trHeight w:hRule="exact" w:val="284"/>
          <w:jc w:val="center"/>
        </w:trPr>
        <w:tc>
          <w:tcPr>
            <w:tcW w:w="711" w:type="dxa"/>
          </w:tcPr>
          <w:p w14:paraId="2E2F7A34"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6E6FECD6" w14:textId="77777777" w:rsidR="008407BB" w:rsidRPr="00BA6E2D" w:rsidRDefault="008407BB" w:rsidP="00110D28">
            <w:pPr>
              <w:rPr>
                <w:rFonts w:ascii="Times New Roman" w:hAnsi="Times New Roman"/>
                <w:szCs w:val="24"/>
              </w:rPr>
            </w:pPr>
            <w:r w:rsidRPr="00BA6E2D">
              <w:rPr>
                <w:rFonts w:ascii="Times New Roman" w:hAnsi="Times New Roman"/>
                <w:szCs w:val="24"/>
              </w:rPr>
              <w:t>Bosede</w:t>
            </w:r>
          </w:p>
        </w:tc>
        <w:tc>
          <w:tcPr>
            <w:tcW w:w="1783" w:type="dxa"/>
          </w:tcPr>
          <w:p w14:paraId="56DDC6AD" w14:textId="77777777" w:rsidR="008407BB" w:rsidRPr="00BA6E2D" w:rsidRDefault="008407BB" w:rsidP="00110D28">
            <w:pPr>
              <w:rPr>
                <w:rFonts w:ascii="Times New Roman" w:hAnsi="Times New Roman"/>
                <w:szCs w:val="24"/>
              </w:rPr>
            </w:pPr>
            <w:r w:rsidRPr="00BA6E2D">
              <w:rPr>
                <w:rFonts w:ascii="Times New Roman" w:hAnsi="Times New Roman"/>
                <w:szCs w:val="24"/>
              </w:rPr>
              <w:t>Ekiti</w:t>
            </w:r>
          </w:p>
        </w:tc>
        <w:tc>
          <w:tcPr>
            <w:tcW w:w="2268" w:type="dxa"/>
          </w:tcPr>
          <w:p w14:paraId="151BBB49"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63EC8A3A"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047FC172" w14:textId="77777777" w:rsidR="008407BB" w:rsidRPr="00BA6E2D" w:rsidRDefault="008407BB" w:rsidP="00110D28">
            <w:pPr>
              <w:rPr>
                <w:rFonts w:ascii="Times New Roman" w:hAnsi="Times New Roman"/>
                <w:szCs w:val="24"/>
              </w:rPr>
            </w:pPr>
            <w:r w:rsidRPr="00BA6E2D">
              <w:rPr>
                <w:rFonts w:ascii="Times New Roman" w:hAnsi="Times New Roman"/>
                <w:szCs w:val="24"/>
              </w:rPr>
              <w:t>Akure</w:t>
            </w:r>
          </w:p>
        </w:tc>
        <w:tc>
          <w:tcPr>
            <w:tcW w:w="3908" w:type="dxa"/>
          </w:tcPr>
          <w:p w14:paraId="342CD4E2" w14:textId="77777777" w:rsidR="008407BB" w:rsidRPr="00BA6E2D" w:rsidRDefault="008407BB" w:rsidP="00110D28">
            <w:pPr>
              <w:rPr>
                <w:rFonts w:ascii="Times New Roman" w:hAnsi="Times New Roman"/>
                <w:szCs w:val="24"/>
              </w:rPr>
            </w:pPr>
            <w:r w:rsidRPr="00BA6E2D">
              <w:rPr>
                <w:rFonts w:ascii="Times New Roman" w:hAnsi="Times New Roman"/>
                <w:szCs w:val="24"/>
              </w:rPr>
              <w:t>Akure; Lagos</w:t>
            </w:r>
          </w:p>
        </w:tc>
        <w:tc>
          <w:tcPr>
            <w:tcW w:w="1336" w:type="dxa"/>
          </w:tcPr>
          <w:p w14:paraId="36EFAADC"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31202131" w14:textId="77777777" w:rsidTr="00110D28">
        <w:trPr>
          <w:trHeight w:hRule="exact" w:val="284"/>
          <w:jc w:val="center"/>
        </w:trPr>
        <w:tc>
          <w:tcPr>
            <w:tcW w:w="711" w:type="dxa"/>
          </w:tcPr>
          <w:p w14:paraId="2CE8BB07"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775BC113" w14:textId="77777777" w:rsidR="008407BB" w:rsidRPr="00BA6E2D" w:rsidRDefault="008407BB" w:rsidP="00110D28">
            <w:pPr>
              <w:rPr>
                <w:rFonts w:ascii="Times New Roman" w:hAnsi="Times New Roman"/>
                <w:szCs w:val="24"/>
              </w:rPr>
            </w:pPr>
            <w:r w:rsidRPr="00BA6E2D">
              <w:rPr>
                <w:rFonts w:ascii="Times New Roman" w:hAnsi="Times New Roman"/>
                <w:szCs w:val="24"/>
              </w:rPr>
              <w:t>Cynthia</w:t>
            </w:r>
          </w:p>
        </w:tc>
        <w:tc>
          <w:tcPr>
            <w:tcW w:w="1783" w:type="dxa"/>
          </w:tcPr>
          <w:p w14:paraId="160AE553" w14:textId="77777777" w:rsidR="008407BB" w:rsidRPr="00BA6E2D" w:rsidRDefault="008407BB" w:rsidP="00110D28">
            <w:pPr>
              <w:rPr>
                <w:rFonts w:ascii="Times New Roman" w:hAnsi="Times New Roman"/>
                <w:szCs w:val="24"/>
              </w:rPr>
            </w:pPr>
            <w:r w:rsidRPr="00BA6E2D">
              <w:rPr>
                <w:rFonts w:ascii="Times New Roman" w:hAnsi="Times New Roman"/>
                <w:szCs w:val="24"/>
              </w:rPr>
              <w:t>Oyo</w:t>
            </w:r>
          </w:p>
        </w:tc>
        <w:tc>
          <w:tcPr>
            <w:tcW w:w="2268" w:type="dxa"/>
          </w:tcPr>
          <w:p w14:paraId="3B0C5886"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63ACEF6F"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7C6A5E98"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3908" w:type="dxa"/>
          </w:tcPr>
          <w:p w14:paraId="17BBF54B" w14:textId="77777777" w:rsidR="008407BB" w:rsidRPr="00BA6E2D" w:rsidRDefault="008407BB" w:rsidP="00110D28">
            <w:pPr>
              <w:rPr>
                <w:rFonts w:ascii="Times New Roman" w:hAnsi="Times New Roman"/>
                <w:szCs w:val="24"/>
              </w:rPr>
            </w:pPr>
            <w:r w:rsidRPr="00BA6E2D">
              <w:rPr>
                <w:rFonts w:ascii="Times New Roman" w:hAnsi="Times New Roman"/>
                <w:szCs w:val="24"/>
              </w:rPr>
              <w:t>Lagos; Ibadan</w:t>
            </w:r>
          </w:p>
        </w:tc>
        <w:tc>
          <w:tcPr>
            <w:tcW w:w="1336" w:type="dxa"/>
          </w:tcPr>
          <w:p w14:paraId="20BDEC54"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55650246" w14:textId="77777777" w:rsidTr="00110D28">
        <w:trPr>
          <w:trHeight w:hRule="exact" w:val="284"/>
          <w:jc w:val="center"/>
        </w:trPr>
        <w:tc>
          <w:tcPr>
            <w:tcW w:w="711" w:type="dxa"/>
          </w:tcPr>
          <w:p w14:paraId="38A62400"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58BFED9D" w14:textId="77777777" w:rsidR="008407BB" w:rsidRPr="00BA6E2D" w:rsidRDefault="008407BB" w:rsidP="00110D28">
            <w:pPr>
              <w:rPr>
                <w:rFonts w:ascii="Times New Roman" w:hAnsi="Times New Roman"/>
                <w:szCs w:val="24"/>
              </w:rPr>
            </w:pPr>
            <w:r w:rsidRPr="00BA6E2D">
              <w:rPr>
                <w:rFonts w:ascii="Times New Roman" w:hAnsi="Times New Roman"/>
                <w:szCs w:val="24"/>
              </w:rPr>
              <w:t>Dankay</w:t>
            </w:r>
          </w:p>
        </w:tc>
        <w:tc>
          <w:tcPr>
            <w:tcW w:w="1783" w:type="dxa"/>
          </w:tcPr>
          <w:p w14:paraId="560B832A" w14:textId="77777777" w:rsidR="008407BB" w:rsidRPr="00BA6E2D" w:rsidRDefault="008407BB" w:rsidP="00110D28">
            <w:pPr>
              <w:rPr>
                <w:rFonts w:ascii="Times New Roman" w:hAnsi="Times New Roman"/>
                <w:szCs w:val="24"/>
              </w:rPr>
            </w:pPr>
            <w:r w:rsidRPr="00BA6E2D">
              <w:rPr>
                <w:rFonts w:ascii="Times New Roman" w:hAnsi="Times New Roman"/>
                <w:szCs w:val="24"/>
              </w:rPr>
              <w:t>Imo</w:t>
            </w:r>
          </w:p>
        </w:tc>
        <w:tc>
          <w:tcPr>
            <w:tcW w:w="2268" w:type="dxa"/>
          </w:tcPr>
          <w:p w14:paraId="12B3C803" w14:textId="77777777" w:rsidR="008407BB" w:rsidRPr="00BA6E2D" w:rsidRDefault="008407BB" w:rsidP="00110D28">
            <w:pPr>
              <w:rPr>
                <w:rFonts w:ascii="Times New Roman" w:hAnsi="Times New Roman"/>
                <w:szCs w:val="24"/>
              </w:rPr>
            </w:pPr>
            <w:r w:rsidRPr="00BA6E2D">
              <w:rPr>
                <w:rFonts w:ascii="Times New Roman" w:hAnsi="Times New Roman"/>
                <w:szCs w:val="24"/>
              </w:rPr>
              <w:t>South-East</w:t>
            </w:r>
          </w:p>
        </w:tc>
        <w:tc>
          <w:tcPr>
            <w:tcW w:w="1762" w:type="dxa"/>
          </w:tcPr>
          <w:p w14:paraId="160CE832" w14:textId="77777777" w:rsidR="008407BB" w:rsidRPr="00BA6E2D" w:rsidRDefault="008407BB" w:rsidP="00110D28">
            <w:pPr>
              <w:rPr>
                <w:rFonts w:ascii="Times New Roman" w:hAnsi="Times New Roman"/>
                <w:szCs w:val="24"/>
              </w:rPr>
            </w:pPr>
            <w:r w:rsidRPr="00BA6E2D">
              <w:rPr>
                <w:rFonts w:ascii="Times New Roman" w:hAnsi="Times New Roman"/>
                <w:szCs w:val="24"/>
              </w:rPr>
              <w:t>Igbo</w:t>
            </w:r>
          </w:p>
        </w:tc>
        <w:tc>
          <w:tcPr>
            <w:tcW w:w="1701" w:type="dxa"/>
          </w:tcPr>
          <w:p w14:paraId="0834761F" w14:textId="77777777" w:rsidR="008407BB" w:rsidRPr="00BA6E2D" w:rsidRDefault="008407BB" w:rsidP="00110D28">
            <w:pPr>
              <w:rPr>
                <w:rFonts w:ascii="Times New Roman" w:hAnsi="Times New Roman"/>
                <w:szCs w:val="24"/>
              </w:rPr>
            </w:pPr>
            <w:r w:rsidRPr="00BA6E2D">
              <w:rPr>
                <w:rFonts w:ascii="Times New Roman" w:hAnsi="Times New Roman"/>
                <w:szCs w:val="24"/>
              </w:rPr>
              <w:t>Brazil*</w:t>
            </w:r>
          </w:p>
        </w:tc>
        <w:tc>
          <w:tcPr>
            <w:tcW w:w="3908" w:type="dxa"/>
          </w:tcPr>
          <w:p w14:paraId="5FA44054" w14:textId="77777777" w:rsidR="008407BB" w:rsidRPr="00BA6E2D" w:rsidRDefault="008407BB" w:rsidP="00110D28">
            <w:pPr>
              <w:rPr>
                <w:rFonts w:ascii="Times New Roman" w:hAnsi="Times New Roman"/>
                <w:szCs w:val="24"/>
              </w:rPr>
            </w:pPr>
            <w:r w:rsidRPr="00BA6E2D">
              <w:rPr>
                <w:rFonts w:ascii="Times New Roman" w:hAnsi="Times New Roman"/>
                <w:szCs w:val="24"/>
              </w:rPr>
              <w:t>Brazil; Owerri</w:t>
            </w:r>
          </w:p>
        </w:tc>
        <w:tc>
          <w:tcPr>
            <w:tcW w:w="1336" w:type="dxa"/>
          </w:tcPr>
          <w:p w14:paraId="3B44B1C7"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0B0D9C48" w14:textId="77777777" w:rsidTr="00110D28">
        <w:trPr>
          <w:trHeight w:hRule="exact" w:val="284"/>
          <w:jc w:val="center"/>
        </w:trPr>
        <w:tc>
          <w:tcPr>
            <w:tcW w:w="711" w:type="dxa"/>
          </w:tcPr>
          <w:p w14:paraId="1F150F3F"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05F6B93C" w14:textId="77777777" w:rsidR="008407BB" w:rsidRPr="00BA6E2D" w:rsidRDefault="008407BB" w:rsidP="00110D28">
            <w:pPr>
              <w:rPr>
                <w:rFonts w:ascii="Times New Roman" w:hAnsi="Times New Roman"/>
                <w:szCs w:val="24"/>
              </w:rPr>
            </w:pPr>
            <w:r w:rsidRPr="00BA6E2D">
              <w:rPr>
                <w:rFonts w:ascii="Times New Roman" w:hAnsi="Times New Roman"/>
                <w:szCs w:val="24"/>
              </w:rPr>
              <w:t>Doris</w:t>
            </w:r>
          </w:p>
        </w:tc>
        <w:tc>
          <w:tcPr>
            <w:tcW w:w="1783" w:type="dxa"/>
          </w:tcPr>
          <w:p w14:paraId="652CE200" w14:textId="77777777" w:rsidR="008407BB" w:rsidRPr="00BA6E2D" w:rsidRDefault="008407BB" w:rsidP="00110D28">
            <w:pPr>
              <w:rPr>
                <w:rFonts w:ascii="Times New Roman" w:hAnsi="Times New Roman"/>
                <w:szCs w:val="24"/>
              </w:rPr>
            </w:pPr>
            <w:r w:rsidRPr="00BA6E2D">
              <w:rPr>
                <w:rFonts w:ascii="Times New Roman" w:hAnsi="Times New Roman"/>
                <w:szCs w:val="24"/>
              </w:rPr>
              <w:t>Kogi</w:t>
            </w:r>
          </w:p>
        </w:tc>
        <w:tc>
          <w:tcPr>
            <w:tcW w:w="2268" w:type="dxa"/>
          </w:tcPr>
          <w:p w14:paraId="05E7047A" w14:textId="77777777" w:rsidR="008407BB" w:rsidRPr="00BA6E2D" w:rsidRDefault="008407BB" w:rsidP="00110D28">
            <w:pPr>
              <w:rPr>
                <w:rFonts w:ascii="Times New Roman" w:hAnsi="Times New Roman"/>
                <w:szCs w:val="24"/>
              </w:rPr>
            </w:pPr>
            <w:r w:rsidRPr="00BA6E2D">
              <w:rPr>
                <w:rFonts w:ascii="Times New Roman" w:hAnsi="Times New Roman"/>
                <w:szCs w:val="24"/>
              </w:rPr>
              <w:t>North-Central</w:t>
            </w:r>
          </w:p>
        </w:tc>
        <w:tc>
          <w:tcPr>
            <w:tcW w:w="1762" w:type="dxa"/>
          </w:tcPr>
          <w:p w14:paraId="0AA37412" w14:textId="77777777" w:rsidR="008407BB" w:rsidRPr="00BA6E2D" w:rsidRDefault="008407BB" w:rsidP="00110D28">
            <w:pPr>
              <w:rPr>
                <w:rFonts w:ascii="Times New Roman" w:hAnsi="Times New Roman"/>
                <w:szCs w:val="24"/>
              </w:rPr>
            </w:pPr>
            <w:r w:rsidRPr="00BA6E2D">
              <w:rPr>
                <w:rFonts w:ascii="Times New Roman" w:hAnsi="Times New Roman"/>
                <w:szCs w:val="24"/>
              </w:rPr>
              <w:t>Igala</w:t>
            </w:r>
          </w:p>
        </w:tc>
        <w:tc>
          <w:tcPr>
            <w:tcW w:w="1701" w:type="dxa"/>
          </w:tcPr>
          <w:p w14:paraId="3BA88F69" w14:textId="77777777" w:rsidR="008407BB" w:rsidRPr="00BA6E2D" w:rsidRDefault="008407BB" w:rsidP="00110D28">
            <w:pPr>
              <w:rPr>
                <w:rFonts w:ascii="Times New Roman" w:hAnsi="Times New Roman"/>
                <w:szCs w:val="24"/>
              </w:rPr>
            </w:pPr>
            <w:r w:rsidRPr="00BA6E2D">
              <w:rPr>
                <w:rFonts w:ascii="Times New Roman" w:hAnsi="Times New Roman"/>
                <w:szCs w:val="24"/>
              </w:rPr>
              <w:t>Warri</w:t>
            </w:r>
          </w:p>
        </w:tc>
        <w:tc>
          <w:tcPr>
            <w:tcW w:w="3908" w:type="dxa"/>
          </w:tcPr>
          <w:p w14:paraId="4C9283D0" w14:textId="77777777" w:rsidR="008407BB" w:rsidRPr="00BA6E2D" w:rsidRDefault="008407BB" w:rsidP="00110D28">
            <w:pPr>
              <w:rPr>
                <w:rFonts w:ascii="Times New Roman" w:hAnsi="Times New Roman"/>
                <w:szCs w:val="24"/>
              </w:rPr>
            </w:pPr>
            <w:r w:rsidRPr="00BA6E2D">
              <w:rPr>
                <w:rFonts w:ascii="Times New Roman" w:hAnsi="Times New Roman"/>
                <w:szCs w:val="24"/>
              </w:rPr>
              <w:t>Warri; Asaba</w:t>
            </w:r>
          </w:p>
        </w:tc>
        <w:tc>
          <w:tcPr>
            <w:tcW w:w="1336" w:type="dxa"/>
          </w:tcPr>
          <w:p w14:paraId="2BD7A625"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44503CAA" w14:textId="77777777" w:rsidTr="00110D28">
        <w:trPr>
          <w:trHeight w:hRule="exact" w:val="284"/>
          <w:jc w:val="center"/>
        </w:trPr>
        <w:tc>
          <w:tcPr>
            <w:tcW w:w="711" w:type="dxa"/>
          </w:tcPr>
          <w:p w14:paraId="24312A88"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0D397BFA" w14:textId="77777777" w:rsidR="008407BB" w:rsidRPr="00BA6E2D" w:rsidRDefault="008407BB" w:rsidP="00110D28">
            <w:pPr>
              <w:rPr>
                <w:rFonts w:ascii="Times New Roman" w:hAnsi="Times New Roman"/>
                <w:szCs w:val="24"/>
              </w:rPr>
            </w:pPr>
            <w:r w:rsidRPr="00BA6E2D">
              <w:rPr>
                <w:rFonts w:ascii="Times New Roman" w:hAnsi="Times New Roman"/>
                <w:szCs w:val="24"/>
              </w:rPr>
              <w:t>Jackie</w:t>
            </w:r>
          </w:p>
        </w:tc>
        <w:tc>
          <w:tcPr>
            <w:tcW w:w="1783" w:type="dxa"/>
          </w:tcPr>
          <w:p w14:paraId="7155CDC1" w14:textId="77777777" w:rsidR="008407BB" w:rsidRPr="00BA6E2D" w:rsidRDefault="008407BB" w:rsidP="00110D28">
            <w:pPr>
              <w:rPr>
                <w:rFonts w:ascii="Times New Roman" w:hAnsi="Times New Roman"/>
                <w:szCs w:val="24"/>
              </w:rPr>
            </w:pPr>
            <w:r w:rsidRPr="00BA6E2D">
              <w:rPr>
                <w:rFonts w:ascii="Times New Roman" w:hAnsi="Times New Roman"/>
                <w:szCs w:val="24"/>
              </w:rPr>
              <w:t>Oyo</w:t>
            </w:r>
          </w:p>
        </w:tc>
        <w:tc>
          <w:tcPr>
            <w:tcW w:w="2268" w:type="dxa"/>
          </w:tcPr>
          <w:p w14:paraId="03C35E34"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79019261"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4C599ADC" w14:textId="77777777" w:rsidR="008407BB" w:rsidRPr="00BA6E2D" w:rsidRDefault="008407BB" w:rsidP="00110D28">
            <w:pPr>
              <w:rPr>
                <w:rFonts w:ascii="Times New Roman" w:hAnsi="Times New Roman"/>
                <w:szCs w:val="24"/>
              </w:rPr>
            </w:pPr>
            <w:r w:rsidRPr="00BA6E2D">
              <w:rPr>
                <w:rFonts w:ascii="Times New Roman" w:hAnsi="Times New Roman"/>
                <w:szCs w:val="24"/>
              </w:rPr>
              <w:t>Ibadan</w:t>
            </w:r>
          </w:p>
        </w:tc>
        <w:tc>
          <w:tcPr>
            <w:tcW w:w="3908" w:type="dxa"/>
          </w:tcPr>
          <w:p w14:paraId="2496BB12" w14:textId="77777777" w:rsidR="008407BB" w:rsidRPr="00BA6E2D" w:rsidRDefault="008407BB" w:rsidP="00110D28">
            <w:pPr>
              <w:rPr>
                <w:rFonts w:ascii="Times New Roman" w:hAnsi="Times New Roman"/>
                <w:szCs w:val="24"/>
              </w:rPr>
            </w:pPr>
            <w:r w:rsidRPr="00BA6E2D">
              <w:rPr>
                <w:rFonts w:ascii="Times New Roman" w:hAnsi="Times New Roman"/>
                <w:szCs w:val="24"/>
              </w:rPr>
              <w:t>Ibadan</w:t>
            </w:r>
          </w:p>
        </w:tc>
        <w:tc>
          <w:tcPr>
            <w:tcW w:w="1336" w:type="dxa"/>
          </w:tcPr>
          <w:p w14:paraId="45937083"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3706F8C6" w14:textId="77777777" w:rsidTr="00110D28">
        <w:trPr>
          <w:trHeight w:hRule="exact" w:val="284"/>
          <w:jc w:val="center"/>
        </w:trPr>
        <w:tc>
          <w:tcPr>
            <w:tcW w:w="711" w:type="dxa"/>
          </w:tcPr>
          <w:p w14:paraId="55340EE3"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492BFF18" w14:textId="77777777" w:rsidR="008407BB" w:rsidRPr="00BA6E2D" w:rsidRDefault="008407BB" w:rsidP="00110D28">
            <w:pPr>
              <w:rPr>
                <w:rFonts w:ascii="Times New Roman" w:hAnsi="Times New Roman"/>
                <w:szCs w:val="24"/>
              </w:rPr>
            </w:pPr>
            <w:r w:rsidRPr="00BA6E2D">
              <w:rPr>
                <w:rFonts w:ascii="Times New Roman" w:hAnsi="Times New Roman"/>
                <w:szCs w:val="24"/>
              </w:rPr>
              <w:t>Jane</w:t>
            </w:r>
          </w:p>
        </w:tc>
        <w:tc>
          <w:tcPr>
            <w:tcW w:w="1783" w:type="dxa"/>
          </w:tcPr>
          <w:p w14:paraId="37E61363" w14:textId="77777777" w:rsidR="008407BB" w:rsidRPr="00BA6E2D" w:rsidRDefault="008407BB" w:rsidP="00110D28">
            <w:pPr>
              <w:rPr>
                <w:rFonts w:ascii="Times New Roman" w:hAnsi="Times New Roman"/>
                <w:szCs w:val="24"/>
              </w:rPr>
            </w:pPr>
            <w:r w:rsidRPr="00BA6E2D">
              <w:rPr>
                <w:rFonts w:ascii="Times New Roman" w:hAnsi="Times New Roman"/>
                <w:szCs w:val="24"/>
              </w:rPr>
              <w:t>Kogi</w:t>
            </w:r>
          </w:p>
        </w:tc>
        <w:tc>
          <w:tcPr>
            <w:tcW w:w="2268" w:type="dxa"/>
          </w:tcPr>
          <w:p w14:paraId="10828460" w14:textId="77777777" w:rsidR="008407BB" w:rsidRPr="00BA6E2D" w:rsidRDefault="008407BB" w:rsidP="00110D28">
            <w:pPr>
              <w:rPr>
                <w:rFonts w:ascii="Times New Roman" w:hAnsi="Times New Roman"/>
                <w:szCs w:val="24"/>
              </w:rPr>
            </w:pPr>
            <w:r w:rsidRPr="00BA6E2D">
              <w:rPr>
                <w:rFonts w:ascii="Times New Roman" w:hAnsi="Times New Roman"/>
                <w:szCs w:val="24"/>
              </w:rPr>
              <w:t>North-Central</w:t>
            </w:r>
          </w:p>
        </w:tc>
        <w:tc>
          <w:tcPr>
            <w:tcW w:w="1762" w:type="dxa"/>
          </w:tcPr>
          <w:p w14:paraId="7A1D0E52" w14:textId="77777777" w:rsidR="008407BB" w:rsidRPr="00BA6E2D" w:rsidRDefault="008407BB" w:rsidP="00110D28">
            <w:pPr>
              <w:rPr>
                <w:rFonts w:ascii="Times New Roman" w:hAnsi="Times New Roman"/>
                <w:szCs w:val="24"/>
              </w:rPr>
            </w:pPr>
            <w:r w:rsidRPr="00BA6E2D">
              <w:rPr>
                <w:rFonts w:ascii="Times New Roman" w:hAnsi="Times New Roman"/>
                <w:szCs w:val="24"/>
              </w:rPr>
              <w:t>Igala/Yoruba</w:t>
            </w:r>
          </w:p>
        </w:tc>
        <w:tc>
          <w:tcPr>
            <w:tcW w:w="1701" w:type="dxa"/>
          </w:tcPr>
          <w:p w14:paraId="47BB4983" w14:textId="77777777" w:rsidR="008407BB" w:rsidRPr="00BA6E2D" w:rsidRDefault="008407BB" w:rsidP="00110D28">
            <w:pPr>
              <w:rPr>
                <w:rFonts w:ascii="Times New Roman" w:hAnsi="Times New Roman"/>
                <w:szCs w:val="24"/>
              </w:rPr>
            </w:pPr>
            <w:r w:rsidRPr="00BA6E2D">
              <w:rPr>
                <w:rFonts w:ascii="Times New Roman" w:hAnsi="Times New Roman"/>
                <w:szCs w:val="24"/>
              </w:rPr>
              <w:t>Lokoja</w:t>
            </w:r>
          </w:p>
        </w:tc>
        <w:tc>
          <w:tcPr>
            <w:tcW w:w="3908" w:type="dxa"/>
          </w:tcPr>
          <w:p w14:paraId="77000BD1" w14:textId="77777777" w:rsidR="008407BB" w:rsidRPr="00BA6E2D" w:rsidRDefault="008407BB" w:rsidP="00110D28">
            <w:pPr>
              <w:rPr>
                <w:rFonts w:ascii="Times New Roman" w:hAnsi="Times New Roman"/>
                <w:szCs w:val="24"/>
              </w:rPr>
            </w:pPr>
            <w:r w:rsidRPr="00BA6E2D">
              <w:rPr>
                <w:rFonts w:ascii="Times New Roman" w:hAnsi="Times New Roman"/>
                <w:szCs w:val="24"/>
              </w:rPr>
              <w:t>Abuja</w:t>
            </w:r>
          </w:p>
        </w:tc>
        <w:tc>
          <w:tcPr>
            <w:tcW w:w="1336" w:type="dxa"/>
          </w:tcPr>
          <w:p w14:paraId="57D239F9"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3E3E0E80" w14:textId="77777777" w:rsidTr="00110D28">
        <w:trPr>
          <w:trHeight w:hRule="exact" w:val="284"/>
          <w:jc w:val="center"/>
        </w:trPr>
        <w:tc>
          <w:tcPr>
            <w:tcW w:w="711" w:type="dxa"/>
          </w:tcPr>
          <w:p w14:paraId="21828C50"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284D9E5F" w14:textId="77777777" w:rsidR="008407BB" w:rsidRPr="00BA6E2D" w:rsidRDefault="008407BB" w:rsidP="00110D28">
            <w:pPr>
              <w:rPr>
                <w:rFonts w:ascii="Times New Roman" w:hAnsi="Times New Roman"/>
                <w:szCs w:val="24"/>
              </w:rPr>
            </w:pPr>
            <w:r w:rsidRPr="00BA6E2D">
              <w:rPr>
                <w:rFonts w:ascii="Times New Roman" w:hAnsi="Times New Roman"/>
                <w:szCs w:val="24"/>
              </w:rPr>
              <w:t>Jeff</w:t>
            </w:r>
          </w:p>
        </w:tc>
        <w:tc>
          <w:tcPr>
            <w:tcW w:w="1783" w:type="dxa"/>
          </w:tcPr>
          <w:p w14:paraId="44C17D06" w14:textId="77777777" w:rsidR="008407BB" w:rsidRPr="00BA6E2D" w:rsidRDefault="008407BB" w:rsidP="00110D28">
            <w:pPr>
              <w:rPr>
                <w:rFonts w:ascii="Times New Roman" w:hAnsi="Times New Roman"/>
                <w:szCs w:val="24"/>
              </w:rPr>
            </w:pPr>
            <w:r w:rsidRPr="00BA6E2D">
              <w:rPr>
                <w:rFonts w:ascii="Times New Roman" w:hAnsi="Times New Roman"/>
                <w:szCs w:val="24"/>
              </w:rPr>
              <w:t>Imo</w:t>
            </w:r>
          </w:p>
        </w:tc>
        <w:tc>
          <w:tcPr>
            <w:tcW w:w="2268" w:type="dxa"/>
          </w:tcPr>
          <w:p w14:paraId="4DE63934" w14:textId="77777777" w:rsidR="008407BB" w:rsidRPr="00BA6E2D" w:rsidRDefault="008407BB" w:rsidP="00110D28">
            <w:pPr>
              <w:rPr>
                <w:rFonts w:ascii="Times New Roman" w:hAnsi="Times New Roman"/>
                <w:szCs w:val="24"/>
              </w:rPr>
            </w:pPr>
            <w:r w:rsidRPr="00BA6E2D">
              <w:rPr>
                <w:rFonts w:ascii="Times New Roman" w:hAnsi="Times New Roman"/>
                <w:szCs w:val="24"/>
              </w:rPr>
              <w:t>South-East</w:t>
            </w:r>
          </w:p>
        </w:tc>
        <w:tc>
          <w:tcPr>
            <w:tcW w:w="1762" w:type="dxa"/>
          </w:tcPr>
          <w:p w14:paraId="142D5A8F" w14:textId="77777777" w:rsidR="008407BB" w:rsidRPr="00BA6E2D" w:rsidRDefault="008407BB" w:rsidP="00110D28">
            <w:pPr>
              <w:rPr>
                <w:rFonts w:ascii="Times New Roman" w:hAnsi="Times New Roman"/>
                <w:szCs w:val="24"/>
              </w:rPr>
            </w:pPr>
            <w:r w:rsidRPr="00BA6E2D">
              <w:rPr>
                <w:rFonts w:ascii="Times New Roman" w:hAnsi="Times New Roman"/>
                <w:szCs w:val="24"/>
              </w:rPr>
              <w:t>Igbo</w:t>
            </w:r>
          </w:p>
        </w:tc>
        <w:tc>
          <w:tcPr>
            <w:tcW w:w="1701" w:type="dxa"/>
          </w:tcPr>
          <w:p w14:paraId="2AF7CB2F" w14:textId="77777777" w:rsidR="008407BB" w:rsidRPr="00BA6E2D" w:rsidRDefault="008407BB" w:rsidP="00110D28">
            <w:pPr>
              <w:rPr>
                <w:rFonts w:ascii="Times New Roman" w:hAnsi="Times New Roman"/>
                <w:szCs w:val="24"/>
              </w:rPr>
            </w:pPr>
            <w:r w:rsidRPr="00BA6E2D">
              <w:rPr>
                <w:rFonts w:ascii="Times New Roman" w:hAnsi="Times New Roman"/>
                <w:szCs w:val="24"/>
              </w:rPr>
              <w:t>Owerri</w:t>
            </w:r>
          </w:p>
        </w:tc>
        <w:tc>
          <w:tcPr>
            <w:tcW w:w="3908" w:type="dxa"/>
          </w:tcPr>
          <w:p w14:paraId="7F3A9C7E" w14:textId="77777777" w:rsidR="008407BB" w:rsidRPr="00BA6E2D" w:rsidRDefault="008407BB" w:rsidP="00110D28">
            <w:pPr>
              <w:rPr>
                <w:rFonts w:ascii="Times New Roman" w:hAnsi="Times New Roman"/>
                <w:szCs w:val="24"/>
              </w:rPr>
            </w:pPr>
            <w:r w:rsidRPr="00BA6E2D">
              <w:rPr>
                <w:rFonts w:ascii="Times New Roman" w:hAnsi="Times New Roman"/>
                <w:szCs w:val="24"/>
              </w:rPr>
              <w:t>Owerri; Elele (a town near PH); Ondo Ondo;</w:t>
            </w:r>
          </w:p>
        </w:tc>
        <w:tc>
          <w:tcPr>
            <w:tcW w:w="1336" w:type="dxa"/>
          </w:tcPr>
          <w:p w14:paraId="0692867D"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7E8D689A" w14:textId="77777777" w:rsidTr="00110D28">
        <w:trPr>
          <w:trHeight w:hRule="exact" w:val="284"/>
          <w:jc w:val="center"/>
        </w:trPr>
        <w:tc>
          <w:tcPr>
            <w:tcW w:w="711" w:type="dxa"/>
          </w:tcPr>
          <w:p w14:paraId="6DBF1AF7"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577A6719" w14:textId="77777777" w:rsidR="008407BB" w:rsidRPr="00BA6E2D" w:rsidRDefault="008407BB" w:rsidP="00110D28">
            <w:pPr>
              <w:rPr>
                <w:rFonts w:ascii="Times New Roman" w:hAnsi="Times New Roman"/>
                <w:szCs w:val="24"/>
              </w:rPr>
            </w:pPr>
            <w:r w:rsidRPr="00BA6E2D">
              <w:rPr>
                <w:rFonts w:ascii="Times New Roman" w:hAnsi="Times New Roman"/>
                <w:szCs w:val="24"/>
              </w:rPr>
              <w:t>John</w:t>
            </w:r>
          </w:p>
        </w:tc>
        <w:tc>
          <w:tcPr>
            <w:tcW w:w="1783" w:type="dxa"/>
          </w:tcPr>
          <w:p w14:paraId="0DD1FD2E" w14:textId="77777777" w:rsidR="008407BB" w:rsidRPr="00BA6E2D" w:rsidRDefault="008407BB" w:rsidP="00110D28">
            <w:pPr>
              <w:rPr>
                <w:rFonts w:ascii="Times New Roman" w:hAnsi="Times New Roman"/>
                <w:szCs w:val="24"/>
              </w:rPr>
            </w:pPr>
            <w:r w:rsidRPr="00BA6E2D">
              <w:rPr>
                <w:rFonts w:ascii="Times New Roman" w:hAnsi="Times New Roman"/>
                <w:szCs w:val="24"/>
              </w:rPr>
              <w:t>Anambra</w:t>
            </w:r>
          </w:p>
        </w:tc>
        <w:tc>
          <w:tcPr>
            <w:tcW w:w="2268" w:type="dxa"/>
          </w:tcPr>
          <w:p w14:paraId="4BEA920C" w14:textId="77777777" w:rsidR="008407BB" w:rsidRPr="00BA6E2D" w:rsidRDefault="008407BB" w:rsidP="00110D28">
            <w:pPr>
              <w:rPr>
                <w:rFonts w:ascii="Times New Roman" w:hAnsi="Times New Roman"/>
                <w:szCs w:val="24"/>
              </w:rPr>
            </w:pPr>
            <w:r w:rsidRPr="00BA6E2D">
              <w:rPr>
                <w:rFonts w:ascii="Times New Roman" w:hAnsi="Times New Roman"/>
                <w:szCs w:val="24"/>
              </w:rPr>
              <w:t>South-East</w:t>
            </w:r>
          </w:p>
        </w:tc>
        <w:tc>
          <w:tcPr>
            <w:tcW w:w="1762" w:type="dxa"/>
          </w:tcPr>
          <w:p w14:paraId="00F1A304" w14:textId="77777777" w:rsidR="008407BB" w:rsidRPr="00BA6E2D" w:rsidRDefault="008407BB" w:rsidP="00110D28">
            <w:pPr>
              <w:rPr>
                <w:rFonts w:ascii="Times New Roman" w:hAnsi="Times New Roman"/>
                <w:szCs w:val="24"/>
              </w:rPr>
            </w:pPr>
            <w:r w:rsidRPr="00BA6E2D">
              <w:rPr>
                <w:rFonts w:ascii="Times New Roman" w:hAnsi="Times New Roman"/>
                <w:szCs w:val="24"/>
              </w:rPr>
              <w:t>Igbo</w:t>
            </w:r>
          </w:p>
        </w:tc>
        <w:tc>
          <w:tcPr>
            <w:tcW w:w="1701" w:type="dxa"/>
          </w:tcPr>
          <w:p w14:paraId="51077CF6" w14:textId="77777777" w:rsidR="008407BB" w:rsidRPr="00BA6E2D" w:rsidRDefault="008407BB" w:rsidP="00110D28">
            <w:pPr>
              <w:rPr>
                <w:rFonts w:ascii="Times New Roman" w:hAnsi="Times New Roman"/>
                <w:szCs w:val="24"/>
              </w:rPr>
            </w:pPr>
            <w:r w:rsidRPr="00BA6E2D">
              <w:rPr>
                <w:rFonts w:ascii="Times New Roman" w:hAnsi="Times New Roman"/>
                <w:szCs w:val="24"/>
              </w:rPr>
              <w:t>Orlu</w:t>
            </w:r>
          </w:p>
        </w:tc>
        <w:tc>
          <w:tcPr>
            <w:tcW w:w="3908" w:type="dxa"/>
          </w:tcPr>
          <w:p w14:paraId="2751BF2A" w14:textId="77777777" w:rsidR="008407BB" w:rsidRPr="00BA6E2D" w:rsidRDefault="008407BB" w:rsidP="00110D28">
            <w:pPr>
              <w:rPr>
                <w:rFonts w:ascii="Times New Roman" w:hAnsi="Times New Roman"/>
                <w:szCs w:val="24"/>
              </w:rPr>
            </w:pPr>
            <w:r w:rsidRPr="00BA6E2D">
              <w:rPr>
                <w:rFonts w:ascii="Times New Roman" w:hAnsi="Times New Roman"/>
                <w:szCs w:val="24"/>
              </w:rPr>
              <w:t>Orlu; Owerri</w:t>
            </w:r>
          </w:p>
        </w:tc>
        <w:tc>
          <w:tcPr>
            <w:tcW w:w="1336" w:type="dxa"/>
          </w:tcPr>
          <w:p w14:paraId="061F6C61"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1E72E0BE" w14:textId="77777777" w:rsidTr="00110D28">
        <w:trPr>
          <w:trHeight w:hRule="exact" w:val="284"/>
          <w:jc w:val="center"/>
        </w:trPr>
        <w:tc>
          <w:tcPr>
            <w:tcW w:w="711" w:type="dxa"/>
          </w:tcPr>
          <w:p w14:paraId="11F2D1F6"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2B6D8124" w14:textId="77777777" w:rsidR="008407BB" w:rsidRPr="00BA6E2D" w:rsidRDefault="008407BB" w:rsidP="00110D28">
            <w:pPr>
              <w:rPr>
                <w:rFonts w:ascii="Times New Roman" w:hAnsi="Times New Roman"/>
                <w:szCs w:val="24"/>
              </w:rPr>
            </w:pPr>
            <w:r w:rsidRPr="00BA6E2D">
              <w:rPr>
                <w:rFonts w:ascii="Times New Roman" w:hAnsi="Times New Roman"/>
                <w:szCs w:val="24"/>
              </w:rPr>
              <w:t>Kate</w:t>
            </w:r>
          </w:p>
        </w:tc>
        <w:tc>
          <w:tcPr>
            <w:tcW w:w="1783" w:type="dxa"/>
          </w:tcPr>
          <w:p w14:paraId="23001374"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2268" w:type="dxa"/>
          </w:tcPr>
          <w:p w14:paraId="54F706A8"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23C739BE"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2CFEF847" w14:textId="77777777" w:rsidR="008407BB" w:rsidRPr="00BA6E2D" w:rsidRDefault="008407BB" w:rsidP="00110D28">
            <w:pPr>
              <w:rPr>
                <w:rFonts w:ascii="Times New Roman" w:hAnsi="Times New Roman"/>
                <w:szCs w:val="24"/>
              </w:rPr>
            </w:pPr>
            <w:r w:rsidRPr="00BA6E2D">
              <w:rPr>
                <w:rFonts w:ascii="Times New Roman" w:hAnsi="Times New Roman"/>
                <w:szCs w:val="24"/>
              </w:rPr>
              <w:t>Ado-Ekiti</w:t>
            </w:r>
          </w:p>
        </w:tc>
        <w:tc>
          <w:tcPr>
            <w:tcW w:w="3908" w:type="dxa"/>
          </w:tcPr>
          <w:p w14:paraId="4C8795DB" w14:textId="77777777" w:rsidR="008407BB" w:rsidRPr="00BA6E2D" w:rsidRDefault="008407BB" w:rsidP="00110D28">
            <w:pPr>
              <w:rPr>
                <w:rFonts w:ascii="Times New Roman" w:hAnsi="Times New Roman"/>
                <w:szCs w:val="24"/>
              </w:rPr>
            </w:pPr>
            <w:r w:rsidRPr="00BA6E2D">
              <w:rPr>
                <w:rFonts w:ascii="Times New Roman" w:hAnsi="Times New Roman"/>
                <w:szCs w:val="24"/>
              </w:rPr>
              <w:t>Ado-Ekiti; Oshogbo; Lagos; Kano; Ogbomosho</w:t>
            </w:r>
          </w:p>
        </w:tc>
        <w:tc>
          <w:tcPr>
            <w:tcW w:w="1336" w:type="dxa"/>
          </w:tcPr>
          <w:p w14:paraId="088CD924"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221827FF" w14:textId="77777777" w:rsidTr="00110D28">
        <w:trPr>
          <w:trHeight w:hRule="exact" w:val="284"/>
          <w:jc w:val="center"/>
        </w:trPr>
        <w:tc>
          <w:tcPr>
            <w:tcW w:w="711" w:type="dxa"/>
          </w:tcPr>
          <w:p w14:paraId="3824A860"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715C2C0F" w14:textId="77777777" w:rsidR="008407BB" w:rsidRPr="00BA6E2D" w:rsidRDefault="008407BB" w:rsidP="00110D28">
            <w:pPr>
              <w:rPr>
                <w:rFonts w:ascii="Times New Roman" w:hAnsi="Times New Roman"/>
                <w:szCs w:val="24"/>
              </w:rPr>
            </w:pPr>
            <w:r w:rsidRPr="00BA6E2D">
              <w:rPr>
                <w:rFonts w:ascii="Times New Roman" w:hAnsi="Times New Roman"/>
                <w:szCs w:val="24"/>
              </w:rPr>
              <w:t>Kemdo</w:t>
            </w:r>
          </w:p>
        </w:tc>
        <w:tc>
          <w:tcPr>
            <w:tcW w:w="1783" w:type="dxa"/>
          </w:tcPr>
          <w:p w14:paraId="78133CB3" w14:textId="77777777" w:rsidR="008407BB" w:rsidRPr="00BA6E2D" w:rsidRDefault="008407BB" w:rsidP="00110D28">
            <w:pPr>
              <w:rPr>
                <w:rFonts w:ascii="Times New Roman" w:hAnsi="Times New Roman"/>
                <w:szCs w:val="24"/>
              </w:rPr>
            </w:pPr>
            <w:r w:rsidRPr="00BA6E2D">
              <w:rPr>
                <w:rFonts w:ascii="Times New Roman" w:hAnsi="Times New Roman"/>
                <w:szCs w:val="24"/>
              </w:rPr>
              <w:t>Anambra</w:t>
            </w:r>
          </w:p>
        </w:tc>
        <w:tc>
          <w:tcPr>
            <w:tcW w:w="2268" w:type="dxa"/>
          </w:tcPr>
          <w:p w14:paraId="150C859B" w14:textId="77777777" w:rsidR="008407BB" w:rsidRPr="00BA6E2D" w:rsidRDefault="008407BB" w:rsidP="00110D28">
            <w:pPr>
              <w:rPr>
                <w:rFonts w:ascii="Times New Roman" w:hAnsi="Times New Roman"/>
                <w:szCs w:val="24"/>
              </w:rPr>
            </w:pPr>
            <w:r w:rsidRPr="00BA6E2D">
              <w:rPr>
                <w:rFonts w:ascii="Times New Roman" w:hAnsi="Times New Roman"/>
                <w:szCs w:val="24"/>
              </w:rPr>
              <w:t>South-East</w:t>
            </w:r>
          </w:p>
        </w:tc>
        <w:tc>
          <w:tcPr>
            <w:tcW w:w="1762" w:type="dxa"/>
          </w:tcPr>
          <w:p w14:paraId="1C6E586A" w14:textId="77777777" w:rsidR="008407BB" w:rsidRPr="00BA6E2D" w:rsidRDefault="008407BB" w:rsidP="00110D28">
            <w:pPr>
              <w:rPr>
                <w:rFonts w:ascii="Times New Roman" w:hAnsi="Times New Roman"/>
                <w:szCs w:val="24"/>
              </w:rPr>
            </w:pPr>
            <w:r w:rsidRPr="00BA6E2D">
              <w:rPr>
                <w:rFonts w:ascii="Times New Roman" w:hAnsi="Times New Roman"/>
                <w:szCs w:val="24"/>
              </w:rPr>
              <w:t>Igbo</w:t>
            </w:r>
          </w:p>
        </w:tc>
        <w:tc>
          <w:tcPr>
            <w:tcW w:w="1701" w:type="dxa"/>
          </w:tcPr>
          <w:p w14:paraId="50428A76" w14:textId="77777777" w:rsidR="008407BB" w:rsidRPr="00BA6E2D" w:rsidRDefault="008407BB" w:rsidP="00110D28">
            <w:pPr>
              <w:rPr>
                <w:rFonts w:ascii="Times New Roman" w:hAnsi="Times New Roman"/>
                <w:szCs w:val="24"/>
              </w:rPr>
            </w:pPr>
            <w:r w:rsidRPr="00BA6E2D">
              <w:rPr>
                <w:rFonts w:ascii="Times New Roman" w:hAnsi="Times New Roman"/>
                <w:szCs w:val="24"/>
              </w:rPr>
              <w:t>Enugu</w:t>
            </w:r>
          </w:p>
        </w:tc>
        <w:tc>
          <w:tcPr>
            <w:tcW w:w="3908" w:type="dxa"/>
          </w:tcPr>
          <w:p w14:paraId="23C6B44D" w14:textId="77777777" w:rsidR="008407BB" w:rsidRPr="00BA6E2D" w:rsidRDefault="008407BB" w:rsidP="00110D28">
            <w:pPr>
              <w:rPr>
                <w:rFonts w:ascii="Times New Roman" w:hAnsi="Times New Roman"/>
                <w:szCs w:val="24"/>
              </w:rPr>
            </w:pPr>
            <w:r w:rsidRPr="00BA6E2D">
              <w:rPr>
                <w:rFonts w:ascii="Times New Roman" w:hAnsi="Times New Roman"/>
                <w:szCs w:val="24"/>
              </w:rPr>
              <w:t>Enugu; Onitsha,</w:t>
            </w:r>
          </w:p>
        </w:tc>
        <w:tc>
          <w:tcPr>
            <w:tcW w:w="1336" w:type="dxa"/>
          </w:tcPr>
          <w:p w14:paraId="18FFA2E0"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2C1ABF66" w14:textId="77777777" w:rsidTr="00110D28">
        <w:trPr>
          <w:trHeight w:hRule="exact" w:val="284"/>
          <w:jc w:val="center"/>
        </w:trPr>
        <w:tc>
          <w:tcPr>
            <w:tcW w:w="711" w:type="dxa"/>
          </w:tcPr>
          <w:p w14:paraId="13C31318"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3DC02EB3" w14:textId="77777777" w:rsidR="008407BB" w:rsidRPr="00BA6E2D" w:rsidRDefault="008407BB" w:rsidP="00110D28">
            <w:pPr>
              <w:rPr>
                <w:rFonts w:ascii="Times New Roman" w:hAnsi="Times New Roman"/>
                <w:szCs w:val="24"/>
              </w:rPr>
            </w:pPr>
            <w:r w:rsidRPr="00BA6E2D">
              <w:rPr>
                <w:rFonts w:ascii="Times New Roman" w:hAnsi="Times New Roman"/>
                <w:szCs w:val="24"/>
              </w:rPr>
              <w:t>Miriam</w:t>
            </w:r>
          </w:p>
        </w:tc>
        <w:tc>
          <w:tcPr>
            <w:tcW w:w="1783" w:type="dxa"/>
          </w:tcPr>
          <w:p w14:paraId="10CC5E99" w14:textId="77777777" w:rsidR="008407BB" w:rsidRPr="00BA6E2D" w:rsidRDefault="008407BB" w:rsidP="00110D28">
            <w:pPr>
              <w:rPr>
                <w:rFonts w:ascii="Times New Roman" w:hAnsi="Times New Roman"/>
                <w:szCs w:val="24"/>
              </w:rPr>
            </w:pPr>
            <w:r w:rsidRPr="00BA6E2D">
              <w:rPr>
                <w:rFonts w:ascii="Times New Roman" w:hAnsi="Times New Roman"/>
                <w:szCs w:val="24"/>
              </w:rPr>
              <w:t>Kogi</w:t>
            </w:r>
          </w:p>
        </w:tc>
        <w:tc>
          <w:tcPr>
            <w:tcW w:w="2268" w:type="dxa"/>
          </w:tcPr>
          <w:p w14:paraId="0B55D7B2" w14:textId="77777777" w:rsidR="008407BB" w:rsidRPr="00BA6E2D" w:rsidRDefault="008407BB" w:rsidP="00110D28">
            <w:pPr>
              <w:rPr>
                <w:rFonts w:ascii="Times New Roman" w:hAnsi="Times New Roman"/>
                <w:szCs w:val="24"/>
              </w:rPr>
            </w:pPr>
            <w:r w:rsidRPr="00BA6E2D">
              <w:rPr>
                <w:rFonts w:ascii="Times New Roman" w:hAnsi="Times New Roman"/>
                <w:szCs w:val="24"/>
              </w:rPr>
              <w:t>North-Central</w:t>
            </w:r>
          </w:p>
        </w:tc>
        <w:tc>
          <w:tcPr>
            <w:tcW w:w="1762" w:type="dxa"/>
          </w:tcPr>
          <w:p w14:paraId="77407F68" w14:textId="77777777" w:rsidR="008407BB" w:rsidRPr="00BA6E2D" w:rsidRDefault="008407BB" w:rsidP="00110D28">
            <w:pPr>
              <w:rPr>
                <w:rFonts w:ascii="Times New Roman" w:hAnsi="Times New Roman"/>
                <w:szCs w:val="24"/>
              </w:rPr>
            </w:pPr>
            <w:r w:rsidRPr="00BA6E2D">
              <w:rPr>
                <w:rFonts w:ascii="Times New Roman" w:hAnsi="Times New Roman"/>
                <w:szCs w:val="24"/>
              </w:rPr>
              <w:t>Igala</w:t>
            </w:r>
          </w:p>
        </w:tc>
        <w:tc>
          <w:tcPr>
            <w:tcW w:w="1701" w:type="dxa"/>
          </w:tcPr>
          <w:p w14:paraId="0064BE62" w14:textId="77777777" w:rsidR="008407BB" w:rsidRPr="00BA6E2D" w:rsidRDefault="008407BB" w:rsidP="00110D28">
            <w:pPr>
              <w:rPr>
                <w:rFonts w:ascii="Times New Roman" w:hAnsi="Times New Roman"/>
                <w:szCs w:val="24"/>
              </w:rPr>
            </w:pPr>
            <w:r w:rsidRPr="00BA6E2D">
              <w:rPr>
                <w:rFonts w:ascii="Times New Roman" w:hAnsi="Times New Roman"/>
                <w:szCs w:val="24"/>
              </w:rPr>
              <w:t>Kaduna</w:t>
            </w:r>
          </w:p>
        </w:tc>
        <w:tc>
          <w:tcPr>
            <w:tcW w:w="3908" w:type="dxa"/>
          </w:tcPr>
          <w:p w14:paraId="33E863FC" w14:textId="77777777" w:rsidR="008407BB" w:rsidRPr="00BA6E2D" w:rsidRDefault="008407BB" w:rsidP="00110D28">
            <w:pPr>
              <w:rPr>
                <w:rFonts w:ascii="Times New Roman" w:hAnsi="Times New Roman"/>
                <w:szCs w:val="24"/>
              </w:rPr>
            </w:pPr>
            <w:r w:rsidRPr="00BA6E2D">
              <w:rPr>
                <w:rFonts w:ascii="Times New Roman" w:hAnsi="Times New Roman"/>
                <w:szCs w:val="24"/>
              </w:rPr>
              <w:t>Kaduna</w:t>
            </w:r>
          </w:p>
        </w:tc>
        <w:tc>
          <w:tcPr>
            <w:tcW w:w="1336" w:type="dxa"/>
          </w:tcPr>
          <w:p w14:paraId="75507EBB"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74B996EA" w14:textId="77777777" w:rsidTr="00110D28">
        <w:trPr>
          <w:trHeight w:hRule="exact" w:val="284"/>
          <w:jc w:val="center"/>
        </w:trPr>
        <w:tc>
          <w:tcPr>
            <w:tcW w:w="711" w:type="dxa"/>
          </w:tcPr>
          <w:p w14:paraId="192D8273"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01F239D1" w14:textId="77777777" w:rsidR="008407BB" w:rsidRPr="00BA6E2D" w:rsidRDefault="008407BB" w:rsidP="00110D28">
            <w:pPr>
              <w:rPr>
                <w:rFonts w:ascii="Times New Roman" w:hAnsi="Times New Roman"/>
                <w:szCs w:val="24"/>
              </w:rPr>
            </w:pPr>
            <w:r w:rsidRPr="00BA6E2D">
              <w:rPr>
                <w:rFonts w:ascii="Times New Roman" w:hAnsi="Times New Roman"/>
                <w:szCs w:val="24"/>
              </w:rPr>
              <w:t>Morgan</w:t>
            </w:r>
          </w:p>
        </w:tc>
        <w:tc>
          <w:tcPr>
            <w:tcW w:w="1783" w:type="dxa"/>
          </w:tcPr>
          <w:p w14:paraId="44A0B7B4" w14:textId="77777777" w:rsidR="008407BB" w:rsidRPr="00BA6E2D" w:rsidRDefault="008407BB" w:rsidP="00110D28">
            <w:pPr>
              <w:rPr>
                <w:rFonts w:ascii="Times New Roman" w:hAnsi="Times New Roman"/>
                <w:szCs w:val="24"/>
              </w:rPr>
            </w:pPr>
            <w:r w:rsidRPr="00BA6E2D">
              <w:rPr>
                <w:rFonts w:ascii="Times New Roman" w:hAnsi="Times New Roman"/>
                <w:szCs w:val="24"/>
              </w:rPr>
              <w:t>Ondo</w:t>
            </w:r>
          </w:p>
        </w:tc>
        <w:tc>
          <w:tcPr>
            <w:tcW w:w="2268" w:type="dxa"/>
          </w:tcPr>
          <w:p w14:paraId="64B457BF"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759725AE"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428D889C" w14:textId="77777777" w:rsidR="008407BB" w:rsidRPr="00BA6E2D" w:rsidRDefault="008407BB" w:rsidP="00110D28">
            <w:pPr>
              <w:rPr>
                <w:rFonts w:ascii="Times New Roman" w:hAnsi="Times New Roman"/>
                <w:szCs w:val="24"/>
              </w:rPr>
            </w:pPr>
            <w:r w:rsidRPr="00BA6E2D">
              <w:rPr>
                <w:rFonts w:ascii="Times New Roman" w:hAnsi="Times New Roman"/>
                <w:szCs w:val="24"/>
              </w:rPr>
              <w:t>Ondo</w:t>
            </w:r>
          </w:p>
        </w:tc>
        <w:tc>
          <w:tcPr>
            <w:tcW w:w="3908" w:type="dxa"/>
          </w:tcPr>
          <w:p w14:paraId="4ABEA103" w14:textId="77777777" w:rsidR="008407BB" w:rsidRPr="00BA6E2D" w:rsidRDefault="008407BB" w:rsidP="00110D28">
            <w:pPr>
              <w:rPr>
                <w:rFonts w:ascii="Times New Roman" w:hAnsi="Times New Roman"/>
                <w:szCs w:val="24"/>
              </w:rPr>
            </w:pPr>
            <w:r w:rsidRPr="00BA6E2D">
              <w:rPr>
                <w:rFonts w:ascii="Times New Roman" w:hAnsi="Times New Roman"/>
                <w:szCs w:val="24"/>
              </w:rPr>
              <w:t>Ondo; Benin</w:t>
            </w:r>
          </w:p>
        </w:tc>
        <w:tc>
          <w:tcPr>
            <w:tcW w:w="1336" w:type="dxa"/>
          </w:tcPr>
          <w:p w14:paraId="0E33CFDA"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78B67EF0" w14:textId="77777777" w:rsidTr="00110D28">
        <w:trPr>
          <w:trHeight w:hRule="exact" w:val="284"/>
          <w:jc w:val="center"/>
        </w:trPr>
        <w:tc>
          <w:tcPr>
            <w:tcW w:w="711" w:type="dxa"/>
          </w:tcPr>
          <w:p w14:paraId="0EDF7C1B"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2EA8DD45" w14:textId="77777777" w:rsidR="008407BB" w:rsidRPr="00BA6E2D" w:rsidRDefault="008407BB" w:rsidP="00110D28">
            <w:pPr>
              <w:rPr>
                <w:rFonts w:ascii="Times New Roman" w:hAnsi="Times New Roman"/>
                <w:szCs w:val="24"/>
              </w:rPr>
            </w:pPr>
            <w:r w:rsidRPr="00BA6E2D">
              <w:rPr>
                <w:rFonts w:ascii="Times New Roman" w:hAnsi="Times New Roman"/>
                <w:szCs w:val="24"/>
              </w:rPr>
              <w:t>Omolara</w:t>
            </w:r>
          </w:p>
        </w:tc>
        <w:tc>
          <w:tcPr>
            <w:tcW w:w="1783" w:type="dxa"/>
          </w:tcPr>
          <w:p w14:paraId="1F3D6228" w14:textId="77777777" w:rsidR="008407BB" w:rsidRPr="00BA6E2D" w:rsidRDefault="008407BB" w:rsidP="00110D28">
            <w:pPr>
              <w:rPr>
                <w:rFonts w:ascii="Times New Roman" w:hAnsi="Times New Roman"/>
                <w:szCs w:val="24"/>
              </w:rPr>
            </w:pPr>
            <w:r w:rsidRPr="00BA6E2D">
              <w:rPr>
                <w:rFonts w:ascii="Times New Roman" w:hAnsi="Times New Roman"/>
                <w:szCs w:val="24"/>
              </w:rPr>
              <w:t>Oyo</w:t>
            </w:r>
          </w:p>
        </w:tc>
        <w:tc>
          <w:tcPr>
            <w:tcW w:w="2268" w:type="dxa"/>
          </w:tcPr>
          <w:p w14:paraId="10EB53F4"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2F006CB1"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3E568CDB" w14:textId="77777777" w:rsidR="008407BB" w:rsidRPr="00BA6E2D" w:rsidRDefault="008407BB" w:rsidP="00110D28">
            <w:pPr>
              <w:rPr>
                <w:rFonts w:ascii="Times New Roman" w:hAnsi="Times New Roman"/>
                <w:szCs w:val="24"/>
              </w:rPr>
            </w:pPr>
            <w:r w:rsidRPr="00BA6E2D">
              <w:rPr>
                <w:rFonts w:ascii="Times New Roman" w:hAnsi="Times New Roman"/>
                <w:szCs w:val="24"/>
              </w:rPr>
              <w:t>Ibadan</w:t>
            </w:r>
          </w:p>
        </w:tc>
        <w:tc>
          <w:tcPr>
            <w:tcW w:w="3908" w:type="dxa"/>
          </w:tcPr>
          <w:p w14:paraId="19667D23" w14:textId="77777777" w:rsidR="008407BB" w:rsidRPr="00BA6E2D" w:rsidRDefault="008407BB" w:rsidP="00110D28">
            <w:pPr>
              <w:rPr>
                <w:rFonts w:ascii="Times New Roman" w:hAnsi="Times New Roman"/>
                <w:szCs w:val="24"/>
              </w:rPr>
            </w:pPr>
            <w:r w:rsidRPr="00BA6E2D">
              <w:rPr>
                <w:rFonts w:ascii="Times New Roman" w:hAnsi="Times New Roman"/>
                <w:szCs w:val="24"/>
              </w:rPr>
              <w:t>Ibadan</w:t>
            </w:r>
          </w:p>
        </w:tc>
        <w:tc>
          <w:tcPr>
            <w:tcW w:w="1336" w:type="dxa"/>
          </w:tcPr>
          <w:p w14:paraId="0BDB5773"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2E91E971" w14:textId="77777777" w:rsidTr="00110D28">
        <w:trPr>
          <w:trHeight w:hRule="exact" w:val="284"/>
          <w:jc w:val="center"/>
        </w:trPr>
        <w:tc>
          <w:tcPr>
            <w:tcW w:w="711" w:type="dxa"/>
          </w:tcPr>
          <w:p w14:paraId="0C30A4D1"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412FA17E" w14:textId="77777777" w:rsidR="008407BB" w:rsidRPr="00BA6E2D" w:rsidRDefault="008407BB" w:rsidP="00110D28">
            <w:pPr>
              <w:rPr>
                <w:rFonts w:ascii="Times New Roman" w:hAnsi="Times New Roman"/>
                <w:szCs w:val="24"/>
              </w:rPr>
            </w:pPr>
            <w:r w:rsidRPr="00BA6E2D">
              <w:rPr>
                <w:rFonts w:ascii="Times New Roman" w:hAnsi="Times New Roman"/>
                <w:szCs w:val="24"/>
              </w:rPr>
              <w:t>Oscar</w:t>
            </w:r>
          </w:p>
        </w:tc>
        <w:tc>
          <w:tcPr>
            <w:tcW w:w="1783" w:type="dxa"/>
          </w:tcPr>
          <w:p w14:paraId="5B53481F" w14:textId="77777777" w:rsidR="008407BB" w:rsidRPr="00BA6E2D" w:rsidRDefault="008407BB" w:rsidP="00110D28">
            <w:pPr>
              <w:rPr>
                <w:rFonts w:ascii="Times New Roman" w:hAnsi="Times New Roman"/>
                <w:szCs w:val="24"/>
              </w:rPr>
            </w:pPr>
            <w:r w:rsidRPr="00BA6E2D">
              <w:rPr>
                <w:rFonts w:ascii="Times New Roman" w:hAnsi="Times New Roman"/>
                <w:szCs w:val="24"/>
              </w:rPr>
              <w:t>Anambra</w:t>
            </w:r>
          </w:p>
        </w:tc>
        <w:tc>
          <w:tcPr>
            <w:tcW w:w="2268" w:type="dxa"/>
          </w:tcPr>
          <w:p w14:paraId="2502B5F0" w14:textId="77777777" w:rsidR="008407BB" w:rsidRPr="00BA6E2D" w:rsidRDefault="008407BB" w:rsidP="00110D28">
            <w:pPr>
              <w:rPr>
                <w:rFonts w:ascii="Times New Roman" w:hAnsi="Times New Roman"/>
                <w:szCs w:val="24"/>
              </w:rPr>
            </w:pPr>
            <w:r w:rsidRPr="00BA6E2D">
              <w:rPr>
                <w:rFonts w:ascii="Times New Roman" w:hAnsi="Times New Roman"/>
                <w:szCs w:val="24"/>
              </w:rPr>
              <w:t>South-East</w:t>
            </w:r>
          </w:p>
        </w:tc>
        <w:tc>
          <w:tcPr>
            <w:tcW w:w="1762" w:type="dxa"/>
          </w:tcPr>
          <w:p w14:paraId="740A8882" w14:textId="77777777" w:rsidR="008407BB" w:rsidRPr="00BA6E2D" w:rsidRDefault="008407BB" w:rsidP="00110D28">
            <w:pPr>
              <w:rPr>
                <w:rFonts w:ascii="Times New Roman" w:hAnsi="Times New Roman"/>
                <w:szCs w:val="24"/>
              </w:rPr>
            </w:pPr>
            <w:r w:rsidRPr="00BA6E2D">
              <w:rPr>
                <w:rFonts w:ascii="Times New Roman" w:hAnsi="Times New Roman"/>
                <w:szCs w:val="24"/>
              </w:rPr>
              <w:t>Igbo</w:t>
            </w:r>
          </w:p>
        </w:tc>
        <w:tc>
          <w:tcPr>
            <w:tcW w:w="1701" w:type="dxa"/>
          </w:tcPr>
          <w:p w14:paraId="5323D8A3" w14:textId="77777777" w:rsidR="008407BB" w:rsidRPr="00BA6E2D" w:rsidRDefault="008407BB" w:rsidP="00110D28">
            <w:pPr>
              <w:rPr>
                <w:rFonts w:ascii="Times New Roman" w:hAnsi="Times New Roman"/>
                <w:szCs w:val="24"/>
              </w:rPr>
            </w:pPr>
            <w:r w:rsidRPr="00BA6E2D">
              <w:rPr>
                <w:rFonts w:ascii="Times New Roman" w:hAnsi="Times New Roman"/>
                <w:szCs w:val="24"/>
              </w:rPr>
              <w:t>Otukpo</w:t>
            </w:r>
          </w:p>
        </w:tc>
        <w:tc>
          <w:tcPr>
            <w:tcW w:w="3908" w:type="dxa"/>
          </w:tcPr>
          <w:p w14:paraId="213AD755" w14:textId="77777777" w:rsidR="008407BB" w:rsidRPr="00BA6E2D" w:rsidRDefault="008407BB" w:rsidP="00110D28">
            <w:pPr>
              <w:rPr>
                <w:rFonts w:ascii="Times New Roman" w:hAnsi="Times New Roman"/>
                <w:szCs w:val="24"/>
              </w:rPr>
            </w:pPr>
            <w:r w:rsidRPr="00BA6E2D">
              <w:rPr>
                <w:rFonts w:ascii="Times New Roman" w:hAnsi="Times New Roman"/>
                <w:szCs w:val="24"/>
              </w:rPr>
              <w:t>Otukpo; Owerri; Lagos; PH</w:t>
            </w:r>
          </w:p>
        </w:tc>
        <w:tc>
          <w:tcPr>
            <w:tcW w:w="1336" w:type="dxa"/>
          </w:tcPr>
          <w:p w14:paraId="6963A3DB"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677E3CA0" w14:textId="77777777" w:rsidTr="00110D28">
        <w:trPr>
          <w:trHeight w:hRule="exact" w:val="284"/>
          <w:jc w:val="center"/>
        </w:trPr>
        <w:tc>
          <w:tcPr>
            <w:tcW w:w="711" w:type="dxa"/>
          </w:tcPr>
          <w:p w14:paraId="2EB56892"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00797EB0" w14:textId="77777777" w:rsidR="008407BB" w:rsidRPr="00BA6E2D" w:rsidRDefault="008407BB" w:rsidP="00110D28">
            <w:pPr>
              <w:rPr>
                <w:rFonts w:ascii="Times New Roman" w:hAnsi="Times New Roman"/>
                <w:szCs w:val="24"/>
              </w:rPr>
            </w:pPr>
            <w:r w:rsidRPr="00BA6E2D">
              <w:rPr>
                <w:rFonts w:ascii="Times New Roman" w:hAnsi="Times New Roman"/>
                <w:szCs w:val="24"/>
              </w:rPr>
              <w:t>Paul</w:t>
            </w:r>
          </w:p>
        </w:tc>
        <w:tc>
          <w:tcPr>
            <w:tcW w:w="1783" w:type="dxa"/>
          </w:tcPr>
          <w:p w14:paraId="4FFDCAA7" w14:textId="77777777" w:rsidR="008407BB" w:rsidRPr="00BA6E2D" w:rsidRDefault="008407BB" w:rsidP="00110D28">
            <w:pPr>
              <w:rPr>
                <w:rFonts w:ascii="Times New Roman" w:hAnsi="Times New Roman"/>
                <w:szCs w:val="24"/>
              </w:rPr>
            </w:pPr>
            <w:r w:rsidRPr="00BA6E2D">
              <w:rPr>
                <w:rFonts w:ascii="Times New Roman" w:hAnsi="Times New Roman"/>
                <w:szCs w:val="24"/>
              </w:rPr>
              <w:t>Oyo</w:t>
            </w:r>
          </w:p>
        </w:tc>
        <w:tc>
          <w:tcPr>
            <w:tcW w:w="2268" w:type="dxa"/>
          </w:tcPr>
          <w:p w14:paraId="565442A8"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798E121A"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5A595EF0"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3908" w:type="dxa"/>
          </w:tcPr>
          <w:p w14:paraId="319C01D1" w14:textId="77777777" w:rsidR="008407BB" w:rsidRPr="00BA6E2D" w:rsidRDefault="008407BB" w:rsidP="00110D28">
            <w:pPr>
              <w:rPr>
                <w:rFonts w:ascii="Times New Roman" w:hAnsi="Times New Roman"/>
                <w:szCs w:val="24"/>
              </w:rPr>
            </w:pPr>
            <w:r w:rsidRPr="00BA6E2D">
              <w:rPr>
                <w:rFonts w:ascii="Times New Roman" w:hAnsi="Times New Roman"/>
                <w:szCs w:val="24"/>
              </w:rPr>
              <w:t>Aba; Ibadan</w:t>
            </w:r>
          </w:p>
        </w:tc>
        <w:tc>
          <w:tcPr>
            <w:tcW w:w="1336" w:type="dxa"/>
          </w:tcPr>
          <w:p w14:paraId="48FE8697"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437F1A34" w14:textId="77777777" w:rsidTr="00110D28">
        <w:trPr>
          <w:trHeight w:hRule="exact" w:val="284"/>
          <w:jc w:val="center"/>
        </w:trPr>
        <w:tc>
          <w:tcPr>
            <w:tcW w:w="711" w:type="dxa"/>
          </w:tcPr>
          <w:p w14:paraId="70E8A3EF"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27E5F18D" w14:textId="77777777" w:rsidR="008407BB" w:rsidRPr="00BA6E2D" w:rsidRDefault="008407BB" w:rsidP="00110D28">
            <w:pPr>
              <w:rPr>
                <w:rFonts w:ascii="Times New Roman" w:hAnsi="Times New Roman"/>
                <w:szCs w:val="24"/>
              </w:rPr>
            </w:pPr>
            <w:r w:rsidRPr="00BA6E2D">
              <w:rPr>
                <w:rFonts w:ascii="Times New Roman" w:hAnsi="Times New Roman"/>
                <w:szCs w:val="24"/>
              </w:rPr>
              <w:t>Robert</w:t>
            </w:r>
          </w:p>
        </w:tc>
        <w:tc>
          <w:tcPr>
            <w:tcW w:w="1783" w:type="dxa"/>
          </w:tcPr>
          <w:p w14:paraId="3B706D17" w14:textId="77777777" w:rsidR="008407BB" w:rsidRPr="00BA6E2D" w:rsidRDefault="008407BB" w:rsidP="00110D28">
            <w:pPr>
              <w:rPr>
                <w:rFonts w:ascii="Times New Roman" w:hAnsi="Times New Roman"/>
                <w:szCs w:val="24"/>
              </w:rPr>
            </w:pPr>
            <w:r w:rsidRPr="00BA6E2D">
              <w:rPr>
                <w:rFonts w:ascii="Times New Roman" w:hAnsi="Times New Roman"/>
                <w:szCs w:val="24"/>
              </w:rPr>
              <w:t>Benue</w:t>
            </w:r>
          </w:p>
        </w:tc>
        <w:tc>
          <w:tcPr>
            <w:tcW w:w="2268" w:type="dxa"/>
          </w:tcPr>
          <w:p w14:paraId="6315CE0A" w14:textId="77777777" w:rsidR="008407BB" w:rsidRPr="00BA6E2D" w:rsidRDefault="008407BB" w:rsidP="00110D28">
            <w:pPr>
              <w:rPr>
                <w:rFonts w:ascii="Times New Roman" w:hAnsi="Times New Roman"/>
                <w:szCs w:val="24"/>
              </w:rPr>
            </w:pPr>
            <w:r w:rsidRPr="00BA6E2D">
              <w:rPr>
                <w:rFonts w:ascii="Times New Roman" w:hAnsi="Times New Roman"/>
                <w:szCs w:val="24"/>
              </w:rPr>
              <w:t>North-Central</w:t>
            </w:r>
          </w:p>
        </w:tc>
        <w:tc>
          <w:tcPr>
            <w:tcW w:w="1762" w:type="dxa"/>
          </w:tcPr>
          <w:p w14:paraId="568E48CC" w14:textId="77777777" w:rsidR="008407BB" w:rsidRPr="00BA6E2D" w:rsidRDefault="008407BB" w:rsidP="00110D28">
            <w:pPr>
              <w:rPr>
                <w:rFonts w:ascii="Times New Roman" w:hAnsi="Times New Roman"/>
                <w:szCs w:val="24"/>
              </w:rPr>
            </w:pPr>
            <w:r w:rsidRPr="00BA6E2D">
              <w:rPr>
                <w:rFonts w:ascii="Times New Roman" w:hAnsi="Times New Roman"/>
                <w:szCs w:val="24"/>
              </w:rPr>
              <w:t>Tiv</w:t>
            </w:r>
          </w:p>
        </w:tc>
        <w:tc>
          <w:tcPr>
            <w:tcW w:w="1701" w:type="dxa"/>
          </w:tcPr>
          <w:p w14:paraId="2B8B9AEB" w14:textId="77777777" w:rsidR="008407BB" w:rsidRPr="00BA6E2D" w:rsidRDefault="008407BB" w:rsidP="00110D28">
            <w:pPr>
              <w:rPr>
                <w:rFonts w:ascii="Times New Roman" w:hAnsi="Times New Roman"/>
                <w:szCs w:val="24"/>
              </w:rPr>
            </w:pPr>
            <w:r w:rsidRPr="00BA6E2D">
              <w:rPr>
                <w:rFonts w:ascii="Times New Roman" w:hAnsi="Times New Roman"/>
                <w:szCs w:val="24"/>
              </w:rPr>
              <w:t>Kaduna</w:t>
            </w:r>
          </w:p>
        </w:tc>
        <w:tc>
          <w:tcPr>
            <w:tcW w:w="3908" w:type="dxa"/>
          </w:tcPr>
          <w:p w14:paraId="25C2F6EC" w14:textId="77777777" w:rsidR="008407BB" w:rsidRPr="00BA6E2D" w:rsidRDefault="008407BB" w:rsidP="00110D28">
            <w:pPr>
              <w:rPr>
                <w:rFonts w:ascii="Times New Roman" w:hAnsi="Times New Roman"/>
                <w:szCs w:val="24"/>
              </w:rPr>
            </w:pPr>
            <w:r w:rsidRPr="00BA6E2D">
              <w:rPr>
                <w:rFonts w:ascii="Times New Roman" w:hAnsi="Times New Roman"/>
                <w:szCs w:val="24"/>
              </w:rPr>
              <w:t xml:space="preserve">Kaduna; Ibadan, </w:t>
            </w:r>
          </w:p>
        </w:tc>
        <w:tc>
          <w:tcPr>
            <w:tcW w:w="1336" w:type="dxa"/>
          </w:tcPr>
          <w:p w14:paraId="43879580"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7A639446" w14:textId="77777777" w:rsidTr="00110D28">
        <w:trPr>
          <w:trHeight w:hRule="exact" w:val="284"/>
          <w:jc w:val="center"/>
        </w:trPr>
        <w:tc>
          <w:tcPr>
            <w:tcW w:w="711" w:type="dxa"/>
          </w:tcPr>
          <w:p w14:paraId="7E1D1A66"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3D8AAF45" w14:textId="77777777" w:rsidR="008407BB" w:rsidRPr="00BA6E2D" w:rsidRDefault="008407BB" w:rsidP="00110D28">
            <w:pPr>
              <w:rPr>
                <w:rFonts w:ascii="Times New Roman" w:hAnsi="Times New Roman"/>
                <w:szCs w:val="24"/>
              </w:rPr>
            </w:pPr>
            <w:r w:rsidRPr="00BA6E2D">
              <w:rPr>
                <w:rFonts w:ascii="Times New Roman" w:hAnsi="Times New Roman"/>
                <w:szCs w:val="24"/>
              </w:rPr>
              <w:t>Shade</w:t>
            </w:r>
          </w:p>
        </w:tc>
        <w:tc>
          <w:tcPr>
            <w:tcW w:w="1783" w:type="dxa"/>
          </w:tcPr>
          <w:p w14:paraId="0C72B96B"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2268" w:type="dxa"/>
          </w:tcPr>
          <w:p w14:paraId="283FFF0F" w14:textId="77777777" w:rsidR="008407BB" w:rsidRPr="00BA6E2D" w:rsidRDefault="008407BB" w:rsidP="00110D28">
            <w:pPr>
              <w:rPr>
                <w:rFonts w:ascii="Times New Roman" w:hAnsi="Times New Roman"/>
                <w:szCs w:val="24"/>
              </w:rPr>
            </w:pPr>
            <w:r w:rsidRPr="00BA6E2D">
              <w:rPr>
                <w:rFonts w:ascii="Times New Roman" w:hAnsi="Times New Roman"/>
                <w:szCs w:val="24"/>
              </w:rPr>
              <w:t>South-West</w:t>
            </w:r>
          </w:p>
        </w:tc>
        <w:tc>
          <w:tcPr>
            <w:tcW w:w="1762" w:type="dxa"/>
          </w:tcPr>
          <w:p w14:paraId="3A28BD57" w14:textId="77777777" w:rsidR="008407BB" w:rsidRPr="00BA6E2D" w:rsidRDefault="008407BB" w:rsidP="00110D28">
            <w:pPr>
              <w:rPr>
                <w:rFonts w:ascii="Times New Roman" w:hAnsi="Times New Roman"/>
                <w:szCs w:val="24"/>
              </w:rPr>
            </w:pPr>
            <w:r w:rsidRPr="00BA6E2D">
              <w:rPr>
                <w:rFonts w:ascii="Times New Roman" w:hAnsi="Times New Roman"/>
                <w:szCs w:val="24"/>
              </w:rPr>
              <w:t>Yoruba</w:t>
            </w:r>
          </w:p>
        </w:tc>
        <w:tc>
          <w:tcPr>
            <w:tcW w:w="1701" w:type="dxa"/>
          </w:tcPr>
          <w:p w14:paraId="47F472BE"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3908" w:type="dxa"/>
          </w:tcPr>
          <w:p w14:paraId="07E2CF73" w14:textId="77777777" w:rsidR="008407BB" w:rsidRPr="00BA6E2D" w:rsidRDefault="008407BB" w:rsidP="00110D28">
            <w:pPr>
              <w:rPr>
                <w:rFonts w:ascii="Times New Roman" w:hAnsi="Times New Roman"/>
                <w:szCs w:val="24"/>
              </w:rPr>
            </w:pPr>
            <w:r w:rsidRPr="00BA6E2D">
              <w:rPr>
                <w:rFonts w:ascii="Times New Roman" w:hAnsi="Times New Roman"/>
                <w:szCs w:val="24"/>
              </w:rPr>
              <w:t>Lagos; Aba; Ibadan</w:t>
            </w:r>
          </w:p>
        </w:tc>
        <w:tc>
          <w:tcPr>
            <w:tcW w:w="1336" w:type="dxa"/>
          </w:tcPr>
          <w:p w14:paraId="233D1BE3"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r w:rsidR="008407BB" w:rsidRPr="00BA6E2D" w14:paraId="36047B16" w14:textId="77777777" w:rsidTr="00110D28">
        <w:trPr>
          <w:trHeight w:hRule="exact" w:val="284"/>
          <w:jc w:val="center"/>
        </w:trPr>
        <w:tc>
          <w:tcPr>
            <w:tcW w:w="711" w:type="dxa"/>
          </w:tcPr>
          <w:p w14:paraId="593C4634" w14:textId="77777777" w:rsidR="008407BB" w:rsidRPr="00BA6E2D" w:rsidRDefault="008407BB" w:rsidP="00110D28">
            <w:pPr>
              <w:pStyle w:val="ListParagraph"/>
              <w:numPr>
                <w:ilvl w:val="0"/>
                <w:numId w:val="2"/>
              </w:numPr>
              <w:rPr>
                <w:rFonts w:ascii="Times New Roman" w:hAnsi="Times New Roman"/>
                <w:szCs w:val="24"/>
              </w:rPr>
            </w:pPr>
          </w:p>
        </w:tc>
        <w:tc>
          <w:tcPr>
            <w:tcW w:w="1470" w:type="dxa"/>
          </w:tcPr>
          <w:p w14:paraId="785E0DA2" w14:textId="77777777" w:rsidR="008407BB" w:rsidRPr="00BA6E2D" w:rsidRDefault="008407BB" w:rsidP="00110D28">
            <w:pPr>
              <w:rPr>
                <w:rFonts w:ascii="Times New Roman" w:hAnsi="Times New Roman"/>
                <w:szCs w:val="24"/>
              </w:rPr>
            </w:pPr>
            <w:r w:rsidRPr="00BA6E2D">
              <w:rPr>
                <w:rFonts w:ascii="Times New Roman" w:hAnsi="Times New Roman"/>
                <w:szCs w:val="24"/>
              </w:rPr>
              <w:t>Sharpiro</w:t>
            </w:r>
          </w:p>
        </w:tc>
        <w:tc>
          <w:tcPr>
            <w:tcW w:w="1783" w:type="dxa"/>
          </w:tcPr>
          <w:p w14:paraId="4B3DEA66" w14:textId="77777777" w:rsidR="008407BB" w:rsidRPr="00BA6E2D" w:rsidRDefault="008407BB" w:rsidP="00110D28">
            <w:pPr>
              <w:rPr>
                <w:rFonts w:ascii="Times New Roman" w:hAnsi="Times New Roman"/>
                <w:szCs w:val="24"/>
              </w:rPr>
            </w:pPr>
            <w:r w:rsidRPr="00BA6E2D">
              <w:rPr>
                <w:rFonts w:ascii="Times New Roman" w:hAnsi="Times New Roman"/>
                <w:szCs w:val="24"/>
              </w:rPr>
              <w:t>Edo</w:t>
            </w:r>
          </w:p>
        </w:tc>
        <w:tc>
          <w:tcPr>
            <w:tcW w:w="2268" w:type="dxa"/>
          </w:tcPr>
          <w:p w14:paraId="21563049" w14:textId="77777777" w:rsidR="008407BB" w:rsidRPr="00BA6E2D" w:rsidRDefault="008407BB" w:rsidP="00110D28">
            <w:pPr>
              <w:rPr>
                <w:rFonts w:ascii="Times New Roman" w:hAnsi="Times New Roman"/>
                <w:b/>
                <w:szCs w:val="24"/>
              </w:rPr>
            </w:pPr>
            <w:r w:rsidRPr="00BA6E2D">
              <w:rPr>
                <w:rFonts w:ascii="Times New Roman" w:hAnsi="Times New Roman"/>
                <w:szCs w:val="24"/>
              </w:rPr>
              <w:t>South-South</w:t>
            </w:r>
          </w:p>
        </w:tc>
        <w:tc>
          <w:tcPr>
            <w:tcW w:w="1762" w:type="dxa"/>
          </w:tcPr>
          <w:p w14:paraId="02872336" w14:textId="77777777" w:rsidR="008407BB" w:rsidRPr="00BA6E2D" w:rsidRDefault="008407BB" w:rsidP="00110D28">
            <w:pPr>
              <w:rPr>
                <w:rFonts w:ascii="Times New Roman" w:hAnsi="Times New Roman"/>
                <w:szCs w:val="24"/>
              </w:rPr>
            </w:pPr>
            <w:r w:rsidRPr="00BA6E2D">
              <w:rPr>
                <w:rFonts w:ascii="Times New Roman" w:hAnsi="Times New Roman"/>
                <w:szCs w:val="24"/>
              </w:rPr>
              <w:t>Edo</w:t>
            </w:r>
          </w:p>
        </w:tc>
        <w:tc>
          <w:tcPr>
            <w:tcW w:w="1701" w:type="dxa"/>
          </w:tcPr>
          <w:p w14:paraId="155E750F" w14:textId="77777777" w:rsidR="008407BB" w:rsidRPr="00BA6E2D" w:rsidRDefault="008407BB" w:rsidP="00110D28">
            <w:pPr>
              <w:rPr>
                <w:rFonts w:ascii="Times New Roman" w:hAnsi="Times New Roman"/>
                <w:szCs w:val="24"/>
              </w:rPr>
            </w:pPr>
            <w:r w:rsidRPr="00BA6E2D">
              <w:rPr>
                <w:rFonts w:ascii="Times New Roman" w:hAnsi="Times New Roman"/>
                <w:szCs w:val="24"/>
              </w:rPr>
              <w:t>Lagos</w:t>
            </w:r>
          </w:p>
        </w:tc>
        <w:tc>
          <w:tcPr>
            <w:tcW w:w="3908" w:type="dxa"/>
          </w:tcPr>
          <w:p w14:paraId="63BD7AE5" w14:textId="77777777" w:rsidR="008407BB" w:rsidRPr="00BA6E2D" w:rsidRDefault="008407BB" w:rsidP="00110D28">
            <w:pPr>
              <w:rPr>
                <w:rFonts w:ascii="Times New Roman" w:hAnsi="Times New Roman"/>
                <w:szCs w:val="24"/>
              </w:rPr>
            </w:pPr>
            <w:r w:rsidRPr="00BA6E2D">
              <w:rPr>
                <w:rFonts w:ascii="Times New Roman" w:hAnsi="Times New Roman"/>
                <w:szCs w:val="24"/>
              </w:rPr>
              <w:t>Lagos; Italy</w:t>
            </w:r>
          </w:p>
        </w:tc>
        <w:tc>
          <w:tcPr>
            <w:tcW w:w="1336" w:type="dxa"/>
          </w:tcPr>
          <w:p w14:paraId="772087BE" w14:textId="77777777" w:rsidR="008407BB" w:rsidRPr="00BA6E2D" w:rsidRDefault="008407BB" w:rsidP="00110D28">
            <w:pPr>
              <w:rPr>
                <w:rFonts w:ascii="Times New Roman" w:hAnsi="Times New Roman"/>
                <w:szCs w:val="24"/>
              </w:rPr>
            </w:pPr>
            <w:r w:rsidRPr="00BA6E2D">
              <w:rPr>
                <w:rFonts w:ascii="Times New Roman" w:hAnsi="Times New Roman"/>
                <w:szCs w:val="24"/>
              </w:rPr>
              <w:t>Urban</w:t>
            </w:r>
          </w:p>
        </w:tc>
      </w:tr>
    </w:tbl>
    <w:p w14:paraId="64F2C698" w14:textId="77777777" w:rsidR="008407BB" w:rsidRPr="00BA6E2D" w:rsidRDefault="008407BB" w:rsidP="005105F0">
      <w:pPr>
        <w:rPr>
          <w:rFonts w:ascii="Times New Roman" w:hAnsi="Times New Roman"/>
          <w:szCs w:val="24"/>
        </w:rPr>
        <w:sectPr w:rsidR="008407BB" w:rsidRPr="00BA6E2D" w:rsidSect="005C73C8">
          <w:pgSz w:w="16838" w:h="11906" w:orient="landscape"/>
          <w:pgMar w:top="1797" w:right="1440" w:bottom="1797" w:left="1440" w:header="709" w:footer="709" w:gutter="0"/>
          <w:cols w:space="708"/>
          <w:docGrid w:linePitch="360"/>
        </w:sectPr>
      </w:pPr>
      <w:r w:rsidRPr="00BA6E2D">
        <w:rPr>
          <w:rFonts w:ascii="Times New Roman" w:hAnsi="Times New Roman"/>
          <w:szCs w:val="24"/>
        </w:rPr>
        <w:t>* - Dankay was born in Brazil; PH - Port Harcourt (a city in Nigeria’s Niger Delta)</w:t>
      </w:r>
    </w:p>
    <w:p w14:paraId="7B4751E2" w14:textId="1461CAD2" w:rsidR="008407BB" w:rsidRPr="00213260" w:rsidRDefault="008407BB" w:rsidP="008407BB">
      <w:pPr>
        <w:jc w:val="both"/>
        <w:rPr>
          <w:rFonts w:ascii="Times New Roman" w:hAnsi="Times New Roman"/>
          <w:szCs w:val="24"/>
        </w:rPr>
      </w:pPr>
      <w:r w:rsidRPr="00BA6E2D">
        <w:rPr>
          <w:rFonts w:ascii="Times New Roman" w:hAnsi="Times New Roman"/>
          <w:szCs w:val="24"/>
        </w:rPr>
        <w:lastRenderedPageBreak/>
        <w:t xml:space="preserve">Despite efforts made to recruit Nigerians of all ethnic groups, the main observable difference between my participants and the general Nigerian population was the absence of participants who self-identified as Muslims or were from the main ethnic groups in the north of Nigeria (the Hausa Fulani ethnic groups). As a result, I would suggest that the findings from this study do not specifically apply to any specific ethnic group. In other words, the concept of ‘being a Nigerian care worker’ was approached from the point of view of the participants </w:t>
      </w:r>
      <w:bookmarkStart w:id="172" w:name="_Hlk32221835"/>
      <w:r w:rsidRPr="00BA6E2D">
        <w:rPr>
          <w:rFonts w:ascii="Times New Roman" w:hAnsi="Times New Roman"/>
          <w:szCs w:val="24"/>
        </w:rPr>
        <w:t xml:space="preserve">originating </w:t>
      </w:r>
      <w:bookmarkEnd w:id="172"/>
      <w:r w:rsidRPr="00BA6E2D">
        <w:rPr>
          <w:rFonts w:ascii="Times New Roman" w:hAnsi="Times New Roman"/>
          <w:szCs w:val="24"/>
        </w:rPr>
        <w:t>from Nigeria as a country, however, it is important to also acknowledge the complex and heterogeneous nature of peoples ethnic and cultural identity (Amali and Jekayinfa, 2013). This was why other factors such as the place of birth of the participants and the nature of their place of main residence, was also taken into consideration, and are presented below.</w:t>
      </w:r>
    </w:p>
    <w:p w14:paraId="7A1D453B" w14:textId="77777777" w:rsidR="008407BB" w:rsidRPr="00BA6E2D" w:rsidRDefault="008407BB" w:rsidP="006869A3">
      <w:pPr>
        <w:pStyle w:val="Heading3"/>
      </w:pPr>
      <w:bookmarkStart w:id="173" w:name="_Toc86417355"/>
      <w:r w:rsidRPr="00BA6E2D">
        <w:t>7.2.6. Place of birth and place of residence</w:t>
      </w:r>
      <w:bookmarkEnd w:id="173"/>
    </w:p>
    <w:p w14:paraId="4FF5EBA2"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Place of birth and place of residence in Nigeria were classed into rural, sub-urban and urban living (with the latter referring to participants living in densely populated areas, or in the city centres). Most of the participants were born in urban cities across Nigeria, while some were born in semi-urban/urban towns/cities (see Table 7.2). Prior to migrating to the UK, all participants had spent the last few years of living in Nigeria in cities.</w:t>
      </w:r>
    </w:p>
    <w:p w14:paraId="285D81CA"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Research suggests that rural and urban dwellers usually differ in levels of education, and they are usually less exposed to people from other cultures (</w:t>
      </w:r>
      <w:r w:rsidRPr="00BA6E2D">
        <w:rPr>
          <w:rFonts w:ascii="Times New Roman" w:hAnsi="Times New Roman"/>
          <w:iCs/>
          <w:szCs w:val="24"/>
        </w:rPr>
        <w:t>Gasperini, 2000</w:t>
      </w:r>
      <w:r w:rsidRPr="00BA6E2D">
        <w:rPr>
          <w:rFonts w:ascii="Times New Roman" w:hAnsi="Times New Roman"/>
          <w:szCs w:val="24"/>
        </w:rPr>
        <w:t xml:space="preserve">). The essence of exploring the participant’s place of birth and residence was established to gain an insight into their lived experience in Nigeria, so that I could build a profile for my participants to better understand their migratory experience. </w:t>
      </w:r>
    </w:p>
    <w:p w14:paraId="584610C9" w14:textId="06AE9BDB" w:rsidR="008407BB" w:rsidRPr="00213260" w:rsidRDefault="008407BB" w:rsidP="008407BB">
      <w:pPr>
        <w:jc w:val="both"/>
        <w:rPr>
          <w:rFonts w:ascii="Times New Roman" w:hAnsi="Times New Roman"/>
          <w:szCs w:val="24"/>
        </w:rPr>
      </w:pPr>
      <w:r w:rsidRPr="00BA6E2D">
        <w:rPr>
          <w:rFonts w:ascii="Times New Roman" w:hAnsi="Times New Roman"/>
          <w:szCs w:val="24"/>
        </w:rPr>
        <w:t>In the next subsection, I present and discuss the educational and professional background of my participant to complete their profile before exploring their motivation to leave Nigeria for the UK.</w:t>
      </w:r>
    </w:p>
    <w:p w14:paraId="12FEC7BD" w14:textId="77777777" w:rsidR="008407BB" w:rsidRPr="00BA6E2D" w:rsidRDefault="008407BB" w:rsidP="006869A3">
      <w:pPr>
        <w:pStyle w:val="Heading3"/>
      </w:pPr>
      <w:bookmarkStart w:id="174" w:name="_Toc86417356"/>
      <w:r w:rsidRPr="00BA6E2D">
        <w:t xml:space="preserve">7.2.7. </w:t>
      </w:r>
      <w:r w:rsidRPr="0035068D">
        <w:t>Educational and professional background</w:t>
      </w:r>
      <w:bookmarkEnd w:id="174"/>
    </w:p>
    <w:p w14:paraId="53415388"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As part of my study, I wanted to know about the participants’ experiences in Nigeria, including their educational and professional background. Some studies on migrants </w:t>
      </w:r>
      <w:r w:rsidRPr="00BA6E2D">
        <w:rPr>
          <w:rFonts w:ascii="Times New Roman" w:hAnsi="Times New Roman"/>
          <w:szCs w:val="24"/>
        </w:rPr>
        <w:lastRenderedPageBreak/>
        <w:t>working in the UK and other European countries have sometimes presented the picture of some migrant being low-skilled and poorly educated (Facchini and Mayda, 2012; Helbling, 2011). However, Malhotra, Margalit and Mo (2013) have suggested that anti-immigration sentiments remain strong in many sections of society, regardless of whether migrants are well-educated</w:t>
      </w:r>
      <w:r>
        <w:rPr>
          <w:rFonts w:ascii="Times New Roman" w:hAnsi="Times New Roman"/>
          <w:szCs w:val="24"/>
        </w:rPr>
        <w:t xml:space="preserve"> and</w:t>
      </w:r>
      <w:r w:rsidRPr="00BA6E2D">
        <w:rPr>
          <w:rFonts w:ascii="Times New Roman" w:hAnsi="Times New Roman"/>
          <w:szCs w:val="24"/>
        </w:rPr>
        <w:t xml:space="preserve"> highly skilled, or less-educated </w:t>
      </w:r>
      <w:r>
        <w:rPr>
          <w:rFonts w:ascii="Times New Roman" w:hAnsi="Times New Roman"/>
          <w:szCs w:val="24"/>
        </w:rPr>
        <w:t xml:space="preserve">and </w:t>
      </w:r>
      <w:r w:rsidRPr="00BA6E2D">
        <w:rPr>
          <w:rFonts w:ascii="Times New Roman" w:hAnsi="Times New Roman"/>
          <w:szCs w:val="24"/>
        </w:rPr>
        <w:t>low-skilled and this was borne out in my own research.</w:t>
      </w:r>
    </w:p>
    <w:p w14:paraId="0C2E7940"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All the participants had a post-secondary degree before leaving Nigeria for the UK (Table 7.3). Some of the participants had a diploma degree qualification in nursing, obtained from schools and colleges of nursing in Nigeria, while other care</w:t>
      </w:r>
      <w:r>
        <w:rPr>
          <w:rFonts w:ascii="Times New Roman" w:hAnsi="Times New Roman"/>
          <w:szCs w:val="24"/>
        </w:rPr>
        <w:t xml:space="preserve"> work</w:t>
      </w:r>
      <w:r w:rsidRPr="00BA6E2D">
        <w:rPr>
          <w:rFonts w:ascii="Times New Roman" w:hAnsi="Times New Roman"/>
          <w:szCs w:val="24"/>
        </w:rPr>
        <w:t>ers (who did not train as nurses in Nigeria) had their first degree in different fields of study.</w:t>
      </w:r>
    </w:p>
    <w:p w14:paraId="6DEE54DA" w14:textId="77777777" w:rsidR="008407BB" w:rsidRPr="00BA6E2D" w:rsidRDefault="008407BB" w:rsidP="008407BB">
      <w:pPr>
        <w:jc w:val="both"/>
        <w:rPr>
          <w:rFonts w:ascii="Times New Roman" w:hAnsi="Times New Roman"/>
          <w:szCs w:val="24"/>
        </w:rPr>
        <w:sectPr w:rsidR="008407BB" w:rsidRPr="00BA6E2D" w:rsidSect="00260E21">
          <w:pgSz w:w="11906" w:h="16838"/>
          <w:pgMar w:top="1440" w:right="1797" w:bottom="1440" w:left="1797" w:header="709" w:footer="709" w:gutter="0"/>
          <w:cols w:space="708"/>
          <w:docGrid w:linePitch="360"/>
        </w:sectPr>
      </w:pPr>
    </w:p>
    <w:p w14:paraId="6B3A2FC5" w14:textId="3EF07237" w:rsidR="008407BB" w:rsidRPr="00BA6E2D" w:rsidRDefault="008407BB" w:rsidP="003B5CB2">
      <w:pPr>
        <w:rPr>
          <w:rFonts w:ascii="Times New Roman" w:hAnsi="Times New Roman"/>
          <w:szCs w:val="24"/>
        </w:rPr>
      </w:pPr>
      <w:r w:rsidRPr="00BA6E2D">
        <w:rPr>
          <w:rFonts w:ascii="Times New Roman" w:hAnsi="Times New Roman"/>
          <w:b/>
          <w:szCs w:val="24"/>
        </w:rPr>
        <w:lastRenderedPageBreak/>
        <w:t xml:space="preserve">Table 7.3: Table showing the academic qualifications </w:t>
      </w:r>
      <w:r w:rsidR="003B5CB2">
        <w:rPr>
          <w:rFonts w:ascii="Times New Roman" w:hAnsi="Times New Roman"/>
          <w:b/>
          <w:szCs w:val="24"/>
        </w:rPr>
        <w:t xml:space="preserve">and </w:t>
      </w:r>
      <w:r w:rsidRPr="00BA6E2D">
        <w:rPr>
          <w:rFonts w:ascii="Times New Roman" w:hAnsi="Times New Roman"/>
          <w:b/>
          <w:szCs w:val="24"/>
        </w:rPr>
        <w:t>of the participants</w:t>
      </w:r>
      <w:r w:rsidR="003B5CB2">
        <w:rPr>
          <w:rFonts w:ascii="Times New Roman" w:hAnsi="Times New Roman"/>
          <w:b/>
          <w:szCs w:val="24"/>
        </w:rPr>
        <w:t xml:space="preserve"> and their work experience prior to migrating</w:t>
      </w:r>
      <w:r w:rsidRPr="00BA6E2D">
        <w:rPr>
          <w:rFonts w:ascii="Times New Roman" w:hAnsi="Times New Roman"/>
          <w:b/>
          <w:szCs w:val="24"/>
        </w:rPr>
        <w:t>.</w:t>
      </w:r>
    </w:p>
    <w:tbl>
      <w:tblPr>
        <w:tblStyle w:val="TableGrid"/>
        <w:tblW w:w="12469" w:type="dxa"/>
        <w:jc w:val="center"/>
        <w:tblLayout w:type="fixed"/>
        <w:tblLook w:val="04A0" w:firstRow="1" w:lastRow="0" w:firstColumn="1" w:lastColumn="0" w:noHBand="0" w:noVBand="1"/>
      </w:tblPr>
      <w:tblGrid>
        <w:gridCol w:w="846"/>
        <w:gridCol w:w="1559"/>
        <w:gridCol w:w="2490"/>
        <w:gridCol w:w="2471"/>
        <w:gridCol w:w="2835"/>
        <w:gridCol w:w="2268"/>
      </w:tblGrid>
      <w:tr w:rsidR="008407BB" w:rsidRPr="00BA6E2D" w14:paraId="69A3CEB3" w14:textId="77777777" w:rsidTr="00110D28">
        <w:trPr>
          <w:trHeight w:hRule="exact" w:val="851"/>
          <w:jc w:val="center"/>
        </w:trPr>
        <w:tc>
          <w:tcPr>
            <w:tcW w:w="846" w:type="dxa"/>
          </w:tcPr>
          <w:p w14:paraId="32478D15"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S/No</w:t>
            </w:r>
          </w:p>
        </w:tc>
        <w:tc>
          <w:tcPr>
            <w:tcW w:w="1559" w:type="dxa"/>
          </w:tcPr>
          <w:p w14:paraId="7DFC237C"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Participants</w:t>
            </w:r>
          </w:p>
        </w:tc>
        <w:tc>
          <w:tcPr>
            <w:tcW w:w="2490" w:type="dxa"/>
          </w:tcPr>
          <w:p w14:paraId="4CEA497A"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Educational attainment before coming to the UK</w:t>
            </w:r>
          </w:p>
        </w:tc>
        <w:tc>
          <w:tcPr>
            <w:tcW w:w="2471" w:type="dxa"/>
          </w:tcPr>
          <w:p w14:paraId="5311A9DB"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Educational attainment at the time of the interview</w:t>
            </w:r>
          </w:p>
        </w:tc>
        <w:tc>
          <w:tcPr>
            <w:tcW w:w="2835" w:type="dxa"/>
          </w:tcPr>
          <w:p w14:paraId="67AE1CE9"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Main job before coming to the UK</w:t>
            </w:r>
          </w:p>
        </w:tc>
        <w:tc>
          <w:tcPr>
            <w:tcW w:w="2268" w:type="dxa"/>
          </w:tcPr>
          <w:p w14:paraId="1D97F522"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b/>
                <w:szCs w:val="24"/>
              </w:rPr>
              <w:t>Total time spent on the main job before coming to the UK</w:t>
            </w:r>
          </w:p>
        </w:tc>
      </w:tr>
      <w:tr w:rsidR="008407BB" w:rsidRPr="00BA6E2D" w14:paraId="5F950E45" w14:textId="77777777" w:rsidTr="00110D28">
        <w:trPr>
          <w:trHeight w:hRule="exact" w:val="851"/>
          <w:jc w:val="center"/>
        </w:trPr>
        <w:tc>
          <w:tcPr>
            <w:tcW w:w="846" w:type="dxa"/>
          </w:tcPr>
          <w:p w14:paraId="4C3D8F74"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70B53A9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Doris</w:t>
            </w:r>
          </w:p>
        </w:tc>
        <w:tc>
          <w:tcPr>
            <w:tcW w:w="2490" w:type="dxa"/>
          </w:tcPr>
          <w:p w14:paraId="7395B0CF"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in Nursing; Post-basic programme in midwifery</w:t>
            </w:r>
          </w:p>
        </w:tc>
        <w:tc>
          <w:tcPr>
            <w:tcW w:w="2471" w:type="dxa"/>
          </w:tcPr>
          <w:p w14:paraId="50ACDC1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w:t>
            </w:r>
          </w:p>
          <w:p w14:paraId="1283ADE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(in progress)</w:t>
            </w:r>
          </w:p>
        </w:tc>
        <w:tc>
          <w:tcPr>
            <w:tcW w:w="2835" w:type="dxa"/>
          </w:tcPr>
          <w:p w14:paraId="60B2569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general nurse</w:t>
            </w:r>
          </w:p>
        </w:tc>
        <w:tc>
          <w:tcPr>
            <w:tcW w:w="2268" w:type="dxa"/>
          </w:tcPr>
          <w:p w14:paraId="34B003F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2 years</w:t>
            </w:r>
          </w:p>
        </w:tc>
      </w:tr>
      <w:tr w:rsidR="008407BB" w:rsidRPr="00BA6E2D" w14:paraId="68EE4C35" w14:textId="77777777" w:rsidTr="00110D28">
        <w:trPr>
          <w:trHeight w:hRule="exact" w:val="851"/>
          <w:jc w:val="center"/>
        </w:trPr>
        <w:tc>
          <w:tcPr>
            <w:tcW w:w="846" w:type="dxa"/>
          </w:tcPr>
          <w:p w14:paraId="74514A59"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D9E3E00"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Robert</w:t>
            </w:r>
          </w:p>
        </w:tc>
        <w:tc>
          <w:tcPr>
            <w:tcW w:w="2490" w:type="dxa"/>
          </w:tcPr>
          <w:p w14:paraId="6ABD8800"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w:t>
            </w:r>
          </w:p>
        </w:tc>
        <w:tc>
          <w:tcPr>
            <w:tcW w:w="2471" w:type="dxa"/>
          </w:tcPr>
          <w:p w14:paraId="0417478A"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w:t>
            </w:r>
            <w:r>
              <w:rPr>
                <w:rFonts w:ascii="Times New Roman" w:hAnsi="Times New Roman"/>
                <w:szCs w:val="24"/>
              </w:rPr>
              <w:t xml:space="preserve"> </w:t>
            </w:r>
            <w:r w:rsidRPr="00BA6E2D">
              <w:rPr>
                <w:rFonts w:ascii="Times New Roman" w:hAnsi="Times New Roman"/>
                <w:szCs w:val="24"/>
              </w:rPr>
              <w:t>MSc (in progress)</w:t>
            </w:r>
          </w:p>
        </w:tc>
        <w:tc>
          <w:tcPr>
            <w:tcW w:w="2835" w:type="dxa"/>
          </w:tcPr>
          <w:p w14:paraId="0C201CF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general/mental health nurse</w:t>
            </w:r>
          </w:p>
        </w:tc>
        <w:tc>
          <w:tcPr>
            <w:tcW w:w="2268" w:type="dxa"/>
          </w:tcPr>
          <w:p w14:paraId="4703695F"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2 years</w:t>
            </w:r>
          </w:p>
        </w:tc>
      </w:tr>
      <w:tr w:rsidR="008407BB" w:rsidRPr="00BA6E2D" w14:paraId="0992DBE0" w14:textId="77777777" w:rsidTr="00110D28">
        <w:trPr>
          <w:trHeight w:hRule="exact" w:val="851"/>
          <w:jc w:val="center"/>
        </w:trPr>
        <w:tc>
          <w:tcPr>
            <w:tcW w:w="846" w:type="dxa"/>
          </w:tcPr>
          <w:p w14:paraId="18EE8046"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10BBA9F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Kemdo</w:t>
            </w:r>
          </w:p>
        </w:tc>
        <w:tc>
          <w:tcPr>
            <w:tcW w:w="2490" w:type="dxa"/>
          </w:tcPr>
          <w:p w14:paraId="0A7331F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Accountancy</w:t>
            </w:r>
          </w:p>
        </w:tc>
        <w:tc>
          <w:tcPr>
            <w:tcW w:w="2471" w:type="dxa"/>
          </w:tcPr>
          <w:p w14:paraId="0051433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ACCA (in progress)</w:t>
            </w:r>
          </w:p>
        </w:tc>
        <w:tc>
          <w:tcPr>
            <w:tcW w:w="2835" w:type="dxa"/>
          </w:tcPr>
          <w:p w14:paraId="488BCD4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with an accountancy firm.</w:t>
            </w:r>
          </w:p>
        </w:tc>
        <w:tc>
          <w:tcPr>
            <w:tcW w:w="2268" w:type="dxa"/>
          </w:tcPr>
          <w:p w14:paraId="364ED6CA"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3 years</w:t>
            </w:r>
          </w:p>
        </w:tc>
      </w:tr>
      <w:tr w:rsidR="008407BB" w:rsidRPr="00BA6E2D" w14:paraId="6BA6C177" w14:textId="77777777" w:rsidTr="00110D28">
        <w:trPr>
          <w:trHeight w:hRule="exact" w:val="640"/>
          <w:jc w:val="center"/>
        </w:trPr>
        <w:tc>
          <w:tcPr>
            <w:tcW w:w="846" w:type="dxa"/>
          </w:tcPr>
          <w:p w14:paraId="6209E7B4"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310AE19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Adams</w:t>
            </w:r>
          </w:p>
        </w:tc>
        <w:tc>
          <w:tcPr>
            <w:tcW w:w="2490" w:type="dxa"/>
          </w:tcPr>
          <w:p w14:paraId="097D721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BA</w:t>
            </w:r>
          </w:p>
        </w:tc>
        <w:tc>
          <w:tcPr>
            <w:tcW w:w="2471" w:type="dxa"/>
          </w:tcPr>
          <w:p w14:paraId="2C8DB49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Unchanged</w:t>
            </w:r>
          </w:p>
        </w:tc>
        <w:tc>
          <w:tcPr>
            <w:tcW w:w="2835" w:type="dxa"/>
          </w:tcPr>
          <w:p w14:paraId="5355EA7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community liaison officer</w:t>
            </w:r>
          </w:p>
        </w:tc>
        <w:tc>
          <w:tcPr>
            <w:tcW w:w="2268" w:type="dxa"/>
          </w:tcPr>
          <w:p w14:paraId="2210700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5 years</w:t>
            </w:r>
          </w:p>
        </w:tc>
      </w:tr>
      <w:tr w:rsidR="008407BB" w:rsidRPr="00BA6E2D" w14:paraId="613F4281" w14:textId="77777777" w:rsidTr="00110D28">
        <w:trPr>
          <w:trHeight w:hRule="exact" w:val="551"/>
          <w:jc w:val="center"/>
        </w:trPr>
        <w:tc>
          <w:tcPr>
            <w:tcW w:w="846" w:type="dxa"/>
          </w:tcPr>
          <w:p w14:paraId="7758D4E8"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25ECD10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Sharpiro</w:t>
            </w:r>
          </w:p>
        </w:tc>
        <w:tc>
          <w:tcPr>
            <w:tcW w:w="2490" w:type="dxa"/>
          </w:tcPr>
          <w:p w14:paraId="091BC00E"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w:t>
            </w:r>
          </w:p>
        </w:tc>
        <w:tc>
          <w:tcPr>
            <w:tcW w:w="2471" w:type="dxa"/>
          </w:tcPr>
          <w:p w14:paraId="08A389A5" w14:textId="77777777" w:rsidR="008407BB" w:rsidRPr="00BA6E2D" w:rsidRDefault="008407BB" w:rsidP="00110D28">
            <w:pPr>
              <w:spacing w:line="240" w:lineRule="auto"/>
              <w:jc w:val="center"/>
              <w:rPr>
                <w:rFonts w:ascii="Times New Roman" w:hAnsi="Times New Roman"/>
                <w:b/>
                <w:szCs w:val="24"/>
              </w:rPr>
            </w:pPr>
            <w:r w:rsidRPr="00BA6E2D">
              <w:rPr>
                <w:rFonts w:ascii="Times New Roman" w:hAnsi="Times New Roman"/>
                <w:szCs w:val="24"/>
              </w:rPr>
              <w:t>Unchanged</w:t>
            </w:r>
          </w:p>
        </w:tc>
        <w:tc>
          <w:tcPr>
            <w:tcW w:w="2835" w:type="dxa"/>
          </w:tcPr>
          <w:p w14:paraId="04E4270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marketer</w:t>
            </w:r>
          </w:p>
        </w:tc>
        <w:tc>
          <w:tcPr>
            <w:tcW w:w="2268" w:type="dxa"/>
          </w:tcPr>
          <w:p w14:paraId="3FBA183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4 years</w:t>
            </w:r>
          </w:p>
        </w:tc>
      </w:tr>
      <w:tr w:rsidR="008407BB" w:rsidRPr="00BA6E2D" w14:paraId="011B5C80" w14:textId="77777777" w:rsidTr="00110D28">
        <w:trPr>
          <w:trHeight w:hRule="exact" w:val="851"/>
          <w:jc w:val="center"/>
        </w:trPr>
        <w:tc>
          <w:tcPr>
            <w:tcW w:w="846" w:type="dxa"/>
          </w:tcPr>
          <w:p w14:paraId="52E730DE"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0A4AA4F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Jane</w:t>
            </w:r>
          </w:p>
        </w:tc>
        <w:tc>
          <w:tcPr>
            <w:tcW w:w="2490" w:type="dxa"/>
          </w:tcPr>
          <w:p w14:paraId="6CA77C4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w:t>
            </w:r>
          </w:p>
        </w:tc>
        <w:tc>
          <w:tcPr>
            <w:tcW w:w="2471" w:type="dxa"/>
          </w:tcPr>
          <w:p w14:paraId="7057CD3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 MSc (in progress)</w:t>
            </w:r>
          </w:p>
        </w:tc>
        <w:tc>
          <w:tcPr>
            <w:tcW w:w="2835" w:type="dxa"/>
          </w:tcPr>
          <w:p w14:paraId="7368A8F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general nurse</w:t>
            </w:r>
          </w:p>
        </w:tc>
        <w:tc>
          <w:tcPr>
            <w:tcW w:w="2268" w:type="dxa"/>
          </w:tcPr>
          <w:p w14:paraId="1126306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3 years</w:t>
            </w:r>
          </w:p>
        </w:tc>
      </w:tr>
      <w:tr w:rsidR="008407BB" w:rsidRPr="00BA6E2D" w14:paraId="6C5E7A34" w14:textId="77777777" w:rsidTr="00110D28">
        <w:trPr>
          <w:trHeight w:hRule="exact" w:val="569"/>
          <w:jc w:val="center"/>
        </w:trPr>
        <w:tc>
          <w:tcPr>
            <w:tcW w:w="846" w:type="dxa"/>
          </w:tcPr>
          <w:p w14:paraId="11B84AC2"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618A70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Jackie</w:t>
            </w:r>
          </w:p>
        </w:tc>
        <w:tc>
          <w:tcPr>
            <w:tcW w:w="2490" w:type="dxa"/>
          </w:tcPr>
          <w:p w14:paraId="5ACD9A5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BSc</w:t>
            </w:r>
          </w:p>
        </w:tc>
        <w:tc>
          <w:tcPr>
            <w:tcW w:w="2471" w:type="dxa"/>
          </w:tcPr>
          <w:p w14:paraId="1CA7D4E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 (in progress)</w:t>
            </w:r>
          </w:p>
        </w:tc>
        <w:tc>
          <w:tcPr>
            <w:tcW w:w="2835" w:type="dxa"/>
          </w:tcPr>
          <w:p w14:paraId="6D9E6F3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marketer</w:t>
            </w:r>
          </w:p>
        </w:tc>
        <w:tc>
          <w:tcPr>
            <w:tcW w:w="2268" w:type="dxa"/>
          </w:tcPr>
          <w:p w14:paraId="721D62A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5 years</w:t>
            </w:r>
          </w:p>
        </w:tc>
      </w:tr>
      <w:tr w:rsidR="008407BB" w:rsidRPr="00BA6E2D" w14:paraId="165B7ECF" w14:textId="77777777" w:rsidTr="00110D28">
        <w:trPr>
          <w:trHeight w:hRule="exact" w:val="851"/>
          <w:jc w:val="center"/>
        </w:trPr>
        <w:tc>
          <w:tcPr>
            <w:tcW w:w="846" w:type="dxa"/>
          </w:tcPr>
          <w:p w14:paraId="7F831F7D"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45BEF5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Paul</w:t>
            </w:r>
          </w:p>
        </w:tc>
        <w:tc>
          <w:tcPr>
            <w:tcW w:w="2490" w:type="dxa"/>
          </w:tcPr>
          <w:p w14:paraId="35F9392A"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BSc</w:t>
            </w:r>
          </w:p>
        </w:tc>
        <w:tc>
          <w:tcPr>
            <w:tcW w:w="2471" w:type="dxa"/>
          </w:tcPr>
          <w:p w14:paraId="3512DD5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MBA; DProf (in progress)</w:t>
            </w:r>
          </w:p>
        </w:tc>
        <w:tc>
          <w:tcPr>
            <w:tcW w:w="2835" w:type="dxa"/>
          </w:tcPr>
          <w:p w14:paraId="2FC15D3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sale representative for a pharmaceutical and last worked as a sales manager</w:t>
            </w:r>
          </w:p>
        </w:tc>
        <w:tc>
          <w:tcPr>
            <w:tcW w:w="2268" w:type="dxa"/>
          </w:tcPr>
          <w:p w14:paraId="282108CE"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10 years and 6 months</w:t>
            </w:r>
          </w:p>
        </w:tc>
      </w:tr>
      <w:tr w:rsidR="008407BB" w:rsidRPr="00BA6E2D" w14:paraId="185C0C9C" w14:textId="77777777" w:rsidTr="00110D28">
        <w:trPr>
          <w:trHeight w:hRule="exact" w:val="851"/>
          <w:jc w:val="center"/>
        </w:trPr>
        <w:tc>
          <w:tcPr>
            <w:tcW w:w="846" w:type="dxa"/>
          </w:tcPr>
          <w:p w14:paraId="4F1C98F9"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1725772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Morgan</w:t>
            </w:r>
          </w:p>
        </w:tc>
        <w:tc>
          <w:tcPr>
            <w:tcW w:w="2490" w:type="dxa"/>
          </w:tcPr>
          <w:p w14:paraId="1357EB5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Microbiology</w:t>
            </w:r>
          </w:p>
        </w:tc>
        <w:tc>
          <w:tcPr>
            <w:tcW w:w="2471" w:type="dxa"/>
          </w:tcPr>
          <w:p w14:paraId="2EEBD42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in Public Health</w:t>
            </w:r>
          </w:p>
          <w:p w14:paraId="28369F7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Nursing (in progress)</w:t>
            </w:r>
          </w:p>
        </w:tc>
        <w:tc>
          <w:tcPr>
            <w:tcW w:w="2835" w:type="dxa"/>
          </w:tcPr>
          <w:p w14:paraId="5290035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medical sales representative</w:t>
            </w:r>
          </w:p>
        </w:tc>
        <w:tc>
          <w:tcPr>
            <w:tcW w:w="2268" w:type="dxa"/>
          </w:tcPr>
          <w:p w14:paraId="79DC6D5A"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4 years</w:t>
            </w:r>
          </w:p>
        </w:tc>
      </w:tr>
      <w:tr w:rsidR="008407BB" w:rsidRPr="00BA6E2D" w14:paraId="2CBCF0F7" w14:textId="77777777" w:rsidTr="00110D28">
        <w:trPr>
          <w:trHeight w:hRule="exact" w:val="851"/>
          <w:jc w:val="center"/>
        </w:trPr>
        <w:tc>
          <w:tcPr>
            <w:tcW w:w="846" w:type="dxa"/>
          </w:tcPr>
          <w:p w14:paraId="1E5C7A57"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5CCE21E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Jeff</w:t>
            </w:r>
          </w:p>
        </w:tc>
        <w:tc>
          <w:tcPr>
            <w:tcW w:w="2490" w:type="dxa"/>
          </w:tcPr>
          <w:p w14:paraId="6AF6E9D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Microbiology</w:t>
            </w:r>
          </w:p>
        </w:tc>
        <w:tc>
          <w:tcPr>
            <w:tcW w:w="2471" w:type="dxa"/>
          </w:tcPr>
          <w:p w14:paraId="1D75B7E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in Public Health</w:t>
            </w:r>
          </w:p>
        </w:tc>
        <w:tc>
          <w:tcPr>
            <w:tcW w:w="2835" w:type="dxa"/>
          </w:tcPr>
          <w:p w14:paraId="481D91E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microbiologist under training; also taught biology in a secondary school</w:t>
            </w:r>
          </w:p>
        </w:tc>
        <w:tc>
          <w:tcPr>
            <w:tcW w:w="2268" w:type="dxa"/>
          </w:tcPr>
          <w:p w14:paraId="31733B7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1 year and 6 months</w:t>
            </w:r>
          </w:p>
        </w:tc>
      </w:tr>
      <w:tr w:rsidR="008407BB" w:rsidRPr="00BA6E2D" w14:paraId="49DE8F40" w14:textId="77777777" w:rsidTr="00110D28">
        <w:trPr>
          <w:trHeight w:hRule="exact" w:val="574"/>
          <w:jc w:val="center"/>
        </w:trPr>
        <w:tc>
          <w:tcPr>
            <w:tcW w:w="846" w:type="dxa"/>
          </w:tcPr>
          <w:p w14:paraId="6774F810"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0D5D70D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Shade</w:t>
            </w:r>
          </w:p>
        </w:tc>
        <w:tc>
          <w:tcPr>
            <w:tcW w:w="2490" w:type="dxa"/>
          </w:tcPr>
          <w:p w14:paraId="54BE47E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BA in language studies</w:t>
            </w:r>
          </w:p>
        </w:tc>
        <w:tc>
          <w:tcPr>
            <w:tcW w:w="2471" w:type="dxa"/>
          </w:tcPr>
          <w:p w14:paraId="22D8A54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 (in progress)</w:t>
            </w:r>
          </w:p>
        </w:tc>
        <w:tc>
          <w:tcPr>
            <w:tcW w:w="2835" w:type="dxa"/>
          </w:tcPr>
          <w:p w14:paraId="6C48ADF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with a fast-food company</w:t>
            </w:r>
          </w:p>
        </w:tc>
        <w:tc>
          <w:tcPr>
            <w:tcW w:w="2268" w:type="dxa"/>
          </w:tcPr>
          <w:p w14:paraId="3B47BB0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4 years</w:t>
            </w:r>
          </w:p>
        </w:tc>
      </w:tr>
      <w:tr w:rsidR="008407BB" w:rsidRPr="00BA6E2D" w14:paraId="256183CB" w14:textId="77777777" w:rsidTr="00110D28">
        <w:trPr>
          <w:trHeight w:hRule="exact" w:val="573"/>
          <w:jc w:val="center"/>
        </w:trPr>
        <w:tc>
          <w:tcPr>
            <w:tcW w:w="846" w:type="dxa"/>
          </w:tcPr>
          <w:p w14:paraId="7A2A5B52"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45FE472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Kate</w:t>
            </w:r>
          </w:p>
        </w:tc>
        <w:tc>
          <w:tcPr>
            <w:tcW w:w="2490" w:type="dxa"/>
          </w:tcPr>
          <w:p w14:paraId="46FCB8C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in Nursing</w:t>
            </w:r>
          </w:p>
        </w:tc>
        <w:tc>
          <w:tcPr>
            <w:tcW w:w="2471" w:type="dxa"/>
          </w:tcPr>
          <w:p w14:paraId="684A603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w:t>
            </w:r>
          </w:p>
        </w:tc>
        <w:tc>
          <w:tcPr>
            <w:tcW w:w="2835" w:type="dxa"/>
          </w:tcPr>
          <w:p w14:paraId="0859423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general nurse, orthopaedic nurse</w:t>
            </w:r>
          </w:p>
        </w:tc>
        <w:tc>
          <w:tcPr>
            <w:tcW w:w="2268" w:type="dxa"/>
          </w:tcPr>
          <w:p w14:paraId="634D3E7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2 years</w:t>
            </w:r>
          </w:p>
        </w:tc>
      </w:tr>
      <w:tr w:rsidR="008407BB" w:rsidRPr="00BA6E2D" w14:paraId="70178639" w14:textId="77777777" w:rsidTr="00110D28">
        <w:trPr>
          <w:trHeight w:hRule="exact" w:val="851"/>
          <w:jc w:val="center"/>
        </w:trPr>
        <w:tc>
          <w:tcPr>
            <w:tcW w:w="846" w:type="dxa"/>
          </w:tcPr>
          <w:p w14:paraId="2909B733"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74C5D8B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Oscar</w:t>
            </w:r>
          </w:p>
        </w:tc>
        <w:tc>
          <w:tcPr>
            <w:tcW w:w="2490" w:type="dxa"/>
          </w:tcPr>
          <w:p w14:paraId="6517153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Material and Metallurgical Engineering</w:t>
            </w:r>
          </w:p>
        </w:tc>
        <w:tc>
          <w:tcPr>
            <w:tcW w:w="2471" w:type="dxa"/>
          </w:tcPr>
          <w:p w14:paraId="41956580"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Unchanged</w:t>
            </w:r>
          </w:p>
        </w:tc>
        <w:tc>
          <w:tcPr>
            <w:tcW w:w="2835" w:type="dxa"/>
          </w:tcPr>
          <w:p w14:paraId="1B63B1C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in a marketing and technological company as a marketer; worked in a freight forwarding and logistics company</w:t>
            </w:r>
          </w:p>
        </w:tc>
        <w:tc>
          <w:tcPr>
            <w:tcW w:w="2268" w:type="dxa"/>
          </w:tcPr>
          <w:p w14:paraId="5AA7BD5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3 years and 4 months</w:t>
            </w:r>
          </w:p>
        </w:tc>
      </w:tr>
      <w:tr w:rsidR="008407BB" w:rsidRPr="00BA6E2D" w14:paraId="32661D58" w14:textId="77777777" w:rsidTr="00110D28">
        <w:trPr>
          <w:trHeight w:hRule="exact" w:val="851"/>
          <w:jc w:val="center"/>
        </w:trPr>
        <w:tc>
          <w:tcPr>
            <w:tcW w:w="846" w:type="dxa"/>
          </w:tcPr>
          <w:p w14:paraId="51852DD2"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7D3BA78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John</w:t>
            </w:r>
          </w:p>
        </w:tc>
        <w:tc>
          <w:tcPr>
            <w:tcW w:w="2490" w:type="dxa"/>
          </w:tcPr>
          <w:p w14:paraId="7496E8D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Urban planning</w:t>
            </w:r>
          </w:p>
        </w:tc>
        <w:tc>
          <w:tcPr>
            <w:tcW w:w="2471" w:type="dxa"/>
          </w:tcPr>
          <w:p w14:paraId="5C706C2E"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in Construction management; BSc in Nursing (in</w:t>
            </w:r>
            <w:r>
              <w:rPr>
                <w:rFonts w:ascii="Times New Roman" w:hAnsi="Times New Roman"/>
                <w:szCs w:val="24"/>
              </w:rPr>
              <w:t xml:space="preserve"> </w:t>
            </w:r>
            <w:r w:rsidRPr="00BA6E2D">
              <w:rPr>
                <w:rFonts w:ascii="Times New Roman" w:hAnsi="Times New Roman"/>
                <w:szCs w:val="24"/>
              </w:rPr>
              <w:t>progress)</w:t>
            </w:r>
          </w:p>
        </w:tc>
        <w:tc>
          <w:tcPr>
            <w:tcW w:w="2835" w:type="dxa"/>
          </w:tcPr>
          <w:p w14:paraId="5FF3115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Taught in a secondary school for one year and then worked in a clerical staff in a construction firm</w:t>
            </w:r>
          </w:p>
        </w:tc>
        <w:tc>
          <w:tcPr>
            <w:tcW w:w="2268" w:type="dxa"/>
          </w:tcPr>
          <w:p w14:paraId="0AEC9D95"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3 years</w:t>
            </w:r>
          </w:p>
        </w:tc>
      </w:tr>
      <w:tr w:rsidR="008407BB" w:rsidRPr="00BA6E2D" w14:paraId="7458340C" w14:textId="77777777" w:rsidTr="00110D28">
        <w:trPr>
          <w:trHeight w:hRule="exact" w:val="711"/>
          <w:jc w:val="center"/>
        </w:trPr>
        <w:tc>
          <w:tcPr>
            <w:tcW w:w="846" w:type="dxa"/>
          </w:tcPr>
          <w:p w14:paraId="12808600"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7A156F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Miriam</w:t>
            </w:r>
          </w:p>
        </w:tc>
        <w:tc>
          <w:tcPr>
            <w:tcW w:w="2490" w:type="dxa"/>
          </w:tcPr>
          <w:p w14:paraId="3392E91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in Nursing</w:t>
            </w:r>
          </w:p>
        </w:tc>
        <w:tc>
          <w:tcPr>
            <w:tcW w:w="2471" w:type="dxa"/>
          </w:tcPr>
          <w:p w14:paraId="26053EF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 MSc in Public Health</w:t>
            </w:r>
          </w:p>
        </w:tc>
        <w:tc>
          <w:tcPr>
            <w:tcW w:w="2835" w:type="dxa"/>
          </w:tcPr>
          <w:p w14:paraId="324D969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general nurse</w:t>
            </w:r>
          </w:p>
        </w:tc>
        <w:tc>
          <w:tcPr>
            <w:tcW w:w="2268" w:type="dxa"/>
          </w:tcPr>
          <w:p w14:paraId="659731A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2 years</w:t>
            </w:r>
          </w:p>
        </w:tc>
      </w:tr>
      <w:tr w:rsidR="008407BB" w:rsidRPr="00BA6E2D" w14:paraId="5A86ACFE" w14:textId="77777777" w:rsidTr="00110D28">
        <w:trPr>
          <w:trHeight w:hRule="exact" w:val="851"/>
          <w:jc w:val="center"/>
        </w:trPr>
        <w:tc>
          <w:tcPr>
            <w:tcW w:w="846" w:type="dxa"/>
          </w:tcPr>
          <w:p w14:paraId="76D19788"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1AF414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Benard</w:t>
            </w:r>
          </w:p>
        </w:tc>
        <w:tc>
          <w:tcPr>
            <w:tcW w:w="2490" w:type="dxa"/>
          </w:tcPr>
          <w:p w14:paraId="1B67366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Guidance and Counselling</w:t>
            </w:r>
          </w:p>
        </w:tc>
        <w:tc>
          <w:tcPr>
            <w:tcW w:w="2471" w:type="dxa"/>
          </w:tcPr>
          <w:p w14:paraId="619ED47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in Nursing</w:t>
            </w:r>
          </w:p>
        </w:tc>
        <w:tc>
          <w:tcPr>
            <w:tcW w:w="2835" w:type="dxa"/>
          </w:tcPr>
          <w:p w14:paraId="2549211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counsellor in Nigeria and worked in different industries upon migrating to Germany</w:t>
            </w:r>
          </w:p>
        </w:tc>
        <w:tc>
          <w:tcPr>
            <w:tcW w:w="2268" w:type="dxa"/>
          </w:tcPr>
          <w:p w14:paraId="0188072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5 years</w:t>
            </w:r>
          </w:p>
        </w:tc>
      </w:tr>
      <w:tr w:rsidR="008407BB" w:rsidRPr="00BA6E2D" w14:paraId="0F49830E" w14:textId="77777777" w:rsidTr="00110D28">
        <w:trPr>
          <w:trHeight w:hRule="exact" w:val="851"/>
          <w:jc w:val="center"/>
        </w:trPr>
        <w:tc>
          <w:tcPr>
            <w:tcW w:w="846" w:type="dxa"/>
          </w:tcPr>
          <w:p w14:paraId="7BA77FF6"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63E4F70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Dankay</w:t>
            </w:r>
          </w:p>
        </w:tc>
        <w:tc>
          <w:tcPr>
            <w:tcW w:w="2490" w:type="dxa"/>
          </w:tcPr>
          <w:p w14:paraId="61E6A322"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banking and finance (obtained in the UK)</w:t>
            </w:r>
          </w:p>
        </w:tc>
        <w:tc>
          <w:tcPr>
            <w:tcW w:w="2471" w:type="dxa"/>
          </w:tcPr>
          <w:p w14:paraId="680D4164"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MSc (banking related); BSc in Nursing</w:t>
            </w:r>
          </w:p>
        </w:tc>
        <w:tc>
          <w:tcPr>
            <w:tcW w:w="2835" w:type="dxa"/>
          </w:tcPr>
          <w:p w14:paraId="5F9284B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in a managerial role in a bank</w:t>
            </w:r>
          </w:p>
        </w:tc>
        <w:tc>
          <w:tcPr>
            <w:tcW w:w="2268" w:type="dxa"/>
          </w:tcPr>
          <w:p w14:paraId="12F9AC0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1 year and 8 months (in the managerial role in the UK)</w:t>
            </w:r>
          </w:p>
        </w:tc>
      </w:tr>
      <w:tr w:rsidR="008407BB" w:rsidRPr="00BA6E2D" w14:paraId="7A03FFFD" w14:textId="77777777" w:rsidTr="00110D28">
        <w:trPr>
          <w:trHeight w:hRule="exact" w:val="851"/>
          <w:jc w:val="center"/>
        </w:trPr>
        <w:tc>
          <w:tcPr>
            <w:tcW w:w="846" w:type="dxa"/>
          </w:tcPr>
          <w:p w14:paraId="123562E4"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251F7E2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Bosede</w:t>
            </w:r>
          </w:p>
        </w:tc>
        <w:tc>
          <w:tcPr>
            <w:tcW w:w="2490" w:type="dxa"/>
          </w:tcPr>
          <w:p w14:paraId="44374FE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BA in language studies, MA (human resource)</w:t>
            </w:r>
          </w:p>
        </w:tc>
        <w:tc>
          <w:tcPr>
            <w:tcW w:w="2471" w:type="dxa"/>
          </w:tcPr>
          <w:p w14:paraId="1901DB9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w:t>
            </w:r>
          </w:p>
        </w:tc>
        <w:tc>
          <w:tcPr>
            <w:tcW w:w="2835" w:type="dxa"/>
          </w:tcPr>
          <w:p w14:paraId="7751F4F0"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with an NGO</w:t>
            </w:r>
          </w:p>
        </w:tc>
        <w:tc>
          <w:tcPr>
            <w:tcW w:w="2268" w:type="dxa"/>
          </w:tcPr>
          <w:p w14:paraId="1E2E8729"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15 years</w:t>
            </w:r>
          </w:p>
        </w:tc>
      </w:tr>
      <w:tr w:rsidR="008407BB" w:rsidRPr="00BA6E2D" w14:paraId="77502DD2" w14:textId="77777777" w:rsidTr="00110D28">
        <w:trPr>
          <w:trHeight w:hRule="exact" w:val="574"/>
          <w:jc w:val="center"/>
        </w:trPr>
        <w:tc>
          <w:tcPr>
            <w:tcW w:w="846" w:type="dxa"/>
          </w:tcPr>
          <w:p w14:paraId="068093C9"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0DB237B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Omolara</w:t>
            </w:r>
          </w:p>
        </w:tc>
        <w:tc>
          <w:tcPr>
            <w:tcW w:w="2490" w:type="dxa"/>
          </w:tcPr>
          <w:p w14:paraId="090F91EB"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Physiotherapy</w:t>
            </w:r>
          </w:p>
        </w:tc>
        <w:tc>
          <w:tcPr>
            <w:tcW w:w="2471" w:type="dxa"/>
          </w:tcPr>
          <w:p w14:paraId="355D873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w:t>
            </w:r>
          </w:p>
        </w:tc>
        <w:tc>
          <w:tcPr>
            <w:tcW w:w="2835" w:type="dxa"/>
          </w:tcPr>
          <w:p w14:paraId="60190E3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physiotherapist</w:t>
            </w:r>
          </w:p>
        </w:tc>
        <w:tc>
          <w:tcPr>
            <w:tcW w:w="2268" w:type="dxa"/>
          </w:tcPr>
          <w:p w14:paraId="3C432787"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4 years</w:t>
            </w:r>
          </w:p>
        </w:tc>
      </w:tr>
      <w:tr w:rsidR="008407BB" w:rsidRPr="00BA6E2D" w14:paraId="2A99DD92" w14:textId="77777777" w:rsidTr="00110D28">
        <w:trPr>
          <w:trHeight w:hRule="exact" w:val="569"/>
          <w:jc w:val="center"/>
        </w:trPr>
        <w:tc>
          <w:tcPr>
            <w:tcW w:w="846" w:type="dxa"/>
          </w:tcPr>
          <w:p w14:paraId="59FAD1F1"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0654DFC0"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Ademola</w:t>
            </w:r>
          </w:p>
        </w:tc>
        <w:tc>
          <w:tcPr>
            <w:tcW w:w="2490" w:type="dxa"/>
          </w:tcPr>
          <w:p w14:paraId="01186A0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(Public health)</w:t>
            </w:r>
          </w:p>
        </w:tc>
        <w:tc>
          <w:tcPr>
            <w:tcW w:w="2471" w:type="dxa"/>
          </w:tcPr>
          <w:p w14:paraId="20A80E2C"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Diploma in Nursing</w:t>
            </w:r>
          </w:p>
        </w:tc>
        <w:tc>
          <w:tcPr>
            <w:tcW w:w="2835" w:type="dxa"/>
          </w:tcPr>
          <w:p w14:paraId="6A3464FB"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public health office</w:t>
            </w:r>
          </w:p>
        </w:tc>
        <w:tc>
          <w:tcPr>
            <w:tcW w:w="2268" w:type="dxa"/>
          </w:tcPr>
          <w:p w14:paraId="7712E2F6"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8 years</w:t>
            </w:r>
          </w:p>
        </w:tc>
      </w:tr>
      <w:tr w:rsidR="008407BB" w:rsidRPr="00BA6E2D" w14:paraId="55F9D4CD" w14:textId="77777777" w:rsidTr="00110D28">
        <w:trPr>
          <w:trHeight w:hRule="exact" w:val="429"/>
          <w:jc w:val="center"/>
        </w:trPr>
        <w:tc>
          <w:tcPr>
            <w:tcW w:w="846" w:type="dxa"/>
          </w:tcPr>
          <w:p w14:paraId="6BD5FA96" w14:textId="77777777" w:rsidR="008407BB" w:rsidRPr="00BA6E2D" w:rsidRDefault="008407BB" w:rsidP="00110D28">
            <w:pPr>
              <w:pStyle w:val="ListParagraph"/>
              <w:numPr>
                <w:ilvl w:val="0"/>
                <w:numId w:val="3"/>
              </w:numPr>
              <w:spacing w:line="240" w:lineRule="auto"/>
              <w:jc w:val="center"/>
              <w:rPr>
                <w:rFonts w:ascii="Times New Roman" w:hAnsi="Times New Roman"/>
                <w:szCs w:val="24"/>
              </w:rPr>
            </w:pPr>
          </w:p>
        </w:tc>
        <w:tc>
          <w:tcPr>
            <w:tcW w:w="1559" w:type="dxa"/>
          </w:tcPr>
          <w:p w14:paraId="0AFB3073"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Cynthia</w:t>
            </w:r>
          </w:p>
        </w:tc>
        <w:tc>
          <w:tcPr>
            <w:tcW w:w="2490" w:type="dxa"/>
          </w:tcPr>
          <w:p w14:paraId="617E6B3D"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BA in Journalism</w:t>
            </w:r>
          </w:p>
        </w:tc>
        <w:tc>
          <w:tcPr>
            <w:tcW w:w="2471" w:type="dxa"/>
          </w:tcPr>
          <w:p w14:paraId="49E4FD98"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BSc in Nursing</w:t>
            </w:r>
          </w:p>
        </w:tc>
        <w:tc>
          <w:tcPr>
            <w:tcW w:w="2835" w:type="dxa"/>
          </w:tcPr>
          <w:p w14:paraId="70E1826A"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Worked as a journalist</w:t>
            </w:r>
          </w:p>
        </w:tc>
        <w:tc>
          <w:tcPr>
            <w:tcW w:w="2268" w:type="dxa"/>
          </w:tcPr>
          <w:p w14:paraId="16550051" w14:textId="77777777" w:rsidR="008407BB" w:rsidRPr="00BA6E2D" w:rsidRDefault="008407BB" w:rsidP="00110D28">
            <w:pPr>
              <w:spacing w:line="240" w:lineRule="auto"/>
              <w:jc w:val="center"/>
              <w:rPr>
                <w:rFonts w:ascii="Times New Roman" w:hAnsi="Times New Roman"/>
                <w:szCs w:val="24"/>
              </w:rPr>
            </w:pPr>
            <w:r w:rsidRPr="00BA6E2D">
              <w:rPr>
                <w:rFonts w:ascii="Times New Roman" w:hAnsi="Times New Roman"/>
                <w:szCs w:val="24"/>
              </w:rPr>
              <w:t>2 years</w:t>
            </w:r>
          </w:p>
        </w:tc>
      </w:tr>
    </w:tbl>
    <w:p w14:paraId="6C65B135" w14:textId="77777777" w:rsidR="008407BB" w:rsidRPr="00BA6E2D" w:rsidRDefault="008407BB" w:rsidP="008407BB">
      <w:pPr>
        <w:rPr>
          <w:rFonts w:ascii="Times New Roman" w:hAnsi="Times New Roman"/>
          <w:sz w:val="22"/>
        </w:rPr>
      </w:pPr>
      <w:r w:rsidRPr="00BA6E2D">
        <w:rPr>
          <w:rFonts w:ascii="Times New Roman" w:hAnsi="Times New Roman"/>
          <w:b/>
          <w:sz w:val="22"/>
        </w:rPr>
        <w:t>Key</w:t>
      </w:r>
    </w:p>
    <w:p w14:paraId="144C3E4F" w14:textId="77777777" w:rsidR="008407BB" w:rsidRPr="00BA6E2D" w:rsidRDefault="008407BB" w:rsidP="008407BB">
      <w:pPr>
        <w:spacing w:line="240" w:lineRule="auto"/>
        <w:rPr>
          <w:rFonts w:ascii="Times New Roman" w:hAnsi="Times New Roman"/>
          <w:sz w:val="22"/>
        </w:rPr>
      </w:pPr>
      <w:r w:rsidRPr="00BA6E2D">
        <w:rPr>
          <w:rFonts w:ascii="Times New Roman" w:hAnsi="Times New Roman"/>
          <w:sz w:val="22"/>
        </w:rPr>
        <w:t>BSc - Bachelor of Science Degree; MSc - Master of Science Degree; BA - Bachelor of Science Degree; MA - Master of Arts Degree</w:t>
      </w:r>
    </w:p>
    <w:p w14:paraId="4BFF2082" w14:textId="77777777" w:rsidR="008407BB" w:rsidRPr="00BA6E2D" w:rsidRDefault="008407BB" w:rsidP="008407BB">
      <w:pPr>
        <w:spacing w:line="240" w:lineRule="auto"/>
        <w:rPr>
          <w:rFonts w:ascii="Times New Roman" w:hAnsi="Times New Roman"/>
          <w:sz w:val="22"/>
        </w:rPr>
      </w:pPr>
      <w:r w:rsidRPr="00BA6E2D">
        <w:rPr>
          <w:rFonts w:ascii="Times New Roman" w:hAnsi="Times New Roman"/>
          <w:sz w:val="22"/>
        </w:rPr>
        <w:t>MBA - Master of Business Administration; DProf – Doctor of Professional Studies; ACCA = Association of Chartered Certified Accountants</w:t>
      </w:r>
      <w:r w:rsidRPr="00BA6E2D">
        <w:rPr>
          <w:rFonts w:ascii="Times New Roman" w:hAnsi="Times New Roman"/>
          <w:szCs w:val="24"/>
        </w:rPr>
        <w:t xml:space="preserve"> </w:t>
      </w:r>
    </w:p>
    <w:p w14:paraId="158F03D4" w14:textId="77777777" w:rsidR="008407BB" w:rsidRPr="00BA6E2D" w:rsidRDefault="008407BB" w:rsidP="008407BB">
      <w:pPr>
        <w:spacing w:line="240" w:lineRule="auto"/>
        <w:rPr>
          <w:rFonts w:ascii="Times New Roman" w:hAnsi="Times New Roman"/>
          <w:szCs w:val="24"/>
        </w:rPr>
        <w:sectPr w:rsidR="008407BB" w:rsidRPr="00BA6E2D" w:rsidSect="005C73C8">
          <w:pgSz w:w="16838" w:h="11906" w:orient="landscape"/>
          <w:pgMar w:top="1797" w:right="1440" w:bottom="1797" w:left="1440" w:header="709" w:footer="709" w:gutter="0"/>
          <w:cols w:space="708"/>
          <w:docGrid w:linePitch="360"/>
        </w:sectPr>
      </w:pPr>
      <w:r w:rsidRPr="00BA6E2D">
        <w:rPr>
          <w:rFonts w:ascii="Times New Roman" w:hAnsi="Times New Roman"/>
          <w:szCs w:val="24"/>
        </w:rPr>
        <w:t>Unchanged – The participant had not undertaken further education in the UK at the time of the study. This specifically applies to gaining a further University diploma or degree-level education or more only and does not take into consideration courses that are lower than diploma/degree level.</w:t>
      </w:r>
    </w:p>
    <w:p w14:paraId="2A92A55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lastRenderedPageBreak/>
        <w:t>In summary, of the seven participants with a diploma, five had diplomas in nursing. The other two participants with a non-nursing diploma certificate also had BSc degrees before coming to the UK. The remaining fourteen participants without diploma had at least a BSc degree level of education. In addition, most participants (n=18) were in relatively good employment before they made the decision to come to the UK. They fit well into the category of ‘well-educated highly-skilled migrants’, who for various reasons decided to leave Nigeria for the UK. Reflecting on the skills of migrant workers, De Haas (2005) argued that this idea of being unskilled is one of the myths held about migrant workers and as my findings show (Table 7.3), not only were my participants well educated but also, most of them went on to gain higher degrees in the UK. My findings also indicate that all my participants arrived the UK with significant professional experiences in their respective fields, with many having work</w:t>
      </w:r>
      <w:r>
        <w:rPr>
          <w:rFonts w:ascii="Times New Roman" w:hAnsi="Times New Roman"/>
          <w:szCs w:val="24"/>
        </w:rPr>
        <w:t xml:space="preserve"> </w:t>
      </w:r>
      <w:r w:rsidRPr="00BA6E2D">
        <w:rPr>
          <w:rFonts w:ascii="Times New Roman" w:hAnsi="Times New Roman"/>
          <w:szCs w:val="24"/>
        </w:rPr>
        <w:t>experiences outside of the care sector. On average, the duration of their professional experience ranged from one year and six months to fifteen years, with a mean of four years, suggesting that they had considerable professional experience before migrating to the UK (see Table 7.3). This finding contradicts those of Parutis (2014), who considered the popular profile of an economic migrant to be one who has a low level of education and is relatively low skilled.</w:t>
      </w:r>
    </w:p>
    <w:p w14:paraId="56DF00AE" w14:textId="77777777" w:rsidR="008407BB" w:rsidRPr="00BA6E2D" w:rsidRDefault="008407BB" w:rsidP="008407BB">
      <w:pPr>
        <w:spacing w:before="240"/>
        <w:jc w:val="both"/>
        <w:rPr>
          <w:rFonts w:ascii="Times New Roman" w:hAnsi="Times New Roman"/>
          <w:szCs w:val="24"/>
        </w:rPr>
      </w:pPr>
      <w:r w:rsidRPr="00BA6E2D">
        <w:rPr>
          <w:rFonts w:ascii="Times New Roman" w:hAnsi="Times New Roman"/>
          <w:szCs w:val="24"/>
        </w:rPr>
        <w:t>In the next section, I present findings on why my participants migrated to the UK from Nigeria despite being well educated and in many cases in relatively good employment in Nigeria.</w:t>
      </w:r>
    </w:p>
    <w:p w14:paraId="442A04E1" w14:textId="77777777" w:rsidR="008407BB" w:rsidRPr="00BA6E2D" w:rsidRDefault="008407BB" w:rsidP="006869A3">
      <w:pPr>
        <w:pStyle w:val="Heading2"/>
      </w:pPr>
      <w:bookmarkStart w:id="175" w:name="_Toc86417357"/>
      <w:r w:rsidRPr="00BA6E2D">
        <w:t>7.3. Motivation for coming to the UK</w:t>
      </w:r>
      <w:bookmarkEnd w:id="175"/>
    </w:p>
    <w:p w14:paraId="1B09F445" w14:textId="77777777" w:rsidR="008407BB" w:rsidRPr="00BA6E2D" w:rsidRDefault="008407BB" w:rsidP="006869A3">
      <w:pPr>
        <w:pStyle w:val="Heading3"/>
      </w:pPr>
      <w:bookmarkStart w:id="176" w:name="_Toc86417358"/>
      <w:r w:rsidRPr="00BA6E2D">
        <w:t>7.3.1. Introduction</w:t>
      </w:r>
      <w:bookmarkEnd w:id="176"/>
    </w:p>
    <w:p w14:paraId="67ECCE4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Considering their educational and professional experiences, I wanted to understand why my participants decided to come to the UK. As suggested in Chapter 2, the motivation of people to migrate to another country consists of a combination of factors, which are embedded in their individual experiences (Kline, 2003</w:t>
      </w:r>
      <w:r>
        <w:rPr>
          <w:rFonts w:ascii="Times New Roman" w:hAnsi="Times New Roman"/>
          <w:szCs w:val="24"/>
        </w:rPr>
        <w:t xml:space="preserve">; </w:t>
      </w:r>
      <w:r w:rsidRPr="00E674FC">
        <w:rPr>
          <w:rFonts w:ascii="Times New Roman" w:hAnsi="Times New Roman"/>
          <w:szCs w:val="24"/>
        </w:rPr>
        <w:t>Freeman</w:t>
      </w:r>
      <w:r>
        <w:rPr>
          <w:rFonts w:ascii="Times New Roman" w:hAnsi="Times New Roman"/>
          <w:szCs w:val="24"/>
        </w:rPr>
        <w:t xml:space="preserve"> </w:t>
      </w:r>
      <w:r w:rsidRPr="00EC07D0">
        <w:rPr>
          <w:rFonts w:ascii="Times New Roman" w:hAnsi="Times New Roman"/>
          <w:i/>
          <w:iCs/>
          <w:szCs w:val="24"/>
        </w:rPr>
        <w:t>et al.</w:t>
      </w:r>
      <w:r>
        <w:rPr>
          <w:rFonts w:ascii="Times New Roman" w:hAnsi="Times New Roman"/>
          <w:szCs w:val="24"/>
        </w:rPr>
        <w:t>, 2012</w:t>
      </w:r>
      <w:r w:rsidRPr="00BA6E2D">
        <w:rPr>
          <w:rFonts w:ascii="Times New Roman" w:hAnsi="Times New Roman"/>
          <w:szCs w:val="24"/>
        </w:rPr>
        <w:t xml:space="preserve">). Findings from my study shows that my participants were motivated for two main reasons: in search for better opportunities and for family reasons. These two reasons are discussed further in this section. However, because the </w:t>
      </w:r>
      <w:r>
        <w:rPr>
          <w:rFonts w:ascii="Times New Roman" w:hAnsi="Times New Roman"/>
          <w:szCs w:val="24"/>
        </w:rPr>
        <w:t xml:space="preserve">reason for migration determines the type </w:t>
      </w:r>
      <w:r>
        <w:rPr>
          <w:rFonts w:ascii="Times New Roman" w:hAnsi="Times New Roman"/>
          <w:szCs w:val="24"/>
        </w:rPr>
        <w:lastRenderedPageBreak/>
        <w:t>of visa to be applied for by a non-EU national, this will be</w:t>
      </w:r>
      <w:r w:rsidRPr="00BA6E2D">
        <w:rPr>
          <w:rFonts w:ascii="Times New Roman" w:hAnsi="Times New Roman"/>
          <w:szCs w:val="24"/>
        </w:rPr>
        <w:t xml:space="preserve"> discussed first followed by the presentation and discussion of the motives for migration.</w:t>
      </w:r>
    </w:p>
    <w:p w14:paraId="02B3A556" w14:textId="77777777" w:rsidR="008407BB" w:rsidRPr="00BA6E2D" w:rsidRDefault="008407BB" w:rsidP="006869A3">
      <w:pPr>
        <w:pStyle w:val="Heading3"/>
      </w:pPr>
      <w:bookmarkStart w:id="177" w:name="_Toc86417359"/>
      <w:r w:rsidRPr="00BA6E2D">
        <w:t xml:space="preserve">7.3.2. </w:t>
      </w:r>
      <w:r w:rsidRPr="00B26DB8">
        <w:t>Participants’ route of migrating to the UK</w:t>
      </w:r>
      <w:bookmarkEnd w:id="177"/>
    </w:p>
    <w:p w14:paraId="40DA98A7"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I collected some basic data regarding the visa status of my participants when they applied to the enter the UK, as well as their current visa status and this information is presented in </w:t>
      </w:r>
      <w:r>
        <w:rPr>
          <w:rFonts w:ascii="Times New Roman" w:hAnsi="Times New Roman"/>
          <w:szCs w:val="24"/>
        </w:rPr>
        <w:t>T</w:t>
      </w:r>
      <w:r w:rsidRPr="00BA6E2D">
        <w:rPr>
          <w:rFonts w:ascii="Times New Roman" w:hAnsi="Times New Roman"/>
          <w:szCs w:val="24"/>
        </w:rPr>
        <w:t>able 7.4 below.</w:t>
      </w:r>
    </w:p>
    <w:p w14:paraId="1D1F124B" w14:textId="77777777" w:rsidR="008407BB" w:rsidRPr="00BA6E2D" w:rsidRDefault="008407BB" w:rsidP="008407BB">
      <w:pPr>
        <w:jc w:val="both"/>
        <w:rPr>
          <w:rFonts w:ascii="Times New Roman" w:hAnsi="Times New Roman"/>
          <w:b/>
          <w:szCs w:val="24"/>
        </w:rPr>
      </w:pPr>
    </w:p>
    <w:p w14:paraId="4C0D86A3" w14:textId="77777777" w:rsidR="008407BB" w:rsidRPr="00BA6E2D" w:rsidRDefault="008407BB" w:rsidP="008407BB">
      <w:pPr>
        <w:jc w:val="both"/>
        <w:rPr>
          <w:rFonts w:ascii="Times New Roman" w:hAnsi="Times New Roman"/>
          <w:b/>
          <w:szCs w:val="24"/>
        </w:rPr>
      </w:pPr>
    </w:p>
    <w:p w14:paraId="3DF2E851" w14:textId="77777777" w:rsidR="008407BB" w:rsidRPr="00BA6E2D" w:rsidRDefault="008407BB" w:rsidP="008407BB">
      <w:pPr>
        <w:jc w:val="both"/>
        <w:rPr>
          <w:rFonts w:ascii="Times New Roman" w:hAnsi="Times New Roman"/>
          <w:b/>
          <w:szCs w:val="24"/>
        </w:rPr>
      </w:pPr>
    </w:p>
    <w:p w14:paraId="2AC741BF" w14:textId="77777777" w:rsidR="008407BB" w:rsidRPr="00BA6E2D" w:rsidRDefault="008407BB" w:rsidP="008407BB">
      <w:pPr>
        <w:jc w:val="both"/>
        <w:rPr>
          <w:rFonts w:ascii="Times New Roman" w:hAnsi="Times New Roman"/>
          <w:b/>
          <w:szCs w:val="24"/>
        </w:rPr>
      </w:pPr>
    </w:p>
    <w:p w14:paraId="3931F974" w14:textId="77777777" w:rsidR="008407BB" w:rsidRPr="00BA6E2D" w:rsidRDefault="008407BB" w:rsidP="008407BB">
      <w:pPr>
        <w:jc w:val="both"/>
        <w:rPr>
          <w:rFonts w:ascii="Times New Roman" w:hAnsi="Times New Roman"/>
          <w:b/>
          <w:szCs w:val="24"/>
        </w:rPr>
      </w:pPr>
    </w:p>
    <w:p w14:paraId="4D3BB267" w14:textId="77777777" w:rsidR="008407BB" w:rsidRPr="00BA6E2D" w:rsidRDefault="008407BB" w:rsidP="008407BB">
      <w:pPr>
        <w:jc w:val="both"/>
        <w:rPr>
          <w:rFonts w:ascii="Times New Roman" w:hAnsi="Times New Roman"/>
          <w:b/>
          <w:szCs w:val="24"/>
        </w:rPr>
        <w:sectPr w:rsidR="008407BB" w:rsidRPr="00BA6E2D" w:rsidSect="00260E21">
          <w:pgSz w:w="11906" w:h="16838"/>
          <w:pgMar w:top="1440" w:right="1797" w:bottom="1440" w:left="1797" w:header="709" w:footer="709" w:gutter="0"/>
          <w:cols w:space="708"/>
          <w:docGrid w:linePitch="360"/>
        </w:sectPr>
      </w:pPr>
    </w:p>
    <w:tbl>
      <w:tblPr>
        <w:tblStyle w:val="TableGrid"/>
        <w:tblpPr w:leftFromText="180" w:rightFromText="180" w:vertAnchor="text" w:tblpXSpec="center" w:tblpY="485"/>
        <w:tblW w:w="12753" w:type="dxa"/>
        <w:tblLook w:val="04A0" w:firstRow="1" w:lastRow="0" w:firstColumn="1" w:lastColumn="0" w:noHBand="0" w:noVBand="1"/>
      </w:tblPr>
      <w:tblGrid>
        <w:gridCol w:w="1138"/>
        <w:gridCol w:w="1470"/>
        <w:gridCol w:w="2632"/>
        <w:gridCol w:w="4394"/>
        <w:gridCol w:w="3119"/>
      </w:tblGrid>
      <w:tr w:rsidR="008407BB" w:rsidRPr="00BA6E2D" w14:paraId="4F6483B1" w14:textId="77777777" w:rsidTr="00110D28">
        <w:trPr>
          <w:trHeight w:hRule="exact" w:val="284"/>
        </w:trPr>
        <w:tc>
          <w:tcPr>
            <w:tcW w:w="1138" w:type="dxa"/>
          </w:tcPr>
          <w:p w14:paraId="0637FC67" w14:textId="77777777" w:rsidR="008407BB" w:rsidRPr="00BA6E2D" w:rsidRDefault="008407BB" w:rsidP="00110D28">
            <w:pPr>
              <w:jc w:val="center"/>
              <w:rPr>
                <w:rFonts w:ascii="Times New Roman" w:hAnsi="Times New Roman"/>
                <w:b/>
                <w:szCs w:val="24"/>
              </w:rPr>
            </w:pPr>
            <w:bookmarkStart w:id="178" w:name="_Hlk49779588"/>
            <w:r w:rsidRPr="00BA6E2D">
              <w:rPr>
                <w:rFonts w:ascii="Times New Roman" w:hAnsi="Times New Roman"/>
                <w:b/>
                <w:szCs w:val="24"/>
              </w:rPr>
              <w:lastRenderedPageBreak/>
              <w:t>S/No</w:t>
            </w:r>
          </w:p>
        </w:tc>
        <w:tc>
          <w:tcPr>
            <w:tcW w:w="1470" w:type="dxa"/>
          </w:tcPr>
          <w:p w14:paraId="2CDAACDF" w14:textId="77777777" w:rsidR="008407BB" w:rsidRPr="00BA6E2D" w:rsidRDefault="008407BB" w:rsidP="00110D28">
            <w:pPr>
              <w:rPr>
                <w:rFonts w:ascii="Times New Roman" w:hAnsi="Times New Roman"/>
                <w:b/>
                <w:szCs w:val="24"/>
              </w:rPr>
            </w:pPr>
            <w:r w:rsidRPr="00BA6E2D">
              <w:rPr>
                <w:rFonts w:ascii="Times New Roman" w:hAnsi="Times New Roman"/>
                <w:b/>
                <w:szCs w:val="24"/>
              </w:rPr>
              <w:t>Participants</w:t>
            </w:r>
          </w:p>
        </w:tc>
        <w:tc>
          <w:tcPr>
            <w:tcW w:w="2632" w:type="dxa"/>
          </w:tcPr>
          <w:p w14:paraId="5C26BC5B" w14:textId="77777777" w:rsidR="008407BB" w:rsidRPr="00BA6E2D" w:rsidRDefault="008407BB" w:rsidP="00110D28">
            <w:pPr>
              <w:rPr>
                <w:rFonts w:ascii="Times New Roman" w:hAnsi="Times New Roman"/>
                <w:b/>
                <w:szCs w:val="24"/>
              </w:rPr>
            </w:pPr>
            <w:r w:rsidRPr="00BA6E2D">
              <w:rPr>
                <w:rFonts w:ascii="Times New Roman" w:hAnsi="Times New Roman"/>
                <w:b/>
                <w:szCs w:val="24"/>
              </w:rPr>
              <w:t>Migratory motives</w:t>
            </w:r>
          </w:p>
        </w:tc>
        <w:tc>
          <w:tcPr>
            <w:tcW w:w="4394" w:type="dxa"/>
          </w:tcPr>
          <w:p w14:paraId="5514C4A0" w14:textId="77777777" w:rsidR="008407BB" w:rsidRPr="00BA6E2D" w:rsidRDefault="008407BB" w:rsidP="00110D28">
            <w:pPr>
              <w:rPr>
                <w:rFonts w:ascii="Times New Roman" w:hAnsi="Times New Roman"/>
                <w:b/>
                <w:szCs w:val="24"/>
              </w:rPr>
            </w:pPr>
            <w:r w:rsidRPr="00BA6E2D">
              <w:rPr>
                <w:rFonts w:ascii="Times New Roman" w:hAnsi="Times New Roman"/>
                <w:b/>
                <w:szCs w:val="24"/>
              </w:rPr>
              <w:t>Visa route to the UK</w:t>
            </w:r>
          </w:p>
        </w:tc>
        <w:tc>
          <w:tcPr>
            <w:tcW w:w="3119" w:type="dxa"/>
          </w:tcPr>
          <w:p w14:paraId="18C8189A" w14:textId="77777777" w:rsidR="008407BB" w:rsidRPr="00BA6E2D" w:rsidRDefault="008407BB" w:rsidP="00110D28">
            <w:pPr>
              <w:rPr>
                <w:rFonts w:ascii="Times New Roman" w:hAnsi="Times New Roman"/>
                <w:b/>
                <w:szCs w:val="24"/>
              </w:rPr>
            </w:pPr>
            <w:r w:rsidRPr="00BA6E2D">
              <w:rPr>
                <w:rFonts w:ascii="Times New Roman" w:hAnsi="Times New Roman"/>
                <w:b/>
                <w:szCs w:val="24"/>
              </w:rPr>
              <w:t>Current immigration status</w:t>
            </w:r>
          </w:p>
        </w:tc>
      </w:tr>
      <w:tr w:rsidR="008407BB" w:rsidRPr="00BA6E2D" w14:paraId="3EE60299" w14:textId="77777777" w:rsidTr="00110D28">
        <w:trPr>
          <w:trHeight w:hRule="exact" w:val="284"/>
        </w:trPr>
        <w:tc>
          <w:tcPr>
            <w:tcW w:w="1138" w:type="dxa"/>
          </w:tcPr>
          <w:p w14:paraId="5E1CFC88"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1910E871" w14:textId="77777777" w:rsidR="008407BB" w:rsidRPr="00BA6E2D" w:rsidRDefault="008407BB" w:rsidP="00110D28">
            <w:pPr>
              <w:rPr>
                <w:rFonts w:ascii="Times New Roman" w:hAnsi="Times New Roman"/>
                <w:szCs w:val="24"/>
              </w:rPr>
            </w:pPr>
            <w:r w:rsidRPr="00BA6E2D">
              <w:rPr>
                <w:rFonts w:ascii="Times New Roman" w:hAnsi="Times New Roman"/>
                <w:szCs w:val="24"/>
              </w:rPr>
              <w:t>Doris</w:t>
            </w:r>
          </w:p>
        </w:tc>
        <w:tc>
          <w:tcPr>
            <w:tcW w:w="2632" w:type="dxa"/>
          </w:tcPr>
          <w:p w14:paraId="38B1F445"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1DF4BDE8"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r w:rsidRPr="00BA6E2D">
              <w:rPr>
                <w:rFonts w:ascii="Times New Roman" w:hAnsi="Times New Roman"/>
                <w:b/>
                <w:bCs/>
                <w:szCs w:val="24"/>
              </w:rPr>
              <w:t>*</w:t>
            </w:r>
          </w:p>
        </w:tc>
        <w:tc>
          <w:tcPr>
            <w:tcW w:w="3119" w:type="dxa"/>
          </w:tcPr>
          <w:p w14:paraId="512621A8"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2C2F404A" w14:textId="77777777" w:rsidTr="00110D28">
        <w:trPr>
          <w:trHeight w:hRule="exact" w:val="284"/>
        </w:trPr>
        <w:tc>
          <w:tcPr>
            <w:tcW w:w="1138" w:type="dxa"/>
          </w:tcPr>
          <w:p w14:paraId="18FE75E3"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74FD31D2" w14:textId="77777777" w:rsidR="008407BB" w:rsidRPr="00BA6E2D" w:rsidRDefault="008407BB" w:rsidP="00110D28">
            <w:pPr>
              <w:rPr>
                <w:rFonts w:ascii="Times New Roman" w:hAnsi="Times New Roman"/>
                <w:szCs w:val="24"/>
              </w:rPr>
            </w:pPr>
            <w:r w:rsidRPr="00BA6E2D">
              <w:rPr>
                <w:rFonts w:ascii="Times New Roman" w:hAnsi="Times New Roman"/>
                <w:szCs w:val="24"/>
              </w:rPr>
              <w:t>Robert</w:t>
            </w:r>
          </w:p>
        </w:tc>
        <w:tc>
          <w:tcPr>
            <w:tcW w:w="2632" w:type="dxa"/>
          </w:tcPr>
          <w:p w14:paraId="306D3383"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685DE38E"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74EFBCEA"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205989CF" w14:textId="77777777" w:rsidTr="00110D28">
        <w:trPr>
          <w:trHeight w:hRule="exact" w:val="284"/>
        </w:trPr>
        <w:tc>
          <w:tcPr>
            <w:tcW w:w="1138" w:type="dxa"/>
          </w:tcPr>
          <w:p w14:paraId="2BC22449"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51F6D059" w14:textId="77777777" w:rsidR="008407BB" w:rsidRPr="00BA6E2D" w:rsidRDefault="008407BB" w:rsidP="00110D28">
            <w:pPr>
              <w:rPr>
                <w:rFonts w:ascii="Times New Roman" w:hAnsi="Times New Roman"/>
                <w:szCs w:val="24"/>
              </w:rPr>
            </w:pPr>
            <w:r w:rsidRPr="00BA6E2D">
              <w:rPr>
                <w:rFonts w:ascii="Times New Roman" w:hAnsi="Times New Roman"/>
                <w:szCs w:val="24"/>
              </w:rPr>
              <w:t>Kemdo</w:t>
            </w:r>
          </w:p>
        </w:tc>
        <w:tc>
          <w:tcPr>
            <w:tcW w:w="2632" w:type="dxa"/>
          </w:tcPr>
          <w:p w14:paraId="04A3B948" w14:textId="77777777" w:rsidR="008407BB" w:rsidRPr="00BA6E2D" w:rsidRDefault="008407BB" w:rsidP="00110D28">
            <w:pPr>
              <w:rPr>
                <w:rFonts w:ascii="Times New Roman" w:hAnsi="Times New Roman"/>
                <w:szCs w:val="24"/>
              </w:rPr>
            </w:pPr>
            <w:r w:rsidRPr="00BA6E2D">
              <w:rPr>
                <w:rFonts w:ascii="Times New Roman" w:hAnsi="Times New Roman"/>
                <w:szCs w:val="24"/>
              </w:rPr>
              <w:t>To work</w:t>
            </w:r>
          </w:p>
        </w:tc>
        <w:tc>
          <w:tcPr>
            <w:tcW w:w="4394" w:type="dxa"/>
          </w:tcPr>
          <w:p w14:paraId="1807B58F"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7ACCDD7A" w14:textId="77777777" w:rsidR="008407BB" w:rsidRPr="00BA6E2D" w:rsidRDefault="008407BB" w:rsidP="00110D28">
            <w:pPr>
              <w:rPr>
                <w:rFonts w:ascii="Times New Roman" w:hAnsi="Times New Roman"/>
                <w:szCs w:val="24"/>
              </w:rPr>
            </w:pPr>
            <w:r w:rsidRPr="00BA6E2D">
              <w:rPr>
                <w:rFonts w:ascii="Times New Roman" w:hAnsi="Times New Roman"/>
                <w:szCs w:val="24"/>
              </w:rPr>
              <w:t>Not stated</w:t>
            </w:r>
          </w:p>
        </w:tc>
      </w:tr>
      <w:tr w:rsidR="008407BB" w:rsidRPr="00BA6E2D" w14:paraId="7813CE7F" w14:textId="77777777" w:rsidTr="00110D28">
        <w:trPr>
          <w:trHeight w:hRule="exact" w:val="284"/>
        </w:trPr>
        <w:tc>
          <w:tcPr>
            <w:tcW w:w="1138" w:type="dxa"/>
          </w:tcPr>
          <w:p w14:paraId="260880AD"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2F3D2259" w14:textId="77777777" w:rsidR="008407BB" w:rsidRPr="00BA6E2D" w:rsidRDefault="008407BB" w:rsidP="00110D28">
            <w:pPr>
              <w:rPr>
                <w:rFonts w:ascii="Times New Roman" w:hAnsi="Times New Roman"/>
                <w:szCs w:val="24"/>
              </w:rPr>
            </w:pPr>
            <w:r w:rsidRPr="00BA6E2D">
              <w:rPr>
                <w:rFonts w:ascii="Times New Roman" w:hAnsi="Times New Roman"/>
                <w:szCs w:val="24"/>
              </w:rPr>
              <w:t>Adams</w:t>
            </w:r>
          </w:p>
        </w:tc>
        <w:tc>
          <w:tcPr>
            <w:tcW w:w="2632" w:type="dxa"/>
          </w:tcPr>
          <w:p w14:paraId="575B7E55" w14:textId="77777777" w:rsidR="008407BB" w:rsidRPr="00BA6E2D" w:rsidRDefault="008407BB" w:rsidP="00110D28">
            <w:pPr>
              <w:rPr>
                <w:rFonts w:ascii="Times New Roman" w:hAnsi="Times New Roman"/>
                <w:szCs w:val="24"/>
              </w:rPr>
            </w:pPr>
            <w:r w:rsidRPr="00BA6E2D">
              <w:rPr>
                <w:rFonts w:ascii="Times New Roman" w:hAnsi="Times New Roman"/>
                <w:szCs w:val="24"/>
              </w:rPr>
              <w:t>To work</w:t>
            </w:r>
          </w:p>
        </w:tc>
        <w:tc>
          <w:tcPr>
            <w:tcW w:w="4394" w:type="dxa"/>
          </w:tcPr>
          <w:p w14:paraId="6C0A6016"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65152AB2"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737007E1" w14:textId="77777777" w:rsidTr="00110D28">
        <w:trPr>
          <w:trHeight w:hRule="exact" w:val="284"/>
        </w:trPr>
        <w:tc>
          <w:tcPr>
            <w:tcW w:w="1138" w:type="dxa"/>
          </w:tcPr>
          <w:p w14:paraId="2AE5C431"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4BA44E90" w14:textId="77777777" w:rsidR="008407BB" w:rsidRPr="00BA6E2D" w:rsidRDefault="008407BB" w:rsidP="00110D28">
            <w:pPr>
              <w:rPr>
                <w:rFonts w:ascii="Times New Roman" w:hAnsi="Times New Roman"/>
                <w:szCs w:val="24"/>
              </w:rPr>
            </w:pPr>
            <w:r w:rsidRPr="00BA6E2D">
              <w:rPr>
                <w:rFonts w:ascii="Times New Roman" w:hAnsi="Times New Roman"/>
                <w:szCs w:val="24"/>
              </w:rPr>
              <w:t>Sharpiro</w:t>
            </w:r>
          </w:p>
        </w:tc>
        <w:tc>
          <w:tcPr>
            <w:tcW w:w="2632" w:type="dxa"/>
          </w:tcPr>
          <w:p w14:paraId="7966BE14" w14:textId="77777777" w:rsidR="008407BB" w:rsidRPr="00BA6E2D" w:rsidRDefault="008407BB" w:rsidP="00110D28">
            <w:pPr>
              <w:rPr>
                <w:rFonts w:ascii="Times New Roman" w:hAnsi="Times New Roman"/>
                <w:szCs w:val="24"/>
              </w:rPr>
            </w:pPr>
            <w:r w:rsidRPr="00BA6E2D">
              <w:rPr>
                <w:rFonts w:ascii="Times New Roman" w:hAnsi="Times New Roman"/>
                <w:szCs w:val="24"/>
              </w:rPr>
              <w:t>To work</w:t>
            </w:r>
          </w:p>
        </w:tc>
        <w:tc>
          <w:tcPr>
            <w:tcW w:w="4394" w:type="dxa"/>
          </w:tcPr>
          <w:p w14:paraId="75970850"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3E26D96D"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7DD5D211" w14:textId="77777777" w:rsidTr="00110D28">
        <w:trPr>
          <w:trHeight w:hRule="exact" w:val="284"/>
        </w:trPr>
        <w:tc>
          <w:tcPr>
            <w:tcW w:w="1138" w:type="dxa"/>
          </w:tcPr>
          <w:p w14:paraId="2BEB4869"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7C45BFC7" w14:textId="77777777" w:rsidR="008407BB" w:rsidRPr="00BA6E2D" w:rsidRDefault="008407BB" w:rsidP="00110D28">
            <w:pPr>
              <w:rPr>
                <w:rFonts w:ascii="Times New Roman" w:hAnsi="Times New Roman"/>
                <w:szCs w:val="24"/>
              </w:rPr>
            </w:pPr>
            <w:r w:rsidRPr="00BA6E2D">
              <w:rPr>
                <w:rFonts w:ascii="Times New Roman" w:hAnsi="Times New Roman"/>
                <w:szCs w:val="24"/>
              </w:rPr>
              <w:t>Jane</w:t>
            </w:r>
          </w:p>
        </w:tc>
        <w:tc>
          <w:tcPr>
            <w:tcW w:w="2632" w:type="dxa"/>
          </w:tcPr>
          <w:p w14:paraId="1ADB3B1E"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6777B142"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75D81620"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26C88916" w14:textId="77777777" w:rsidTr="00110D28">
        <w:trPr>
          <w:trHeight w:hRule="exact" w:val="284"/>
        </w:trPr>
        <w:tc>
          <w:tcPr>
            <w:tcW w:w="1138" w:type="dxa"/>
          </w:tcPr>
          <w:p w14:paraId="0EE8CD8A"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1421E840" w14:textId="77777777" w:rsidR="008407BB" w:rsidRPr="00BA6E2D" w:rsidRDefault="008407BB" w:rsidP="00110D28">
            <w:pPr>
              <w:rPr>
                <w:rFonts w:ascii="Times New Roman" w:hAnsi="Times New Roman"/>
                <w:szCs w:val="24"/>
              </w:rPr>
            </w:pPr>
            <w:r w:rsidRPr="00BA6E2D">
              <w:rPr>
                <w:rFonts w:ascii="Times New Roman" w:hAnsi="Times New Roman"/>
                <w:szCs w:val="24"/>
              </w:rPr>
              <w:t>Jackie</w:t>
            </w:r>
          </w:p>
        </w:tc>
        <w:tc>
          <w:tcPr>
            <w:tcW w:w="2632" w:type="dxa"/>
          </w:tcPr>
          <w:p w14:paraId="73D78CCE" w14:textId="77777777" w:rsidR="008407BB" w:rsidRPr="00BA6E2D" w:rsidRDefault="008407BB" w:rsidP="00110D28">
            <w:pPr>
              <w:rPr>
                <w:rFonts w:ascii="Times New Roman" w:hAnsi="Times New Roman"/>
                <w:szCs w:val="24"/>
              </w:rPr>
            </w:pPr>
            <w:r w:rsidRPr="00BA6E2D">
              <w:rPr>
                <w:rFonts w:ascii="Times New Roman" w:hAnsi="Times New Roman"/>
                <w:szCs w:val="24"/>
              </w:rPr>
              <w:t>To support a spouse</w:t>
            </w:r>
          </w:p>
        </w:tc>
        <w:tc>
          <w:tcPr>
            <w:tcW w:w="4394" w:type="dxa"/>
          </w:tcPr>
          <w:p w14:paraId="2F41A576" w14:textId="77777777" w:rsidR="008407BB" w:rsidRPr="00BA6E2D" w:rsidRDefault="008407BB" w:rsidP="00110D28">
            <w:pPr>
              <w:rPr>
                <w:rFonts w:ascii="Times New Roman" w:hAnsi="Times New Roman"/>
                <w:szCs w:val="24"/>
              </w:rPr>
            </w:pPr>
            <w:r w:rsidRPr="00BA6E2D">
              <w:rPr>
                <w:rFonts w:ascii="Times New Roman" w:hAnsi="Times New Roman"/>
                <w:szCs w:val="24"/>
              </w:rPr>
              <w:t>Freedom of movement as an EU migrant</w:t>
            </w:r>
            <w:r w:rsidRPr="00BA6E2D">
              <w:rPr>
                <w:rFonts w:ascii="Times New Roman" w:hAnsi="Times New Roman"/>
                <w:b/>
                <w:bCs/>
                <w:szCs w:val="24"/>
              </w:rPr>
              <w:t>#</w:t>
            </w:r>
          </w:p>
        </w:tc>
        <w:tc>
          <w:tcPr>
            <w:tcW w:w="3119" w:type="dxa"/>
          </w:tcPr>
          <w:p w14:paraId="047565A1" w14:textId="77777777" w:rsidR="008407BB" w:rsidRPr="00BA6E2D" w:rsidRDefault="008407BB" w:rsidP="00110D28">
            <w:pPr>
              <w:rPr>
                <w:rFonts w:ascii="Times New Roman" w:hAnsi="Times New Roman"/>
                <w:szCs w:val="24"/>
              </w:rPr>
            </w:pPr>
            <w:r w:rsidRPr="00BA6E2D">
              <w:rPr>
                <w:rFonts w:ascii="Times New Roman" w:hAnsi="Times New Roman"/>
                <w:szCs w:val="24"/>
              </w:rPr>
              <w:t>An EU migrant</w:t>
            </w:r>
          </w:p>
        </w:tc>
      </w:tr>
      <w:tr w:rsidR="008407BB" w:rsidRPr="00BA6E2D" w14:paraId="3B38FCDD" w14:textId="77777777" w:rsidTr="00110D28">
        <w:trPr>
          <w:trHeight w:hRule="exact" w:val="284"/>
        </w:trPr>
        <w:tc>
          <w:tcPr>
            <w:tcW w:w="1138" w:type="dxa"/>
          </w:tcPr>
          <w:p w14:paraId="763FE249"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0BD90DCC" w14:textId="77777777" w:rsidR="008407BB" w:rsidRPr="00BA6E2D" w:rsidRDefault="008407BB" w:rsidP="00110D28">
            <w:pPr>
              <w:rPr>
                <w:rFonts w:ascii="Times New Roman" w:hAnsi="Times New Roman"/>
                <w:szCs w:val="24"/>
              </w:rPr>
            </w:pPr>
            <w:r w:rsidRPr="00BA6E2D">
              <w:rPr>
                <w:rFonts w:ascii="Times New Roman" w:hAnsi="Times New Roman"/>
                <w:szCs w:val="24"/>
              </w:rPr>
              <w:t>Paul</w:t>
            </w:r>
          </w:p>
        </w:tc>
        <w:tc>
          <w:tcPr>
            <w:tcW w:w="2632" w:type="dxa"/>
          </w:tcPr>
          <w:p w14:paraId="20F30794"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267682A6"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2B7ED187"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21E78CF8" w14:textId="77777777" w:rsidTr="00110D28">
        <w:trPr>
          <w:trHeight w:hRule="exact" w:val="284"/>
        </w:trPr>
        <w:tc>
          <w:tcPr>
            <w:tcW w:w="1138" w:type="dxa"/>
          </w:tcPr>
          <w:p w14:paraId="14497571"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612B2AA5" w14:textId="77777777" w:rsidR="008407BB" w:rsidRPr="00BA6E2D" w:rsidRDefault="008407BB" w:rsidP="00110D28">
            <w:pPr>
              <w:rPr>
                <w:rFonts w:ascii="Times New Roman" w:hAnsi="Times New Roman"/>
                <w:szCs w:val="24"/>
              </w:rPr>
            </w:pPr>
            <w:r w:rsidRPr="00BA6E2D">
              <w:rPr>
                <w:rFonts w:ascii="Times New Roman" w:hAnsi="Times New Roman"/>
                <w:szCs w:val="24"/>
              </w:rPr>
              <w:t>Morgan</w:t>
            </w:r>
          </w:p>
        </w:tc>
        <w:tc>
          <w:tcPr>
            <w:tcW w:w="2632" w:type="dxa"/>
          </w:tcPr>
          <w:p w14:paraId="500FD76E"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0AC8687D"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455D2880"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3D8A73AF" w14:textId="77777777" w:rsidTr="00110D28">
        <w:trPr>
          <w:trHeight w:hRule="exact" w:val="284"/>
        </w:trPr>
        <w:tc>
          <w:tcPr>
            <w:tcW w:w="1138" w:type="dxa"/>
          </w:tcPr>
          <w:p w14:paraId="4B17D119"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6BBD7F1A" w14:textId="77777777" w:rsidR="008407BB" w:rsidRPr="00BA6E2D" w:rsidRDefault="008407BB" w:rsidP="00110D28">
            <w:pPr>
              <w:rPr>
                <w:rFonts w:ascii="Times New Roman" w:hAnsi="Times New Roman"/>
                <w:szCs w:val="24"/>
              </w:rPr>
            </w:pPr>
            <w:r w:rsidRPr="00BA6E2D">
              <w:rPr>
                <w:rFonts w:ascii="Times New Roman" w:hAnsi="Times New Roman"/>
                <w:szCs w:val="24"/>
              </w:rPr>
              <w:t>Jeff</w:t>
            </w:r>
          </w:p>
        </w:tc>
        <w:tc>
          <w:tcPr>
            <w:tcW w:w="2632" w:type="dxa"/>
          </w:tcPr>
          <w:p w14:paraId="5FC1EC2C"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2D8E4B32"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46E796A1"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54BA7EDF" w14:textId="77777777" w:rsidTr="00110D28">
        <w:trPr>
          <w:trHeight w:hRule="exact" w:val="284"/>
        </w:trPr>
        <w:tc>
          <w:tcPr>
            <w:tcW w:w="1138" w:type="dxa"/>
          </w:tcPr>
          <w:p w14:paraId="0384C836"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1801659C" w14:textId="77777777" w:rsidR="008407BB" w:rsidRPr="00BA6E2D" w:rsidRDefault="008407BB" w:rsidP="00110D28">
            <w:pPr>
              <w:rPr>
                <w:rFonts w:ascii="Times New Roman" w:hAnsi="Times New Roman"/>
                <w:szCs w:val="24"/>
              </w:rPr>
            </w:pPr>
            <w:r w:rsidRPr="00BA6E2D">
              <w:rPr>
                <w:rFonts w:ascii="Times New Roman" w:hAnsi="Times New Roman"/>
                <w:szCs w:val="24"/>
              </w:rPr>
              <w:t>Shade</w:t>
            </w:r>
          </w:p>
        </w:tc>
        <w:tc>
          <w:tcPr>
            <w:tcW w:w="2632" w:type="dxa"/>
          </w:tcPr>
          <w:p w14:paraId="08A3C8AC" w14:textId="77777777" w:rsidR="008407BB" w:rsidRPr="00BA6E2D" w:rsidRDefault="008407BB" w:rsidP="00110D28">
            <w:pPr>
              <w:rPr>
                <w:rFonts w:ascii="Times New Roman" w:hAnsi="Times New Roman"/>
                <w:szCs w:val="24"/>
              </w:rPr>
            </w:pPr>
            <w:r w:rsidRPr="00BA6E2D">
              <w:rPr>
                <w:rFonts w:ascii="Times New Roman" w:hAnsi="Times New Roman"/>
                <w:szCs w:val="24"/>
              </w:rPr>
              <w:t>To support spouse</w:t>
            </w:r>
          </w:p>
        </w:tc>
        <w:tc>
          <w:tcPr>
            <w:tcW w:w="4394" w:type="dxa"/>
          </w:tcPr>
          <w:p w14:paraId="0E562E67" w14:textId="77777777" w:rsidR="008407BB" w:rsidRPr="00BA6E2D" w:rsidRDefault="008407BB" w:rsidP="00110D28">
            <w:pPr>
              <w:rPr>
                <w:rFonts w:ascii="Times New Roman" w:hAnsi="Times New Roman"/>
                <w:szCs w:val="24"/>
              </w:rPr>
            </w:pPr>
            <w:r w:rsidRPr="00BA6E2D">
              <w:rPr>
                <w:rFonts w:ascii="Times New Roman" w:hAnsi="Times New Roman"/>
                <w:szCs w:val="24"/>
              </w:rPr>
              <w:t>Dependant visa</w:t>
            </w:r>
          </w:p>
        </w:tc>
        <w:tc>
          <w:tcPr>
            <w:tcW w:w="3119" w:type="dxa"/>
          </w:tcPr>
          <w:p w14:paraId="1B3ED693" w14:textId="77777777" w:rsidR="008407BB" w:rsidRPr="00BA6E2D" w:rsidRDefault="008407BB" w:rsidP="00110D28">
            <w:pPr>
              <w:rPr>
                <w:rFonts w:ascii="Times New Roman" w:hAnsi="Times New Roman"/>
                <w:szCs w:val="24"/>
              </w:rPr>
            </w:pPr>
            <w:r w:rsidRPr="00BA6E2D">
              <w:rPr>
                <w:rFonts w:ascii="Times New Roman" w:hAnsi="Times New Roman"/>
                <w:szCs w:val="24"/>
              </w:rPr>
              <w:t>Dependant visa</w:t>
            </w:r>
          </w:p>
        </w:tc>
      </w:tr>
      <w:tr w:rsidR="008407BB" w:rsidRPr="00BA6E2D" w14:paraId="03A0B294" w14:textId="77777777" w:rsidTr="00110D28">
        <w:trPr>
          <w:trHeight w:hRule="exact" w:val="284"/>
        </w:trPr>
        <w:tc>
          <w:tcPr>
            <w:tcW w:w="1138" w:type="dxa"/>
          </w:tcPr>
          <w:p w14:paraId="11A21711"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125BA9CA" w14:textId="77777777" w:rsidR="008407BB" w:rsidRPr="00BA6E2D" w:rsidRDefault="008407BB" w:rsidP="00110D28">
            <w:pPr>
              <w:rPr>
                <w:rFonts w:ascii="Times New Roman" w:hAnsi="Times New Roman"/>
                <w:szCs w:val="24"/>
              </w:rPr>
            </w:pPr>
            <w:r w:rsidRPr="00BA6E2D">
              <w:rPr>
                <w:rFonts w:ascii="Times New Roman" w:hAnsi="Times New Roman"/>
                <w:szCs w:val="24"/>
              </w:rPr>
              <w:t>Kate</w:t>
            </w:r>
          </w:p>
        </w:tc>
        <w:tc>
          <w:tcPr>
            <w:tcW w:w="2632" w:type="dxa"/>
          </w:tcPr>
          <w:p w14:paraId="618D7037"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0A16D2EA"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28A601D3"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573E2D4D" w14:textId="77777777" w:rsidTr="00110D28">
        <w:trPr>
          <w:trHeight w:hRule="exact" w:val="284"/>
        </w:trPr>
        <w:tc>
          <w:tcPr>
            <w:tcW w:w="1138" w:type="dxa"/>
          </w:tcPr>
          <w:p w14:paraId="46EF90B6"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6F8F71C0" w14:textId="77777777" w:rsidR="008407BB" w:rsidRPr="00BA6E2D" w:rsidRDefault="008407BB" w:rsidP="00110D28">
            <w:pPr>
              <w:rPr>
                <w:rFonts w:ascii="Times New Roman" w:hAnsi="Times New Roman"/>
                <w:szCs w:val="24"/>
              </w:rPr>
            </w:pPr>
            <w:r w:rsidRPr="00BA6E2D">
              <w:rPr>
                <w:rFonts w:ascii="Times New Roman" w:hAnsi="Times New Roman"/>
                <w:szCs w:val="24"/>
              </w:rPr>
              <w:t>Oscar</w:t>
            </w:r>
          </w:p>
        </w:tc>
        <w:tc>
          <w:tcPr>
            <w:tcW w:w="2632" w:type="dxa"/>
          </w:tcPr>
          <w:p w14:paraId="6D0BD892"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7A8042C2"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258E1812"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05E45626" w14:textId="77777777" w:rsidTr="00110D28">
        <w:trPr>
          <w:trHeight w:hRule="exact" w:val="284"/>
        </w:trPr>
        <w:tc>
          <w:tcPr>
            <w:tcW w:w="1138" w:type="dxa"/>
          </w:tcPr>
          <w:p w14:paraId="075CB6BF"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0ADB73B7" w14:textId="77777777" w:rsidR="008407BB" w:rsidRPr="00BA6E2D" w:rsidRDefault="008407BB" w:rsidP="00110D28">
            <w:pPr>
              <w:rPr>
                <w:rFonts w:ascii="Times New Roman" w:hAnsi="Times New Roman"/>
                <w:szCs w:val="24"/>
              </w:rPr>
            </w:pPr>
            <w:r w:rsidRPr="00BA6E2D">
              <w:rPr>
                <w:rFonts w:ascii="Times New Roman" w:hAnsi="Times New Roman"/>
                <w:szCs w:val="24"/>
              </w:rPr>
              <w:t>John</w:t>
            </w:r>
          </w:p>
        </w:tc>
        <w:tc>
          <w:tcPr>
            <w:tcW w:w="2632" w:type="dxa"/>
          </w:tcPr>
          <w:p w14:paraId="1FF2DB0B"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42CA0B3D"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5C1DFF9F"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6CA07295" w14:textId="77777777" w:rsidTr="00110D28">
        <w:trPr>
          <w:trHeight w:hRule="exact" w:val="284"/>
        </w:trPr>
        <w:tc>
          <w:tcPr>
            <w:tcW w:w="1138" w:type="dxa"/>
          </w:tcPr>
          <w:p w14:paraId="23C9AC0D"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0ADA23B3" w14:textId="77777777" w:rsidR="008407BB" w:rsidRPr="00BA6E2D" w:rsidRDefault="008407BB" w:rsidP="00110D28">
            <w:pPr>
              <w:rPr>
                <w:rFonts w:ascii="Times New Roman" w:hAnsi="Times New Roman"/>
                <w:szCs w:val="24"/>
              </w:rPr>
            </w:pPr>
            <w:r w:rsidRPr="00BA6E2D">
              <w:rPr>
                <w:rFonts w:ascii="Times New Roman" w:hAnsi="Times New Roman"/>
                <w:szCs w:val="24"/>
              </w:rPr>
              <w:t>Miriam</w:t>
            </w:r>
          </w:p>
        </w:tc>
        <w:tc>
          <w:tcPr>
            <w:tcW w:w="2632" w:type="dxa"/>
          </w:tcPr>
          <w:p w14:paraId="6D984D9C" w14:textId="77777777" w:rsidR="008407BB" w:rsidRPr="00BA6E2D" w:rsidRDefault="008407BB" w:rsidP="00110D28">
            <w:pPr>
              <w:rPr>
                <w:rFonts w:ascii="Times New Roman" w:hAnsi="Times New Roman"/>
                <w:szCs w:val="24"/>
              </w:rPr>
            </w:pPr>
            <w:r w:rsidRPr="00BA6E2D">
              <w:rPr>
                <w:rFonts w:ascii="Times New Roman" w:hAnsi="Times New Roman"/>
                <w:szCs w:val="24"/>
              </w:rPr>
              <w:t>To study</w:t>
            </w:r>
          </w:p>
        </w:tc>
        <w:tc>
          <w:tcPr>
            <w:tcW w:w="4394" w:type="dxa"/>
          </w:tcPr>
          <w:p w14:paraId="06E653BC"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c>
          <w:tcPr>
            <w:tcW w:w="3119" w:type="dxa"/>
          </w:tcPr>
          <w:p w14:paraId="4D2702BA" w14:textId="77777777" w:rsidR="008407BB" w:rsidRPr="00BA6E2D" w:rsidRDefault="008407BB" w:rsidP="00110D28">
            <w:pPr>
              <w:rPr>
                <w:rFonts w:ascii="Times New Roman" w:hAnsi="Times New Roman"/>
                <w:szCs w:val="24"/>
              </w:rPr>
            </w:pPr>
            <w:r w:rsidRPr="00BA6E2D">
              <w:rPr>
                <w:rFonts w:ascii="Times New Roman" w:hAnsi="Times New Roman"/>
                <w:szCs w:val="24"/>
              </w:rPr>
              <w:t>Student</w:t>
            </w:r>
          </w:p>
        </w:tc>
      </w:tr>
      <w:tr w:rsidR="008407BB" w:rsidRPr="00BA6E2D" w14:paraId="05B51A58" w14:textId="77777777" w:rsidTr="00110D28">
        <w:trPr>
          <w:trHeight w:hRule="exact" w:val="284"/>
        </w:trPr>
        <w:tc>
          <w:tcPr>
            <w:tcW w:w="1138" w:type="dxa"/>
          </w:tcPr>
          <w:p w14:paraId="6258B63D"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00542299" w14:textId="77777777" w:rsidR="008407BB" w:rsidRPr="00BA6E2D" w:rsidRDefault="008407BB" w:rsidP="00110D28">
            <w:pPr>
              <w:rPr>
                <w:rFonts w:ascii="Times New Roman" w:hAnsi="Times New Roman"/>
                <w:szCs w:val="24"/>
              </w:rPr>
            </w:pPr>
            <w:r w:rsidRPr="00BA6E2D">
              <w:rPr>
                <w:rFonts w:ascii="Times New Roman" w:hAnsi="Times New Roman"/>
                <w:szCs w:val="24"/>
              </w:rPr>
              <w:t>Benard</w:t>
            </w:r>
          </w:p>
        </w:tc>
        <w:tc>
          <w:tcPr>
            <w:tcW w:w="2632" w:type="dxa"/>
          </w:tcPr>
          <w:p w14:paraId="36BFF24B" w14:textId="77777777" w:rsidR="008407BB" w:rsidRPr="00BA6E2D" w:rsidRDefault="008407BB" w:rsidP="00110D28">
            <w:pPr>
              <w:rPr>
                <w:rFonts w:ascii="Times New Roman" w:hAnsi="Times New Roman"/>
                <w:szCs w:val="24"/>
              </w:rPr>
            </w:pPr>
            <w:r w:rsidRPr="00BA6E2D">
              <w:rPr>
                <w:rFonts w:ascii="Times New Roman" w:hAnsi="Times New Roman"/>
                <w:szCs w:val="24"/>
              </w:rPr>
              <w:t>To work</w:t>
            </w:r>
          </w:p>
        </w:tc>
        <w:tc>
          <w:tcPr>
            <w:tcW w:w="4394" w:type="dxa"/>
          </w:tcPr>
          <w:p w14:paraId="7CBEEF40" w14:textId="77777777" w:rsidR="008407BB" w:rsidRPr="00BA6E2D" w:rsidRDefault="008407BB" w:rsidP="00110D28">
            <w:pPr>
              <w:rPr>
                <w:rFonts w:ascii="Times New Roman" w:hAnsi="Times New Roman"/>
                <w:szCs w:val="24"/>
              </w:rPr>
            </w:pPr>
            <w:r w:rsidRPr="00BA6E2D">
              <w:rPr>
                <w:rFonts w:ascii="Times New Roman" w:hAnsi="Times New Roman"/>
                <w:szCs w:val="24"/>
              </w:rPr>
              <w:t>Freedom of movement as an EU migrant</w:t>
            </w:r>
          </w:p>
        </w:tc>
        <w:tc>
          <w:tcPr>
            <w:tcW w:w="3119" w:type="dxa"/>
          </w:tcPr>
          <w:p w14:paraId="43ED67D4" w14:textId="77777777" w:rsidR="008407BB" w:rsidRPr="00BA6E2D" w:rsidRDefault="008407BB" w:rsidP="00110D28">
            <w:pPr>
              <w:rPr>
                <w:rFonts w:ascii="Times New Roman" w:hAnsi="Times New Roman"/>
                <w:szCs w:val="24"/>
              </w:rPr>
            </w:pPr>
            <w:r w:rsidRPr="00BA6E2D">
              <w:rPr>
                <w:rFonts w:ascii="Times New Roman" w:hAnsi="Times New Roman"/>
                <w:szCs w:val="24"/>
              </w:rPr>
              <w:t>An EU migrant</w:t>
            </w:r>
          </w:p>
        </w:tc>
      </w:tr>
      <w:tr w:rsidR="008407BB" w:rsidRPr="00BA6E2D" w14:paraId="3B1F109E" w14:textId="77777777" w:rsidTr="00110D28">
        <w:trPr>
          <w:trHeight w:hRule="exact" w:val="284"/>
        </w:trPr>
        <w:tc>
          <w:tcPr>
            <w:tcW w:w="1138" w:type="dxa"/>
          </w:tcPr>
          <w:p w14:paraId="0FC04BC8"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5F27F8C4" w14:textId="77777777" w:rsidR="008407BB" w:rsidRPr="00BA6E2D" w:rsidRDefault="008407BB" w:rsidP="00110D28">
            <w:pPr>
              <w:rPr>
                <w:rFonts w:ascii="Times New Roman" w:hAnsi="Times New Roman"/>
                <w:szCs w:val="24"/>
              </w:rPr>
            </w:pPr>
            <w:r w:rsidRPr="00BA6E2D">
              <w:rPr>
                <w:rFonts w:ascii="Times New Roman" w:hAnsi="Times New Roman"/>
                <w:szCs w:val="24"/>
              </w:rPr>
              <w:t>Dankay</w:t>
            </w:r>
          </w:p>
        </w:tc>
        <w:tc>
          <w:tcPr>
            <w:tcW w:w="2632" w:type="dxa"/>
          </w:tcPr>
          <w:p w14:paraId="1B7F717D" w14:textId="77777777" w:rsidR="008407BB" w:rsidRPr="00BA6E2D" w:rsidRDefault="008407BB" w:rsidP="00110D28">
            <w:pPr>
              <w:rPr>
                <w:rFonts w:ascii="Times New Roman" w:hAnsi="Times New Roman"/>
                <w:szCs w:val="24"/>
              </w:rPr>
            </w:pPr>
            <w:r w:rsidRPr="00BA6E2D">
              <w:rPr>
                <w:rFonts w:ascii="Times New Roman" w:hAnsi="Times New Roman"/>
                <w:szCs w:val="24"/>
              </w:rPr>
              <w:t>Family reasons – a child dependant</w:t>
            </w:r>
          </w:p>
        </w:tc>
        <w:tc>
          <w:tcPr>
            <w:tcW w:w="4394" w:type="dxa"/>
          </w:tcPr>
          <w:p w14:paraId="03318CAD" w14:textId="77777777" w:rsidR="008407BB" w:rsidRPr="00BA6E2D" w:rsidRDefault="008407BB" w:rsidP="00110D28">
            <w:pPr>
              <w:rPr>
                <w:rFonts w:ascii="Times New Roman" w:hAnsi="Times New Roman"/>
                <w:szCs w:val="24"/>
              </w:rPr>
            </w:pPr>
            <w:r w:rsidRPr="00BA6E2D">
              <w:rPr>
                <w:rFonts w:ascii="Times New Roman" w:hAnsi="Times New Roman"/>
                <w:szCs w:val="24"/>
              </w:rPr>
              <w:t xml:space="preserve"> Child dependant visa</w:t>
            </w:r>
          </w:p>
        </w:tc>
        <w:tc>
          <w:tcPr>
            <w:tcW w:w="3119" w:type="dxa"/>
          </w:tcPr>
          <w:p w14:paraId="1EEE682C"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6387852D" w14:textId="77777777" w:rsidTr="00110D28">
        <w:trPr>
          <w:trHeight w:hRule="exact" w:val="284"/>
        </w:trPr>
        <w:tc>
          <w:tcPr>
            <w:tcW w:w="1138" w:type="dxa"/>
          </w:tcPr>
          <w:p w14:paraId="31CD4375"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2AA1B2FA" w14:textId="77777777" w:rsidR="008407BB" w:rsidRPr="00BA6E2D" w:rsidRDefault="008407BB" w:rsidP="00110D28">
            <w:pPr>
              <w:rPr>
                <w:rFonts w:ascii="Times New Roman" w:hAnsi="Times New Roman"/>
                <w:szCs w:val="24"/>
              </w:rPr>
            </w:pPr>
            <w:r w:rsidRPr="00BA6E2D">
              <w:rPr>
                <w:rFonts w:ascii="Times New Roman" w:hAnsi="Times New Roman"/>
                <w:szCs w:val="24"/>
              </w:rPr>
              <w:t>Bosede</w:t>
            </w:r>
          </w:p>
        </w:tc>
        <w:tc>
          <w:tcPr>
            <w:tcW w:w="2632" w:type="dxa"/>
          </w:tcPr>
          <w:p w14:paraId="185BE1A3" w14:textId="77777777" w:rsidR="008407BB" w:rsidRPr="00BA6E2D" w:rsidRDefault="008407BB" w:rsidP="00110D28">
            <w:pPr>
              <w:rPr>
                <w:rFonts w:ascii="Times New Roman" w:hAnsi="Times New Roman"/>
                <w:szCs w:val="24"/>
              </w:rPr>
            </w:pPr>
            <w:r w:rsidRPr="00BA6E2D">
              <w:rPr>
                <w:rFonts w:ascii="Times New Roman" w:hAnsi="Times New Roman"/>
                <w:szCs w:val="24"/>
              </w:rPr>
              <w:t>To work</w:t>
            </w:r>
          </w:p>
        </w:tc>
        <w:tc>
          <w:tcPr>
            <w:tcW w:w="4394" w:type="dxa"/>
          </w:tcPr>
          <w:p w14:paraId="17EBE244" w14:textId="77777777" w:rsidR="008407BB" w:rsidRPr="00BA6E2D" w:rsidRDefault="008407BB" w:rsidP="00110D28">
            <w:pPr>
              <w:rPr>
                <w:rFonts w:ascii="Times New Roman" w:hAnsi="Times New Roman"/>
                <w:szCs w:val="24"/>
              </w:rPr>
            </w:pPr>
            <w:r w:rsidRPr="00BA6E2D">
              <w:rPr>
                <w:rFonts w:ascii="Times New Roman" w:hAnsi="Times New Roman"/>
                <w:szCs w:val="24"/>
              </w:rPr>
              <w:t>On the HSMP visa</w:t>
            </w:r>
          </w:p>
        </w:tc>
        <w:tc>
          <w:tcPr>
            <w:tcW w:w="3119" w:type="dxa"/>
          </w:tcPr>
          <w:p w14:paraId="4F53F915"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4C1A4A68" w14:textId="77777777" w:rsidTr="00110D28">
        <w:trPr>
          <w:trHeight w:hRule="exact" w:val="284"/>
        </w:trPr>
        <w:tc>
          <w:tcPr>
            <w:tcW w:w="1138" w:type="dxa"/>
          </w:tcPr>
          <w:p w14:paraId="610CF46D"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4909D4B6" w14:textId="77777777" w:rsidR="008407BB" w:rsidRPr="00BA6E2D" w:rsidRDefault="008407BB" w:rsidP="00110D28">
            <w:pPr>
              <w:rPr>
                <w:rFonts w:ascii="Times New Roman" w:hAnsi="Times New Roman"/>
                <w:szCs w:val="24"/>
              </w:rPr>
            </w:pPr>
            <w:r w:rsidRPr="00BA6E2D">
              <w:rPr>
                <w:rFonts w:ascii="Times New Roman" w:hAnsi="Times New Roman"/>
                <w:szCs w:val="24"/>
              </w:rPr>
              <w:t>Omolara</w:t>
            </w:r>
          </w:p>
        </w:tc>
        <w:tc>
          <w:tcPr>
            <w:tcW w:w="2632" w:type="dxa"/>
          </w:tcPr>
          <w:p w14:paraId="19321F2A" w14:textId="77777777" w:rsidR="008407BB" w:rsidRPr="00BA6E2D" w:rsidRDefault="008407BB" w:rsidP="00110D28">
            <w:pPr>
              <w:rPr>
                <w:rFonts w:ascii="Times New Roman" w:hAnsi="Times New Roman"/>
                <w:szCs w:val="24"/>
              </w:rPr>
            </w:pPr>
            <w:r w:rsidRPr="00BA6E2D">
              <w:rPr>
                <w:rFonts w:ascii="Times New Roman" w:hAnsi="Times New Roman"/>
                <w:szCs w:val="24"/>
              </w:rPr>
              <w:t>To support spouse</w:t>
            </w:r>
          </w:p>
        </w:tc>
        <w:tc>
          <w:tcPr>
            <w:tcW w:w="4394" w:type="dxa"/>
          </w:tcPr>
          <w:p w14:paraId="32E247F4" w14:textId="77777777" w:rsidR="008407BB" w:rsidRPr="00BA6E2D" w:rsidRDefault="008407BB" w:rsidP="00110D28">
            <w:pPr>
              <w:rPr>
                <w:rFonts w:ascii="Times New Roman" w:hAnsi="Times New Roman"/>
                <w:szCs w:val="24"/>
              </w:rPr>
            </w:pPr>
            <w:r w:rsidRPr="00BA6E2D">
              <w:rPr>
                <w:rFonts w:ascii="Times New Roman" w:hAnsi="Times New Roman"/>
                <w:szCs w:val="24"/>
              </w:rPr>
              <w:t>Dependant visa</w:t>
            </w:r>
          </w:p>
        </w:tc>
        <w:tc>
          <w:tcPr>
            <w:tcW w:w="3119" w:type="dxa"/>
          </w:tcPr>
          <w:p w14:paraId="2DEF303C"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5A473CE1" w14:textId="77777777" w:rsidTr="00110D28">
        <w:trPr>
          <w:trHeight w:hRule="exact" w:val="284"/>
        </w:trPr>
        <w:tc>
          <w:tcPr>
            <w:tcW w:w="1138" w:type="dxa"/>
          </w:tcPr>
          <w:p w14:paraId="27A5651A"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0F2470D0" w14:textId="77777777" w:rsidR="008407BB" w:rsidRPr="00BA6E2D" w:rsidRDefault="008407BB" w:rsidP="00110D28">
            <w:pPr>
              <w:rPr>
                <w:rFonts w:ascii="Times New Roman" w:hAnsi="Times New Roman"/>
                <w:szCs w:val="24"/>
              </w:rPr>
            </w:pPr>
            <w:r w:rsidRPr="00BA6E2D">
              <w:rPr>
                <w:rFonts w:ascii="Times New Roman" w:hAnsi="Times New Roman"/>
                <w:szCs w:val="24"/>
              </w:rPr>
              <w:t>Ademola</w:t>
            </w:r>
          </w:p>
        </w:tc>
        <w:tc>
          <w:tcPr>
            <w:tcW w:w="2632" w:type="dxa"/>
          </w:tcPr>
          <w:p w14:paraId="0408914A" w14:textId="77777777" w:rsidR="008407BB" w:rsidRPr="00BA6E2D" w:rsidRDefault="008407BB" w:rsidP="00110D28">
            <w:pPr>
              <w:rPr>
                <w:rFonts w:ascii="Times New Roman" w:hAnsi="Times New Roman"/>
                <w:szCs w:val="24"/>
              </w:rPr>
            </w:pPr>
            <w:r w:rsidRPr="00BA6E2D">
              <w:rPr>
                <w:rFonts w:ascii="Times New Roman" w:hAnsi="Times New Roman"/>
                <w:szCs w:val="24"/>
              </w:rPr>
              <w:t>To support spouse</w:t>
            </w:r>
          </w:p>
        </w:tc>
        <w:tc>
          <w:tcPr>
            <w:tcW w:w="4394" w:type="dxa"/>
          </w:tcPr>
          <w:p w14:paraId="57BA806C" w14:textId="77777777" w:rsidR="008407BB" w:rsidRPr="00BA6E2D" w:rsidRDefault="008407BB" w:rsidP="00110D28">
            <w:pPr>
              <w:rPr>
                <w:rFonts w:ascii="Times New Roman" w:hAnsi="Times New Roman"/>
                <w:szCs w:val="24"/>
              </w:rPr>
            </w:pPr>
            <w:r w:rsidRPr="00BA6E2D">
              <w:rPr>
                <w:rFonts w:ascii="Times New Roman" w:hAnsi="Times New Roman"/>
                <w:szCs w:val="24"/>
              </w:rPr>
              <w:t>Dependant visa</w:t>
            </w:r>
          </w:p>
        </w:tc>
        <w:tc>
          <w:tcPr>
            <w:tcW w:w="3119" w:type="dxa"/>
          </w:tcPr>
          <w:p w14:paraId="28DDA672"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r w:rsidR="008407BB" w:rsidRPr="00BA6E2D" w14:paraId="15EA12D3" w14:textId="77777777" w:rsidTr="00110D28">
        <w:trPr>
          <w:trHeight w:hRule="exact" w:val="284"/>
        </w:trPr>
        <w:tc>
          <w:tcPr>
            <w:tcW w:w="1138" w:type="dxa"/>
          </w:tcPr>
          <w:p w14:paraId="79F758EE" w14:textId="77777777" w:rsidR="008407BB" w:rsidRPr="00BA6E2D" w:rsidRDefault="008407BB" w:rsidP="00110D28">
            <w:pPr>
              <w:pStyle w:val="ListParagraph"/>
              <w:numPr>
                <w:ilvl w:val="0"/>
                <w:numId w:val="4"/>
              </w:numPr>
              <w:rPr>
                <w:rFonts w:ascii="Times New Roman" w:hAnsi="Times New Roman"/>
                <w:szCs w:val="24"/>
              </w:rPr>
            </w:pPr>
          </w:p>
        </w:tc>
        <w:tc>
          <w:tcPr>
            <w:tcW w:w="1470" w:type="dxa"/>
          </w:tcPr>
          <w:p w14:paraId="211B9075" w14:textId="77777777" w:rsidR="008407BB" w:rsidRPr="00BA6E2D" w:rsidRDefault="008407BB" w:rsidP="00110D28">
            <w:pPr>
              <w:rPr>
                <w:rFonts w:ascii="Times New Roman" w:hAnsi="Times New Roman"/>
                <w:szCs w:val="24"/>
              </w:rPr>
            </w:pPr>
            <w:r w:rsidRPr="00BA6E2D">
              <w:rPr>
                <w:rFonts w:ascii="Times New Roman" w:hAnsi="Times New Roman"/>
                <w:szCs w:val="24"/>
              </w:rPr>
              <w:t>Cynthia</w:t>
            </w:r>
          </w:p>
        </w:tc>
        <w:tc>
          <w:tcPr>
            <w:tcW w:w="2632" w:type="dxa"/>
          </w:tcPr>
          <w:p w14:paraId="3981A4DB" w14:textId="77777777" w:rsidR="008407BB" w:rsidRPr="00BA6E2D" w:rsidRDefault="008407BB" w:rsidP="00110D28">
            <w:pPr>
              <w:rPr>
                <w:rFonts w:ascii="Times New Roman" w:hAnsi="Times New Roman"/>
                <w:szCs w:val="24"/>
              </w:rPr>
            </w:pPr>
            <w:r w:rsidRPr="00BA6E2D">
              <w:rPr>
                <w:rFonts w:ascii="Times New Roman" w:hAnsi="Times New Roman"/>
                <w:szCs w:val="24"/>
              </w:rPr>
              <w:t>To support spouse</w:t>
            </w:r>
          </w:p>
        </w:tc>
        <w:tc>
          <w:tcPr>
            <w:tcW w:w="4394" w:type="dxa"/>
          </w:tcPr>
          <w:p w14:paraId="3D9E42EB" w14:textId="77777777" w:rsidR="008407BB" w:rsidRPr="00BA6E2D" w:rsidRDefault="008407BB" w:rsidP="00110D28">
            <w:pPr>
              <w:rPr>
                <w:rFonts w:ascii="Times New Roman" w:hAnsi="Times New Roman"/>
                <w:szCs w:val="24"/>
              </w:rPr>
            </w:pPr>
            <w:r w:rsidRPr="00BA6E2D">
              <w:rPr>
                <w:rFonts w:ascii="Times New Roman" w:hAnsi="Times New Roman"/>
                <w:szCs w:val="24"/>
              </w:rPr>
              <w:t>Dependant visa</w:t>
            </w:r>
          </w:p>
        </w:tc>
        <w:tc>
          <w:tcPr>
            <w:tcW w:w="3119" w:type="dxa"/>
          </w:tcPr>
          <w:p w14:paraId="7B7A17A5" w14:textId="77777777" w:rsidR="008407BB" w:rsidRPr="00BA6E2D" w:rsidRDefault="008407BB" w:rsidP="00110D28">
            <w:pPr>
              <w:rPr>
                <w:rFonts w:ascii="Times New Roman" w:hAnsi="Times New Roman"/>
                <w:szCs w:val="24"/>
              </w:rPr>
            </w:pPr>
            <w:r w:rsidRPr="00BA6E2D">
              <w:rPr>
                <w:rFonts w:ascii="Times New Roman" w:hAnsi="Times New Roman"/>
                <w:szCs w:val="24"/>
              </w:rPr>
              <w:t>British</w:t>
            </w:r>
          </w:p>
        </w:tc>
      </w:tr>
    </w:tbl>
    <w:p w14:paraId="1A026CAF" w14:textId="75A8AFC2" w:rsidR="008407BB" w:rsidRPr="00213260" w:rsidRDefault="008407BB" w:rsidP="00213260">
      <w:pPr>
        <w:spacing w:after="0"/>
        <w:rPr>
          <w:rFonts w:ascii="Times New Roman" w:hAnsi="Times New Roman"/>
          <w:b/>
          <w:szCs w:val="24"/>
        </w:rPr>
      </w:pPr>
      <w:r w:rsidRPr="00BA6E2D">
        <w:rPr>
          <w:rFonts w:ascii="Times New Roman" w:hAnsi="Times New Roman"/>
          <w:b/>
          <w:szCs w:val="24"/>
        </w:rPr>
        <w:t>Table 7.4: Participants’ route of migrating to the UK</w:t>
      </w:r>
    </w:p>
    <w:p w14:paraId="6A103F87" w14:textId="77777777" w:rsidR="008407BB" w:rsidRPr="00BA6E2D" w:rsidRDefault="008407BB" w:rsidP="00213260">
      <w:pPr>
        <w:spacing w:after="0" w:line="240" w:lineRule="auto"/>
        <w:rPr>
          <w:rFonts w:ascii="Times New Roman" w:hAnsi="Times New Roman"/>
          <w:szCs w:val="24"/>
        </w:rPr>
      </w:pPr>
      <w:r w:rsidRPr="00BA6E2D">
        <w:rPr>
          <w:rFonts w:ascii="Times New Roman" w:hAnsi="Times New Roman"/>
          <w:b/>
          <w:bCs/>
          <w:szCs w:val="24"/>
        </w:rPr>
        <w:t>*</w:t>
      </w:r>
      <w:r w:rsidRPr="00BA6E2D">
        <w:rPr>
          <w:rFonts w:ascii="Times New Roman" w:hAnsi="Times New Roman"/>
          <w:szCs w:val="24"/>
        </w:rPr>
        <w:t xml:space="preserve"> - Student visa is also referred to as the Tier 4 visa.</w:t>
      </w:r>
      <w:r>
        <w:rPr>
          <w:rFonts w:ascii="Times New Roman" w:hAnsi="Times New Roman"/>
          <w:szCs w:val="24"/>
        </w:rPr>
        <w:t xml:space="preserve"> </w:t>
      </w:r>
      <w:r w:rsidRPr="00BA6E2D">
        <w:rPr>
          <w:rFonts w:ascii="Times New Roman" w:hAnsi="Times New Roman"/>
          <w:b/>
          <w:bCs/>
          <w:szCs w:val="24"/>
        </w:rPr>
        <w:t>#</w:t>
      </w:r>
      <w:r w:rsidRPr="00BA6E2D">
        <w:rPr>
          <w:rFonts w:ascii="Times New Roman" w:hAnsi="Times New Roman"/>
          <w:szCs w:val="24"/>
        </w:rPr>
        <w:t xml:space="preserve"> - Freedom of movement - EU migrant enjoyed this right at the time of the interview but with the UK set to leave the EU after the 31</w:t>
      </w:r>
      <w:r w:rsidRPr="00BA6E2D">
        <w:rPr>
          <w:rFonts w:ascii="Times New Roman" w:hAnsi="Times New Roman"/>
          <w:szCs w:val="24"/>
          <w:vertAlign w:val="superscript"/>
        </w:rPr>
        <w:t>st</w:t>
      </w:r>
      <w:r w:rsidRPr="00BA6E2D">
        <w:rPr>
          <w:rFonts w:ascii="Times New Roman" w:hAnsi="Times New Roman"/>
          <w:szCs w:val="24"/>
        </w:rPr>
        <w:t xml:space="preserve"> of December 2020, this arrangement might change (Portes and Forte, 2017; Hepburn, 2020).</w:t>
      </w:r>
    </w:p>
    <w:p w14:paraId="0C62029A" w14:textId="77777777" w:rsidR="008407BB" w:rsidRPr="00BA6E2D" w:rsidRDefault="008407BB" w:rsidP="00213260">
      <w:pPr>
        <w:spacing w:after="0" w:line="240" w:lineRule="auto"/>
        <w:rPr>
          <w:rFonts w:ascii="Times New Roman" w:hAnsi="Times New Roman"/>
          <w:szCs w:val="24"/>
        </w:rPr>
        <w:sectPr w:rsidR="008407BB" w:rsidRPr="00BA6E2D" w:rsidSect="005C73C8">
          <w:pgSz w:w="16838" w:h="11906" w:orient="landscape"/>
          <w:pgMar w:top="851" w:right="1440" w:bottom="1418" w:left="1440" w:header="709" w:footer="709" w:gutter="0"/>
          <w:cols w:space="708"/>
          <w:docGrid w:linePitch="360"/>
        </w:sectPr>
      </w:pPr>
      <w:r w:rsidRPr="00BA6E2D">
        <w:rPr>
          <w:rFonts w:ascii="Times New Roman" w:hAnsi="Times New Roman"/>
          <w:szCs w:val="24"/>
        </w:rPr>
        <w:t>HSMP: The Highly Skilled Migrant Programme – Now defunct, the HSMP ran from 2002 to 2008 and offered a route for migrants to come, work and settle in the UK (UK Visas and Immigration, 2008; Kiwan, 2010).</w:t>
      </w:r>
    </w:p>
    <w:bookmarkEnd w:id="178"/>
    <w:p w14:paraId="270A7848"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lastRenderedPageBreak/>
        <w:t>Many of the participants (n=13) in this study migrated to the UK as students and many were still students at the time of the interview. Some participants (</w:t>
      </w:r>
      <w:r>
        <w:rPr>
          <w:rFonts w:ascii="Times New Roman" w:hAnsi="Times New Roman"/>
          <w:szCs w:val="24"/>
        </w:rPr>
        <w:t>n=</w:t>
      </w:r>
      <w:r w:rsidRPr="00BA6E2D">
        <w:rPr>
          <w:rFonts w:ascii="Times New Roman" w:hAnsi="Times New Roman"/>
          <w:szCs w:val="24"/>
        </w:rPr>
        <w:t>7) came to the UK as EU citizens or on other visa categories. Only one participant came as a child migrant. It is interesting to note that some participants whose motive for migration was to work used study as a strategy to migrate to the UK. This might be due to the increasing difficulty in securing a work permit that would give them the necessary legal grounds to work in the UK (Cangiano and Walsh, 2014; Gopal, 2016). In addition, the practice of using an educational course, as a mechanism to enter the UK is well documented in the literature (Baas, 2006; Verbik and Lasanowski, 2007; Geddie, 2015; Gewin, 2017; Tan and Hugo, 2017). For example, in a study of the motivation of Indian students to enrol in Australia as an international student, Baas (2006) observed that they were mainly motivated by their desire to gain permanent residence in Australia.</w:t>
      </w:r>
    </w:p>
    <w:p w14:paraId="57B52DA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Although I did not specifically explore a detail record of my participants visa history, in the last ten years, when most of my participants migrated to the UK, the Home Office has adopted a policy which they have</w:t>
      </w:r>
      <w:r>
        <w:rPr>
          <w:rFonts w:ascii="Times New Roman" w:hAnsi="Times New Roman"/>
          <w:szCs w:val="24"/>
        </w:rPr>
        <w:t xml:space="preserve"> been</w:t>
      </w:r>
      <w:r w:rsidRPr="00BA6E2D">
        <w:rPr>
          <w:rFonts w:ascii="Times New Roman" w:hAnsi="Times New Roman"/>
          <w:szCs w:val="24"/>
        </w:rPr>
        <w:t xml:space="preserve"> termed as, “a hostile environment” (Webber, 2019). The policy is meant to make it easy for the Home Office to target and remove people who are in the UK illegally. However, it has also in part resulted in the deliberate closure of visa routes that hitherto made it easy for migrants to enter and work in the UK. For instance, Bosede, one of my participants, migrated into the UK via the HSMP visa (UK Visas and Immigration, 2008). The criteria organisation must meet to sponsor a non-British national has become more stri</w:t>
      </w:r>
      <w:r>
        <w:rPr>
          <w:rFonts w:ascii="Times New Roman" w:hAnsi="Times New Roman"/>
          <w:szCs w:val="24"/>
        </w:rPr>
        <w:t>n</w:t>
      </w:r>
      <w:r w:rsidRPr="00BA6E2D">
        <w:rPr>
          <w:rFonts w:ascii="Times New Roman" w:hAnsi="Times New Roman"/>
          <w:szCs w:val="24"/>
        </w:rPr>
        <w:t>gent (Shahvisi, 2019) as are the criteria the individual themselves must have to meet (Sumption and Vargas-Silva, 2019). Although migrants on student visas can work, they are often limited to work 20-hours per week aside the added constraint imposed on them by their studies. It is possible that migrants who come to study rather than work will do less to fill the shortage in the care work force within the NHS and other care settings (Anderson and Ruhs, 2010).</w:t>
      </w:r>
    </w:p>
    <w:p w14:paraId="5CA67002"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Another important event that reduces the prospect of meeting the shortage in the healthcare work force is the 2016 decision of the UK to leave the EU (Sumption, 2017). For example, since voting to leave the EU, there has been a fall in the number </w:t>
      </w:r>
      <w:r w:rsidRPr="00BA6E2D">
        <w:rPr>
          <w:rFonts w:ascii="Times New Roman" w:hAnsi="Times New Roman"/>
          <w:szCs w:val="24"/>
        </w:rPr>
        <w:lastRenderedPageBreak/>
        <w:t>of nurses and other health professionals seeking to migrate to the UK (Sumption, 2017; Wadsworth, 2018; Wells, 2020). This will no doubt negatively affect how the NHS and other care settings who rely on the free movement of labour cope with the reduction in the number of persons coming from the EU.</w:t>
      </w:r>
      <w:r>
        <w:rPr>
          <w:rFonts w:ascii="Times New Roman" w:hAnsi="Times New Roman"/>
          <w:szCs w:val="24"/>
        </w:rPr>
        <w:t xml:space="preserve"> </w:t>
      </w:r>
      <w:r w:rsidRPr="00BA6E2D">
        <w:rPr>
          <w:rFonts w:ascii="Times New Roman" w:hAnsi="Times New Roman"/>
          <w:szCs w:val="24"/>
        </w:rPr>
        <w:t xml:space="preserve">In the next subsection, I discuss in detail my participants’ migratory motives. </w:t>
      </w:r>
    </w:p>
    <w:p w14:paraId="7823E9F8" w14:textId="77777777" w:rsidR="008407BB" w:rsidRPr="00BA6E2D" w:rsidRDefault="008407BB" w:rsidP="006869A3">
      <w:pPr>
        <w:pStyle w:val="Heading3"/>
      </w:pPr>
      <w:bookmarkStart w:id="179" w:name="_Toc86417360"/>
      <w:r w:rsidRPr="00BA6E2D">
        <w:t xml:space="preserve">7.3.3. </w:t>
      </w:r>
      <w:r w:rsidRPr="00B26DB8">
        <w:t>Migratory motives</w:t>
      </w:r>
      <w:bookmarkEnd w:id="179"/>
    </w:p>
    <w:p w14:paraId="14D3C8DB" w14:textId="77777777" w:rsidR="008407BB" w:rsidRPr="00BA6E2D" w:rsidRDefault="008407BB" w:rsidP="008407BB">
      <w:pPr>
        <w:jc w:val="both"/>
        <w:rPr>
          <w:rFonts w:ascii="Times New Roman" w:hAnsi="Times New Roman"/>
          <w:bCs/>
          <w:szCs w:val="24"/>
        </w:rPr>
      </w:pPr>
      <w:r w:rsidRPr="00BA6E2D">
        <w:rPr>
          <w:rFonts w:ascii="Times New Roman" w:hAnsi="Times New Roman"/>
          <w:bCs/>
          <w:szCs w:val="24"/>
        </w:rPr>
        <w:t>Sixteen of the twenty-one participants in this study migrated to the UK in search of better opportunities and the</w:t>
      </w:r>
      <w:r>
        <w:rPr>
          <w:rFonts w:ascii="Times New Roman" w:hAnsi="Times New Roman"/>
          <w:bCs/>
          <w:szCs w:val="24"/>
        </w:rPr>
        <w:t>y</w:t>
      </w:r>
      <w:r w:rsidRPr="00BA6E2D">
        <w:rPr>
          <w:rFonts w:ascii="Times New Roman" w:hAnsi="Times New Roman"/>
          <w:bCs/>
          <w:szCs w:val="24"/>
        </w:rPr>
        <w:t xml:space="preserve"> used different strategies to achieve that goal. As stated in the previous sub-section (see also Table 7.4), many (n=10) migrated to the UK specifically to further their career while some (n=6) came specifically to work. Only five participants came to the UK for family-related reasons.</w:t>
      </w:r>
    </w:p>
    <w:p w14:paraId="1BCD337B" w14:textId="77777777" w:rsidR="008407BB" w:rsidRPr="006869A3" w:rsidRDefault="008407BB" w:rsidP="006869A3">
      <w:pPr>
        <w:pStyle w:val="Heading5"/>
      </w:pPr>
      <w:r w:rsidRPr="006869A3">
        <w:t>7.3.3.1. For better opportunity</w:t>
      </w:r>
    </w:p>
    <w:p w14:paraId="2A3CB8D2" w14:textId="77777777" w:rsidR="008407BB" w:rsidRPr="00BA6E2D" w:rsidRDefault="008407BB" w:rsidP="008407BB">
      <w:pPr>
        <w:jc w:val="both"/>
        <w:rPr>
          <w:rFonts w:ascii="Times New Roman" w:hAnsi="Times New Roman"/>
          <w:i/>
          <w:szCs w:val="24"/>
        </w:rPr>
      </w:pPr>
      <w:r w:rsidRPr="00BA6E2D">
        <w:rPr>
          <w:rFonts w:ascii="Times New Roman" w:hAnsi="Times New Roman"/>
          <w:szCs w:val="24"/>
        </w:rPr>
        <w:t xml:space="preserve">Most of the participants (n=16) identified the search for better opportunities as their reason for migration and this took the form of undertaking to further their career by studying or to outrightly look for work. The participants (n=13) who identified career related motivation as their reason for migration came either to pursue further academic goals in their chosen career or to begin a different career. </w:t>
      </w:r>
    </w:p>
    <w:p w14:paraId="768B2089"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For instance, Paul, who worked as a sales representative for a pharmaceutical firm for about 10 years and served as a sales manager before coming to the UK, noted that his decision to migrate to the UK to undertake further studies was inspired by his desire to give his career a boost. He noted</w:t>
      </w:r>
      <w:r>
        <w:rPr>
          <w:rFonts w:ascii="Times New Roman" w:hAnsi="Times New Roman"/>
          <w:szCs w:val="24"/>
        </w:rPr>
        <w:t>:</w:t>
      </w:r>
    </w:p>
    <w:p w14:paraId="179D0BEF" w14:textId="2140C6F7" w:rsidR="008407BB" w:rsidRPr="006869A3" w:rsidRDefault="008407BB" w:rsidP="008407BB">
      <w:pPr>
        <w:jc w:val="both"/>
        <w:rPr>
          <w:rFonts w:ascii="Times New Roman" w:hAnsi="Times New Roman"/>
          <w:i/>
          <w:szCs w:val="24"/>
        </w:rPr>
      </w:pPr>
      <w:r w:rsidRPr="00BA6E2D">
        <w:rPr>
          <w:rFonts w:ascii="Times New Roman" w:hAnsi="Times New Roman"/>
          <w:szCs w:val="24"/>
        </w:rPr>
        <w:t>“</w:t>
      </w:r>
      <w:r w:rsidRPr="00BA6E2D">
        <w:rPr>
          <w:rFonts w:ascii="Times New Roman" w:hAnsi="Times New Roman"/>
          <w:i/>
          <w:szCs w:val="24"/>
        </w:rPr>
        <w:t>I decided to further my education because after working in the company… I discovered that the best way of getting quick or rapid promotion …is that if you have your advanced diploma or post graduate courses, especially masters…”</w:t>
      </w:r>
      <w:r w:rsidRPr="00BA6E2D">
        <w:rPr>
          <w:rFonts w:ascii="Times New Roman" w:hAnsi="Times New Roman"/>
          <w:szCs w:val="24"/>
        </w:rPr>
        <w:t xml:space="preserve"> (Paul, HCA)</w:t>
      </w:r>
    </w:p>
    <w:p w14:paraId="7EDF7C07"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Despite being in the top echelons of the company, Paul considered gaining a master’s degree to enhance his caree</w:t>
      </w:r>
      <w:r w:rsidRPr="00E373C7">
        <w:rPr>
          <w:rFonts w:ascii="Times New Roman" w:hAnsi="Times New Roman"/>
          <w:szCs w:val="24"/>
        </w:rPr>
        <w:t xml:space="preserve">r. At the time of the interview, he had already completed an MBA and was undertaking the study for his doctorate at the time of </w:t>
      </w:r>
      <w:r w:rsidRPr="00E373C7">
        <w:rPr>
          <w:rFonts w:ascii="Times New Roman" w:hAnsi="Times New Roman"/>
          <w:szCs w:val="24"/>
        </w:rPr>
        <w:lastRenderedPageBreak/>
        <w:t>the interview. For Paul, working in dementia care fitted</w:t>
      </w:r>
      <w:r w:rsidRPr="00BA6E2D">
        <w:rPr>
          <w:rFonts w:ascii="Times New Roman" w:hAnsi="Times New Roman"/>
          <w:szCs w:val="24"/>
        </w:rPr>
        <w:t xml:space="preserve"> into his current study schedules and he stated that he would leave care work once he completes his studies. Morgan, who like Paul, worked for a pharmaceutical company as a medical sale representative in Nigeria, also gave a similar reason for migration. He left his job because he wanted to have a career change, having grown disillusioned with the job, and describing it as hectic and too physically demanding. In addition, Morgan noted further that:</w:t>
      </w:r>
    </w:p>
    <w:p w14:paraId="5EA61F30"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I saw a lot of vacancies for public health jobs in the NGO, private sector, charity sector in Nigeria…, they were just requesting that I need to have a degree in public health. Master’s in public health was an added advantage, then I decided to come and study, to get that qualification</w:t>
      </w:r>
      <w:r w:rsidRPr="00BA6E2D">
        <w:rPr>
          <w:rFonts w:ascii="Times New Roman" w:hAnsi="Times New Roman"/>
          <w:szCs w:val="24"/>
        </w:rPr>
        <w:t>” (Morgan, HCA)</w:t>
      </w:r>
    </w:p>
    <w:p w14:paraId="26075E03" w14:textId="1DA42489"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Like other participants, Morgan, had more than one reason for coming to study for a Master’s in Public Health in the UK. He was confident completing the course would enhance his chances of securing a job with any reputable non-governmental organisation (NGO), which always features having a degree in public health as a key requirement to be considered for the job. This is interesting because as the findings show, some of my participants were motivated to study in the UK because of the allure of getting a good job after graduation and this could involve the individual making a career change. Maringe and Carter (2007) highlighted this in their description of a key “pull” factor in the “push-pull” framework. In this context, the “pull” factor presents the potential migrant with an outcome that is better than what they currently enjoy. Although Morgan’s main motivation for migrating to the UK was his desire to secure a better job in Nigeria, his description of the event that led to him </w:t>
      </w:r>
      <w:r w:rsidR="00676E0A" w:rsidRPr="00BA6E2D">
        <w:rPr>
          <w:rFonts w:ascii="Times New Roman" w:hAnsi="Times New Roman"/>
          <w:szCs w:val="24"/>
        </w:rPr>
        <w:t>deciding</w:t>
      </w:r>
      <w:r w:rsidRPr="00BA6E2D">
        <w:rPr>
          <w:rFonts w:ascii="Times New Roman" w:hAnsi="Times New Roman"/>
          <w:szCs w:val="24"/>
        </w:rPr>
        <w:t xml:space="preserve"> to leave appeared to have been far more complex, consisting of a personal sense of bereavement and deep frustration with the job he had at the time. He observed:</w:t>
      </w:r>
    </w:p>
    <w:p w14:paraId="03AE704F" w14:textId="77777777" w:rsidR="008407BB" w:rsidRPr="00BA6E2D" w:rsidRDefault="008407BB" w:rsidP="008407BB">
      <w:pPr>
        <w:spacing w:before="240"/>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 xml:space="preserve">I was …getting fed up of the job and also one of my friends that was working for another company died while… was driving, was driving and he fell into a ditch. So, after the guy’s death I just decided… I need to do something else… and then I started looking for another job.” </w:t>
      </w:r>
      <w:r w:rsidRPr="00BA6E2D">
        <w:rPr>
          <w:rFonts w:ascii="Times New Roman" w:hAnsi="Times New Roman"/>
          <w:szCs w:val="24"/>
        </w:rPr>
        <w:t>(Morgan,</w:t>
      </w:r>
      <w:r>
        <w:rPr>
          <w:rFonts w:ascii="Times New Roman" w:hAnsi="Times New Roman"/>
          <w:szCs w:val="24"/>
        </w:rPr>
        <w:t xml:space="preserve"> </w:t>
      </w:r>
      <w:r w:rsidRPr="00BA6E2D">
        <w:rPr>
          <w:rFonts w:ascii="Times New Roman" w:hAnsi="Times New Roman"/>
          <w:szCs w:val="24"/>
        </w:rPr>
        <w:t>HCA)</w:t>
      </w:r>
    </w:p>
    <w:p w14:paraId="56174AA8"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lastRenderedPageBreak/>
        <w:t>Morgan’s personal circumstances contributed to his decision to leave. This further highlight one of the major criticisms of the “push-pull” framework as being too simplistic to explain people</w:t>
      </w:r>
      <w:r>
        <w:rPr>
          <w:rFonts w:ascii="Times New Roman" w:hAnsi="Times New Roman"/>
          <w:szCs w:val="24"/>
        </w:rPr>
        <w:t>’s</w:t>
      </w:r>
      <w:r w:rsidRPr="00BA6E2D">
        <w:rPr>
          <w:rFonts w:ascii="Times New Roman" w:hAnsi="Times New Roman"/>
          <w:szCs w:val="24"/>
        </w:rPr>
        <w:t xml:space="preserve"> reason for migration. As O’Reilly (2012) suggested, the framework did not fully take account of other complexities and factors beyond economics.</w:t>
      </w:r>
    </w:p>
    <w:p w14:paraId="56980591"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Similarly, what resonates from the experience of the participants who migrated to the UK in search for better opportunities is that most of them (n=18) were in well-paid employment when they left. Morgan, Paul, John and some of the other participants who practiced as nurses in Nigeria (Doris, Miriam, Kate, Robert and Jane) were all in employment. However, unlike their counterparts who did not practice as nurses in Nigeria, those who worked as nurses in Nigeria wanted to migrate to the UK and continue to work as nurses, probably because of better working conditions. All the participants who decided to further their careers had chosen to come to the UK (as opposed to undertaking their studies in Nigeria or in other countries). They considered the UK’s educational system better and more time efficient than the educational system in Nigeria, which is often bedevilled with industrial actions by university staff, such that it takes longer to finish an academic degree (Maringe and Carter, 2007). Although, I did not explore in detail why my participants chose to come and study in the UK as opposed to other developed countries, as it was not the focus of my interest, the reasons they cited fit within the pull-pull model for their decision to migrate (Rodríguez, Bustillo and Mariel, 2011). </w:t>
      </w:r>
    </w:p>
    <w:p w14:paraId="211A7327"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Mazzarol and Soutar (2002) in a review of findings from four different studies from Indonesia, Taiwan, China and India, observed that majority of students considered an overseas degree better than the one obtained in their country because employers think it is of a better quality and this was one of the main factors that influenced their choice of going to study abroad. Mazzarol and Soutar therefore proposed a combination of push-pull factors that motivate students to study abroad, with the push factors being factors that made them leave their home country and pull factors being factors that attracted them to the country of their choice. As Paul and the other participants stated, the irregular academic calendar and the perceived low standard of higher education in Nigeria are some of the push factors that motivated them to </w:t>
      </w:r>
      <w:r w:rsidRPr="00BA6E2D">
        <w:rPr>
          <w:rFonts w:ascii="Times New Roman" w:hAnsi="Times New Roman"/>
          <w:szCs w:val="24"/>
        </w:rPr>
        <w:lastRenderedPageBreak/>
        <w:t xml:space="preserve">leave. Similarly, their perception of the high standard of higher education in the UK and the uninterrupted nature of their academic calendar was enough incentive to pull them to the UK (Herrero </w:t>
      </w:r>
      <w:r w:rsidRPr="00EC07D0">
        <w:rPr>
          <w:rFonts w:ascii="Times New Roman" w:hAnsi="Times New Roman"/>
          <w:i/>
          <w:iCs/>
          <w:szCs w:val="24"/>
        </w:rPr>
        <w:t>et al.</w:t>
      </w:r>
      <w:r w:rsidRPr="00BA6E2D">
        <w:rPr>
          <w:rFonts w:ascii="Times New Roman" w:hAnsi="Times New Roman"/>
          <w:szCs w:val="24"/>
        </w:rPr>
        <w:t>, 2015).</w:t>
      </w:r>
    </w:p>
    <w:p w14:paraId="0EC07317"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Although some of the participants’ (like Paul and Morgan) decision to leave a high paying job to come to study in the UK was necessitated only by a desire to advance their careers, another participant, Adam, did not have a job in Nigeria and he cited other career-related reasons for migrating to the UK. He noted</w:t>
      </w:r>
      <w:r>
        <w:rPr>
          <w:rFonts w:ascii="Times New Roman" w:hAnsi="Times New Roman"/>
          <w:szCs w:val="24"/>
        </w:rPr>
        <w:t>:</w:t>
      </w:r>
    </w:p>
    <w:p w14:paraId="080BFD9E"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…a friend of mine who has been in the UK sold me an idea…when I lost my job, I started thinking what can I do? That idea I had years ago came back. So, that …. propelled me to come to the UK and … I did a programme in health and social care</w:t>
      </w:r>
      <w:r w:rsidRPr="00BA6E2D">
        <w:rPr>
          <w:rFonts w:ascii="Times New Roman" w:hAnsi="Times New Roman"/>
          <w:szCs w:val="24"/>
        </w:rPr>
        <w:t>” (Adams, HCA)</w:t>
      </w:r>
    </w:p>
    <w:p w14:paraId="4F0D5C15"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Unlike Paul and the other participants who left their jobs voluntarily, Adams was motivated to migrate to the UK when he lost his job as a community liaison officer for a non-governmental organisation (NGO). Having the ambition to own and run a business for a long time, the experience of losing his job spurred him to come to the UK as he considered the country to be a place where he could work towards executing his business plan. Although Adams might be considered an ‘economic migrant’ since he decided to come to the UK after he lost his job, his personal ambition to learn how to set up his own business played a big role in his decision to migrate. Nevertheless, he has a similar profile to the group of participants who came to the UK in search of better opportunity in terms of their education and professional background. </w:t>
      </w:r>
    </w:p>
    <w:p w14:paraId="4E92689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Some (n=5) of the participants who came to the UK to further their education were nurses who had diploma certificate in nursing and migrated to the UK to specifically undertake a top-up programme to obtain a BSc in nursing. Dolamo and Olubiyi (2013) suggests that this is a trend that has become popular since the Nursing and Midwifery Council (NMC) of Nigeria has continued to push for more nurses to upgrade their educational qualifications from diploma to Bachelor of Science degree (BSc). This is because of the increased expectations for nurses to be at par with other course</w:t>
      </w:r>
      <w:r>
        <w:rPr>
          <w:rFonts w:ascii="Times New Roman" w:hAnsi="Times New Roman"/>
          <w:szCs w:val="24"/>
        </w:rPr>
        <w:t>s</w:t>
      </w:r>
      <w:r w:rsidRPr="00BA6E2D">
        <w:rPr>
          <w:rFonts w:ascii="Times New Roman" w:hAnsi="Times New Roman"/>
          <w:szCs w:val="24"/>
        </w:rPr>
        <w:t xml:space="preserve"> and profession where a university degree is a basic requirement. </w:t>
      </w:r>
      <w:r w:rsidRPr="00BA6E2D">
        <w:rPr>
          <w:rFonts w:ascii="Times New Roman" w:hAnsi="Times New Roman"/>
          <w:szCs w:val="24"/>
        </w:rPr>
        <w:lastRenderedPageBreak/>
        <w:t>However, my findings suggest that whilst completing a degree in nursing in Nigeria was considered, most of my participants also opted to come to the UK instead of completing it in Nigeria to save some time. As Jane noted,</w:t>
      </w:r>
    </w:p>
    <w:p w14:paraId="61C4712E"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After acquiring five years of experience…</w:t>
      </w:r>
      <w:r>
        <w:rPr>
          <w:rFonts w:ascii="Times New Roman" w:hAnsi="Times New Roman"/>
          <w:i/>
          <w:szCs w:val="24"/>
        </w:rPr>
        <w:t xml:space="preserve"> </w:t>
      </w:r>
      <w:r w:rsidRPr="00BA6E2D">
        <w:rPr>
          <w:rFonts w:ascii="Times New Roman" w:hAnsi="Times New Roman"/>
          <w:i/>
          <w:szCs w:val="24"/>
        </w:rPr>
        <w:t>it was a good idea for me to top it up, with a degree, than just remaining with a diploma, because time waits for no man. I just want to build my career.… the UK have got a lot of advantages compared to the Nigeria education system, where you can enter the uni and you graduate the exact time you should…</w:t>
      </w:r>
      <w:r w:rsidRPr="00BA6E2D">
        <w:rPr>
          <w:rFonts w:ascii="Times New Roman" w:hAnsi="Times New Roman"/>
          <w:szCs w:val="24"/>
        </w:rPr>
        <w:t>” (Jane, HCA)</w:t>
      </w:r>
    </w:p>
    <w:p w14:paraId="4836CE3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As suggested earlier, the Nigerian educational system is regularly beset with industrial strike actions due to a disagreement between trade union leaders and the government over pay, working conditions and other work-related issues (Maringe and Carter, 2007). Th</w:t>
      </w:r>
      <w:r>
        <w:rPr>
          <w:rFonts w:ascii="Times New Roman" w:hAnsi="Times New Roman"/>
          <w:szCs w:val="24"/>
        </w:rPr>
        <w:t>e</w:t>
      </w:r>
      <w:r w:rsidRPr="00BA6E2D">
        <w:rPr>
          <w:rFonts w:ascii="Times New Roman" w:hAnsi="Times New Roman"/>
          <w:szCs w:val="24"/>
        </w:rPr>
        <w:t xml:space="preserve"> finding</w:t>
      </w:r>
      <w:r>
        <w:rPr>
          <w:rFonts w:ascii="Times New Roman" w:hAnsi="Times New Roman"/>
          <w:szCs w:val="24"/>
        </w:rPr>
        <w:t>s</w:t>
      </w:r>
      <w:r w:rsidRPr="00BA6E2D">
        <w:rPr>
          <w:rFonts w:ascii="Times New Roman" w:hAnsi="Times New Roman"/>
          <w:szCs w:val="24"/>
        </w:rPr>
        <w:t xml:space="preserve"> on the motivation for Nigerian nurses to migrate to the UK is contrary to findings by Aboderin (2007), who in a qualitative study of nurses found that financial gain was the motivating factor. However, the nurses interviewed by Aboderin (2007) were Nigerian nurses who already had their indefinite leave to remain in the UK and were registered to practice as nurses in the UK. In contrast, nurses interviewed in my research had all come to the UK mainly to study (on student visas). Although they harboured the ambition to practise as nurses in the UK, they were yet to start doing so. They would need to first finish their top-up nursing degree and undergo the adaptation process to enable them practice as registered nurses in the UK. Thus, the difference in motivation between participants in this study and those reported by Aboderin (2007) might be due to their individual needs and each attending to it according to their hierarchy of importance. My findings further highlight the hurdle overseas-trained nurses must overcome to work in the UK. Even though most of my participants had qualified and worked as nurses for many years in Nigeria, the UK Nursing and Midwifery Council (NMC) still considered them not fit to practise.</w:t>
      </w:r>
    </w:p>
    <w:p w14:paraId="79932D3C"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As I shall present shortly, most of the participants who came to the UK for better opportunities through career progression achieved their original goal of coming to the UK and they have since carried on with their lives and engaged in other things, </w:t>
      </w:r>
      <w:r w:rsidRPr="00BA6E2D">
        <w:rPr>
          <w:rFonts w:ascii="Times New Roman" w:hAnsi="Times New Roman"/>
          <w:szCs w:val="24"/>
        </w:rPr>
        <w:lastRenderedPageBreak/>
        <w:t xml:space="preserve">with an immediate return to Nigeria no longer urgent. Although the issues are beyond the scope of this research, this raises concern of the ‘brain drain’ and the resultant implication on their country of origin. </w:t>
      </w:r>
    </w:p>
    <w:p w14:paraId="1E3B5BA6"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It is interesting to note that while most of my participants stated further career progression as a reason for migrating to the UK, many also inherently saw the study route to migrating as a means to getting better opportunities than the one they had in Nigeria. </w:t>
      </w:r>
    </w:p>
    <w:p w14:paraId="6637A4BA" w14:textId="58F0751E" w:rsidR="008407BB" w:rsidRPr="00BA6E2D" w:rsidRDefault="008407BB" w:rsidP="006869A3">
      <w:pPr>
        <w:pStyle w:val="Heading5"/>
        <w:rPr>
          <w:b/>
          <w:i w:val="0"/>
        </w:rPr>
      </w:pPr>
      <w:r w:rsidRPr="00BA6E2D">
        <w:rPr>
          <w:b/>
        </w:rPr>
        <w:t>7.3.</w:t>
      </w:r>
      <w:r>
        <w:rPr>
          <w:b/>
        </w:rPr>
        <w:t>3.</w:t>
      </w:r>
      <w:r w:rsidRPr="00BA6E2D">
        <w:rPr>
          <w:b/>
        </w:rPr>
        <w:t xml:space="preserve">2. </w:t>
      </w:r>
      <w:r w:rsidRPr="00B26DB8">
        <w:t xml:space="preserve">To </w:t>
      </w:r>
      <w:r w:rsidR="00B26DB8">
        <w:t xml:space="preserve">find </w:t>
      </w:r>
      <w:r w:rsidRPr="00B26DB8">
        <w:t>work</w:t>
      </w:r>
    </w:p>
    <w:p w14:paraId="7FB760F6"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One factor that makes the UK a significant migrant destination as reflected in the narratives of the lived experiences of my participants was the hope to find a job that offers better opportunity. Some participants (n=6), namely: Adams, Benard, Bosede, Jackie, Kemdo</w:t>
      </w:r>
      <w:r>
        <w:rPr>
          <w:rFonts w:ascii="Times New Roman" w:hAnsi="Times New Roman"/>
          <w:szCs w:val="24"/>
        </w:rPr>
        <w:t xml:space="preserve"> and</w:t>
      </w:r>
      <w:r w:rsidRPr="00BA6E2D">
        <w:rPr>
          <w:rFonts w:ascii="Times New Roman" w:hAnsi="Times New Roman"/>
          <w:szCs w:val="24"/>
        </w:rPr>
        <w:t xml:space="preserve"> Sharpiro relocated to live permanently in the UK. However, they migrated to the UK through different visa routes. Adams, Kemdo and Sharpiro migrated to look for work but came as students and as discussed in the last sub-section, many people use the student visa as a strategy for migration (Gewin, 2017; Tan and Hugo, 2017). Contrarily, Benard and Jackie both came to the UK as EU migrants, but while the former came to find a job, the latter came to support a spouse. Only Bosede came to the UK with a work-related visa, the HSMP visa, which is now defunct. Regardless of how they came, their main motivation was to find work. </w:t>
      </w:r>
    </w:p>
    <w:p w14:paraId="390FC510"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Speaking of his decision to migrate, Kemdo reflected:</w:t>
      </w:r>
    </w:p>
    <w:p w14:paraId="2D07CEDB"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Basically, it was to move away from…unemployment and lack of job satisfaction but the only choice available then was to come and further my studies. It was a means to come over to this place and study the environment and see what I can gain out of it…</w:t>
      </w:r>
      <w:r w:rsidRPr="00BA6E2D">
        <w:rPr>
          <w:rFonts w:ascii="Times New Roman" w:hAnsi="Times New Roman"/>
          <w:szCs w:val="24"/>
        </w:rPr>
        <w:t>” (Kemdo, HCA)</w:t>
      </w:r>
    </w:p>
    <w:p w14:paraId="1F976B72"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 xml:space="preserve">Kemdo was very frustrated by his job. He stated that he made the decision to leave his last job in Nigeria (working as an internal control manager), after he was transferred to a city in Northern Nigeria. He decided against moving, citing incessant religious violence, the differences in religious beliefs and harsh weather </w:t>
      </w:r>
      <w:r w:rsidRPr="00BA6E2D">
        <w:rPr>
          <w:rFonts w:ascii="Times New Roman" w:hAnsi="Times New Roman"/>
          <w:szCs w:val="24"/>
        </w:rPr>
        <w:lastRenderedPageBreak/>
        <w:t xml:space="preserve">conditions as some of the reasons that made him leave the job. Instead, he decided to come to the UK to undertake a professional training in accounting. Kemdo was motivated by the prospect of finding better job opportunities but had to come as a student because of the limited migratory opportunities for people </w:t>
      </w:r>
      <w:r>
        <w:rPr>
          <w:rFonts w:ascii="Times New Roman" w:hAnsi="Times New Roman"/>
          <w:szCs w:val="24"/>
        </w:rPr>
        <w:t>from</w:t>
      </w:r>
      <w:r w:rsidRPr="00BA6E2D">
        <w:rPr>
          <w:rFonts w:ascii="Times New Roman" w:hAnsi="Times New Roman"/>
          <w:szCs w:val="24"/>
        </w:rPr>
        <w:t xml:space="preserve"> another country to gain employment in the UK.</w:t>
      </w:r>
    </w:p>
    <w:p w14:paraId="0F01BD9F"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However, unlike Kemdo, many of the other participants who hoped for better opportunity and life in the UK did not all rely on studying to enter the country as they came to the UK through other migratory routes, for example, Bosede who now works as a nurse, migrated to the UK through the HSMP visa. Bosede stated that:</w:t>
      </w:r>
    </w:p>
    <w:p w14:paraId="50D441FF" w14:textId="77777777" w:rsidR="008407BB" w:rsidRPr="001967EA" w:rsidRDefault="008407BB" w:rsidP="008407BB">
      <w:pPr>
        <w:jc w:val="both"/>
        <w:rPr>
          <w:rFonts w:ascii="Times New Roman" w:hAnsi="Times New Roman"/>
          <w:i/>
          <w:iCs/>
          <w:szCs w:val="24"/>
        </w:rPr>
      </w:pPr>
      <w:r w:rsidRPr="00BA6E2D">
        <w:rPr>
          <w:rFonts w:ascii="Times New Roman" w:hAnsi="Times New Roman"/>
          <w:i/>
          <w:iCs/>
          <w:szCs w:val="24"/>
        </w:rPr>
        <w:t>“I just felt I don’t want to come to UK because I knew no matter the qualification you are coming here with, you are starting from the beginning…actually it was the children…yes, because of the children…we were looking at giving them the best….” (Bosede, RMN)</w:t>
      </w:r>
    </w:p>
    <w:p w14:paraId="79F4A72E" w14:textId="77777777" w:rsidR="008407BB" w:rsidRDefault="008407BB" w:rsidP="008407BB">
      <w:pPr>
        <w:spacing w:before="240"/>
        <w:jc w:val="both"/>
        <w:rPr>
          <w:rFonts w:ascii="Times New Roman" w:hAnsi="Times New Roman"/>
          <w:szCs w:val="24"/>
        </w:rPr>
      </w:pPr>
      <w:r w:rsidRPr="00BA6E2D">
        <w:rPr>
          <w:rFonts w:ascii="Times New Roman" w:hAnsi="Times New Roman"/>
          <w:szCs w:val="24"/>
        </w:rPr>
        <w:t>She noted that her decision to come to the UK was motivated by the desire to see her children have good education, as a demonstration of affection for them. In discussing her work experience and life in Nigeria, Bosede noted that she was a manager in a reputable international organisation. However, despite her personal fulfilment in Nigeria, Bosede had her family at the core of decision to come to the UK, where they can have access to a better overall quality of life. Her decision to migrate had the welfare of her children at the core but was primarily facilitated by the opportunity to come and work in the UK, which offered her children better life chances.</w:t>
      </w:r>
    </w:p>
    <w:p w14:paraId="39BE7DDB"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My study thus suggests that people do not only migrate because they seek better opportunities, but they also migrate because of other circumstances in their home countries which they consider could inhibit their future or their families’. Although Bosede and some of my other participants did not identify any specific factors in Nigeria that they considered inimical to their individual fulfilment, I can relate well with the challenges of living in Nigeria as a developing country. Some of the challenges include incessant cuts to power supplies and high levels of corruption</w:t>
      </w:r>
      <w:r>
        <w:rPr>
          <w:rFonts w:ascii="Times New Roman" w:hAnsi="Times New Roman"/>
          <w:szCs w:val="24"/>
        </w:rPr>
        <w:t xml:space="preserve">. The </w:t>
      </w:r>
      <w:r w:rsidRPr="00BA6E2D">
        <w:rPr>
          <w:rFonts w:ascii="Times New Roman" w:hAnsi="Times New Roman"/>
          <w:szCs w:val="24"/>
        </w:rPr>
        <w:t>lack of basic amenities in rural areas is almost non-existent</w:t>
      </w:r>
      <w:r>
        <w:rPr>
          <w:rFonts w:ascii="Times New Roman" w:hAnsi="Times New Roman"/>
          <w:szCs w:val="24"/>
        </w:rPr>
        <w:t xml:space="preserve"> and</w:t>
      </w:r>
      <w:r w:rsidRPr="00BA6E2D">
        <w:rPr>
          <w:rFonts w:ascii="Times New Roman" w:hAnsi="Times New Roman"/>
          <w:szCs w:val="24"/>
        </w:rPr>
        <w:t xml:space="preserve"> in cities</w:t>
      </w:r>
      <w:r>
        <w:rPr>
          <w:rFonts w:ascii="Times New Roman" w:hAnsi="Times New Roman"/>
          <w:szCs w:val="24"/>
        </w:rPr>
        <w:t>/</w:t>
      </w:r>
      <w:r w:rsidRPr="00BA6E2D">
        <w:rPr>
          <w:rFonts w:ascii="Times New Roman" w:hAnsi="Times New Roman"/>
          <w:szCs w:val="24"/>
        </w:rPr>
        <w:t xml:space="preserve">urban </w:t>
      </w:r>
      <w:r w:rsidRPr="00BA6E2D">
        <w:rPr>
          <w:rFonts w:ascii="Times New Roman" w:hAnsi="Times New Roman"/>
          <w:szCs w:val="24"/>
        </w:rPr>
        <w:lastRenderedPageBreak/>
        <w:t>centres unreliable</w:t>
      </w:r>
      <w:r>
        <w:rPr>
          <w:rFonts w:ascii="Times New Roman" w:hAnsi="Times New Roman"/>
          <w:szCs w:val="24"/>
        </w:rPr>
        <w:t>.</w:t>
      </w:r>
      <w:r w:rsidRPr="00BA6E2D">
        <w:rPr>
          <w:rFonts w:ascii="Times New Roman" w:hAnsi="Times New Roman"/>
          <w:szCs w:val="24"/>
        </w:rPr>
        <w:t xml:space="preserve"> </w:t>
      </w:r>
      <w:r>
        <w:rPr>
          <w:rFonts w:ascii="Times New Roman" w:hAnsi="Times New Roman"/>
          <w:szCs w:val="24"/>
        </w:rPr>
        <w:t>W</w:t>
      </w:r>
      <w:r w:rsidRPr="00BA6E2D">
        <w:rPr>
          <w:rFonts w:ascii="Times New Roman" w:hAnsi="Times New Roman"/>
          <w:szCs w:val="24"/>
        </w:rPr>
        <w:t xml:space="preserve">hile Nigeria’s educational sector is growing rapidly, inadequate government funding means industrial actions are rampant (Aidelunuoghene 2014; </w:t>
      </w:r>
      <w:r w:rsidRPr="00BA6E2D">
        <w:rPr>
          <w:rFonts w:ascii="Times New Roman" w:hAnsi="Times New Roman"/>
          <w:bCs/>
          <w:iCs/>
          <w:szCs w:val="24"/>
        </w:rPr>
        <w:t>Odoziobodo, 2015</w:t>
      </w:r>
      <w:r w:rsidRPr="00BA6E2D">
        <w:rPr>
          <w:rFonts w:ascii="Times New Roman" w:hAnsi="Times New Roman"/>
          <w:szCs w:val="24"/>
        </w:rPr>
        <w:t>). Therefore, although individuals may consider the allure of a better life in the UK as a motivation to</w:t>
      </w:r>
      <w:r>
        <w:rPr>
          <w:rFonts w:ascii="Times New Roman" w:hAnsi="Times New Roman"/>
          <w:szCs w:val="24"/>
        </w:rPr>
        <w:t>ss</w:t>
      </w:r>
      <w:r w:rsidRPr="00BA6E2D">
        <w:rPr>
          <w:rFonts w:ascii="Times New Roman" w:hAnsi="Times New Roman"/>
          <w:szCs w:val="24"/>
        </w:rPr>
        <w:t xml:space="preserve"> leave Nigeria, similar to Bosede, better opportunities as well as family consideration and the desire to give one’s family the best, might be an added motivation (</w:t>
      </w:r>
      <w:r w:rsidRPr="00BA6E2D">
        <w:rPr>
          <w:rFonts w:ascii="Times New Roman" w:hAnsi="Times New Roman"/>
          <w:iCs/>
          <w:szCs w:val="24"/>
        </w:rPr>
        <w:t>Boyd, 1989; Ruhs, 2006</w:t>
      </w:r>
      <w:r w:rsidRPr="00BA6E2D">
        <w:rPr>
          <w:rFonts w:ascii="Times New Roman" w:hAnsi="Times New Roman"/>
          <w:szCs w:val="24"/>
        </w:rPr>
        <w:t>).</w:t>
      </w:r>
    </w:p>
    <w:p w14:paraId="5BEF14FF" w14:textId="20681EB6" w:rsidR="008407BB" w:rsidRPr="00BA6E2D" w:rsidRDefault="008407BB" w:rsidP="006869A3">
      <w:pPr>
        <w:pStyle w:val="Heading5"/>
        <w:rPr>
          <w:b/>
        </w:rPr>
      </w:pPr>
      <w:r w:rsidRPr="00BA6E2D">
        <w:rPr>
          <w:b/>
        </w:rPr>
        <w:t>7.3.</w:t>
      </w:r>
      <w:r w:rsidR="00B26DB8">
        <w:rPr>
          <w:b/>
        </w:rPr>
        <w:t>3</w:t>
      </w:r>
      <w:r w:rsidRPr="00BA6E2D">
        <w:rPr>
          <w:b/>
        </w:rPr>
        <w:t>.</w:t>
      </w:r>
      <w:r w:rsidR="00B26DB8">
        <w:rPr>
          <w:b/>
        </w:rPr>
        <w:t>3.</w:t>
      </w:r>
      <w:r w:rsidRPr="00BA6E2D">
        <w:rPr>
          <w:b/>
        </w:rPr>
        <w:t xml:space="preserve"> </w:t>
      </w:r>
      <w:r w:rsidRPr="00B26DB8">
        <w:t>Family reasons</w:t>
      </w:r>
    </w:p>
    <w:p w14:paraId="7E055DB0"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Some participants (n=4) were motivated to come to the UK because of a commitment to support their spouse who was migrating or had migrated to the UK. For instance, Cynthia, who was working as a journalist in Nigeria noted</w:t>
      </w:r>
      <w:r>
        <w:rPr>
          <w:rFonts w:ascii="Times New Roman" w:hAnsi="Times New Roman"/>
          <w:szCs w:val="24"/>
        </w:rPr>
        <w:t>:</w:t>
      </w:r>
    </w:p>
    <w:p w14:paraId="2EE82E16"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w:t>
      </w:r>
      <w:r w:rsidRPr="00BA6E2D">
        <w:rPr>
          <w:rFonts w:ascii="Times New Roman" w:hAnsi="Times New Roman"/>
          <w:i/>
          <w:szCs w:val="24"/>
        </w:rPr>
        <w:t>…what made me come to the UK, my husband was here at the time we were not married, ehm one thing led to another and he was quite serious and anyway he was here already and he just made it easy anyway</w:t>
      </w:r>
      <w:r w:rsidRPr="00BA6E2D">
        <w:rPr>
          <w:rFonts w:ascii="Times New Roman" w:hAnsi="Times New Roman"/>
          <w:szCs w:val="24"/>
        </w:rPr>
        <w:t>” (Cynthia, RMN)</w:t>
      </w:r>
    </w:p>
    <w:p w14:paraId="1C3CD34B"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Other participants also shared a similar experience, for example, Ademola, Omolara, Oscar and Jackie all came to the UK to support their spouse. The majority of those who came to join their spouse in the UK were women and they were twice the number of men who joined their wives in the UK. Research suggests, that in the past, in most traditional African and Asian marriages it was often assumed that women would join their male spouse overseas (Gilmartin and Migge, 2015). Although Charsley and Shaw (2006) have challenged this assumption arguing that it is not an established fact that women joined their male spouses to sojourn abroad.</w:t>
      </w:r>
    </w:p>
    <w:p w14:paraId="64829ACB" w14:textId="470C9289" w:rsidR="008407BB" w:rsidRDefault="008407BB" w:rsidP="008407BB">
      <w:pPr>
        <w:jc w:val="both"/>
        <w:rPr>
          <w:rFonts w:ascii="Times New Roman" w:hAnsi="Times New Roman"/>
          <w:szCs w:val="24"/>
        </w:rPr>
      </w:pPr>
      <w:r w:rsidRPr="00BA6E2D">
        <w:rPr>
          <w:rFonts w:ascii="Times New Roman" w:hAnsi="Times New Roman"/>
          <w:szCs w:val="24"/>
        </w:rPr>
        <w:t>My findings suggest that my participants who migrated to the UK as spouse dependants did so solely for the purpose of supporting their partners and to build their lives in the UK. Relating this to the theories of migration reviewed in chapter 2, the finding reflects the decision-making process that is involved in a migrant’s decision to migrate. It shows the role of family members in a migrant’s decision to migrate as posited by the New Economics of Labour Migration theory.</w:t>
      </w:r>
    </w:p>
    <w:p w14:paraId="485E641E" w14:textId="77777777" w:rsidR="006869A3" w:rsidRPr="00BA6E2D" w:rsidRDefault="006869A3" w:rsidP="008407BB">
      <w:pPr>
        <w:jc w:val="both"/>
        <w:rPr>
          <w:rFonts w:ascii="Times New Roman" w:hAnsi="Times New Roman"/>
          <w:szCs w:val="24"/>
        </w:rPr>
      </w:pPr>
    </w:p>
    <w:p w14:paraId="01794095" w14:textId="77777777" w:rsidR="008407BB" w:rsidRPr="00BA6E2D" w:rsidRDefault="008407BB" w:rsidP="006869A3">
      <w:pPr>
        <w:pStyle w:val="Heading2"/>
      </w:pPr>
      <w:bookmarkStart w:id="180" w:name="_Toc86417361"/>
      <w:r w:rsidRPr="00BA6E2D">
        <w:lastRenderedPageBreak/>
        <w:t>7.4. Discussion</w:t>
      </w:r>
      <w:bookmarkEnd w:id="180"/>
    </w:p>
    <w:p w14:paraId="23AF37A6" w14:textId="77777777" w:rsidR="008407BB" w:rsidRPr="00BA6E2D" w:rsidRDefault="008407BB" w:rsidP="008407BB">
      <w:pPr>
        <w:jc w:val="both"/>
        <w:rPr>
          <w:rFonts w:ascii="Times New Roman" w:hAnsi="Times New Roman"/>
          <w:iCs/>
          <w:szCs w:val="24"/>
        </w:rPr>
      </w:pPr>
      <w:r w:rsidRPr="00BA6E2D">
        <w:rPr>
          <w:rFonts w:ascii="Times New Roman" w:hAnsi="Times New Roman"/>
          <w:szCs w:val="24"/>
        </w:rPr>
        <w:t xml:space="preserve">In this study of paid Nigerian HCAs and nurses, I was particularly interested in their motivation to come to the UK to gain insight into their migratory journey and how they came to be caring for PLWD. I considered this important for several reasons. First, as I have discussed in the previous sections of this chapter, most of my participants were not only well educated but were also gainfully employed prior to migrating to the UK. Second, their motivation to leave Nigeria for the UK appears to be complex and does not seem to fit in completely into some of </w:t>
      </w:r>
      <w:r>
        <w:rPr>
          <w:rFonts w:ascii="Times New Roman" w:hAnsi="Times New Roman"/>
          <w:szCs w:val="24"/>
        </w:rPr>
        <w:t xml:space="preserve">the </w:t>
      </w:r>
      <w:r w:rsidRPr="00BA6E2D">
        <w:rPr>
          <w:rFonts w:ascii="Times New Roman" w:hAnsi="Times New Roman"/>
          <w:szCs w:val="24"/>
        </w:rPr>
        <w:t>basic migratory theories, such as the push-pull (</w:t>
      </w:r>
      <w:r w:rsidRPr="00BA6E2D">
        <w:rPr>
          <w:rFonts w:ascii="Times New Roman" w:hAnsi="Times New Roman"/>
          <w:iCs/>
          <w:szCs w:val="24"/>
        </w:rPr>
        <w:t>Ackerman, 1976; Arango, 2004</w:t>
      </w:r>
      <w:r w:rsidRPr="00BA6E2D">
        <w:rPr>
          <w:rFonts w:ascii="Times New Roman" w:hAnsi="Times New Roman"/>
          <w:szCs w:val="24"/>
        </w:rPr>
        <w:t>) and the push-pull-moor</w:t>
      </w:r>
      <w:r>
        <w:rPr>
          <w:rFonts w:ascii="Times New Roman" w:hAnsi="Times New Roman"/>
          <w:szCs w:val="24"/>
        </w:rPr>
        <w:t>ing</w:t>
      </w:r>
      <w:r w:rsidRPr="00BA6E2D">
        <w:rPr>
          <w:rFonts w:ascii="Times New Roman" w:hAnsi="Times New Roman"/>
          <w:szCs w:val="24"/>
        </w:rPr>
        <w:t xml:space="preserve"> frameworks (Moon, 1995; Bansal</w:t>
      </w:r>
      <w:r>
        <w:rPr>
          <w:rFonts w:ascii="Times New Roman" w:hAnsi="Times New Roman"/>
          <w:szCs w:val="24"/>
        </w:rPr>
        <w:t>,</w:t>
      </w:r>
      <w:r w:rsidRPr="00BA6E2D">
        <w:rPr>
          <w:rFonts w:ascii="Times New Roman" w:hAnsi="Times New Roman"/>
          <w:szCs w:val="24"/>
        </w:rPr>
        <w:t xml:space="preserve"> </w:t>
      </w:r>
      <w:r w:rsidRPr="00CF1AE8">
        <w:rPr>
          <w:rFonts w:ascii="Times New Roman" w:hAnsi="Times New Roman"/>
          <w:szCs w:val="24"/>
        </w:rPr>
        <w:t>Taylor and James</w:t>
      </w:r>
      <w:r w:rsidRPr="00BA6E2D">
        <w:rPr>
          <w:rFonts w:ascii="Times New Roman" w:hAnsi="Times New Roman"/>
          <w:szCs w:val="24"/>
        </w:rPr>
        <w:t>, 2005) at the micro and individual level migration, as well as the neo-economic labour migration framework (Lee, 1966; Longito, 1992</w:t>
      </w:r>
      <w:r>
        <w:rPr>
          <w:rFonts w:ascii="Times New Roman" w:hAnsi="Times New Roman"/>
          <w:szCs w:val="24"/>
        </w:rPr>
        <w:t>;</w:t>
      </w:r>
      <w:r w:rsidRPr="00BA6E2D">
        <w:rPr>
          <w:rFonts w:ascii="Times New Roman" w:hAnsi="Times New Roman"/>
          <w:szCs w:val="24"/>
        </w:rPr>
        <w:t xml:space="preserve"> Moon, 1995). Lastly, I was interested in their motivation to come to the UK to understand, from their perspective, whether their current role as care</w:t>
      </w:r>
      <w:r>
        <w:rPr>
          <w:rFonts w:ascii="Times New Roman" w:hAnsi="Times New Roman"/>
          <w:szCs w:val="24"/>
        </w:rPr>
        <w:t xml:space="preserve"> workers</w:t>
      </w:r>
      <w:r w:rsidRPr="00BA6E2D">
        <w:rPr>
          <w:rFonts w:ascii="Times New Roman" w:hAnsi="Times New Roman"/>
          <w:szCs w:val="24"/>
        </w:rPr>
        <w:t xml:space="preserve"> was influenced by their initial motivation to migrate and the impact it has on their lived experience caring for PLWD.</w:t>
      </w:r>
    </w:p>
    <w:p w14:paraId="13F69288" w14:textId="77777777" w:rsidR="008407BB" w:rsidRPr="00BA6E2D" w:rsidRDefault="008407BB" w:rsidP="008407BB">
      <w:pPr>
        <w:jc w:val="both"/>
        <w:rPr>
          <w:rFonts w:ascii="Times New Roman" w:hAnsi="Times New Roman"/>
          <w:szCs w:val="24"/>
        </w:rPr>
      </w:pPr>
      <w:r w:rsidRPr="00BA6E2D">
        <w:rPr>
          <w:rFonts w:ascii="Times New Roman" w:hAnsi="Times New Roman"/>
          <w:szCs w:val="24"/>
        </w:rPr>
        <w:t>As I suggested in my literature review (see Chapter 2), research on voluntary or forced migration recognises the push-pull factors as the two broad factors that are generally inherent in the motives of people leaving their country of origin into another country (Lee, 1966; Kunz, 1973</w:t>
      </w:r>
      <w:r>
        <w:rPr>
          <w:rFonts w:ascii="Times New Roman" w:hAnsi="Times New Roman"/>
          <w:szCs w:val="24"/>
        </w:rPr>
        <w:t>;</w:t>
      </w:r>
      <w:r w:rsidRPr="00BA6E2D">
        <w:rPr>
          <w:rFonts w:ascii="Times New Roman" w:hAnsi="Times New Roman"/>
          <w:szCs w:val="24"/>
        </w:rPr>
        <w:t xml:space="preserve"> Ward, Bochner and Furnham, 2001). The push-pull theory developed by Everett Lee (1966) and the push-pull-mooring (PPM) model of migration (Longino, 1992; Moon, 1995; Bansal</w:t>
      </w:r>
      <w:r>
        <w:rPr>
          <w:rFonts w:ascii="Times New Roman" w:hAnsi="Times New Roman"/>
          <w:szCs w:val="24"/>
        </w:rPr>
        <w:t>,</w:t>
      </w:r>
      <w:r w:rsidRPr="00BA6E2D">
        <w:rPr>
          <w:rFonts w:ascii="Times New Roman" w:hAnsi="Times New Roman"/>
          <w:szCs w:val="24"/>
        </w:rPr>
        <w:t xml:space="preserve"> </w:t>
      </w:r>
      <w:r w:rsidRPr="00CF1AE8">
        <w:rPr>
          <w:rFonts w:ascii="Times New Roman" w:hAnsi="Times New Roman"/>
          <w:szCs w:val="24"/>
        </w:rPr>
        <w:t>Taylor and James</w:t>
      </w:r>
      <w:r w:rsidRPr="00BA6E2D">
        <w:rPr>
          <w:rFonts w:ascii="Times New Roman" w:hAnsi="Times New Roman"/>
          <w:szCs w:val="24"/>
        </w:rPr>
        <w:t xml:space="preserve">, 2005) are often considered as basic frameworks for understanding micro or individual level migration. The push-pull framework suggests that an individual’s decision to migrate from one place to another is contingent on the negative (push) factors that compel them to leave their original place and the positive (pull) factors that attract them to their chosen destination. The PPM framework for micro-migration proposed by Moon (1995), incorporates ‘mooring factors’ (which includes personal and social factors that promote or inhibits an individual’s decision to migrate). Although both frameworks could be used to explain to some extent the motivation of my participants to come to the UK, my study suggests that </w:t>
      </w:r>
      <w:r w:rsidRPr="00BA6E2D">
        <w:rPr>
          <w:rFonts w:ascii="Times New Roman" w:hAnsi="Times New Roman"/>
          <w:szCs w:val="24"/>
        </w:rPr>
        <w:lastRenderedPageBreak/>
        <w:t>participants’ motivation for coming to the UK do not all fit into either the push-</w:t>
      </w:r>
      <w:bookmarkStart w:id="181" w:name="_Hlk49773776"/>
      <w:r w:rsidRPr="00BA6E2D">
        <w:rPr>
          <w:rFonts w:ascii="Times New Roman" w:hAnsi="Times New Roman"/>
          <w:szCs w:val="24"/>
        </w:rPr>
        <w:t>pull or PPM frameworks. This is because they do not account for why people chose to migrate even in favourable circumstances, and they do not account for all the reasons for migration (</w:t>
      </w:r>
      <w:r w:rsidRPr="00BA6E2D">
        <w:rPr>
          <w:rFonts w:ascii="Times New Roman" w:hAnsi="Times New Roman"/>
          <w:iCs/>
          <w:szCs w:val="24"/>
        </w:rPr>
        <w:t>O'Reilly, 2012</w:t>
      </w:r>
      <w:r w:rsidRPr="00BA6E2D">
        <w:rPr>
          <w:rFonts w:ascii="Times New Roman" w:hAnsi="Times New Roman"/>
          <w:szCs w:val="24"/>
        </w:rPr>
        <w:t>). The conceptual framework developed for this study (see chapter 4) offered some understanding for why my participants chose to migrate despite their educational and professional achievements.</w:t>
      </w:r>
    </w:p>
    <w:p w14:paraId="7560255C" w14:textId="0BE95AF2" w:rsidR="008407BB" w:rsidRPr="00BA6E2D" w:rsidRDefault="008407BB" w:rsidP="008407BB">
      <w:pPr>
        <w:rPr>
          <w:rFonts w:ascii="Times New Roman" w:hAnsi="Times New Roman"/>
          <w:b/>
          <w:szCs w:val="24"/>
        </w:rPr>
      </w:pPr>
      <w:r w:rsidRPr="00BA6E2D">
        <w:rPr>
          <w:rFonts w:ascii="Times New Roman" w:hAnsi="Times New Roman"/>
          <w:b/>
          <w:szCs w:val="24"/>
        </w:rPr>
        <w:t>Figure 7.1. Framework to understand my participants motivation to migrate</w:t>
      </w:r>
      <w:r w:rsidR="006869A3">
        <w:rPr>
          <w:noProof/>
        </w:rPr>
        <mc:AlternateContent>
          <mc:Choice Requires="wpg">
            <w:drawing>
              <wp:inline distT="0" distB="0" distL="0" distR="0" wp14:anchorId="1252A7BF" wp14:editId="07F9F5D9">
                <wp:extent cx="4104005" cy="3027680"/>
                <wp:effectExtent l="0" t="0" r="10795" b="20320"/>
                <wp:docPr id="84" name="Group 1" descr="P1660#y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04005" cy="3027680"/>
                          <a:chOff x="0" y="0"/>
                          <a:chExt cx="4105275" cy="3028950"/>
                        </a:xfrm>
                      </wpg:grpSpPr>
                      <wps:wsp>
                        <wps:cNvPr id="85" name="Oval 50"/>
                        <wps:cNvSpPr/>
                        <wps:spPr>
                          <a:xfrm>
                            <a:off x="0" y="704850"/>
                            <a:ext cx="1228725" cy="1133475"/>
                          </a:xfrm>
                          <a:prstGeom prst="ellipse">
                            <a:avLst/>
                          </a:prstGeom>
                          <a:noFill/>
                        </wps:spPr>
                        <wps:style>
                          <a:lnRef idx="2">
                            <a:schemeClr val="accent6">
                              <a:shade val="50000"/>
                            </a:schemeClr>
                          </a:lnRef>
                          <a:fillRef idx="1">
                            <a:schemeClr val="accent6"/>
                          </a:fillRef>
                          <a:effectRef idx="0">
                            <a:schemeClr val="accent6"/>
                          </a:effectRef>
                          <a:fontRef idx="minor">
                            <a:schemeClr val="lt1"/>
                          </a:fontRef>
                        </wps:style>
                        <wps:txbx>
                          <w:txbxContent>
                            <w:p w14:paraId="7B66FC8C" w14:textId="77777777" w:rsidR="006869A3" w:rsidRPr="00DC48E7" w:rsidRDefault="006869A3" w:rsidP="006869A3">
                              <w:pPr>
                                <w:jc w:val="center"/>
                                <w:rPr>
                                  <w:color w:val="000000" w:themeColor="text1"/>
                                </w:rPr>
                              </w:pPr>
                              <w:r>
                                <w:rPr>
                                  <w:color w:val="000000" w:themeColor="text1"/>
                                </w:rPr>
                                <w:t>Migrant in home country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55"/>
                        <wps:cNvSpPr/>
                        <wps:spPr>
                          <a:xfrm>
                            <a:off x="2867025" y="685800"/>
                            <a:ext cx="1238250" cy="1209675"/>
                          </a:xfrm>
                          <a:prstGeom prst="ellipse">
                            <a:avLst/>
                          </a:prstGeom>
                          <a:no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F38437" w14:textId="77777777" w:rsidR="006869A3" w:rsidRPr="00DC48E7" w:rsidRDefault="006869A3" w:rsidP="006869A3">
                              <w:pPr>
                                <w:jc w:val="center"/>
                                <w:rPr>
                                  <w:color w:val="000000" w:themeColor="text1"/>
                                </w:rPr>
                              </w:pPr>
                              <w:r>
                                <w:rPr>
                                  <w:color w:val="000000" w:themeColor="text1"/>
                                </w:rPr>
                                <w:t>Migrant in the 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ight Arrow 52"/>
                        <wps:cNvSpPr/>
                        <wps:spPr>
                          <a:xfrm>
                            <a:off x="1466850" y="752475"/>
                            <a:ext cx="1219200" cy="1104900"/>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1240779" w14:textId="77777777" w:rsidR="006869A3" w:rsidRDefault="006869A3" w:rsidP="006869A3">
                              <w:pPr>
                                <w:jc w:val="center"/>
                              </w:pPr>
                              <w:r>
                                <w:rPr>
                                  <w:color w:val="000000" w:themeColor="text1"/>
                                </w:rPr>
                                <w:t>Decision to migrate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Down Arrow 47"/>
                        <wps:cNvSpPr/>
                        <wps:spPr>
                          <a:xfrm>
                            <a:off x="1752600" y="457200"/>
                            <a:ext cx="104775" cy="542925"/>
                          </a:xfrm>
                          <a:prstGeom prst="down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Up Arrow 60"/>
                        <wps:cNvSpPr/>
                        <wps:spPr>
                          <a:xfrm>
                            <a:off x="1733550" y="1638300"/>
                            <a:ext cx="104775" cy="590550"/>
                          </a:xfrm>
                          <a:prstGeom prst="up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ounded Rectangle 64"/>
                        <wps:cNvSpPr/>
                        <wps:spPr>
                          <a:xfrm>
                            <a:off x="723900" y="2314575"/>
                            <a:ext cx="2133600" cy="71437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E3F9077" w14:textId="77777777" w:rsidR="006869A3" w:rsidRDefault="006869A3" w:rsidP="006869A3">
                              <w:pPr>
                                <w:jc w:val="center"/>
                              </w:pPr>
                              <w:r>
                                <w:rPr>
                                  <w:color w:val="000000" w:themeColor="text1"/>
                                </w:rPr>
                                <w:t>Pre-migratory background and characteristics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Rounded Rectangle 71"/>
                        <wps:cNvSpPr/>
                        <wps:spPr>
                          <a:xfrm>
                            <a:off x="685800" y="0"/>
                            <a:ext cx="2209800" cy="39052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795E119" w14:textId="77777777" w:rsidR="006869A3" w:rsidRPr="00BB071F" w:rsidRDefault="006869A3" w:rsidP="006869A3">
                              <w:pPr>
                                <w:rPr>
                                  <w:color w:val="000000" w:themeColor="text1"/>
                                </w:rPr>
                              </w:pPr>
                              <w:r>
                                <w:rPr>
                                  <w:color w:val="000000" w:themeColor="text1"/>
                                </w:rPr>
                                <w:t>Push and pull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252A7BF" id="_x0000_s1048" alt="P1660#y1" style="width:323.15pt;height:238.4pt;mso-position-horizontal-relative:char;mso-position-vertical-relative:line" coordsize="41052,30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zD00QQAAPYdAAAOAAAAZHJzL2Uyb0RvYy54bWzsWd9P4zgQfj/p/gcr93w0v5qkEWWF4EAn&#10;oQXBrvbZTZw2usTO2S4t+9ffjO2kPUDQ21t4QOlDFcee8Xjs75vJ+PjTtm3IPZOqFnzuBUe+Rxgv&#10;RFnz5dz7+uXi98wjSlNe0kZwNvcemPI+nfz6y/Gmy1koVqIpmSSghKt80829ldZdPpmoYsVaqo5E&#10;xzh0VkK2VENTLielpBvQ3jaT0PeTyUbIspOiYErB23Pb6Z0Y/VXFCn1dVYpp0sw9sE2bf2n+F/g/&#10;OTmm+VLSblUXzgz6A1a0tOYw6aDqnGpK1rJ+oqqtCymUqPRRIdqJqKq6YGYNsJrAf7SaSynWnVnL&#10;Mt8su8FN4NpHfvphtcXn+xtJ6nLuZbFHOG1hj8y0JPBIyVQBvroJksT/7SFAZ226ZQ4yl7K7626k&#10;XTE8XoniLwXdk8f92F7uBm8r2aIQLJxszS48DLvAtpoU8DIO/Nj3px4poC/ywzTJ3D4VK9jMJ3LF&#10;6o+d5DRMd5LZbGokJzS3ExvzBnM2HZw5tXOr+n9uvVvRjpndUuii3q1gjnXr9T1tiDUIZ4Yh6ELj&#10;U5Ur581nHZT6cWYFad57KQjDLA3dWoMgimJYOO5Av1aad1LpSyZagg9zjzVN3Sm0kOb0/kppO7of&#10;ha+5uKibxu5jbxPaqvRDw3BAw29ZBccFtik0igxQ2VkjCaxu7tGiYFwntmtFS2ZfT334OesGCWOr&#10;UYiaK5h40B28pNua7cajKDM4H4T914UHCTOz4HoQbmsu5HMKGm3OP7i3suPNYR9cg17S28XWQCkI&#10;LVRUvhDlAxwEKSzxqK64qGEzrqjSN1QC0wAnAXvqa/irGrGZe8I9eWQl5Pfn3uN4OKnQ65ENMNfc&#10;U3+vqWQeaf7kcIZnQRwj1ZlGPE1DaMj9nsV+D1+3ZwJ2DuAO1plHHK+b/rGSov0GJHuKs0IX5QXM&#10;PfcKLfvGmbaMCjRdsNNTMwzoraP6it91BSpHR+NJ+7L9RmXnTqSGw/xZ9Lh5cirtWJTk4nStRVWb&#10;I4uutn51WwAYRmJ6DzAn/wazQRzOfBCYwyxJfYQs8FqSTTMLiX1IR1kIODfEF4T+LPmZkEbwoi+V&#10;aOoSYW4acrkYwHuGKB1guhsGZx5FgTxHToC0ZMd2/4kTopETPiYnpD0n3NbLlSanUooNmQ4h4CBq&#10;COIEGAGgD9SQTkMXy/epIZhBuuuoARKk2QDUPmPo47jjVonGGFsM975twHfx+k0C/hB2bYKArDWE&#10;b5uJvBDwe+FBAsVdALfCPyfgxyO4PyS4Z/D5arP3c7HhDttx2u/2YdgGQCeIXcC2Scfc18yQyftx&#10;2n+0TONwBhnCi3l8CZaMwHY+ehtgj2n7h0rbZ7MexV87h+HEgPDg1D1Io2jq4nOQRFlkw+9egN4H&#10;8czHsS+CeN2NEB4hPH55Py169uUAh01XRgswgNpIfCvWvGQluYXiLuXLhpFkSL8OCshpGGH6jPE4&#10;jAIIySbg7rAcQjXNBGwsQKZBHL32GQ5lWl6iOWOqvZecv1GqPdRcxiD9oYJ06A+59lOEp+7y4cBK&#10;m6uuIcIfJdshlNWw8GYvFyBQv5Ztj9iGgv57fUYnmBIg8Y/Yfi9smysxuFw0tzHuIhRvL/fbpva7&#10;u649+QcAAP//AwBQSwMEFAAGAAgAAAAhALies8ndAAAABQEAAA8AAABkcnMvZG93bnJldi54bWxM&#10;j0FrwkAQhe8F/8Myhd7qJmpTSbMRkbYnEaqF0tuYHZNgdjZk1yT++269tJeBx3u89022Gk0jeupc&#10;bVlBPI1AEBdW11wq+Dy8PS5BOI+ssbFMCq7kYJVP7jJMtR34g/q9L0UoYZeigsr7NpXSFRUZdFPb&#10;EgfvZDuDPsiulLrDIZSbRs6iKJEGaw4LFba0qag47y9GwfuAw3oev/bb82lz/T487b62MSn1cD+u&#10;X0B4Gv1fGH7xAzrkgeloL6ydaBSER/ztBi9ZJHMQRwWL52QJMs/kf/r8BwAA//8DAFBLAQItABQA&#10;BgAIAAAAIQC2gziS/gAAAOEBAAATAAAAAAAAAAAAAAAAAAAAAABbQ29udGVudF9UeXBlc10ueG1s&#10;UEsBAi0AFAAGAAgAAAAhADj9If/WAAAAlAEAAAsAAAAAAAAAAAAAAAAALwEAAF9yZWxzLy5yZWxz&#10;UEsBAi0AFAAGAAgAAAAhAAtXMPTRBAAA9h0AAA4AAAAAAAAAAAAAAAAALgIAAGRycy9lMm9Eb2Mu&#10;eG1sUEsBAi0AFAAGAAgAAAAhALies8ndAAAABQEAAA8AAAAAAAAAAAAAAAAAKwcAAGRycy9kb3du&#10;cmV2LnhtbFBLBQYAAAAABAAEAPMAAAA1CAAAAAA=&#10;">
                <v:oval id="Oval 50" o:spid="_x0000_s1049" style="position:absolute;top:7048;width:12287;height:11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jLxwgAAANsAAAAPAAAAZHJzL2Rvd25yZXYueG1sRI9Pi8Iw&#10;FMTvgt8hvIW9aboLilSjlEqXPfoP8fhonk2xeSlJVrvffrMgeBxm5jfMajPYTtzJh9axgo9pBoK4&#10;drrlRsHpWE0WIEJE1tg5JgW/FGCzHo9WmGv34D3dD7ERCcIhRwUmxj6XMtSGLIap64mTd3XeYkzS&#10;N1J7fCS47eRnls2lxZbTgsGeSkP17fBjFZQmnivaV1tfNOWs3112t+6rUOr9bSiWICIN8RV+tr+1&#10;gsUM/r+kHyDXfwAAAP//AwBQSwECLQAUAAYACAAAACEA2+H2y+4AAACFAQAAEwAAAAAAAAAAAAAA&#10;AAAAAAAAW0NvbnRlbnRfVHlwZXNdLnhtbFBLAQItABQABgAIAAAAIQBa9CxbvwAAABUBAAALAAAA&#10;AAAAAAAAAAAAAB8BAABfcmVscy8ucmVsc1BLAQItABQABgAIAAAAIQCbIjLxwgAAANsAAAAPAAAA&#10;AAAAAAAAAAAAAAcCAABkcnMvZG93bnJldi54bWxQSwUGAAAAAAMAAwC3AAAA9gIAAAAA&#10;" filled="f" strokecolor="#375623 [1609]" strokeweight="1pt">
                  <v:stroke joinstyle="miter"/>
                  <v:textbox>
                    <w:txbxContent>
                      <w:p w14:paraId="7B66FC8C" w14:textId="77777777" w:rsidR="006869A3" w:rsidRPr="00DC48E7" w:rsidRDefault="006869A3" w:rsidP="006869A3">
                        <w:pPr>
                          <w:jc w:val="center"/>
                          <w:rPr>
                            <w:color w:val="000000" w:themeColor="text1"/>
                          </w:rPr>
                        </w:pPr>
                        <w:r>
                          <w:rPr>
                            <w:color w:val="000000" w:themeColor="text1"/>
                          </w:rPr>
                          <w:t>Migrant in home country</w:t>
                        </w:r>
                      </w:p>
                    </w:txbxContent>
                  </v:textbox>
                </v:oval>
                <v:oval id="Oval 55" o:spid="_x0000_s1050" style="position:absolute;left:28670;top:6858;width:12382;height:1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FjexAAAANsAAAAPAAAAZHJzL2Rvd25yZXYueG1sRI/NasMw&#10;EITvhb6D2EButZwejHEjm7S0SaDkkNS5L9b6h1grY8mJ8/ZRodDjMPPNMOtiNr240ug6ywpWUQyC&#10;uLK640ZB+fP1koJwHlljb5kU3MlBkT8/rTHT9sZHup58I0IJuwwVtN4PmZSuasmgi+xAHLzajgZ9&#10;kGMj9Yi3UG56+RrHiTTYcVhocaCPlqrLaTIK0vfv8tOcqdnspuP2fDjUU3eplVou5s0bCE+z/w//&#10;0XsduAR+v4QfIPMHAAAA//8DAFBLAQItABQABgAIAAAAIQDb4fbL7gAAAIUBAAATAAAAAAAAAAAA&#10;AAAAAAAAAABbQ29udGVudF9UeXBlc10ueG1sUEsBAi0AFAAGAAgAAAAhAFr0LFu/AAAAFQEAAAsA&#10;AAAAAAAAAAAAAAAAHwEAAF9yZWxzLy5yZWxzUEsBAi0AFAAGAAgAAAAhAE5AWN7EAAAA2wAAAA8A&#10;AAAAAAAAAAAAAAAABwIAAGRycy9kb3ducmV2LnhtbFBLBQYAAAAAAwADALcAAAD4AgAAAAA=&#10;" filled="f" strokecolor="#c00000" strokeweight="1pt">
                  <v:stroke joinstyle="miter"/>
                  <v:textbox>
                    <w:txbxContent>
                      <w:p w14:paraId="38F38437" w14:textId="77777777" w:rsidR="006869A3" w:rsidRPr="00DC48E7" w:rsidRDefault="006869A3" w:rsidP="006869A3">
                        <w:pPr>
                          <w:jc w:val="center"/>
                          <w:rPr>
                            <w:color w:val="000000" w:themeColor="text1"/>
                          </w:rPr>
                        </w:pPr>
                        <w:r>
                          <w:rPr>
                            <w:color w:val="000000" w:themeColor="text1"/>
                          </w:rPr>
                          <w:t>Migrant in the UK</w:t>
                        </w:r>
                      </w:p>
                    </w:txbxContent>
                  </v:textbox>
                </v:oval>
                <v:shape id="Right Arrow 52" o:spid="_x0000_s1051" type="#_x0000_t13" style="position:absolute;left:14668;top:7524;width:12192;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08UwwAAANsAAAAPAAAAZHJzL2Rvd25yZXYueG1sRI9Li8JA&#10;EITvgv9haGFvOokHH9FRRNBdPKxP8Npk2iSY6YmZWY3/fkcQPBZV9RU1nTemFHeqXWFZQdyLQBCn&#10;VhecKTgdV90RCOeRNZaWScGTHMxn7dYUE20fvKf7wWciQNglqCD3vkqkdGlOBl3PVsTBu9jaoA+y&#10;zqSu8RHgppT9KBpIgwWHhRwrWuaUXg9/RsFtZzen38w8F+vtcnAef8cutqVSX51mMQHhqfGf8Lv9&#10;oxWMhvD6En6AnP0DAAD//wMAUEsBAi0AFAAGAAgAAAAhANvh9svuAAAAhQEAABMAAAAAAAAAAAAA&#10;AAAAAAAAAFtDb250ZW50X1R5cGVzXS54bWxQSwECLQAUAAYACAAAACEAWvQsW78AAAAVAQAACwAA&#10;AAAAAAAAAAAAAAAfAQAAX3JlbHMvLnJlbHNQSwECLQAUAAYACAAAACEAuaNPFMMAAADbAAAADwAA&#10;AAAAAAAAAAAAAAAHAgAAZHJzL2Rvd25yZXYueG1sUEsFBgAAAAADAAMAtwAAAPcCAAAAAA==&#10;" adj="11813" filled="f" strokecolor="#1f3763 [1604]" strokeweight="1pt">
                  <v:textbox>
                    <w:txbxContent>
                      <w:p w14:paraId="71240779" w14:textId="77777777" w:rsidR="006869A3" w:rsidRDefault="006869A3" w:rsidP="006869A3">
                        <w:pPr>
                          <w:jc w:val="center"/>
                        </w:pPr>
                        <w:r>
                          <w:rPr>
                            <w:color w:val="000000" w:themeColor="text1"/>
                          </w:rPr>
                          <w:t>Decision to migrate</w:t>
                        </w:r>
                      </w:p>
                    </w:txbxContent>
                  </v:textbox>
                </v:shape>
                <v:shape id="Down Arrow 47" o:spid="_x0000_s1052" type="#_x0000_t67" style="position:absolute;left:17526;top:4572;width:1047;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n6DwgAAANsAAAAPAAAAZHJzL2Rvd25yZXYueG1sRE9Na8JA&#10;EL0X+h+WKfTWbCxFaswqUhIRPIixh3obsmMSzM6G7Bqjv949CD0+3ne6HE0rBupdY1nBJIpBEJdW&#10;N1wp+D3kH98gnEfW2FomBTdysFy8vqSYaHvlPQ2Fr0QIYZeggtr7LpHSlTUZdJHtiAN3sr1BH2Bf&#10;Sd3jNYSbVn7G8VQabDg01NjRT03lubgYBV/x3ynPtpsdGl7l62za3ffVUan3t3E1B+Fp9P/ip3uj&#10;FczC2PAl/AC5eAAAAP//AwBQSwECLQAUAAYACAAAACEA2+H2y+4AAACFAQAAEwAAAAAAAAAAAAAA&#10;AAAAAAAAW0NvbnRlbnRfVHlwZXNdLnhtbFBLAQItABQABgAIAAAAIQBa9CxbvwAAABUBAAALAAAA&#10;AAAAAAAAAAAAAB8BAABfcmVscy8ucmVsc1BLAQItABQABgAIAAAAIQDczn6DwgAAANsAAAAPAAAA&#10;AAAAAAAAAAAAAAcCAABkcnMvZG93bnJldi54bWxQSwUGAAAAAAMAAwC3AAAA9gIAAAAA&#10;" adj="19516" filled="f" strokecolor="#1f3763 [1604]" strokeweight="1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60" o:spid="_x0000_s1053" type="#_x0000_t68" style="position:absolute;left:17335;top:16383;width:1048;height:5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hDwwAAANsAAAAPAAAAZHJzL2Rvd25yZXYueG1sRI/BasMw&#10;EETvhfyD2EBvjZwSSu1ECSaQkLanOj7kuFhrW8RaGUu13b+vCoUeh5l5w+wOs+3ESIM3jhWsVwkI&#10;4sppw42C8np6egXhA7LGzjEp+CYPh/3iYYeZdhN/0liERkQI+wwVtCH0mZS+asmiX7meOHq1GyyG&#10;KIdG6gGnCLedfE6SF2nRcFxosadjS9W9+LIKPjbn0r7jLXf1WBt7Scxb7wqlHpdzvgURaA7/4b/2&#10;RStIU/j9En+A3P8AAAD//wMAUEsBAi0AFAAGAAgAAAAhANvh9svuAAAAhQEAABMAAAAAAAAAAAAA&#10;AAAAAAAAAFtDb250ZW50X1R5cGVzXS54bWxQSwECLQAUAAYACAAAACEAWvQsW78AAAAVAQAACwAA&#10;AAAAAAAAAAAAAAAfAQAAX3JlbHMvLnJlbHNQSwECLQAUAAYACAAAACEA/k+4Q8MAAADbAAAADwAA&#10;AAAAAAAAAAAAAAAHAgAAZHJzL2Rvd25yZXYueG1sUEsFBgAAAAADAAMAtwAAAPcCAAAAAA==&#10;" adj="1916" filled="f" strokecolor="#1f3763 [1604]" strokeweight="1pt"/>
                <v:roundrect id="Rounded Rectangle 64" o:spid="_x0000_s1054" style="position:absolute;left:7239;top:23145;width:21336;height:7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lElxwAAANwAAAAPAAAAZHJzL2Rvd25yZXYueG1sRI9BS8NA&#10;EIXvgv9hGcGb3SgiJe22FEVMlR4aPbS3ITtNgtnZsLttkn/vHITeZnhv3vtmuR5dpy4UYuvZwOMs&#10;A0VcedtybeDn+/1hDiomZIudZzIwUYT16vZmibn1A+/pUqZaSQjHHA00KfW51rFqyGGc+Z5YtJMP&#10;DpOsodY24CDhrtNPWfaiHbYsDQ329NpQ9VuenYF5vZueh2J7Lj7CdPh6G/rT53FrzP3duFmASjSm&#10;q/n/urCCnwm+PCMT6NUfAAAA//8DAFBLAQItABQABgAIAAAAIQDb4fbL7gAAAIUBAAATAAAAAAAA&#10;AAAAAAAAAAAAAABbQ29udGVudF9UeXBlc10ueG1sUEsBAi0AFAAGAAgAAAAhAFr0LFu/AAAAFQEA&#10;AAsAAAAAAAAAAAAAAAAAHwEAAF9yZWxzLy5yZWxzUEsBAi0AFAAGAAgAAAAhANRyUSXHAAAA3AAA&#10;AA8AAAAAAAAAAAAAAAAABwIAAGRycy9kb3ducmV2LnhtbFBLBQYAAAAAAwADALcAAAD7AgAAAAA=&#10;" filled="f" strokecolor="#1f3763 [1604]" strokeweight="1pt">
                  <v:stroke joinstyle="miter"/>
                  <v:textbox>
                    <w:txbxContent>
                      <w:p w14:paraId="0E3F9077" w14:textId="77777777" w:rsidR="006869A3" w:rsidRDefault="006869A3" w:rsidP="006869A3">
                        <w:pPr>
                          <w:jc w:val="center"/>
                        </w:pPr>
                        <w:r>
                          <w:rPr>
                            <w:color w:val="000000" w:themeColor="text1"/>
                          </w:rPr>
                          <w:t>Pre-migratory background and characteristics</w:t>
                        </w:r>
                      </w:p>
                    </w:txbxContent>
                  </v:textbox>
                </v:roundrect>
                <v:roundrect id="Rounded Rectangle 71" o:spid="_x0000_s1055" style="position:absolute;left:6858;width:22098;height:39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TxfwwAAANwAAAAPAAAAZHJzL2Rvd25yZXYueG1sRE/LisIw&#10;FN0L/kO4wuw0VWSQapRBEevILHwsZnaX5tqWaW5KEm3795OFMMvDea82nanFk5yvLCuYThIQxLnV&#10;FRcKbtf9eAHCB2SNtWVS0JOHzXo4WGGqbctnel5CIWII+xQVlCE0qZQ+L8mgn9iGOHJ36wyGCF0h&#10;tcM2hptazpLkXRqsODaU2NC2pPz38jAKFsVXP2+z4yM7uP77tGub++fPUam3UfexBBGoC//ilzvT&#10;CmZJXBvPxCMg138AAAD//wMAUEsBAi0AFAAGAAgAAAAhANvh9svuAAAAhQEAABMAAAAAAAAAAAAA&#10;AAAAAAAAAFtDb250ZW50X1R5cGVzXS54bWxQSwECLQAUAAYACAAAACEAWvQsW78AAAAVAQAACwAA&#10;AAAAAAAAAAAAAAAfAQAAX3JlbHMvLnJlbHNQSwECLQAUAAYACAAAACEA8SE8X8MAAADcAAAADwAA&#10;AAAAAAAAAAAAAAAHAgAAZHJzL2Rvd25yZXYueG1sUEsFBgAAAAADAAMAtwAAAPcCAAAAAA==&#10;" filled="f" strokecolor="#1f3763 [1604]" strokeweight="1pt">
                  <v:stroke joinstyle="miter"/>
                  <v:textbox>
                    <w:txbxContent>
                      <w:p w14:paraId="3795E119" w14:textId="77777777" w:rsidR="006869A3" w:rsidRPr="00BB071F" w:rsidRDefault="006869A3" w:rsidP="006869A3">
                        <w:pPr>
                          <w:rPr>
                            <w:color w:val="000000" w:themeColor="text1"/>
                          </w:rPr>
                        </w:pPr>
                        <w:r>
                          <w:rPr>
                            <w:color w:val="000000" w:themeColor="text1"/>
                          </w:rPr>
                          <w:t>Push and pull factors</w:t>
                        </w:r>
                      </w:p>
                    </w:txbxContent>
                  </v:textbox>
                </v:roundrect>
                <w10:anchorlock/>
              </v:group>
            </w:pict>
          </mc:Fallback>
        </mc:AlternateContent>
      </w:r>
    </w:p>
    <w:p w14:paraId="04863A97" w14:textId="77777777" w:rsidR="008407BB" w:rsidRPr="00BA6E2D" w:rsidRDefault="008407BB" w:rsidP="008407BB"/>
    <w:p w14:paraId="2C826DFA" w14:textId="065A7909" w:rsidR="008407BB" w:rsidRDefault="008407BB" w:rsidP="008407BB">
      <w:pPr>
        <w:jc w:val="both"/>
        <w:rPr>
          <w:rFonts w:ascii="Times New Roman" w:hAnsi="Times New Roman"/>
          <w:szCs w:val="24"/>
        </w:rPr>
      </w:pPr>
      <w:r w:rsidRPr="00BA6E2D">
        <w:rPr>
          <w:rFonts w:ascii="Times New Roman" w:hAnsi="Times New Roman"/>
          <w:szCs w:val="24"/>
        </w:rPr>
        <w:t>My study findings indicate that my participants’ motivation to migrate was a close interaction between their pre-migratory background and the push/pull factors that were at play at the time of their migration. Even though their educational and professional background may be viewed as an asset, it was not necessarily a sufficient reason for migration. In addition, while the assertion that people migrate to the UK for economic reasons may be true f</w:t>
      </w:r>
      <w:bookmarkEnd w:id="181"/>
      <w:r w:rsidRPr="00BA6E2D">
        <w:rPr>
          <w:rFonts w:ascii="Times New Roman" w:hAnsi="Times New Roman"/>
          <w:szCs w:val="24"/>
        </w:rPr>
        <w:t>or some of my participants (Winkelmann-Gleed, 2006), my findings suggest that the motivation of my participants to come to the UK were far more complex.</w:t>
      </w:r>
    </w:p>
    <w:p w14:paraId="57E1FEE6" w14:textId="77777777" w:rsidR="006869A3" w:rsidRPr="00BA6E2D" w:rsidRDefault="006869A3" w:rsidP="008407BB">
      <w:pPr>
        <w:jc w:val="both"/>
        <w:rPr>
          <w:rFonts w:ascii="Times New Roman" w:hAnsi="Times New Roman"/>
          <w:szCs w:val="24"/>
        </w:rPr>
      </w:pPr>
    </w:p>
    <w:p w14:paraId="22C1CF5D" w14:textId="77777777" w:rsidR="008407BB" w:rsidRPr="00BA6E2D" w:rsidRDefault="008407BB" w:rsidP="006869A3">
      <w:pPr>
        <w:pStyle w:val="Heading2"/>
      </w:pPr>
      <w:bookmarkStart w:id="182" w:name="_Toc86417362"/>
      <w:r w:rsidRPr="00BA6E2D">
        <w:lastRenderedPageBreak/>
        <w:t>7.5. Summary</w:t>
      </w:r>
      <w:bookmarkEnd w:id="182"/>
    </w:p>
    <w:p w14:paraId="57FF6BE6" w14:textId="00C7BCD7" w:rsidR="00B26DB8" w:rsidRDefault="008407BB" w:rsidP="001B101D">
      <w:r w:rsidRPr="00BA6E2D">
        <w:rPr>
          <w:rFonts w:ascii="Times New Roman" w:hAnsi="Times New Roman"/>
          <w:szCs w:val="24"/>
        </w:rPr>
        <w:t xml:space="preserve">Despite their motivation to come to the UK, none of my participants referred to a specific job they were to undertake when they came to the UK. For the participants who were motivated for career-related reasons, their goal was first to study and to work while they studied. However, most participants did not plan to work in the care sector. Rather, most of them looked for any form of employment that might sustain them while they studied, and care work fitted in well into their busy study life (due to flexibility of shifts). </w:t>
      </w:r>
      <w:r>
        <w:rPr>
          <w:rFonts w:ascii="Times New Roman" w:hAnsi="Times New Roman"/>
          <w:szCs w:val="24"/>
        </w:rPr>
        <w:t>T</w:t>
      </w:r>
      <w:r w:rsidRPr="00BA6E2D">
        <w:rPr>
          <w:rFonts w:ascii="Times New Roman" w:hAnsi="Times New Roman"/>
          <w:szCs w:val="24"/>
        </w:rPr>
        <w:t>he participants who had professional background in nursing in Nigeria, all stated that they had moved to secure jobs in care upon arrival in the UK. This is explored in more detail in the next section on the motivation for working as a care</w:t>
      </w:r>
      <w:r>
        <w:rPr>
          <w:rFonts w:ascii="Times New Roman" w:hAnsi="Times New Roman"/>
          <w:szCs w:val="24"/>
        </w:rPr>
        <w:t xml:space="preserve"> work</w:t>
      </w:r>
      <w:r w:rsidRPr="00BA6E2D">
        <w:rPr>
          <w:rFonts w:ascii="Times New Roman" w:hAnsi="Times New Roman"/>
          <w:szCs w:val="24"/>
        </w:rPr>
        <w:t>er.</w:t>
      </w:r>
    </w:p>
    <w:p w14:paraId="7A967094" w14:textId="77777777" w:rsidR="006869A3" w:rsidRDefault="006869A3">
      <w:pPr>
        <w:spacing w:after="0" w:line="240" w:lineRule="auto"/>
        <w:rPr>
          <w:rFonts w:ascii="Times New Roman" w:hAnsi="Times New Roman"/>
          <w:b/>
          <w:szCs w:val="24"/>
        </w:rPr>
      </w:pPr>
      <w:r>
        <w:rPr>
          <w:rFonts w:ascii="Times New Roman" w:hAnsi="Times New Roman"/>
          <w:b/>
          <w:szCs w:val="24"/>
        </w:rPr>
        <w:br w:type="page"/>
      </w:r>
    </w:p>
    <w:p w14:paraId="3DD35DB3" w14:textId="09A42E72" w:rsidR="008861F2" w:rsidRPr="00525B54" w:rsidRDefault="008861F2" w:rsidP="006869A3">
      <w:pPr>
        <w:pStyle w:val="Heading1"/>
      </w:pPr>
      <w:bookmarkStart w:id="183" w:name="_Toc86417363"/>
      <w:r w:rsidRPr="00525B54">
        <w:lastRenderedPageBreak/>
        <w:t>CHAPTER EIGHT</w:t>
      </w:r>
      <w:bookmarkEnd w:id="183"/>
    </w:p>
    <w:p w14:paraId="70BE7677" w14:textId="77777777" w:rsidR="008861F2" w:rsidRPr="00525B54" w:rsidRDefault="008861F2" w:rsidP="008861F2">
      <w:pPr>
        <w:jc w:val="center"/>
        <w:rPr>
          <w:rFonts w:ascii="Times New Roman" w:hAnsi="Times New Roman"/>
          <w:b/>
          <w:szCs w:val="24"/>
        </w:rPr>
      </w:pPr>
      <w:r w:rsidRPr="00525B54">
        <w:rPr>
          <w:rFonts w:ascii="Times New Roman" w:hAnsi="Times New Roman"/>
          <w:b/>
          <w:szCs w:val="24"/>
        </w:rPr>
        <w:t>MOTIVATIONS AND REWARDS FOR CARING FOR PEOPLE LIVING WITH DEMENTIA IN THE UK NHS</w:t>
      </w:r>
    </w:p>
    <w:p w14:paraId="55D39649" w14:textId="77777777" w:rsidR="008861F2" w:rsidRPr="00525B54" w:rsidRDefault="008861F2" w:rsidP="006869A3">
      <w:pPr>
        <w:pStyle w:val="Heading2"/>
      </w:pPr>
      <w:bookmarkStart w:id="184" w:name="_Toc86417364"/>
      <w:r w:rsidRPr="00525B54">
        <w:t>8.1. Introduction</w:t>
      </w:r>
      <w:bookmarkEnd w:id="184"/>
    </w:p>
    <w:p w14:paraId="31394D74" w14:textId="77777777" w:rsidR="008861F2" w:rsidRPr="00525B54" w:rsidRDefault="008861F2" w:rsidP="008861F2">
      <w:pPr>
        <w:jc w:val="both"/>
        <w:rPr>
          <w:rFonts w:ascii="Times New Roman" w:hAnsi="Times New Roman"/>
          <w:szCs w:val="24"/>
        </w:rPr>
      </w:pPr>
      <w:r w:rsidRPr="00525B54">
        <w:rPr>
          <w:rFonts w:ascii="Times New Roman" w:hAnsi="Times New Roman"/>
          <w:szCs w:val="24"/>
        </w:rPr>
        <w:t>Findings presented in the previous chapter indicates that paid Nigerian migrant nurses and healthcare assistants (HCA) had different reasons for coming to the UK. None of my participants (except those who had previously worked as nurses) migrated to the UK with the sole intention of undertaking paid work as an HCA. In this chapter, I explored the reasons they gave for working as HCAs, and why those who currently work as nurses (having trained to be nurses in the UK) continue to provide care for people living with dementia (PLWD). In addition to examining the different intersecting motives for caring for PLWD and some of the complexities and interplay between the identified motives</w:t>
      </w:r>
      <w:r>
        <w:rPr>
          <w:rFonts w:ascii="Times New Roman" w:hAnsi="Times New Roman"/>
          <w:szCs w:val="24"/>
        </w:rPr>
        <w:t>,</w:t>
      </w:r>
      <w:r w:rsidRPr="00525B54">
        <w:rPr>
          <w:rFonts w:ascii="Times New Roman" w:hAnsi="Times New Roman"/>
          <w:szCs w:val="24"/>
        </w:rPr>
        <w:t xml:space="preserve"> this chapter also examines the rewards my participants derived from taking care of PLWD. The chapter is in three main sections; the next two sections present and discuss</w:t>
      </w:r>
      <w:r>
        <w:rPr>
          <w:rFonts w:ascii="Times New Roman" w:hAnsi="Times New Roman"/>
          <w:szCs w:val="24"/>
        </w:rPr>
        <w:t>es</w:t>
      </w:r>
      <w:r w:rsidRPr="00525B54">
        <w:rPr>
          <w:rFonts w:ascii="Times New Roman" w:hAnsi="Times New Roman"/>
          <w:szCs w:val="24"/>
        </w:rPr>
        <w:t xml:space="preserve"> the findings on my participants’ motivation to care for PLWD and the rewards they received from their roles. This is followed by a section discussing the findings in relation to the conceptual framework (see chapter 4) and concludes with a summary of the chapter.</w:t>
      </w:r>
    </w:p>
    <w:p w14:paraId="7E5D3A4C" w14:textId="77777777" w:rsidR="008861F2" w:rsidRPr="00525B54" w:rsidRDefault="008861F2" w:rsidP="006869A3">
      <w:pPr>
        <w:pStyle w:val="Heading2"/>
      </w:pPr>
      <w:bookmarkStart w:id="185" w:name="_Toc86417365"/>
      <w:r w:rsidRPr="00525B54">
        <w:t>8.2. Motivations for caring for PLWD</w:t>
      </w:r>
      <w:bookmarkEnd w:id="185"/>
    </w:p>
    <w:p w14:paraId="4C9EB866" w14:textId="77777777" w:rsidR="008619D1" w:rsidRDefault="008861F2" w:rsidP="008861F2">
      <w:pPr>
        <w:jc w:val="both"/>
        <w:rPr>
          <w:rFonts w:ascii="Times New Roman" w:hAnsi="Times New Roman"/>
          <w:szCs w:val="24"/>
        </w:rPr>
      </w:pPr>
      <w:r w:rsidRPr="00525B54">
        <w:rPr>
          <w:rFonts w:ascii="Times New Roman" w:hAnsi="Times New Roman"/>
          <w:szCs w:val="24"/>
        </w:rPr>
        <w:t xml:space="preserve">One of the characteristics common to my participants was their experience of working as HCAs, either in their current role or for those who are nurses, in their previous role working as HCAs prior to nurse training. Thus, this section centres on reasons for working as HCAs (whether presently or previously), or as nurses, caring for PLWD. It was notable that both those who currently work as nurses and HCAs presented similar reasons for first working as HCAs. The motivations can be grouped into three broad but intersecting categories; moral motivation, career-oriented motivation and needs-based </w:t>
      </w:r>
      <w:r w:rsidRPr="00D8089F">
        <w:rPr>
          <w:rFonts w:ascii="Times New Roman" w:hAnsi="Times New Roman"/>
          <w:szCs w:val="24"/>
        </w:rPr>
        <w:t>(necessity-defined) motivation (summarised in</w:t>
      </w:r>
      <w:r>
        <w:rPr>
          <w:rFonts w:ascii="Times New Roman" w:hAnsi="Times New Roman"/>
          <w:szCs w:val="24"/>
        </w:rPr>
        <w:t xml:space="preserve"> </w:t>
      </w:r>
      <w:r w:rsidRPr="00D8089F">
        <w:rPr>
          <w:rFonts w:ascii="Times New Roman" w:hAnsi="Times New Roman"/>
          <w:szCs w:val="24"/>
        </w:rPr>
        <w:t>Table 8.1)</w:t>
      </w:r>
    </w:p>
    <w:p w14:paraId="599269AC" w14:textId="3E187DCB" w:rsidR="008619D1" w:rsidRPr="00D8089F" w:rsidRDefault="008619D1" w:rsidP="008861F2">
      <w:pPr>
        <w:jc w:val="both"/>
        <w:rPr>
          <w:rFonts w:ascii="Times New Roman" w:hAnsi="Times New Roman"/>
          <w:szCs w:val="24"/>
        </w:rPr>
        <w:sectPr w:rsidR="008619D1" w:rsidRPr="00D8089F" w:rsidSect="00110D28">
          <w:footerReference w:type="default" r:id="rId25"/>
          <w:pgSz w:w="11906" w:h="16838"/>
          <w:pgMar w:top="1440" w:right="1701" w:bottom="1440" w:left="2268" w:header="709" w:footer="709" w:gutter="0"/>
          <w:cols w:space="708"/>
          <w:docGrid w:linePitch="360"/>
        </w:sectPr>
      </w:pPr>
    </w:p>
    <w:tbl>
      <w:tblPr>
        <w:tblStyle w:val="TableGrid1"/>
        <w:tblpPr w:leftFromText="180" w:rightFromText="180" w:vertAnchor="page" w:horzAnchor="margin" w:tblpY="1906"/>
        <w:tblW w:w="14176" w:type="dxa"/>
        <w:tblLayout w:type="fixed"/>
        <w:tblLook w:val="04A0" w:firstRow="1" w:lastRow="0" w:firstColumn="1" w:lastColumn="0" w:noHBand="0" w:noVBand="1"/>
      </w:tblPr>
      <w:tblGrid>
        <w:gridCol w:w="704"/>
        <w:gridCol w:w="1418"/>
        <w:gridCol w:w="1339"/>
        <w:gridCol w:w="1339"/>
        <w:gridCol w:w="1340"/>
        <w:gridCol w:w="1339"/>
        <w:gridCol w:w="1339"/>
        <w:gridCol w:w="1340"/>
        <w:gridCol w:w="1339"/>
        <w:gridCol w:w="1339"/>
        <w:gridCol w:w="1340"/>
      </w:tblGrid>
      <w:tr w:rsidR="008619D1" w:rsidRPr="00871034" w14:paraId="365C48B8" w14:textId="77777777" w:rsidTr="008619D1">
        <w:trPr>
          <w:trHeight w:val="269"/>
        </w:trPr>
        <w:tc>
          <w:tcPr>
            <w:tcW w:w="704" w:type="dxa"/>
            <w:vMerge w:val="restart"/>
          </w:tcPr>
          <w:p w14:paraId="56F05776" w14:textId="77777777" w:rsidR="008619D1" w:rsidRPr="000818B4" w:rsidRDefault="008619D1" w:rsidP="008619D1">
            <w:pPr>
              <w:spacing w:after="0" w:line="240" w:lineRule="auto"/>
              <w:rPr>
                <w:rFonts w:ascii="Times New Roman" w:hAnsi="Times New Roman"/>
                <w:b/>
                <w:sz w:val="20"/>
                <w:szCs w:val="20"/>
              </w:rPr>
            </w:pPr>
            <w:r w:rsidRPr="000818B4">
              <w:rPr>
                <w:rFonts w:ascii="Times New Roman" w:hAnsi="Times New Roman"/>
                <w:b/>
                <w:sz w:val="20"/>
                <w:szCs w:val="20"/>
              </w:rPr>
              <w:lastRenderedPageBreak/>
              <w:t>S/No</w:t>
            </w:r>
          </w:p>
        </w:tc>
        <w:tc>
          <w:tcPr>
            <w:tcW w:w="1418" w:type="dxa"/>
            <w:vMerge w:val="restart"/>
          </w:tcPr>
          <w:p w14:paraId="5D58286D" w14:textId="77777777" w:rsidR="008619D1" w:rsidRPr="000818B4" w:rsidRDefault="008619D1" w:rsidP="008619D1">
            <w:pPr>
              <w:spacing w:after="0" w:line="240" w:lineRule="auto"/>
              <w:rPr>
                <w:rFonts w:ascii="Times New Roman" w:hAnsi="Times New Roman"/>
                <w:b/>
                <w:sz w:val="20"/>
                <w:szCs w:val="20"/>
              </w:rPr>
            </w:pPr>
            <w:r w:rsidRPr="000818B4">
              <w:rPr>
                <w:rFonts w:ascii="Times New Roman" w:hAnsi="Times New Roman"/>
                <w:b/>
                <w:sz w:val="20"/>
                <w:szCs w:val="20"/>
              </w:rPr>
              <w:t>Participants</w:t>
            </w:r>
          </w:p>
        </w:tc>
        <w:tc>
          <w:tcPr>
            <w:tcW w:w="4018" w:type="dxa"/>
            <w:gridSpan w:val="3"/>
          </w:tcPr>
          <w:p w14:paraId="1A13C048" w14:textId="77777777" w:rsidR="008619D1" w:rsidRPr="000818B4" w:rsidRDefault="008619D1" w:rsidP="008619D1">
            <w:pPr>
              <w:spacing w:after="0" w:line="240" w:lineRule="auto"/>
              <w:jc w:val="center"/>
              <w:rPr>
                <w:rFonts w:ascii="Times New Roman" w:hAnsi="Times New Roman"/>
                <w:b/>
                <w:sz w:val="20"/>
                <w:szCs w:val="20"/>
              </w:rPr>
            </w:pPr>
            <w:r w:rsidRPr="000818B4">
              <w:rPr>
                <w:rFonts w:ascii="Times New Roman" w:hAnsi="Times New Roman"/>
                <w:b/>
                <w:sz w:val="20"/>
                <w:szCs w:val="20"/>
              </w:rPr>
              <w:t>Motivations for doing care work</w:t>
            </w:r>
          </w:p>
        </w:tc>
        <w:tc>
          <w:tcPr>
            <w:tcW w:w="4018" w:type="dxa"/>
            <w:gridSpan w:val="3"/>
          </w:tcPr>
          <w:p w14:paraId="02C4461A" w14:textId="77777777" w:rsidR="008619D1" w:rsidRPr="000818B4" w:rsidRDefault="008619D1" w:rsidP="008619D1">
            <w:pPr>
              <w:spacing w:after="0" w:line="240" w:lineRule="auto"/>
              <w:jc w:val="center"/>
              <w:rPr>
                <w:rFonts w:ascii="Times New Roman" w:hAnsi="Times New Roman"/>
                <w:b/>
                <w:sz w:val="20"/>
                <w:szCs w:val="20"/>
              </w:rPr>
            </w:pPr>
            <w:r w:rsidRPr="000818B4">
              <w:rPr>
                <w:rFonts w:ascii="Times New Roman" w:hAnsi="Times New Roman"/>
                <w:b/>
                <w:sz w:val="20"/>
                <w:szCs w:val="20"/>
              </w:rPr>
              <w:t>Previous experience of caring in Nigeria</w:t>
            </w:r>
          </w:p>
        </w:tc>
        <w:tc>
          <w:tcPr>
            <w:tcW w:w="4018" w:type="dxa"/>
            <w:gridSpan w:val="3"/>
          </w:tcPr>
          <w:p w14:paraId="3EC212E9" w14:textId="77777777" w:rsidR="008619D1" w:rsidRPr="000818B4" w:rsidRDefault="008619D1" w:rsidP="008619D1">
            <w:pPr>
              <w:spacing w:after="0" w:line="240" w:lineRule="auto"/>
              <w:jc w:val="center"/>
              <w:rPr>
                <w:rFonts w:ascii="Times New Roman" w:hAnsi="Times New Roman"/>
                <w:b/>
                <w:sz w:val="20"/>
                <w:szCs w:val="20"/>
              </w:rPr>
            </w:pPr>
            <w:r w:rsidRPr="000818B4">
              <w:rPr>
                <w:rFonts w:ascii="Times New Roman" w:hAnsi="Times New Roman"/>
                <w:b/>
                <w:sz w:val="20"/>
                <w:szCs w:val="20"/>
              </w:rPr>
              <w:t>Rewards of caring for people with dementia</w:t>
            </w:r>
          </w:p>
        </w:tc>
      </w:tr>
      <w:tr w:rsidR="008619D1" w:rsidRPr="00871034" w14:paraId="40FD27BF" w14:textId="77777777" w:rsidTr="008619D1">
        <w:trPr>
          <w:trHeight w:val="269"/>
        </w:trPr>
        <w:tc>
          <w:tcPr>
            <w:tcW w:w="704" w:type="dxa"/>
            <w:vMerge/>
          </w:tcPr>
          <w:p w14:paraId="0D5E7DAF" w14:textId="77777777" w:rsidR="008619D1" w:rsidRPr="000818B4" w:rsidRDefault="008619D1" w:rsidP="008619D1">
            <w:pPr>
              <w:spacing w:after="0" w:line="240" w:lineRule="auto"/>
              <w:rPr>
                <w:rFonts w:ascii="Times New Roman" w:hAnsi="Times New Roman"/>
                <w:sz w:val="20"/>
                <w:szCs w:val="20"/>
              </w:rPr>
            </w:pPr>
          </w:p>
        </w:tc>
        <w:tc>
          <w:tcPr>
            <w:tcW w:w="1418" w:type="dxa"/>
            <w:vMerge/>
          </w:tcPr>
          <w:p w14:paraId="7D0856F2" w14:textId="77777777" w:rsidR="008619D1" w:rsidRPr="000818B4" w:rsidRDefault="008619D1" w:rsidP="008619D1">
            <w:pPr>
              <w:spacing w:after="0" w:line="240" w:lineRule="auto"/>
              <w:rPr>
                <w:rFonts w:ascii="Times New Roman" w:hAnsi="Times New Roman"/>
                <w:sz w:val="20"/>
                <w:szCs w:val="20"/>
              </w:rPr>
            </w:pPr>
          </w:p>
        </w:tc>
        <w:tc>
          <w:tcPr>
            <w:tcW w:w="1339" w:type="dxa"/>
          </w:tcPr>
          <w:p w14:paraId="43FC80D8"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Moral motivation</w:t>
            </w:r>
          </w:p>
        </w:tc>
        <w:tc>
          <w:tcPr>
            <w:tcW w:w="1339" w:type="dxa"/>
          </w:tcPr>
          <w:p w14:paraId="48E7ACEB"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Career-oriented motivation</w:t>
            </w:r>
          </w:p>
        </w:tc>
        <w:tc>
          <w:tcPr>
            <w:tcW w:w="1340" w:type="dxa"/>
          </w:tcPr>
          <w:p w14:paraId="7AE19406"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Needs-based &amp; financial motivation</w:t>
            </w:r>
          </w:p>
        </w:tc>
        <w:tc>
          <w:tcPr>
            <w:tcW w:w="1339" w:type="dxa"/>
          </w:tcPr>
          <w:p w14:paraId="3AF8B685"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Worked as a nurse in Nigeria</w:t>
            </w:r>
          </w:p>
        </w:tc>
        <w:tc>
          <w:tcPr>
            <w:tcW w:w="1339" w:type="dxa"/>
          </w:tcPr>
          <w:p w14:paraId="727EEE65"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Previous informal care</w:t>
            </w:r>
          </w:p>
        </w:tc>
        <w:tc>
          <w:tcPr>
            <w:tcW w:w="1340" w:type="dxa"/>
          </w:tcPr>
          <w:p w14:paraId="0A8C8FFB"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No paid or unpaid care</w:t>
            </w:r>
          </w:p>
        </w:tc>
        <w:tc>
          <w:tcPr>
            <w:tcW w:w="1339" w:type="dxa"/>
          </w:tcPr>
          <w:p w14:paraId="4D7C4A41"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Emotional rewards</w:t>
            </w:r>
          </w:p>
        </w:tc>
        <w:tc>
          <w:tcPr>
            <w:tcW w:w="1339" w:type="dxa"/>
          </w:tcPr>
          <w:p w14:paraId="343970B0"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Financial &amp; material rewards</w:t>
            </w:r>
          </w:p>
        </w:tc>
        <w:tc>
          <w:tcPr>
            <w:tcW w:w="1340" w:type="dxa"/>
          </w:tcPr>
          <w:p w14:paraId="1AA4D7F2"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Opportunity to socialise</w:t>
            </w:r>
          </w:p>
        </w:tc>
      </w:tr>
      <w:tr w:rsidR="008619D1" w:rsidRPr="00D8089F" w14:paraId="18991B29" w14:textId="77777777" w:rsidTr="008619D1">
        <w:trPr>
          <w:trHeight w:val="269"/>
        </w:trPr>
        <w:tc>
          <w:tcPr>
            <w:tcW w:w="704" w:type="dxa"/>
          </w:tcPr>
          <w:p w14:paraId="4AEA9324"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1.</w:t>
            </w:r>
          </w:p>
        </w:tc>
        <w:tc>
          <w:tcPr>
            <w:tcW w:w="1418" w:type="dxa"/>
          </w:tcPr>
          <w:p w14:paraId="241BB43B"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Adams</w:t>
            </w:r>
          </w:p>
        </w:tc>
        <w:tc>
          <w:tcPr>
            <w:tcW w:w="1339" w:type="dxa"/>
          </w:tcPr>
          <w:p w14:paraId="55DE015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770F58F" wp14:editId="438968EF">
                  <wp:extent cx="200025" cy="180975"/>
                  <wp:effectExtent l="0" t="0" r="9525" b="9525"/>
                  <wp:docPr id="101" name="Picture 101" descr="P1694C1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P1694C1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0E6528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5EF7E7E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98B6794" wp14:editId="44114892">
                  <wp:extent cx="200025" cy="180975"/>
                  <wp:effectExtent l="0" t="0" r="9525" b="9525"/>
                  <wp:docPr id="102" name="Picture 102" descr="P1696C1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P1696C1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7890008"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DD30EB2"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74E789B1"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6619DE88" wp14:editId="097AEAEA">
                  <wp:extent cx="200025" cy="180975"/>
                  <wp:effectExtent l="0" t="0" r="9525" b="9525"/>
                  <wp:docPr id="103" name="Picture 103" descr="P1699C2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P1699C2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19A52F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B92CEE0" wp14:editId="5A17463C">
                  <wp:extent cx="200025" cy="180975"/>
                  <wp:effectExtent l="0" t="0" r="9525" b="9525"/>
                  <wp:docPr id="104" name="Picture 104" descr="P1700C2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P1700C2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86ED8AD"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9EE43FD" wp14:editId="54B312BB">
                  <wp:extent cx="200025" cy="180975"/>
                  <wp:effectExtent l="0" t="0" r="9525" b="9525"/>
                  <wp:docPr id="105" name="Picture 105" descr="P1701C2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P1701C2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F7B4F2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066C6D43" w14:textId="77777777" w:rsidTr="008619D1">
        <w:trPr>
          <w:trHeight w:val="269"/>
        </w:trPr>
        <w:tc>
          <w:tcPr>
            <w:tcW w:w="704" w:type="dxa"/>
          </w:tcPr>
          <w:p w14:paraId="44B3B502"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2.</w:t>
            </w:r>
          </w:p>
        </w:tc>
        <w:tc>
          <w:tcPr>
            <w:tcW w:w="1418" w:type="dxa"/>
          </w:tcPr>
          <w:p w14:paraId="3D33E1A6"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Ademola</w:t>
            </w:r>
          </w:p>
        </w:tc>
        <w:tc>
          <w:tcPr>
            <w:tcW w:w="1339" w:type="dxa"/>
          </w:tcPr>
          <w:p w14:paraId="0A64619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47FFBD5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4E27742" wp14:editId="2F060B53">
                  <wp:extent cx="200025" cy="180975"/>
                  <wp:effectExtent l="0" t="0" r="9525" b="9525"/>
                  <wp:docPr id="106" name="Picture 106" descr="P1707C2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P1707C2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910496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5ED3BCF" wp14:editId="491C20B5">
                  <wp:extent cx="200025" cy="180975"/>
                  <wp:effectExtent l="0" t="0" r="9525" b="9525"/>
                  <wp:docPr id="107" name="Picture 107" descr="P1708C3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P1708C3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0DD3CED"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2772CA3"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30F82934"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571F958C" wp14:editId="71B8F4DF">
                  <wp:extent cx="200025" cy="180975"/>
                  <wp:effectExtent l="0" t="0" r="9525" b="9525"/>
                  <wp:docPr id="108" name="Picture 108" descr="P1711C3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P1711C3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B518E6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F97071F" wp14:editId="3FF910B2">
                  <wp:extent cx="200025" cy="180975"/>
                  <wp:effectExtent l="0" t="0" r="9525" b="9525"/>
                  <wp:docPr id="109" name="Picture 109" descr="P1712C3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P1712C3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2CFEB9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3D8DDD3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65B77CA0" w14:textId="77777777" w:rsidTr="008619D1">
        <w:trPr>
          <w:trHeight w:val="269"/>
        </w:trPr>
        <w:tc>
          <w:tcPr>
            <w:tcW w:w="704" w:type="dxa"/>
          </w:tcPr>
          <w:p w14:paraId="08A8547F"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3.</w:t>
            </w:r>
          </w:p>
        </w:tc>
        <w:tc>
          <w:tcPr>
            <w:tcW w:w="1418" w:type="dxa"/>
          </w:tcPr>
          <w:p w14:paraId="3CBE459B"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Bernard</w:t>
            </w:r>
          </w:p>
        </w:tc>
        <w:tc>
          <w:tcPr>
            <w:tcW w:w="1339" w:type="dxa"/>
          </w:tcPr>
          <w:p w14:paraId="6A81315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1024DBC" wp14:editId="606D13AA">
                  <wp:extent cx="200025" cy="180975"/>
                  <wp:effectExtent l="0" t="0" r="9525" b="9525"/>
                  <wp:docPr id="110" name="Picture 110" descr="P1718C3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P1718C3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94F7F6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79D731E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3984FF3" wp14:editId="15400C66">
                  <wp:extent cx="200025" cy="180975"/>
                  <wp:effectExtent l="0" t="0" r="9525" b="9525"/>
                  <wp:docPr id="111" name="Picture 111" descr="P1720C4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P1720C4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FA1B665"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9DF0DF2"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4D26BACE"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552866D7" wp14:editId="09FE3261">
                  <wp:extent cx="200025" cy="180975"/>
                  <wp:effectExtent l="0" t="0" r="9525" b="9525"/>
                  <wp:docPr id="112" name="Picture 112" descr="P1723C4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P1723C4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1D94C0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7DF78C5" wp14:editId="53290CFC">
                  <wp:extent cx="200025" cy="180975"/>
                  <wp:effectExtent l="0" t="0" r="9525" b="9525"/>
                  <wp:docPr id="113" name="Picture 113" descr="P1724C4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P1724C4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8465E3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6E9859B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0C1E14EB" w14:textId="77777777" w:rsidTr="008619D1">
        <w:trPr>
          <w:trHeight w:val="269"/>
        </w:trPr>
        <w:tc>
          <w:tcPr>
            <w:tcW w:w="704" w:type="dxa"/>
          </w:tcPr>
          <w:p w14:paraId="4B3505BA"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4.</w:t>
            </w:r>
          </w:p>
        </w:tc>
        <w:tc>
          <w:tcPr>
            <w:tcW w:w="1418" w:type="dxa"/>
          </w:tcPr>
          <w:p w14:paraId="4C299739"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Bosede</w:t>
            </w:r>
          </w:p>
        </w:tc>
        <w:tc>
          <w:tcPr>
            <w:tcW w:w="1339" w:type="dxa"/>
          </w:tcPr>
          <w:p w14:paraId="729B39B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8E3FD48" wp14:editId="0D7895EA">
                  <wp:extent cx="200025" cy="180975"/>
                  <wp:effectExtent l="0" t="0" r="9525" b="9525"/>
                  <wp:docPr id="114" name="Picture 114" descr="P1730C5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P1730C5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801799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61BF4EB" wp14:editId="598FBD14">
                  <wp:extent cx="200025" cy="180975"/>
                  <wp:effectExtent l="0" t="0" r="9525" b="9525"/>
                  <wp:docPr id="115" name="Picture 115" descr="P1731C5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P1731C5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7BA38A5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4BFE6985"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7A22E55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27C5F6A8"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7A557CB5" wp14:editId="3C9E20CB">
                  <wp:extent cx="200025" cy="180975"/>
                  <wp:effectExtent l="0" t="0" r="9525" b="9525"/>
                  <wp:docPr id="116" name="Picture 116" descr="P1735C5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P1735C5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09444C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95CDB19" wp14:editId="1A4E0F46">
                  <wp:extent cx="200025" cy="180975"/>
                  <wp:effectExtent l="0" t="0" r="9525" b="9525"/>
                  <wp:docPr id="117" name="Picture 117" descr="P1736C5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P1736C5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320480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087859E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FACA4F4" wp14:editId="5D410B24">
                  <wp:extent cx="200025" cy="180975"/>
                  <wp:effectExtent l="0" t="0" r="9525" b="9525"/>
                  <wp:docPr id="118" name="Picture 118" descr="P1738C5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P1738C5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8619D1" w:rsidRPr="00D8089F" w14:paraId="0F7B4670" w14:textId="77777777" w:rsidTr="008619D1">
        <w:trPr>
          <w:trHeight w:val="269"/>
        </w:trPr>
        <w:tc>
          <w:tcPr>
            <w:tcW w:w="704" w:type="dxa"/>
          </w:tcPr>
          <w:p w14:paraId="79153A99"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5.</w:t>
            </w:r>
          </w:p>
        </w:tc>
        <w:tc>
          <w:tcPr>
            <w:tcW w:w="1418" w:type="dxa"/>
          </w:tcPr>
          <w:p w14:paraId="3E75FC37"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Cynthia</w:t>
            </w:r>
          </w:p>
        </w:tc>
        <w:tc>
          <w:tcPr>
            <w:tcW w:w="1339" w:type="dxa"/>
          </w:tcPr>
          <w:p w14:paraId="4F59ADD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3555080" wp14:editId="1AFE11F9">
                  <wp:extent cx="200025" cy="180975"/>
                  <wp:effectExtent l="0" t="0" r="9525" b="9525"/>
                  <wp:docPr id="119" name="Picture 119" descr="P1742C6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P1742C6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E6FAFA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0043E46" wp14:editId="5DD5BB79">
                  <wp:extent cx="200025" cy="180975"/>
                  <wp:effectExtent l="0" t="0" r="9525" b="9525"/>
                  <wp:docPr id="120" name="Picture 120" descr="P1743C6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P1743C6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DB1A41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02F179E0"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4DD4698"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6B860C10" wp14:editId="1089AC5D">
                  <wp:extent cx="200025" cy="180975"/>
                  <wp:effectExtent l="0" t="0" r="9525" b="9525"/>
                  <wp:docPr id="121" name="Picture 121" descr="P1746C6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P1746C6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7E9DBE3"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21A5537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CA62AA7" wp14:editId="5DBF0B5A">
                  <wp:extent cx="200025" cy="180975"/>
                  <wp:effectExtent l="0" t="0" r="9525" b="9525"/>
                  <wp:docPr id="122" name="Picture 122" descr="P1748C6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P1748C6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5E7F0B9D"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4AED5FA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642A72EA" w14:textId="77777777" w:rsidTr="008619D1">
        <w:trPr>
          <w:trHeight w:val="269"/>
        </w:trPr>
        <w:tc>
          <w:tcPr>
            <w:tcW w:w="704" w:type="dxa"/>
          </w:tcPr>
          <w:p w14:paraId="0749F615"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6.</w:t>
            </w:r>
          </w:p>
        </w:tc>
        <w:tc>
          <w:tcPr>
            <w:tcW w:w="1418" w:type="dxa"/>
          </w:tcPr>
          <w:p w14:paraId="3B722A5E"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Dankay</w:t>
            </w:r>
          </w:p>
        </w:tc>
        <w:tc>
          <w:tcPr>
            <w:tcW w:w="1339" w:type="dxa"/>
          </w:tcPr>
          <w:p w14:paraId="25D02E7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5236EDD" wp14:editId="3B60CEBB">
                  <wp:extent cx="200025" cy="180975"/>
                  <wp:effectExtent l="0" t="0" r="9525" b="9525"/>
                  <wp:docPr id="123" name="Picture 123" descr="P1754C7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P1754C7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E936EA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390924A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2ED02403"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2025EE9"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2FFFBFA0"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0BE7A97D" wp14:editId="515DD3CF">
                  <wp:extent cx="200025" cy="180975"/>
                  <wp:effectExtent l="0" t="0" r="9525" b="9525"/>
                  <wp:docPr id="124" name="Picture 124" descr="P1759C7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P1759C7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16732B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7939D45" wp14:editId="15051737">
                  <wp:extent cx="200025" cy="180975"/>
                  <wp:effectExtent l="0" t="0" r="9525" b="9525"/>
                  <wp:docPr id="125" name="Picture 125" descr="P1760C7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P1760C7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F10B1C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6E80F45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03D8B8C8" w14:textId="77777777" w:rsidTr="008619D1">
        <w:trPr>
          <w:trHeight w:val="269"/>
        </w:trPr>
        <w:tc>
          <w:tcPr>
            <w:tcW w:w="704" w:type="dxa"/>
          </w:tcPr>
          <w:p w14:paraId="4B875599"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7.</w:t>
            </w:r>
          </w:p>
        </w:tc>
        <w:tc>
          <w:tcPr>
            <w:tcW w:w="1418" w:type="dxa"/>
          </w:tcPr>
          <w:p w14:paraId="21EB9936"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Doris</w:t>
            </w:r>
          </w:p>
        </w:tc>
        <w:tc>
          <w:tcPr>
            <w:tcW w:w="1339" w:type="dxa"/>
          </w:tcPr>
          <w:p w14:paraId="6661832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F5866D4" wp14:editId="7D6DC8A6">
                  <wp:extent cx="200025" cy="180975"/>
                  <wp:effectExtent l="0" t="0" r="9525" b="9525"/>
                  <wp:docPr id="126" name="Picture 126" descr="P1766C8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P1766C8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5F18DD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7B78F66" wp14:editId="58052913">
                  <wp:extent cx="200025" cy="180975"/>
                  <wp:effectExtent l="0" t="0" r="9525" b="9525"/>
                  <wp:docPr id="127" name="Picture 127" descr="P1767C8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P1767C8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EDC4C8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905A2D4" wp14:editId="4844928E">
                  <wp:extent cx="200025" cy="180975"/>
                  <wp:effectExtent l="0" t="0" r="9525" b="9525"/>
                  <wp:docPr id="128" name="Picture 128" descr="P1768C8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P1768C8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4717AF7"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09B72EE0" wp14:editId="538E0052">
                  <wp:extent cx="200025" cy="180975"/>
                  <wp:effectExtent l="0" t="0" r="9525" b="9525"/>
                  <wp:docPr id="129" name="Picture 129" descr="P1769C8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P1769C8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508722FB"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6B55DB6F"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57D032E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9AF256E" wp14:editId="1F3BA60F">
                  <wp:extent cx="200025" cy="180975"/>
                  <wp:effectExtent l="0" t="0" r="9525" b="9525"/>
                  <wp:docPr id="130" name="Picture 130" descr="P1772C8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P1772C8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93C977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548B6CC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153FDBDC" w14:textId="77777777" w:rsidTr="008619D1">
        <w:trPr>
          <w:trHeight w:val="269"/>
        </w:trPr>
        <w:tc>
          <w:tcPr>
            <w:tcW w:w="704" w:type="dxa"/>
          </w:tcPr>
          <w:p w14:paraId="2C3583C2"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8.</w:t>
            </w:r>
          </w:p>
        </w:tc>
        <w:tc>
          <w:tcPr>
            <w:tcW w:w="1418" w:type="dxa"/>
          </w:tcPr>
          <w:p w14:paraId="1C0C7EAC"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Folashade</w:t>
            </w:r>
          </w:p>
        </w:tc>
        <w:tc>
          <w:tcPr>
            <w:tcW w:w="1339" w:type="dxa"/>
          </w:tcPr>
          <w:p w14:paraId="2664541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E5E50A9" wp14:editId="13493A9D">
                  <wp:extent cx="200025" cy="180975"/>
                  <wp:effectExtent l="0" t="0" r="9525" b="9525"/>
                  <wp:docPr id="131" name="Picture 131" descr="P1778C9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P1778C9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1FBCF3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644AA79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B5A5CFE" wp14:editId="54AE72CF">
                  <wp:extent cx="200025" cy="180975"/>
                  <wp:effectExtent l="0" t="0" r="9525" b="9525"/>
                  <wp:docPr id="132" name="Picture 132" descr="P1780C9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P1780C9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1F0CF21A"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4EB08E89"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437756D3" wp14:editId="544ABE82">
                  <wp:extent cx="200025" cy="180975"/>
                  <wp:effectExtent l="0" t="0" r="9525" b="9525"/>
                  <wp:docPr id="133" name="Picture 133" descr="P1782C9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P1782C9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6658F55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7DC9B13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27B639B" wp14:editId="62A91E1A">
                  <wp:extent cx="200025" cy="180975"/>
                  <wp:effectExtent l="0" t="0" r="9525" b="9525"/>
                  <wp:docPr id="134" name="Picture 134" descr="P1784C10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P1784C10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DA0B9A4"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CF4C1C3" wp14:editId="24BA020D">
                  <wp:extent cx="200025" cy="180975"/>
                  <wp:effectExtent l="0" t="0" r="9525" b="9525"/>
                  <wp:docPr id="135" name="Picture 135" descr="P1785C10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P1785C10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9FE8BA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74C2AE96" w14:textId="77777777" w:rsidTr="008619D1">
        <w:trPr>
          <w:trHeight w:val="269"/>
        </w:trPr>
        <w:tc>
          <w:tcPr>
            <w:tcW w:w="704" w:type="dxa"/>
          </w:tcPr>
          <w:p w14:paraId="4DE25320"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9.</w:t>
            </w:r>
          </w:p>
        </w:tc>
        <w:tc>
          <w:tcPr>
            <w:tcW w:w="1418" w:type="dxa"/>
          </w:tcPr>
          <w:p w14:paraId="7E9BC20C"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Jackie</w:t>
            </w:r>
          </w:p>
        </w:tc>
        <w:tc>
          <w:tcPr>
            <w:tcW w:w="1339" w:type="dxa"/>
          </w:tcPr>
          <w:p w14:paraId="387034E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EED66A5" wp14:editId="44878B14">
                  <wp:extent cx="200025" cy="180975"/>
                  <wp:effectExtent l="0" t="0" r="9525" b="9525"/>
                  <wp:docPr id="136" name="Picture 136" descr="P1790C10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P1790C10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3A9729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569D859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EEF4E84" wp14:editId="5DA3E608">
                  <wp:extent cx="200025" cy="180975"/>
                  <wp:effectExtent l="0" t="0" r="9525" b="9525"/>
                  <wp:docPr id="137" name="Picture 137" descr="P1792C10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P1792C10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41B9673"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61679F61"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5F5A31C4"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73BCB711" wp14:editId="29C7F22D">
                  <wp:extent cx="200025" cy="180975"/>
                  <wp:effectExtent l="0" t="0" r="9525" b="9525"/>
                  <wp:docPr id="138" name="Picture 138" descr="P1795C11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P1795C11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22340AC4"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6A26A82" wp14:editId="4FDCE5FA">
                  <wp:extent cx="200025" cy="180975"/>
                  <wp:effectExtent l="0" t="0" r="9525" b="9525"/>
                  <wp:docPr id="139" name="Picture 139" descr="P1796C11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P1796C11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18DBD8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86F7F42" wp14:editId="18720635">
                  <wp:extent cx="200025" cy="180975"/>
                  <wp:effectExtent l="0" t="0" r="9525" b="9525"/>
                  <wp:docPr id="140" name="Picture 140" descr="P1797C11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P1797C11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75AC799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3B7F5A3F" w14:textId="77777777" w:rsidTr="008619D1">
        <w:trPr>
          <w:trHeight w:val="269"/>
        </w:trPr>
        <w:tc>
          <w:tcPr>
            <w:tcW w:w="704" w:type="dxa"/>
          </w:tcPr>
          <w:p w14:paraId="6BB0AAFF"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10.</w:t>
            </w:r>
          </w:p>
        </w:tc>
        <w:tc>
          <w:tcPr>
            <w:tcW w:w="1418" w:type="dxa"/>
          </w:tcPr>
          <w:p w14:paraId="739CF83D"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Jane</w:t>
            </w:r>
          </w:p>
        </w:tc>
        <w:tc>
          <w:tcPr>
            <w:tcW w:w="1339" w:type="dxa"/>
          </w:tcPr>
          <w:p w14:paraId="67EC22E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964E310" wp14:editId="5E67C569">
                  <wp:extent cx="200025" cy="180975"/>
                  <wp:effectExtent l="0" t="0" r="9525" b="9525"/>
                  <wp:docPr id="141" name="Picture 141" descr="P1802C11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P1802C11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903398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E0D3CDD" wp14:editId="6CE4BD74">
                  <wp:extent cx="200025" cy="180975"/>
                  <wp:effectExtent l="0" t="0" r="9525" b="9525"/>
                  <wp:docPr id="142" name="Picture 142" descr="P1803C11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P1803C11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BC1D7F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1685F65F"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1E44FCCF" wp14:editId="57A359CE">
                  <wp:extent cx="200025" cy="180975"/>
                  <wp:effectExtent l="0" t="0" r="9525" b="9525"/>
                  <wp:docPr id="143" name="Picture 143" descr="P1805C11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P1805C11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2C49485F"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126A1E49"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C188BB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0B90E0D" wp14:editId="465CD6DF">
                  <wp:extent cx="200025" cy="180975"/>
                  <wp:effectExtent l="0" t="0" r="9525" b="9525"/>
                  <wp:docPr id="144" name="Picture 144" descr="P1808C12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P1808C12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24B4EA5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4B8EAC9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222FF5D0" w14:textId="77777777" w:rsidTr="008619D1">
        <w:trPr>
          <w:trHeight w:val="269"/>
        </w:trPr>
        <w:tc>
          <w:tcPr>
            <w:tcW w:w="704" w:type="dxa"/>
          </w:tcPr>
          <w:p w14:paraId="1FB5EA5F"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11.</w:t>
            </w:r>
          </w:p>
        </w:tc>
        <w:tc>
          <w:tcPr>
            <w:tcW w:w="1418" w:type="dxa"/>
          </w:tcPr>
          <w:p w14:paraId="20ECFCEE"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Jeff</w:t>
            </w:r>
          </w:p>
        </w:tc>
        <w:tc>
          <w:tcPr>
            <w:tcW w:w="1339" w:type="dxa"/>
          </w:tcPr>
          <w:p w14:paraId="3EAFF5B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7F71B98D"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2AC1428" wp14:editId="4E8E38FE">
                  <wp:extent cx="200025" cy="180975"/>
                  <wp:effectExtent l="0" t="0" r="9525" b="9525"/>
                  <wp:docPr id="145" name="Picture 145" descr="P1815C12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P1815C12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48E85B2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12D48DB" wp14:editId="0150D892">
                  <wp:extent cx="200025" cy="180975"/>
                  <wp:effectExtent l="0" t="0" r="9525" b="9525"/>
                  <wp:docPr id="146" name="Picture 146" descr="P1816C12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P1816C12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0818B4">
              <w:rPr>
                <w:rFonts w:ascii="Times New Roman" w:hAnsi="Times New Roman"/>
                <w:sz w:val="20"/>
                <w:szCs w:val="20"/>
              </w:rPr>
              <w:t>*</w:t>
            </w:r>
          </w:p>
        </w:tc>
        <w:tc>
          <w:tcPr>
            <w:tcW w:w="1339" w:type="dxa"/>
          </w:tcPr>
          <w:p w14:paraId="14FD7D4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5BBBB04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4A67A44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59118CE" wp14:editId="7A71606A">
                  <wp:extent cx="200025" cy="180975"/>
                  <wp:effectExtent l="0" t="0" r="9525" b="9525"/>
                  <wp:docPr id="147" name="Picture 147" descr="P1819C13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P1819C13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516595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456E29C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A8CB615" wp14:editId="333237B2">
                  <wp:extent cx="200025" cy="180975"/>
                  <wp:effectExtent l="0" t="0" r="9525" b="9525"/>
                  <wp:docPr id="148" name="Picture 148" descr="P1821C13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P1821C13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2E44D86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38D03FF8" w14:textId="77777777" w:rsidTr="008619D1">
        <w:trPr>
          <w:trHeight w:val="269"/>
        </w:trPr>
        <w:tc>
          <w:tcPr>
            <w:tcW w:w="704" w:type="dxa"/>
          </w:tcPr>
          <w:p w14:paraId="24F5FE16"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12.</w:t>
            </w:r>
          </w:p>
        </w:tc>
        <w:tc>
          <w:tcPr>
            <w:tcW w:w="1418" w:type="dxa"/>
          </w:tcPr>
          <w:p w14:paraId="0C215D73"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John</w:t>
            </w:r>
          </w:p>
        </w:tc>
        <w:tc>
          <w:tcPr>
            <w:tcW w:w="1339" w:type="dxa"/>
          </w:tcPr>
          <w:p w14:paraId="770AB4E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70CA0D1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126597E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88F6901" wp14:editId="20BC0DD4">
                  <wp:extent cx="200025" cy="180975"/>
                  <wp:effectExtent l="0" t="0" r="9525" b="9525"/>
                  <wp:docPr id="149" name="Picture 149" descr="P1828C14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P1828C14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0818B4">
              <w:rPr>
                <w:rFonts w:ascii="Times New Roman" w:hAnsi="Times New Roman"/>
                <w:sz w:val="20"/>
                <w:szCs w:val="20"/>
              </w:rPr>
              <w:t>*</w:t>
            </w:r>
          </w:p>
        </w:tc>
        <w:tc>
          <w:tcPr>
            <w:tcW w:w="1339" w:type="dxa"/>
          </w:tcPr>
          <w:p w14:paraId="5E8163B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24DA50E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665F3C7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96B35E9" wp14:editId="510018D0">
                  <wp:extent cx="200025" cy="180975"/>
                  <wp:effectExtent l="0" t="0" r="9525" b="9525"/>
                  <wp:docPr id="150" name="Picture 150" descr="P1831C14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P1831C14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EA0373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13730E7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BC4D65B" wp14:editId="19601F07">
                  <wp:extent cx="200025" cy="180975"/>
                  <wp:effectExtent l="0" t="0" r="9525" b="9525"/>
                  <wp:docPr id="151" name="Picture 151" descr="P1833C14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P1833C14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FFF1B8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18247D73" w14:textId="77777777" w:rsidTr="008619D1">
        <w:trPr>
          <w:trHeight w:val="269"/>
        </w:trPr>
        <w:tc>
          <w:tcPr>
            <w:tcW w:w="704" w:type="dxa"/>
          </w:tcPr>
          <w:p w14:paraId="2832E7D5"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13.</w:t>
            </w:r>
          </w:p>
        </w:tc>
        <w:tc>
          <w:tcPr>
            <w:tcW w:w="1418" w:type="dxa"/>
          </w:tcPr>
          <w:p w14:paraId="43F4AEF2"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Kate</w:t>
            </w:r>
          </w:p>
        </w:tc>
        <w:tc>
          <w:tcPr>
            <w:tcW w:w="1339" w:type="dxa"/>
          </w:tcPr>
          <w:p w14:paraId="1CE8483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7930B57" wp14:editId="7F26BA21">
                  <wp:extent cx="200025" cy="180975"/>
                  <wp:effectExtent l="0" t="0" r="9525" b="9525"/>
                  <wp:docPr id="152" name="Picture 152" descr="P1838C14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P1838C14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162738B4"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BBF86AB" wp14:editId="4D9DF934">
                  <wp:extent cx="200025" cy="180975"/>
                  <wp:effectExtent l="0" t="0" r="9525" b="9525"/>
                  <wp:docPr id="153" name="Picture 153" descr="P1839C15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P1839C15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79B7193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06E2ABD" wp14:editId="5D6A6F3F">
                  <wp:extent cx="200025" cy="180975"/>
                  <wp:effectExtent l="0" t="0" r="9525" b="9525"/>
                  <wp:docPr id="154" name="Picture 154" descr="P1840C15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P1840C15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0506726"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573AB4E1" wp14:editId="0239F249">
                  <wp:extent cx="200025" cy="180975"/>
                  <wp:effectExtent l="0" t="0" r="9525" b="9525"/>
                  <wp:docPr id="155" name="Picture 155" descr="P1841C15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P1841C15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2791C797"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1EA2BAD5"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63E6507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4108622" wp14:editId="08F66EE5">
                  <wp:extent cx="200025" cy="180975"/>
                  <wp:effectExtent l="0" t="0" r="9525" b="9525"/>
                  <wp:docPr id="156" name="Picture 156" descr="P1844C15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P1844C15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15AA1CA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108F58F" wp14:editId="7FC1709A">
                  <wp:extent cx="200025" cy="180975"/>
                  <wp:effectExtent l="0" t="0" r="9525" b="9525"/>
                  <wp:docPr id="157" name="Picture 157" descr="P1845C15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P1845C15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A1A25A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368D1A81" w14:textId="77777777" w:rsidTr="008619D1">
        <w:trPr>
          <w:trHeight w:val="269"/>
        </w:trPr>
        <w:tc>
          <w:tcPr>
            <w:tcW w:w="704" w:type="dxa"/>
          </w:tcPr>
          <w:p w14:paraId="4AED5435"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14.</w:t>
            </w:r>
          </w:p>
        </w:tc>
        <w:tc>
          <w:tcPr>
            <w:tcW w:w="1418" w:type="dxa"/>
          </w:tcPr>
          <w:p w14:paraId="0DC44E46" w14:textId="77777777" w:rsidR="008619D1" w:rsidRPr="000818B4" w:rsidRDefault="008619D1" w:rsidP="008619D1">
            <w:pPr>
              <w:spacing w:after="0" w:line="240" w:lineRule="auto"/>
              <w:rPr>
                <w:rFonts w:ascii="Times New Roman" w:hAnsi="Times New Roman"/>
                <w:sz w:val="20"/>
                <w:szCs w:val="20"/>
              </w:rPr>
            </w:pPr>
            <w:r w:rsidRPr="000818B4">
              <w:rPr>
                <w:rFonts w:ascii="Times New Roman" w:hAnsi="Times New Roman"/>
                <w:sz w:val="20"/>
                <w:szCs w:val="20"/>
              </w:rPr>
              <w:t>Kemdo</w:t>
            </w:r>
          </w:p>
        </w:tc>
        <w:tc>
          <w:tcPr>
            <w:tcW w:w="1339" w:type="dxa"/>
          </w:tcPr>
          <w:p w14:paraId="3EFB7ED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513CD1E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254E14D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B09AE6B" wp14:editId="7D751D0D">
                  <wp:extent cx="200025" cy="180975"/>
                  <wp:effectExtent l="0" t="0" r="9525" b="9525"/>
                  <wp:docPr id="158" name="Picture 158" descr="P1852C16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P1852C16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0818B4">
              <w:rPr>
                <w:rFonts w:ascii="Times New Roman" w:hAnsi="Times New Roman"/>
                <w:sz w:val="20"/>
                <w:szCs w:val="20"/>
              </w:rPr>
              <w:t>*</w:t>
            </w:r>
          </w:p>
        </w:tc>
        <w:tc>
          <w:tcPr>
            <w:tcW w:w="1339" w:type="dxa"/>
          </w:tcPr>
          <w:p w14:paraId="3F82483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0419EE4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71D5FFE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0E8884B" wp14:editId="43C14F6E">
                  <wp:extent cx="200025" cy="180975"/>
                  <wp:effectExtent l="0" t="0" r="9525" b="9525"/>
                  <wp:docPr id="159" name="Picture 159" descr="P1855C16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P1855C16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9C6A43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1496E2D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A1112EA" wp14:editId="2C0F80B0">
                  <wp:extent cx="200025" cy="180975"/>
                  <wp:effectExtent l="0" t="0" r="9525" b="9525"/>
                  <wp:docPr id="160" name="Picture 160" descr="P1857C16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P1857C16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7B884A0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9C8A611" wp14:editId="5197DAFA">
                  <wp:extent cx="200025" cy="180975"/>
                  <wp:effectExtent l="0" t="0" r="9525" b="9525"/>
                  <wp:docPr id="161" name="Picture 161" descr="P1858C16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P1858C16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8619D1" w:rsidRPr="00D8089F" w14:paraId="24B78FCB" w14:textId="77777777" w:rsidTr="008619D1">
        <w:trPr>
          <w:trHeight w:val="269"/>
        </w:trPr>
        <w:tc>
          <w:tcPr>
            <w:tcW w:w="704" w:type="dxa"/>
          </w:tcPr>
          <w:p w14:paraId="5E3E9B9B"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15.</w:t>
            </w:r>
          </w:p>
        </w:tc>
        <w:tc>
          <w:tcPr>
            <w:tcW w:w="1418" w:type="dxa"/>
          </w:tcPr>
          <w:p w14:paraId="22E473DC"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Miriam</w:t>
            </w:r>
          </w:p>
        </w:tc>
        <w:tc>
          <w:tcPr>
            <w:tcW w:w="1339" w:type="dxa"/>
          </w:tcPr>
          <w:p w14:paraId="313D7DA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9B88BE0" wp14:editId="47DAEF29">
                  <wp:extent cx="200025" cy="180975"/>
                  <wp:effectExtent l="0" t="0" r="9525" b="9525"/>
                  <wp:docPr id="162" name="Picture 162" descr="P1862C17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P1862C17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1F09B154"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515C91E" wp14:editId="1FD159D8">
                  <wp:extent cx="200025" cy="180975"/>
                  <wp:effectExtent l="0" t="0" r="9525" b="9525"/>
                  <wp:docPr id="163" name="Picture 163" descr="P1863C17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P1863C17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1E4B88F"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4E892602"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3D70740F" wp14:editId="1E212CF5">
                  <wp:extent cx="200025" cy="180975"/>
                  <wp:effectExtent l="0" t="0" r="9525" b="9525"/>
                  <wp:docPr id="164" name="Picture 164" descr="P1865C17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P1865C17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7E83EF51"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79C66DBF" wp14:editId="4C6D21CF">
                  <wp:extent cx="200025" cy="180975"/>
                  <wp:effectExtent l="0" t="0" r="9525" b="9525"/>
                  <wp:docPr id="165" name="Picture 165" descr="P1866C17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P1866C17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2680F967"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3CECAB6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1B6F1EC" wp14:editId="326B978B">
                  <wp:extent cx="200025" cy="180975"/>
                  <wp:effectExtent l="0" t="0" r="9525" b="9525"/>
                  <wp:docPr id="166" name="Picture 166" descr="P1868C17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P1868C17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5E775C3D"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4A17ACC" wp14:editId="21F0D301">
                  <wp:extent cx="200025" cy="180975"/>
                  <wp:effectExtent l="0" t="0" r="9525" b="9525"/>
                  <wp:docPr id="167" name="Picture 167" descr="P1869C17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P1869C17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241A6C4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00DD8AC3" w14:textId="77777777" w:rsidTr="008619D1">
        <w:trPr>
          <w:trHeight w:val="269"/>
        </w:trPr>
        <w:tc>
          <w:tcPr>
            <w:tcW w:w="704" w:type="dxa"/>
          </w:tcPr>
          <w:p w14:paraId="31142F98"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16.</w:t>
            </w:r>
          </w:p>
        </w:tc>
        <w:tc>
          <w:tcPr>
            <w:tcW w:w="1418" w:type="dxa"/>
          </w:tcPr>
          <w:p w14:paraId="6E72B3AE"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Morgan</w:t>
            </w:r>
          </w:p>
        </w:tc>
        <w:tc>
          <w:tcPr>
            <w:tcW w:w="1339" w:type="dxa"/>
          </w:tcPr>
          <w:p w14:paraId="416415C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EDBA09C" wp14:editId="3AAD52F2">
                  <wp:extent cx="200025" cy="180975"/>
                  <wp:effectExtent l="0" t="0" r="9525" b="9525"/>
                  <wp:docPr id="168" name="Picture 168" descr="P1874C18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P1874C18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7A3EE4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653D253" wp14:editId="78B88DC5">
                  <wp:extent cx="200025" cy="180975"/>
                  <wp:effectExtent l="0" t="0" r="9525" b="9525"/>
                  <wp:docPr id="169" name="Picture 169" descr="P1875C18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P1875C18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26F8C6C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B23B3AE" wp14:editId="03B0F075">
                  <wp:extent cx="200025" cy="180975"/>
                  <wp:effectExtent l="0" t="0" r="9525" b="9525"/>
                  <wp:docPr id="170" name="Picture 170" descr="P1876C18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P1876C18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0ED8CFE"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2446AC90"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36056E9A" wp14:editId="0970E955">
                  <wp:extent cx="200025" cy="180975"/>
                  <wp:effectExtent l="0" t="0" r="9525" b="9525"/>
                  <wp:docPr id="171" name="Picture 171" descr="P1878C18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P1878C18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4656E44F"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0E8175EE"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BB41E1F" wp14:editId="57F46699">
                  <wp:extent cx="200025" cy="180975"/>
                  <wp:effectExtent l="0" t="0" r="9525" b="9525"/>
                  <wp:docPr id="172" name="Picture 172" descr="P1880C18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P1880C18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1795ED07"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610E588" wp14:editId="61426619">
                  <wp:extent cx="200025" cy="180975"/>
                  <wp:effectExtent l="0" t="0" r="9525" b="9525"/>
                  <wp:docPr id="173" name="Picture 173" descr="P1881C18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P1881C18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6DB2D68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B53C92A" wp14:editId="6859224D">
                  <wp:extent cx="200025" cy="180975"/>
                  <wp:effectExtent l="0" t="0" r="9525" b="9525"/>
                  <wp:docPr id="174" name="Picture 174" descr="P1882C19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P1882C19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8619D1" w:rsidRPr="00D8089F" w14:paraId="4F260D8F" w14:textId="77777777" w:rsidTr="008619D1">
        <w:trPr>
          <w:trHeight w:val="269"/>
        </w:trPr>
        <w:tc>
          <w:tcPr>
            <w:tcW w:w="704" w:type="dxa"/>
          </w:tcPr>
          <w:p w14:paraId="4E20FC7B"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17.</w:t>
            </w:r>
          </w:p>
        </w:tc>
        <w:tc>
          <w:tcPr>
            <w:tcW w:w="1418" w:type="dxa"/>
          </w:tcPr>
          <w:p w14:paraId="6282E9E0"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Omolara</w:t>
            </w:r>
          </w:p>
        </w:tc>
        <w:tc>
          <w:tcPr>
            <w:tcW w:w="1339" w:type="dxa"/>
          </w:tcPr>
          <w:p w14:paraId="535330F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398A072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E85E034" wp14:editId="30F70AE0">
                  <wp:extent cx="200025" cy="180975"/>
                  <wp:effectExtent l="0" t="0" r="9525" b="9525"/>
                  <wp:docPr id="175" name="Picture 175" descr="P1887C19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P1887C19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7F40A54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0690101" wp14:editId="27583DBC">
                  <wp:extent cx="200025" cy="180975"/>
                  <wp:effectExtent l="0" t="0" r="9525" b="9525"/>
                  <wp:docPr id="176" name="Picture 176" descr="P1888C19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P1888C19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6E116D48"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2D9A50ED"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7F451BE0" wp14:editId="194B64A0">
                  <wp:extent cx="200025" cy="180975"/>
                  <wp:effectExtent l="0" t="0" r="9525" b="9525"/>
                  <wp:docPr id="177" name="Picture 177" descr="P1890C19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P1890C19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141F71F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15649AE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C601887" wp14:editId="0D99DB0C">
                  <wp:extent cx="200025" cy="180975"/>
                  <wp:effectExtent l="0" t="0" r="9525" b="9525"/>
                  <wp:docPr id="178" name="Picture 178" descr="P1892C19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P1892C19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F96646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5796CC3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1EDD9E93" w14:textId="77777777" w:rsidTr="008619D1">
        <w:trPr>
          <w:trHeight w:val="269"/>
        </w:trPr>
        <w:tc>
          <w:tcPr>
            <w:tcW w:w="704" w:type="dxa"/>
          </w:tcPr>
          <w:p w14:paraId="01E31925"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18.</w:t>
            </w:r>
          </w:p>
        </w:tc>
        <w:tc>
          <w:tcPr>
            <w:tcW w:w="1418" w:type="dxa"/>
          </w:tcPr>
          <w:p w14:paraId="00484D07"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Oscar</w:t>
            </w:r>
          </w:p>
        </w:tc>
        <w:tc>
          <w:tcPr>
            <w:tcW w:w="1339" w:type="dxa"/>
          </w:tcPr>
          <w:p w14:paraId="70BFBBF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2751354" wp14:editId="407371A8">
                  <wp:extent cx="200025" cy="180975"/>
                  <wp:effectExtent l="0" t="0" r="9525" b="9525"/>
                  <wp:docPr id="179" name="Picture 179" descr="P1898C20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P1898C20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699F87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7DC0257" wp14:editId="3E5281F2">
                  <wp:extent cx="200025" cy="180975"/>
                  <wp:effectExtent l="0" t="0" r="9525" b="9525"/>
                  <wp:docPr id="180" name="Picture 180" descr="P1899C20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P1899C20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BDCE64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7E4FFF8C" wp14:editId="5E0B8782">
                  <wp:extent cx="200025" cy="180975"/>
                  <wp:effectExtent l="0" t="0" r="9525" b="9525"/>
                  <wp:docPr id="181" name="Picture 181" descr="P1900C20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P1900C20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47B5330"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4A333C04"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7B5A648F" wp14:editId="55D0B616">
                  <wp:extent cx="200025" cy="180975"/>
                  <wp:effectExtent l="0" t="0" r="9525" b="9525"/>
                  <wp:docPr id="182" name="Picture 182" descr="P1902C208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P1902C208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2A924EA7"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49E03768"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2E658D0" wp14:editId="19E9EFD8">
                  <wp:extent cx="200025" cy="180975"/>
                  <wp:effectExtent l="0" t="0" r="9525" b="9525"/>
                  <wp:docPr id="183" name="Picture 183" descr="P1904C21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descr="P1904C21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9BA695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3EA2E180" wp14:editId="09B1AF8A">
                  <wp:extent cx="200025" cy="180975"/>
                  <wp:effectExtent l="0" t="0" r="9525" b="9525"/>
                  <wp:docPr id="184" name="Picture 184" descr="P1905C21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descr="P1905C21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F6849A2"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6F5B9D2A" w14:textId="77777777" w:rsidTr="008619D1">
        <w:trPr>
          <w:trHeight w:val="269"/>
        </w:trPr>
        <w:tc>
          <w:tcPr>
            <w:tcW w:w="704" w:type="dxa"/>
          </w:tcPr>
          <w:p w14:paraId="37193542"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19.</w:t>
            </w:r>
          </w:p>
        </w:tc>
        <w:tc>
          <w:tcPr>
            <w:tcW w:w="1418" w:type="dxa"/>
          </w:tcPr>
          <w:p w14:paraId="5D1D063B"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Paul</w:t>
            </w:r>
          </w:p>
        </w:tc>
        <w:tc>
          <w:tcPr>
            <w:tcW w:w="1339" w:type="dxa"/>
          </w:tcPr>
          <w:p w14:paraId="3D84FCC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0A7F1EA" wp14:editId="45F85B00">
                  <wp:extent cx="200025" cy="180975"/>
                  <wp:effectExtent l="0" t="0" r="9525" b="9525"/>
                  <wp:docPr id="185" name="Picture 185" descr="P1910C215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P1910C215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1E2DF2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679781C1"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3C7E34B" wp14:editId="0667A6D1">
                  <wp:extent cx="200025" cy="180975"/>
                  <wp:effectExtent l="0" t="0" r="9525" b="9525"/>
                  <wp:docPr id="186" name="Picture 186" descr="P1912C21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P1912C21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A59B7D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1EEF383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40" w:type="dxa"/>
          </w:tcPr>
          <w:p w14:paraId="5A4D09F2"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517748FC" wp14:editId="6837DA10">
                  <wp:extent cx="200025" cy="180975"/>
                  <wp:effectExtent l="0" t="0" r="9525" b="9525"/>
                  <wp:docPr id="187" name="Picture 187" descr="P1915C22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P1915C22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588372F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1B594F1" wp14:editId="6E1FC86D">
                  <wp:extent cx="200025" cy="180975"/>
                  <wp:effectExtent l="0" t="0" r="9525" b="9525"/>
                  <wp:docPr id="188" name="Picture 188" descr="P1916C22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P1916C22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5DD3BD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5458E67F" wp14:editId="718F7B5D">
                  <wp:extent cx="200025" cy="180975"/>
                  <wp:effectExtent l="0" t="0" r="9525" b="9525"/>
                  <wp:docPr id="189" name="Picture 189" descr="P1917C22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P1917C22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534DEBC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287C87D6" wp14:editId="4C73E9B1">
                  <wp:extent cx="200025" cy="180975"/>
                  <wp:effectExtent l="0" t="0" r="9525" b="9525"/>
                  <wp:docPr id="190" name="Picture 190" descr="P1918C22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P1918C22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8619D1" w:rsidRPr="00D8089F" w14:paraId="5530F6B7" w14:textId="77777777" w:rsidTr="008619D1">
        <w:trPr>
          <w:trHeight w:val="269"/>
        </w:trPr>
        <w:tc>
          <w:tcPr>
            <w:tcW w:w="704" w:type="dxa"/>
          </w:tcPr>
          <w:p w14:paraId="28A94CF8"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20.</w:t>
            </w:r>
          </w:p>
        </w:tc>
        <w:tc>
          <w:tcPr>
            <w:tcW w:w="1418" w:type="dxa"/>
          </w:tcPr>
          <w:p w14:paraId="01FA918D"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Robert</w:t>
            </w:r>
          </w:p>
        </w:tc>
        <w:tc>
          <w:tcPr>
            <w:tcW w:w="1339" w:type="dxa"/>
          </w:tcPr>
          <w:p w14:paraId="04AE7E5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5D91A0C" wp14:editId="44C903AB">
                  <wp:extent cx="200025" cy="180975"/>
                  <wp:effectExtent l="0" t="0" r="9525" b="9525"/>
                  <wp:docPr id="191" name="Picture 191" descr="P1922C226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descr="P1922C226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531278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E9E91A2" wp14:editId="5445DDE0">
                  <wp:extent cx="200025" cy="180975"/>
                  <wp:effectExtent l="0" t="0" r="9525" b="9525"/>
                  <wp:docPr id="192" name="Picture 192" descr="P1923C22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P1923C22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9C60355"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39" w:type="dxa"/>
          </w:tcPr>
          <w:p w14:paraId="7C7A9F4A"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175DB51E" wp14:editId="00F9F21B">
                  <wp:extent cx="200025" cy="180975"/>
                  <wp:effectExtent l="0" t="0" r="9525" b="9525"/>
                  <wp:docPr id="193" name="Picture 193" descr="P1925C22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P1925C22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073DE674"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0FC99DC0" wp14:editId="44B57B1C">
                  <wp:extent cx="200025" cy="180975"/>
                  <wp:effectExtent l="0" t="0" r="9525" b="9525"/>
                  <wp:docPr id="194" name="Picture 194" descr="P1926C230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P1926C230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6CBE9A53"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6733461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0140B489" wp14:editId="2A5A8EFD">
                  <wp:extent cx="200025" cy="180975"/>
                  <wp:effectExtent l="0" t="0" r="9525" b="9525"/>
                  <wp:docPr id="195" name="Picture 195" descr="P1928C232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P1928C232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5155FA3"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1002C44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r w:rsidR="008619D1" w:rsidRPr="00D8089F" w14:paraId="4298B552" w14:textId="77777777" w:rsidTr="008619D1">
        <w:trPr>
          <w:trHeight w:val="269"/>
        </w:trPr>
        <w:tc>
          <w:tcPr>
            <w:tcW w:w="704" w:type="dxa"/>
          </w:tcPr>
          <w:p w14:paraId="5275AE49"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21.</w:t>
            </w:r>
          </w:p>
        </w:tc>
        <w:tc>
          <w:tcPr>
            <w:tcW w:w="1418" w:type="dxa"/>
          </w:tcPr>
          <w:p w14:paraId="07ABFE44" w14:textId="77777777" w:rsidR="008619D1" w:rsidRPr="000818B4" w:rsidRDefault="008619D1" w:rsidP="008619D1">
            <w:pPr>
              <w:tabs>
                <w:tab w:val="left" w:pos="840"/>
              </w:tabs>
              <w:spacing w:after="0" w:line="240" w:lineRule="auto"/>
              <w:rPr>
                <w:rFonts w:ascii="Times New Roman" w:hAnsi="Times New Roman"/>
                <w:sz w:val="20"/>
                <w:szCs w:val="20"/>
              </w:rPr>
            </w:pPr>
            <w:r w:rsidRPr="000818B4">
              <w:rPr>
                <w:rFonts w:ascii="Times New Roman" w:hAnsi="Times New Roman"/>
                <w:sz w:val="20"/>
                <w:szCs w:val="20"/>
              </w:rPr>
              <w:t>Sharpiro</w:t>
            </w:r>
          </w:p>
        </w:tc>
        <w:tc>
          <w:tcPr>
            <w:tcW w:w="1339" w:type="dxa"/>
          </w:tcPr>
          <w:p w14:paraId="6C461EB6"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F2C419F" wp14:editId="0FDE6192">
                  <wp:extent cx="200025" cy="180975"/>
                  <wp:effectExtent l="0" t="0" r="9525" b="9525"/>
                  <wp:docPr id="196" name="Picture 196" descr="P1934C237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P1934C237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59152C2B"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c>
          <w:tcPr>
            <w:tcW w:w="1340" w:type="dxa"/>
          </w:tcPr>
          <w:p w14:paraId="1C4C57CC"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6151D004" wp14:editId="1AA60937">
                  <wp:extent cx="200025" cy="180975"/>
                  <wp:effectExtent l="0" t="0" r="9525" b="9525"/>
                  <wp:docPr id="197" name="Picture 197" descr="P1936C239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P1936C239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37D0EF59"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657AF2AF"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noProof/>
                <w:sz w:val="20"/>
                <w:szCs w:val="20"/>
              </w:rPr>
              <w:drawing>
                <wp:inline distT="0" distB="0" distL="0" distR="0" wp14:anchorId="6EBC3BB3" wp14:editId="464B2F1F">
                  <wp:extent cx="200025" cy="180975"/>
                  <wp:effectExtent l="0" t="0" r="9525" b="9525"/>
                  <wp:docPr id="198" name="Picture 198" descr="P1938C24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P1938C241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38BD1D1C" w14:textId="77777777" w:rsidR="008619D1" w:rsidRPr="000818B4" w:rsidRDefault="008619D1" w:rsidP="008619D1">
            <w:pPr>
              <w:spacing w:after="0" w:line="240" w:lineRule="auto"/>
              <w:jc w:val="center"/>
              <w:rPr>
                <w:rFonts w:ascii="Times New Roman" w:hAnsi="Times New Roman"/>
                <w:noProof/>
                <w:sz w:val="20"/>
                <w:szCs w:val="20"/>
              </w:rPr>
            </w:pPr>
            <w:r w:rsidRPr="000818B4">
              <w:rPr>
                <w:rFonts w:ascii="Times New Roman" w:hAnsi="Times New Roman"/>
                <w:sz w:val="20"/>
                <w:szCs w:val="20"/>
              </w:rPr>
              <w:t>-</w:t>
            </w:r>
          </w:p>
        </w:tc>
        <w:tc>
          <w:tcPr>
            <w:tcW w:w="1339" w:type="dxa"/>
          </w:tcPr>
          <w:p w14:paraId="4A128679"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4D5BA415" wp14:editId="4FB2A214">
                  <wp:extent cx="200025" cy="180975"/>
                  <wp:effectExtent l="0" t="0" r="9525" b="9525"/>
                  <wp:docPr id="199" name="Picture 199" descr="P1940C243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P1940C243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39" w:type="dxa"/>
          </w:tcPr>
          <w:p w14:paraId="43BDBEDA"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noProof/>
                <w:sz w:val="20"/>
                <w:szCs w:val="20"/>
              </w:rPr>
              <w:drawing>
                <wp:inline distT="0" distB="0" distL="0" distR="0" wp14:anchorId="1300BB0D" wp14:editId="1E1496C6">
                  <wp:extent cx="200025" cy="180975"/>
                  <wp:effectExtent l="0" t="0" r="9525" b="9525"/>
                  <wp:docPr id="200" name="Picture 200" descr="P1941C244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P1941C244T6#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40" w:type="dxa"/>
          </w:tcPr>
          <w:p w14:paraId="614F8470" w14:textId="77777777" w:rsidR="008619D1" w:rsidRPr="000818B4" w:rsidRDefault="008619D1" w:rsidP="008619D1">
            <w:pPr>
              <w:spacing w:after="0" w:line="240" w:lineRule="auto"/>
              <w:jc w:val="center"/>
              <w:rPr>
                <w:rFonts w:ascii="Times New Roman" w:hAnsi="Times New Roman"/>
                <w:sz w:val="20"/>
                <w:szCs w:val="20"/>
              </w:rPr>
            </w:pPr>
            <w:r w:rsidRPr="000818B4">
              <w:rPr>
                <w:rFonts w:ascii="Times New Roman" w:hAnsi="Times New Roman"/>
                <w:sz w:val="20"/>
                <w:szCs w:val="20"/>
              </w:rPr>
              <w:t>-</w:t>
            </w:r>
          </w:p>
        </w:tc>
      </w:tr>
    </w:tbl>
    <w:p w14:paraId="0E397F03" w14:textId="4752B85A" w:rsidR="000818B4" w:rsidRDefault="008619D1" w:rsidP="000818B4">
      <w:pPr>
        <w:spacing w:after="0"/>
        <w:rPr>
          <w:rFonts w:ascii="Times New Roman" w:hAnsi="Times New Roman"/>
          <w:b/>
          <w:bCs/>
          <w:sz w:val="20"/>
          <w:szCs w:val="20"/>
        </w:rPr>
      </w:pPr>
      <w:r w:rsidRPr="000818B4">
        <w:rPr>
          <w:rFonts w:ascii="Times New Roman" w:hAnsi="Times New Roman"/>
          <w:b/>
          <w:bCs/>
          <w:sz w:val="20"/>
          <w:szCs w:val="20"/>
        </w:rPr>
        <w:t>Table 8.1: Table showing participants</w:t>
      </w:r>
      <w:r w:rsidR="000706DF">
        <w:rPr>
          <w:rFonts w:ascii="Times New Roman" w:hAnsi="Times New Roman"/>
          <w:b/>
          <w:bCs/>
          <w:sz w:val="20"/>
          <w:szCs w:val="20"/>
        </w:rPr>
        <w:t>’</w:t>
      </w:r>
      <w:r w:rsidRPr="000818B4">
        <w:rPr>
          <w:rFonts w:ascii="Times New Roman" w:hAnsi="Times New Roman"/>
          <w:b/>
          <w:bCs/>
          <w:sz w:val="20"/>
          <w:szCs w:val="20"/>
        </w:rPr>
        <w:t xml:space="preserve"> motivation for caring, rewards they derive from caring and their previous care experiences</w:t>
      </w:r>
    </w:p>
    <w:p w14:paraId="60E1CB18" w14:textId="1B006235" w:rsidR="008861F2" w:rsidRPr="000818B4" w:rsidRDefault="000818B4" w:rsidP="000818B4">
      <w:pPr>
        <w:spacing w:after="0"/>
        <w:rPr>
          <w:rFonts w:ascii="Times New Roman" w:hAnsi="Times New Roman"/>
          <w:sz w:val="20"/>
          <w:szCs w:val="20"/>
        </w:rPr>
        <w:sectPr w:rsidR="008861F2" w:rsidRPr="000818B4" w:rsidSect="00110D28">
          <w:pgSz w:w="16838" w:h="11906" w:orient="landscape"/>
          <w:pgMar w:top="567" w:right="1440" w:bottom="284" w:left="1440" w:header="709" w:footer="709" w:gutter="0"/>
          <w:cols w:space="708"/>
          <w:docGrid w:linePitch="360"/>
        </w:sectPr>
      </w:pPr>
      <w:r w:rsidRPr="000818B4">
        <w:rPr>
          <w:rFonts w:ascii="Times New Roman" w:hAnsi="Times New Roman"/>
          <w:sz w:val="20"/>
          <w:szCs w:val="20"/>
        </w:rPr>
        <w:t xml:space="preserve"> * - </w:t>
      </w:r>
      <w:r w:rsidR="009D2737">
        <w:rPr>
          <w:rFonts w:ascii="Times New Roman" w:hAnsi="Times New Roman"/>
          <w:sz w:val="20"/>
          <w:szCs w:val="20"/>
        </w:rPr>
        <w:t xml:space="preserve">indicates participants who were </w:t>
      </w:r>
      <w:r w:rsidRPr="000818B4">
        <w:rPr>
          <w:rFonts w:ascii="Times New Roman" w:hAnsi="Times New Roman"/>
          <w:sz w:val="20"/>
          <w:szCs w:val="20"/>
        </w:rPr>
        <w:t>solely motivated to care because of the monetary rewards accrued the role.</w:t>
      </w:r>
    </w:p>
    <w:p w14:paraId="5139438A" w14:textId="77777777" w:rsidR="008861F2" w:rsidRPr="00D8089F" w:rsidRDefault="008861F2" w:rsidP="008861F2">
      <w:pPr>
        <w:jc w:val="both"/>
        <w:rPr>
          <w:rFonts w:ascii="Times New Roman" w:hAnsi="Times New Roman"/>
          <w:szCs w:val="24"/>
        </w:rPr>
      </w:pPr>
      <w:r w:rsidRPr="00D8089F">
        <w:rPr>
          <w:rFonts w:ascii="Times New Roman" w:hAnsi="Times New Roman"/>
          <w:szCs w:val="24"/>
        </w:rPr>
        <w:lastRenderedPageBreak/>
        <w:t>Moral (or emotional) motivation for caring refers to participants assuming the role because of their altruistic attachment to it</w:t>
      </w:r>
      <w:r>
        <w:rPr>
          <w:rFonts w:ascii="Times New Roman" w:hAnsi="Times New Roman"/>
          <w:szCs w:val="24"/>
        </w:rPr>
        <w:t>, w</w:t>
      </w:r>
      <w:r w:rsidRPr="00D8089F">
        <w:rPr>
          <w:rFonts w:ascii="Times New Roman" w:hAnsi="Times New Roman"/>
          <w:szCs w:val="24"/>
        </w:rPr>
        <w:t xml:space="preserve">hereas career-oriented motivation </w:t>
      </w:r>
      <w:r>
        <w:rPr>
          <w:rFonts w:ascii="Times New Roman" w:hAnsi="Times New Roman"/>
          <w:szCs w:val="24"/>
        </w:rPr>
        <w:t xml:space="preserve">for caring comprises of </w:t>
      </w:r>
      <w:r w:rsidRPr="00D8089F">
        <w:rPr>
          <w:rFonts w:ascii="Times New Roman" w:hAnsi="Times New Roman"/>
          <w:szCs w:val="24"/>
        </w:rPr>
        <w:t xml:space="preserve">participants </w:t>
      </w:r>
      <w:r>
        <w:rPr>
          <w:rFonts w:ascii="Times New Roman" w:hAnsi="Times New Roman"/>
          <w:szCs w:val="24"/>
        </w:rPr>
        <w:t xml:space="preserve">who </w:t>
      </w:r>
      <w:r w:rsidRPr="00D8089F">
        <w:rPr>
          <w:rFonts w:ascii="Times New Roman" w:hAnsi="Times New Roman"/>
          <w:szCs w:val="24"/>
        </w:rPr>
        <w:t>consider their working as a HCA for PLWD as a means to an end, in furtherance of their long-term career goal. Lastly, needs-based (or necessity-defined) motivation covers motivations based on the extrinsic rewards attached to the role. This includes financial motivation which encompasses motivation based solely on monetary incentives or other material gains. As indicated in the literature review (see chapter 3), these three broad motives fall under the two main categories of motivation, viz: intrinsic and extrinsic motivation. In the following section, the findings are presented under these three broad categories.</w:t>
      </w:r>
    </w:p>
    <w:p w14:paraId="1CE0ED96" w14:textId="77777777" w:rsidR="008861F2" w:rsidRPr="00F24F29" w:rsidRDefault="008861F2" w:rsidP="006869A3">
      <w:pPr>
        <w:pStyle w:val="Heading3"/>
        <w:rPr>
          <w:u w:val="single"/>
        </w:rPr>
      </w:pPr>
      <w:bookmarkStart w:id="186" w:name="_Toc86417366"/>
      <w:r w:rsidRPr="00F24F29">
        <w:t>8.2.1. Moral motivation</w:t>
      </w:r>
      <w:bookmarkEnd w:id="186"/>
    </w:p>
    <w:p w14:paraId="7C074EE8" w14:textId="77777777" w:rsidR="008861F2" w:rsidRPr="00F24F29" w:rsidRDefault="008861F2" w:rsidP="008861F2">
      <w:pPr>
        <w:jc w:val="both"/>
        <w:rPr>
          <w:rFonts w:ascii="Times New Roman" w:hAnsi="Times New Roman"/>
          <w:szCs w:val="24"/>
        </w:rPr>
      </w:pPr>
      <w:r w:rsidRPr="00F24F29">
        <w:rPr>
          <w:rFonts w:ascii="Times New Roman" w:hAnsi="Times New Roman"/>
          <w:szCs w:val="24"/>
        </w:rPr>
        <w:t xml:space="preserve">Most of my participants (n=16) considered ‘passion for the job’ as the key motivating factor for assuming and working in paid care in the UK. However, it is noteworthy that while some (n=5) of them described their passion for the job with particular reference to their experience of working as nurses in Nigeria, six of them related their passion for the job to their previous experience of providing unpaid care and ‘moral values’ consistent with their religious or cultural beliefs. Those who had previously worked as nurses expressed their love for caring for people. </w:t>
      </w:r>
    </w:p>
    <w:p w14:paraId="3F6B1C0F" w14:textId="6D14B2B5" w:rsidR="008861F2" w:rsidRPr="00F24F29" w:rsidRDefault="008861F2" w:rsidP="008861F2">
      <w:pPr>
        <w:jc w:val="both"/>
        <w:rPr>
          <w:rFonts w:ascii="Times New Roman" w:hAnsi="Times New Roman"/>
          <w:szCs w:val="24"/>
        </w:rPr>
      </w:pPr>
      <w:r w:rsidRPr="00F24F29">
        <w:rPr>
          <w:rFonts w:ascii="Times New Roman" w:hAnsi="Times New Roman"/>
          <w:szCs w:val="24"/>
        </w:rPr>
        <w:t xml:space="preserve">For example, Robert, a </w:t>
      </w:r>
      <w:r w:rsidR="00203054" w:rsidRPr="00F24F29">
        <w:rPr>
          <w:rFonts w:ascii="Times New Roman" w:hAnsi="Times New Roman"/>
          <w:szCs w:val="24"/>
        </w:rPr>
        <w:t>31-year-old</w:t>
      </w:r>
      <w:r w:rsidRPr="00F24F29">
        <w:rPr>
          <w:rFonts w:ascii="Times New Roman" w:hAnsi="Times New Roman"/>
          <w:szCs w:val="24"/>
        </w:rPr>
        <w:t xml:space="preserve"> HCA who worked </w:t>
      </w:r>
      <w:r w:rsidR="00203054">
        <w:rPr>
          <w:rFonts w:ascii="Times New Roman" w:hAnsi="Times New Roman"/>
          <w:szCs w:val="24"/>
        </w:rPr>
        <w:t xml:space="preserve">as a qualified general and mental health nurse in Nigeria </w:t>
      </w:r>
      <w:r w:rsidRPr="00F24F29">
        <w:rPr>
          <w:rFonts w:ascii="Times New Roman" w:hAnsi="Times New Roman"/>
          <w:szCs w:val="24"/>
        </w:rPr>
        <w:t>for at least two years, stated:</w:t>
      </w:r>
    </w:p>
    <w:p w14:paraId="0B203602" w14:textId="77777777" w:rsidR="008861F2" w:rsidRPr="00F24F29" w:rsidRDefault="008861F2" w:rsidP="008861F2">
      <w:pPr>
        <w:jc w:val="both"/>
        <w:rPr>
          <w:rFonts w:ascii="Times New Roman" w:hAnsi="Times New Roman"/>
          <w:szCs w:val="24"/>
        </w:rPr>
      </w:pPr>
      <w:r w:rsidRPr="00F24F29">
        <w:rPr>
          <w:rFonts w:ascii="Times New Roman" w:hAnsi="Times New Roman"/>
          <w:szCs w:val="24"/>
        </w:rPr>
        <w:t>“</w:t>
      </w:r>
      <w:r w:rsidRPr="00F24F29">
        <w:rPr>
          <w:rFonts w:ascii="Times New Roman" w:hAnsi="Times New Roman"/>
          <w:i/>
          <w:szCs w:val="24"/>
        </w:rPr>
        <w:t>I have just one word for you, it’s called passion…. So, it like, I’m attached to the field [health care], I have passion for it. So that’s… the reason I choose to do health duty</w:t>
      </w:r>
      <w:r w:rsidRPr="00F24F29">
        <w:rPr>
          <w:rFonts w:ascii="Times New Roman" w:hAnsi="Times New Roman"/>
          <w:szCs w:val="24"/>
        </w:rPr>
        <w:t>” (Robert, HCA)</w:t>
      </w:r>
    </w:p>
    <w:p w14:paraId="6DC493EF" w14:textId="77777777" w:rsidR="008861F2" w:rsidRPr="00F24F29" w:rsidRDefault="008861F2" w:rsidP="008861F2">
      <w:pPr>
        <w:jc w:val="both"/>
        <w:rPr>
          <w:rFonts w:ascii="Times New Roman" w:hAnsi="Times New Roman"/>
          <w:szCs w:val="24"/>
        </w:rPr>
      </w:pPr>
      <w:r w:rsidRPr="00F24F29">
        <w:rPr>
          <w:rFonts w:ascii="Times New Roman" w:hAnsi="Times New Roman"/>
          <w:szCs w:val="24"/>
        </w:rPr>
        <w:t>Robert related his passion for working as HCA</w:t>
      </w:r>
      <w:r>
        <w:rPr>
          <w:rFonts w:ascii="Times New Roman" w:hAnsi="Times New Roman"/>
          <w:szCs w:val="24"/>
        </w:rPr>
        <w:t xml:space="preserve"> </w:t>
      </w:r>
      <w:r w:rsidRPr="00F24F29">
        <w:rPr>
          <w:rFonts w:ascii="Times New Roman" w:hAnsi="Times New Roman"/>
          <w:szCs w:val="24"/>
        </w:rPr>
        <w:t xml:space="preserve">and his attachment to the healthcare profession </w:t>
      </w:r>
      <w:r>
        <w:rPr>
          <w:rFonts w:ascii="Times New Roman" w:hAnsi="Times New Roman"/>
          <w:szCs w:val="24"/>
        </w:rPr>
        <w:t>to</w:t>
      </w:r>
      <w:r w:rsidRPr="00F24F29">
        <w:rPr>
          <w:rFonts w:ascii="Times New Roman" w:hAnsi="Times New Roman"/>
          <w:szCs w:val="24"/>
        </w:rPr>
        <w:t xml:space="preserve"> his previous job, working as a nurse in Nigeria. Although having passion for caring may not be solely attributed to my participants’ previous role as nurses, other authors such as Usher </w:t>
      </w:r>
      <w:r w:rsidRPr="00432E10">
        <w:rPr>
          <w:rFonts w:ascii="Times New Roman" w:hAnsi="Times New Roman"/>
          <w:i/>
          <w:iCs/>
          <w:szCs w:val="24"/>
        </w:rPr>
        <w:t>et al.</w:t>
      </w:r>
      <w:r w:rsidRPr="00F24F29">
        <w:rPr>
          <w:rFonts w:ascii="Times New Roman" w:hAnsi="Times New Roman"/>
          <w:szCs w:val="24"/>
        </w:rPr>
        <w:t xml:space="preserve"> (2013) and Marcinowicz </w:t>
      </w:r>
      <w:r w:rsidRPr="00432E10">
        <w:rPr>
          <w:rFonts w:ascii="Times New Roman" w:hAnsi="Times New Roman"/>
          <w:i/>
          <w:iCs/>
          <w:szCs w:val="24"/>
        </w:rPr>
        <w:t>et al.</w:t>
      </w:r>
      <w:r w:rsidRPr="00F24F29">
        <w:rPr>
          <w:rFonts w:ascii="Times New Roman" w:hAnsi="Times New Roman"/>
          <w:szCs w:val="24"/>
        </w:rPr>
        <w:t xml:space="preserve"> (2016) found that most people who chose nursing as a career did so because of their ‘desire to help others’. </w:t>
      </w:r>
      <w:r w:rsidRPr="00F24F29">
        <w:rPr>
          <w:rFonts w:ascii="Times New Roman" w:hAnsi="Times New Roman"/>
          <w:szCs w:val="24"/>
        </w:rPr>
        <w:lastRenderedPageBreak/>
        <w:t xml:space="preserve">Robert’s passion to work as HCA derives from his professional calling as a nurse even though he was yet to complete the adaptation programme that would enable him work as a registered nurse in the UK. </w:t>
      </w:r>
    </w:p>
    <w:p w14:paraId="296C3448"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Apart from Robert, other HCAs</w:t>
      </w:r>
      <w:r w:rsidRPr="00871034">
        <w:rPr>
          <w:rFonts w:ascii="Times New Roman" w:hAnsi="Times New Roman"/>
          <w:szCs w:val="24"/>
        </w:rPr>
        <w:t xml:space="preserve"> such as Doris, Jane, Miriam and Kate, who were </w:t>
      </w:r>
      <w:r w:rsidRPr="00761FE4">
        <w:rPr>
          <w:rFonts w:ascii="Times New Roman" w:hAnsi="Times New Roman"/>
          <w:szCs w:val="24"/>
        </w:rPr>
        <w:t>also qualified general nurses in Nigeria, also described their main reasons for assuming the HCA role. For example, Doris</w:t>
      </w:r>
      <w:r w:rsidRPr="000852D7">
        <w:rPr>
          <w:rFonts w:ascii="Times New Roman" w:hAnsi="Times New Roman"/>
          <w:szCs w:val="24"/>
        </w:rPr>
        <w:t xml:space="preserve"> </w:t>
      </w:r>
      <w:r w:rsidRPr="004D386B">
        <w:rPr>
          <w:rFonts w:ascii="Times New Roman" w:hAnsi="Times New Roman"/>
          <w:szCs w:val="24"/>
        </w:rPr>
        <w:t>noted that:</w:t>
      </w:r>
    </w:p>
    <w:p w14:paraId="371E7CC2"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being passionate about it is rewarding in the sense that you will be able to, at least, sometimes you put smiles on their face and that is, that is rewarding</w:t>
      </w:r>
      <w:r w:rsidRPr="004D386B">
        <w:rPr>
          <w:rFonts w:ascii="Times New Roman" w:hAnsi="Times New Roman"/>
          <w:szCs w:val="24"/>
        </w:rPr>
        <w:t>” (Doris, HCA)</w:t>
      </w:r>
    </w:p>
    <w:p w14:paraId="27A4E6B6" w14:textId="7BCDDBCB"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Like Robert, Doris, a </w:t>
      </w:r>
      <w:r w:rsidR="00203054" w:rsidRPr="004D386B">
        <w:rPr>
          <w:rFonts w:ascii="Times New Roman" w:hAnsi="Times New Roman"/>
          <w:szCs w:val="24"/>
        </w:rPr>
        <w:t>28-year-old</w:t>
      </w:r>
      <w:r w:rsidRPr="004D386B">
        <w:rPr>
          <w:rFonts w:ascii="Times New Roman" w:hAnsi="Times New Roman"/>
          <w:szCs w:val="24"/>
        </w:rPr>
        <w:t xml:space="preserve"> HCA, had passion for the role due to her previous experience of working as a nurse in Nigeria. This is interesting because </w:t>
      </w:r>
      <w:r w:rsidR="00203054" w:rsidRPr="004D386B">
        <w:rPr>
          <w:rFonts w:ascii="Times New Roman" w:hAnsi="Times New Roman"/>
          <w:szCs w:val="24"/>
        </w:rPr>
        <w:t>even though</w:t>
      </w:r>
      <w:r w:rsidRPr="0047140D">
        <w:rPr>
          <w:rFonts w:ascii="Times New Roman" w:hAnsi="Times New Roman"/>
          <w:szCs w:val="24"/>
        </w:rPr>
        <w:t xml:space="preserve"> working as HCA </w:t>
      </w:r>
      <w:r>
        <w:rPr>
          <w:rFonts w:ascii="Times New Roman" w:hAnsi="Times New Roman"/>
          <w:szCs w:val="24"/>
        </w:rPr>
        <w:t xml:space="preserve">is </w:t>
      </w:r>
      <w:r w:rsidRPr="0047140D">
        <w:rPr>
          <w:rFonts w:ascii="Times New Roman" w:hAnsi="Times New Roman"/>
          <w:szCs w:val="24"/>
        </w:rPr>
        <w:t xml:space="preserve">often construed as a low status and low paid job, my participants who previously had higher professional status, chose to </w:t>
      </w:r>
      <w:r w:rsidRPr="00BA69D4">
        <w:rPr>
          <w:rFonts w:ascii="Times New Roman" w:hAnsi="Times New Roman"/>
          <w:szCs w:val="24"/>
        </w:rPr>
        <w:t>work as HCAs</w:t>
      </w:r>
      <w:r w:rsidRPr="00761FE4">
        <w:rPr>
          <w:rFonts w:ascii="Times New Roman" w:hAnsi="Times New Roman"/>
          <w:szCs w:val="24"/>
        </w:rPr>
        <w:t xml:space="preserve"> because of their passion for the job. It is however also worth noting that like Robert, these Nigerian-trained nurses who were currently working as HCA were yet to complete their professional adaptation to enable them work as registered nurses in the UK. Moreover, Miriam (another Nigerian-trained nurse working as HCA), made it clear that if she did not have the opportunity to work</w:t>
      </w:r>
      <w:r w:rsidRPr="000852D7">
        <w:rPr>
          <w:rFonts w:ascii="Times New Roman" w:hAnsi="Times New Roman"/>
          <w:szCs w:val="24"/>
        </w:rPr>
        <w:t xml:space="preserve"> in care as HCA, in a paid capacity, she would have </w:t>
      </w:r>
      <w:r w:rsidRPr="004D386B">
        <w:rPr>
          <w:rFonts w:ascii="Times New Roman" w:hAnsi="Times New Roman"/>
          <w:szCs w:val="24"/>
        </w:rPr>
        <w:t>volunteered to help in any capacity in the hospital because of her desire to care. She stated that:</w:t>
      </w:r>
    </w:p>
    <w:p w14:paraId="7C338B7C"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w:t>
      </w:r>
      <w:r w:rsidRPr="004D386B">
        <w:rPr>
          <w:rFonts w:ascii="Times New Roman" w:hAnsi="Times New Roman"/>
          <w:szCs w:val="24"/>
        </w:rPr>
        <w:t xml:space="preserve"> [I] </w:t>
      </w:r>
      <w:r w:rsidRPr="004D386B">
        <w:rPr>
          <w:rFonts w:ascii="Times New Roman" w:hAnsi="Times New Roman"/>
          <w:i/>
          <w:szCs w:val="24"/>
        </w:rPr>
        <w:t>would have considered still working as a volunteer in a hospital or something because I’m more keen into the care, yes. … my family members have been sick […..], I … helped them with… feeding,… standing up,… to toilet, to bath, personal care, everything. I have been doing that before I even got into nursing. So, it has been part of me.</w:t>
      </w:r>
      <w:r w:rsidRPr="004D386B">
        <w:rPr>
          <w:rFonts w:ascii="Times New Roman" w:hAnsi="Times New Roman"/>
          <w:szCs w:val="24"/>
        </w:rPr>
        <w:t>” (Miriam, HCA)</w:t>
      </w:r>
    </w:p>
    <w:p w14:paraId="607B1D2A"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For Miriam, her passion for nursing and caring for others predate her nurse training, which she attributed to a natural desire to care. Being compassionate is one of the criteria employers seek in individuals who want to work in care, which other authors have highlighted as people’s attachment to the caring professions. For example, one </w:t>
      </w:r>
      <w:r w:rsidRPr="004D386B">
        <w:rPr>
          <w:rFonts w:ascii="Times New Roman" w:hAnsi="Times New Roman"/>
          <w:szCs w:val="24"/>
        </w:rPr>
        <w:lastRenderedPageBreak/>
        <w:t xml:space="preserve">study by Lindquist </w:t>
      </w:r>
      <w:r w:rsidRPr="00432E10">
        <w:rPr>
          <w:rFonts w:ascii="Times New Roman" w:hAnsi="Times New Roman"/>
          <w:i/>
          <w:iCs/>
          <w:szCs w:val="24"/>
        </w:rPr>
        <w:t>et al.</w:t>
      </w:r>
      <w:r w:rsidRPr="004D386B">
        <w:rPr>
          <w:rFonts w:ascii="Times New Roman" w:hAnsi="Times New Roman"/>
          <w:szCs w:val="24"/>
        </w:rPr>
        <w:t xml:space="preserve"> (2012) which sought to understand the motivation of paid carers of older adults surveyed 98 paid carers. They found that most of the carers surveyed (60.7%) chose the role because they love to be with older adults. Although, no participant in my study particularly cited ‘care for older people’ as the source of their passion, it is of interest that ‘passion to care for people’ was, for most (n=16) of the participants their main motivation for working as HCAs. Therefore, it might be inferred that working as a nurse in Nigeria helped some of my participants develop the passion to work as HCA in the UK. </w:t>
      </w:r>
    </w:p>
    <w:p w14:paraId="6E1ABDAE"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Furthermore, another point to note is that some (n=6) of the participants developed the passion to care from their experience of working as informal carers in Nigeria or volunteers in a care setting in the UK, even though this was not necessarily their sole motivation for taking up care work. For example, further exploring the motivation of Dankay and Cynthia who are both UK-trained nurses (and has previously worked as HCAs), revealed that their passion to caring was not something they would regard as innate, rather, it was what they grew into. For Dankay, his love for caring for older adults became a motivation to continue to work in the healthcare profession in the long term only after he began to work as HCA. Now in his late 40s, he described how he started out as a 16-year-old, first as a volunteer and then as paid carer. He noted:</w:t>
      </w:r>
    </w:p>
    <w:p w14:paraId="12EBABDB"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I started [working] with [people with] dementia, so I grew in love with it because that was my mum’s area [of specialty], so I didn’t know anything in healthcare apart from dementia […..] I just know I’m helping these older adults out. Then we started getting paid for it….</w:t>
      </w:r>
      <w:r w:rsidRPr="004D386B">
        <w:rPr>
          <w:rFonts w:ascii="Times New Roman" w:hAnsi="Times New Roman"/>
          <w:szCs w:val="24"/>
        </w:rPr>
        <w:t>” (Dankay, RMN)</w:t>
      </w:r>
    </w:p>
    <w:p w14:paraId="762CBCE8"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Dankay developed passion for the job after he had worked as a volunteer in a care home managed by his mother at the time. Cynthia who cared for her grandmother with symptoms of dementia long before she came to understand what dementia was, also volunteered to work as HCA when she came into the UK</w:t>
      </w:r>
      <w:r>
        <w:rPr>
          <w:rFonts w:ascii="Times New Roman" w:hAnsi="Times New Roman"/>
          <w:szCs w:val="24"/>
        </w:rPr>
        <w:t>,</w:t>
      </w:r>
      <w:r w:rsidRPr="004D386B">
        <w:rPr>
          <w:rFonts w:ascii="Times New Roman" w:hAnsi="Times New Roman"/>
          <w:szCs w:val="24"/>
        </w:rPr>
        <w:t xml:space="preserve"> and she spoke of her volunteering experience as what made her passionate about care for older adults. She stated that:</w:t>
      </w:r>
    </w:p>
    <w:p w14:paraId="2D581402"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lastRenderedPageBreak/>
        <w:t>“</w:t>
      </w:r>
      <w:r w:rsidRPr="004D386B">
        <w:rPr>
          <w:rFonts w:ascii="Times New Roman" w:hAnsi="Times New Roman"/>
          <w:i/>
          <w:szCs w:val="24"/>
        </w:rPr>
        <w:t>I was just a voluntary person coming to do a little bit of assistance here and there, so it was fun then, I got to understand so much about dementia and I think that was where the interest came from. Looking back at my grandmother who I was looking after [in Nigeria] […..] I didn’t quite understand the gravity of what we took for granted</w:t>
      </w:r>
      <w:r w:rsidRPr="004D386B">
        <w:rPr>
          <w:rFonts w:ascii="Times New Roman" w:hAnsi="Times New Roman"/>
          <w:szCs w:val="24"/>
        </w:rPr>
        <w:t>” (Cynthia, RMN)</w:t>
      </w:r>
    </w:p>
    <w:p w14:paraId="270450CB"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Apart from her volunteering experience, Cynthia related her interest and passion for care to the time she cared for her grandmother. Hence, the experience of working as HCA and the moral motivation to assume caring role shows a similar pattern, that is, people may be motivated to care for older adults from undertaking previous unpaid care work. For example, Adams, an HCA who worked as a sociologist in Nigeria, stated that he was drawn to work as HCA in the UK when he understood what dementia was:</w:t>
      </w:r>
    </w:p>
    <w:p w14:paraId="6B9C3AD5"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With the knowledge now and my previous knowledge then if they are match together, there is so much empathy in me, so much compassion in me. Because I had a first contact with them [people with dementia] back then I didn’t know what it was, now I’ve been educated, now I have knowledge, now I know what it is….</w:t>
      </w:r>
      <w:r w:rsidRPr="004D386B">
        <w:rPr>
          <w:rFonts w:ascii="Times New Roman" w:hAnsi="Times New Roman"/>
          <w:szCs w:val="24"/>
        </w:rPr>
        <w:t>” (Adam, HCA)</w:t>
      </w:r>
    </w:p>
    <w:p w14:paraId="6389FB55"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However, when ‘passion’ as a motivational factor was further explored with these participants, it quickly emerged that in most cases, it was not their sole motivator for undertaking the job. For instance, some of the participants who trained as nurses in Nigeria expressed their desire to leave their role of caring for people with dementia once they become qualified to practice as nurses in the UK. For example, speaking about her plans for work when she becomes a registered nurse, Doris reflected:</w:t>
      </w:r>
    </w:p>
    <w:p w14:paraId="3F7BD2C1"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Emm yeah because after the completion of my program two things are involved, it's either I get registered and start working as a nurse, and even though I am going to work as a nurse, to be sincere, am not gonna work in a care home, I will prefer working in a hospital</w:t>
      </w:r>
      <w:r w:rsidRPr="004D386B">
        <w:rPr>
          <w:rFonts w:ascii="Times New Roman" w:hAnsi="Times New Roman"/>
          <w:szCs w:val="24"/>
        </w:rPr>
        <w:t>” (Doris, HCA)</w:t>
      </w:r>
    </w:p>
    <w:p w14:paraId="0C511F04" w14:textId="77777777" w:rsidR="008861F2" w:rsidRPr="00696B64" w:rsidRDefault="008861F2" w:rsidP="008861F2">
      <w:pPr>
        <w:jc w:val="both"/>
        <w:rPr>
          <w:rFonts w:ascii="Times New Roman" w:hAnsi="Times New Roman"/>
          <w:szCs w:val="24"/>
        </w:rPr>
      </w:pPr>
      <w:r w:rsidRPr="004D386B">
        <w:rPr>
          <w:rFonts w:ascii="Times New Roman" w:hAnsi="Times New Roman"/>
          <w:szCs w:val="24"/>
        </w:rPr>
        <w:t xml:space="preserve">It follows that although Doris is passionate about her job as a carer for PLWD in the NHS now, when put into wider perspective of her career ambition and plans, it is not a </w:t>
      </w:r>
      <w:r w:rsidRPr="004D386B">
        <w:rPr>
          <w:rFonts w:ascii="Times New Roman" w:hAnsi="Times New Roman"/>
          <w:szCs w:val="24"/>
        </w:rPr>
        <w:lastRenderedPageBreak/>
        <w:t>role she would consider doing on a long-term basis.</w:t>
      </w:r>
      <w:r>
        <w:rPr>
          <w:rFonts w:ascii="Times New Roman" w:hAnsi="Times New Roman"/>
          <w:szCs w:val="24"/>
        </w:rPr>
        <w:t xml:space="preserve"> She made it clear that she will rather not work in a care home. </w:t>
      </w:r>
      <w:r w:rsidRPr="00696B64">
        <w:rPr>
          <w:rFonts w:ascii="Times New Roman" w:hAnsi="Times New Roman"/>
          <w:szCs w:val="24"/>
        </w:rPr>
        <w:t xml:space="preserve"> Kate, also echoed similar views:</w:t>
      </w:r>
    </w:p>
    <w:p w14:paraId="1F1F9B52" w14:textId="77777777" w:rsidR="008861F2" w:rsidRPr="001A0D53" w:rsidRDefault="008861F2" w:rsidP="008861F2">
      <w:pPr>
        <w:jc w:val="both"/>
        <w:rPr>
          <w:rFonts w:ascii="Times New Roman" w:hAnsi="Times New Roman"/>
          <w:szCs w:val="24"/>
        </w:rPr>
      </w:pPr>
      <w:r w:rsidRPr="00761FE4">
        <w:rPr>
          <w:rFonts w:ascii="Times New Roman" w:hAnsi="Times New Roman"/>
          <w:szCs w:val="24"/>
        </w:rPr>
        <w:t>“</w:t>
      </w:r>
      <w:r w:rsidRPr="00761FE4">
        <w:rPr>
          <w:rFonts w:ascii="Times New Roman" w:hAnsi="Times New Roman"/>
          <w:i/>
          <w:szCs w:val="24"/>
        </w:rPr>
        <w:t>Ahh, I work to pay my bills (laughs), yea, and for the experience</w:t>
      </w:r>
      <w:r w:rsidRPr="001A0D53">
        <w:rPr>
          <w:rFonts w:ascii="Times New Roman" w:hAnsi="Times New Roman"/>
          <w:szCs w:val="24"/>
        </w:rPr>
        <w:t>” (Kate, HCA)</w:t>
      </w:r>
    </w:p>
    <w:p w14:paraId="1A965B7A" w14:textId="77777777" w:rsidR="008861F2" w:rsidRPr="004D386B" w:rsidRDefault="008861F2" w:rsidP="008861F2">
      <w:pPr>
        <w:jc w:val="both"/>
        <w:rPr>
          <w:rFonts w:ascii="Times New Roman" w:hAnsi="Times New Roman"/>
          <w:szCs w:val="24"/>
        </w:rPr>
      </w:pPr>
      <w:r w:rsidRPr="000852D7">
        <w:rPr>
          <w:rFonts w:ascii="Times New Roman" w:hAnsi="Times New Roman"/>
          <w:szCs w:val="24"/>
        </w:rPr>
        <w:t>This further highlights the complex nature of my participant</w:t>
      </w:r>
      <w:r>
        <w:rPr>
          <w:rFonts w:ascii="Times New Roman" w:hAnsi="Times New Roman"/>
          <w:szCs w:val="24"/>
        </w:rPr>
        <w:t>’</w:t>
      </w:r>
      <w:r w:rsidRPr="004D0EE2">
        <w:rPr>
          <w:rFonts w:ascii="Times New Roman" w:hAnsi="Times New Roman"/>
          <w:szCs w:val="24"/>
        </w:rPr>
        <w:t xml:space="preserve">s motivation. The reason why </w:t>
      </w:r>
      <w:r w:rsidRPr="00761FE4">
        <w:rPr>
          <w:rFonts w:ascii="Times New Roman" w:hAnsi="Times New Roman"/>
          <w:szCs w:val="24"/>
        </w:rPr>
        <w:t>they were motivated to assume work as HCA may be completely different from the reason they chose to remain in the role. Like Cynthia, Kate had also cared for her grandmother and became a carer because of her passion for the role but she appeared to have continued in the role because of her career related goals, which she alluded to workin</w:t>
      </w:r>
      <w:r w:rsidRPr="000852D7">
        <w:rPr>
          <w:rFonts w:ascii="Times New Roman" w:hAnsi="Times New Roman"/>
          <w:szCs w:val="24"/>
        </w:rPr>
        <w:t>g ‘for the experience’. In addition, she also highlighted that she worked to pay her bills, which is a monetary motivation for continuing in the role. However, to consider the financial gain she derives from the role in isolation could be misleading, as Ka</w:t>
      </w:r>
      <w:r w:rsidRPr="004D386B">
        <w:rPr>
          <w:rFonts w:ascii="Times New Roman" w:hAnsi="Times New Roman"/>
          <w:szCs w:val="24"/>
        </w:rPr>
        <w:t>te’s motivation for assuming and continuing in her caring role is rather complex and intertwined.</w:t>
      </w:r>
    </w:p>
    <w:p w14:paraId="15402420" w14:textId="77777777" w:rsidR="008861F2" w:rsidRPr="000852D7" w:rsidRDefault="008861F2" w:rsidP="008861F2">
      <w:pPr>
        <w:jc w:val="both"/>
        <w:rPr>
          <w:rFonts w:ascii="Times New Roman" w:hAnsi="Times New Roman"/>
          <w:szCs w:val="24"/>
        </w:rPr>
      </w:pPr>
      <w:r w:rsidRPr="004D386B">
        <w:rPr>
          <w:rFonts w:ascii="Times New Roman" w:hAnsi="Times New Roman"/>
          <w:szCs w:val="24"/>
        </w:rPr>
        <w:t xml:space="preserve">The moral motivation for caring from the perspective of those whose previous professional experience was nursing </w:t>
      </w:r>
      <w:r>
        <w:rPr>
          <w:rFonts w:ascii="Times New Roman" w:hAnsi="Times New Roman"/>
          <w:szCs w:val="24"/>
        </w:rPr>
        <w:t>are</w:t>
      </w:r>
      <w:r w:rsidRPr="00190A38">
        <w:rPr>
          <w:rFonts w:ascii="Times New Roman" w:hAnsi="Times New Roman"/>
          <w:szCs w:val="24"/>
        </w:rPr>
        <w:t xml:space="preserve"> closely linked but different from those who chose to undertake care work mainly because of career-oriented motives and their differences is highlighted in the next </w:t>
      </w:r>
      <w:r w:rsidRPr="00761FE4">
        <w:rPr>
          <w:rFonts w:ascii="Times New Roman" w:hAnsi="Times New Roman"/>
          <w:szCs w:val="24"/>
        </w:rPr>
        <w:t>subsection.</w:t>
      </w:r>
    </w:p>
    <w:p w14:paraId="58B69A11" w14:textId="77777777" w:rsidR="008861F2" w:rsidRPr="004D386B" w:rsidRDefault="008861F2" w:rsidP="006869A3">
      <w:pPr>
        <w:pStyle w:val="Heading3"/>
        <w:rPr>
          <w:u w:val="single"/>
        </w:rPr>
      </w:pPr>
      <w:bookmarkStart w:id="187" w:name="_Toc86417367"/>
      <w:r w:rsidRPr="004D386B">
        <w:t>8.2.2. Career-oriented motivation</w:t>
      </w:r>
      <w:bookmarkEnd w:id="187"/>
    </w:p>
    <w:p w14:paraId="70417216" w14:textId="0194DEF0" w:rsidR="008861F2" w:rsidRDefault="008861F2" w:rsidP="008861F2">
      <w:pPr>
        <w:jc w:val="both"/>
        <w:rPr>
          <w:rFonts w:ascii="Times New Roman" w:hAnsi="Times New Roman"/>
          <w:szCs w:val="24"/>
        </w:rPr>
      </w:pPr>
      <w:r w:rsidRPr="004D386B">
        <w:rPr>
          <w:rFonts w:ascii="Times New Roman" w:hAnsi="Times New Roman"/>
          <w:szCs w:val="24"/>
        </w:rPr>
        <w:t>Some of my participants were motivated to assume or continue in care for career-oriented reasons, either singly or in combination with their passion for the job and/or other forms of motivation. The career motivations included: inability to find work in their chosen career; the view that working as a carer kept them in close touch to their profession; the belief that working as a care worker offered better prospects to their curriculum vitae (CV) than working in jobs outside of care, and the notion that care work provides a pathway to undertaking a career in nursing. These motives are presented and discussed in more detail below.</w:t>
      </w:r>
    </w:p>
    <w:p w14:paraId="47394BDE" w14:textId="77777777" w:rsidR="00203054" w:rsidRPr="004D386B" w:rsidRDefault="00203054" w:rsidP="008861F2">
      <w:pPr>
        <w:jc w:val="both"/>
        <w:rPr>
          <w:rFonts w:ascii="Times New Roman" w:hAnsi="Times New Roman"/>
          <w:szCs w:val="24"/>
        </w:rPr>
      </w:pPr>
    </w:p>
    <w:p w14:paraId="19C2B61F" w14:textId="77777777" w:rsidR="008861F2" w:rsidRPr="004D386B" w:rsidRDefault="008861F2" w:rsidP="006869A3">
      <w:pPr>
        <w:pStyle w:val="Heading5"/>
      </w:pPr>
      <w:r w:rsidRPr="004D386B">
        <w:rPr>
          <w:b/>
        </w:rPr>
        <w:lastRenderedPageBreak/>
        <w:t xml:space="preserve">8.2.2.1. </w:t>
      </w:r>
      <w:r w:rsidRPr="004D386B">
        <w:t xml:space="preserve">Unavailability of jobs in chosen career </w:t>
      </w:r>
    </w:p>
    <w:p w14:paraId="5DD18E1D"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As noted earlier, several of my participants (n=7), both those who had worked for many years as qualified nurses in Nigeria and those with other professional experiences, were working as HCAs in the UK because of the inability to find work in their chosen career. This was due to some reasons which are captured in the narration of their experiences of searching for jobs in the UK. </w:t>
      </w:r>
    </w:p>
    <w:p w14:paraId="4B45D9FB"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Firstly, their lack of work experience in the UK made it difficult for them to secure the job they wanted. Usually, most employers in the UK seek to employ people with work experience acquired in the UK and they consider it as a prerequisite to make an offer of employment (Mackenzie and Forde, 2009). Thus, migrants who are new to the country often have to take up jobs below their professional or academic qualifications just to get some experience of working in the UK and to cover for living expenses (Mackenzie and Forde, 2009).</w:t>
      </w:r>
    </w:p>
    <w:p w14:paraId="51C85E28"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They also take up a lower-skilled job so they can familiarise themselves with what is required to get a job in their chosen career. Oscar reflected on some of the frustrations of this situation, stating:</w:t>
      </w:r>
    </w:p>
    <w:p w14:paraId="0ED0F48F"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Hmm, coupled with the experience I have had back home when I came into the country</w:t>
      </w:r>
      <w:r>
        <w:rPr>
          <w:rFonts w:ascii="Times New Roman" w:hAnsi="Times New Roman"/>
          <w:i/>
          <w:szCs w:val="24"/>
        </w:rPr>
        <w:t>,</w:t>
      </w:r>
      <w:r w:rsidRPr="004D386B">
        <w:rPr>
          <w:rFonts w:ascii="Times New Roman" w:hAnsi="Times New Roman"/>
          <w:i/>
          <w:szCs w:val="24"/>
        </w:rPr>
        <w:t xml:space="preserve"> I sort of looked for job even within a freight forwarding company as well I did some application even to some of the engineering companies</w:t>
      </w:r>
      <w:r w:rsidRPr="004D386B">
        <w:rPr>
          <w:rFonts w:ascii="Times New Roman" w:hAnsi="Times New Roman"/>
          <w:szCs w:val="24"/>
        </w:rPr>
        <w:t>” (Oscar, HCA)</w:t>
      </w:r>
    </w:p>
    <w:p w14:paraId="0142C521"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With his experience of working in freight forwarding in Nigeria, Oscar was initially optimistic that he would get a job in the UK</w:t>
      </w:r>
      <w:r>
        <w:rPr>
          <w:rFonts w:ascii="Times New Roman" w:hAnsi="Times New Roman"/>
          <w:szCs w:val="24"/>
        </w:rPr>
        <w:t>,</w:t>
      </w:r>
      <w:r w:rsidRPr="004D386B">
        <w:rPr>
          <w:rFonts w:ascii="Times New Roman" w:hAnsi="Times New Roman"/>
          <w:szCs w:val="24"/>
        </w:rPr>
        <w:t xml:space="preserve"> but that optimism quickly turned into frustration when he could not get one, despite attending some interviews. He narrated why he felt he did not get a job in freight forwarding or as an engineer:</w:t>
      </w:r>
    </w:p>
    <w:p w14:paraId="799138C9" w14:textId="77777777" w:rsidR="008861F2" w:rsidRPr="004D386B" w:rsidRDefault="008861F2" w:rsidP="008861F2">
      <w:pPr>
        <w:jc w:val="both"/>
        <w:rPr>
          <w:rFonts w:ascii="Times New Roman" w:hAnsi="Times New Roman"/>
          <w:szCs w:val="24"/>
        </w:rPr>
      </w:pPr>
      <w:r w:rsidRPr="004D386B">
        <w:rPr>
          <w:rFonts w:ascii="Times New Roman" w:hAnsi="Times New Roman"/>
          <w:bCs/>
          <w:szCs w:val="24"/>
          <w:lang w:val="en-US"/>
        </w:rPr>
        <w:t>“</w:t>
      </w:r>
      <w:r w:rsidRPr="004D386B">
        <w:rPr>
          <w:rFonts w:ascii="Times New Roman" w:hAnsi="Times New Roman"/>
          <w:i/>
          <w:szCs w:val="24"/>
          <w:lang w:val="en-US"/>
        </w:rPr>
        <w:t xml:space="preserve">[…..] </w:t>
      </w:r>
      <w:r w:rsidRPr="004D386B">
        <w:rPr>
          <w:rFonts w:ascii="Times New Roman" w:hAnsi="Times New Roman"/>
          <w:bCs/>
          <w:i/>
          <w:szCs w:val="24"/>
          <w:lang w:val="en-US"/>
        </w:rPr>
        <w:t>T</w:t>
      </w:r>
      <w:r w:rsidRPr="004D386B">
        <w:rPr>
          <w:rFonts w:ascii="Times New Roman" w:hAnsi="Times New Roman"/>
          <w:i/>
          <w:szCs w:val="24"/>
          <w:lang w:val="en-US"/>
        </w:rPr>
        <w:t xml:space="preserve">hey [the employers] needed an experience within the terrain of United Kingdom which I never had. The one for freight forwarding as well, … they couldn’t really employ me because um is a different terrain altogether […..] Having experience </w:t>
      </w:r>
      <w:r w:rsidRPr="004D386B">
        <w:rPr>
          <w:rFonts w:ascii="Times New Roman" w:hAnsi="Times New Roman"/>
          <w:i/>
          <w:szCs w:val="24"/>
          <w:lang w:val="en-US"/>
        </w:rPr>
        <w:lastRenderedPageBreak/>
        <w:t>in Nigeria, coming over here, starting all over again, so it’s more or less I don’t have any experience working […..] I didn’t get the job.</w:t>
      </w:r>
      <w:r w:rsidRPr="004D386B">
        <w:rPr>
          <w:rFonts w:ascii="Times New Roman" w:hAnsi="Times New Roman"/>
          <w:szCs w:val="24"/>
          <w:lang w:val="en-US"/>
        </w:rPr>
        <w:t>” (Oscar, HCA)</w:t>
      </w:r>
    </w:p>
    <w:p w14:paraId="533C60E5"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Oscar described his eventual sojourn into care as a reluctant move and a consequence of not been able to secure a job in his chosen career. Although he began to work as HCA because of the need to earn some money, he was also motivated by his previous experience of caring for his grandfather and observed that:</w:t>
      </w:r>
    </w:p>
    <w:p w14:paraId="4E5E0988" w14:textId="77777777" w:rsidR="008861F2" w:rsidRPr="004D386B" w:rsidRDefault="008861F2" w:rsidP="008861F2">
      <w:pPr>
        <w:jc w:val="both"/>
        <w:rPr>
          <w:rFonts w:ascii="Times New Roman" w:hAnsi="Times New Roman"/>
          <w:szCs w:val="24"/>
          <w:lang w:val="en-US"/>
        </w:rPr>
      </w:pPr>
      <w:r w:rsidRPr="004D386B">
        <w:rPr>
          <w:rFonts w:ascii="Times New Roman" w:hAnsi="Times New Roman"/>
          <w:bCs/>
          <w:szCs w:val="24"/>
          <w:lang w:val="en-US"/>
        </w:rPr>
        <w:t>“</w:t>
      </w:r>
      <w:r w:rsidRPr="004D386B">
        <w:rPr>
          <w:rFonts w:ascii="Times New Roman" w:hAnsi="Times New Roman"/>
          <w:i/>
          <w:szCs w:val="24"/>
          <w:lang w:val="en-US"/>
        </w:rPr>
        <w:t>So… that period, I actually couldn’t get a job there and um, coupled with the fact that um I met some few friends that encourage me… to think of other things to do, that was when I, I actually remembered that I’ve done something in care back home and I’ve nursed the passion, … in continuing in that particular direction</w:t>
      </w:r>
      <w:r w:rsidRPr="004D386B">
        <w:rPr>
          <w:rFonts w:ascii="Times New Roman" w:hAnsi="Times New Roman"/>
          <w:szCs w:val="24"/>
          <w:lang w:val="en-US"/>
        </w:rPr>
        <w:t>” (Oscar, HCA)</w:t>
      </w:r>
    </w:p>
    <w:p w14:paraId="08A0862B" w14:textId="77777777" w:rsidR="008861F2" w:rsidRPr="000852D7" w:rsidRDefault="008861F2" w:rsidP="008861F2">
      <w:pPr>
        <w:jc w:val="both"/>
        <w:rPr>
          <w:rFonts w:ascii="Times New Roman" w:hAnsi="Times New Roman"/>
          <w:szCs w:val="24"/>
        </w:rPr>
      </w:pPr>
      <w:r w:rsidRPr="004D386B">
        <w:rPr>
          <w:rFonts w:ascii="Times New Roman" w:hAnsi="Times New Roman"/>
          <w:szCs w:val="24"/>
        </w:rPr>
        <w:t xml:space="preserve">Secondly, some of my participants could not find work in their chosen career because of the UK-specific requirements that had to </w:t>
      </w:r>
      <w:r>
        <w:rPr>
          <w:rFonts w:ascii="Times New Roman" w:hAnsi="Times New Roman"/>
          <w:szCs w:val="24"/>
        </w:rPr>
        <w:t xml:space="preserve">be </w:t>
      </w:r>
      <w:r w:rsidRPr="00295CFB">
        <w:rPr>
          <w:rFonts w:ascii="Times New Roman" w:hAnsi="Times New Roman"/>
          <w:szCs w:val="24"/>
        </w:rPr>
        <w:t>me</w:t>
      </w:r>
      <w:r>
        <w:rPr>
          <w:rFonts w:ascii="Times New Roman" w:hAnsi="Times New Roman"/>
          <w:szCs w:val="24"/>
        </w:rPr>
        <w:t>t</w:t>
      </w:r>
      <w:r w:rsidRPr="00295CFB">
        <w:rPr>
          <w:rFonts w:ascii="Times New Roman" w:hAnsi="Times New Roman"/>
          <w:szCs w:val="24"/>
        </w:rPr>
        <w:t xml:space="preserve"> before they could be allowed to practice in the UK. Some professions (like nursing and medicine</w:t>
      </w:r>
      <w:r w:rsidRPr="00761FE4">
        <w:rPr>
          <w:rFonts w:ascii="Times New Roman" w:hAnsi="Times New Roman"/>
          <w:szCs w:val="24"/>
        </w:rPr>
        <w:t>) require overseas</w:t>
      </w:r>
      <w:r w:rsidRPr="001A0D53">
        <w:rPr>
          <w:rFonts w:ascii="Times New Roman" w:hAnsi="Times New Roman"/>
          <w:szCs w:val="24"/>
        </w:rPr>
        <w:t xml:space="preserve"> applicants to demonstrate that they meet the necessary professional proficiencies to practice in the UK (Miller, 2008; Shirmohammadi, Beigi and Stewart, 2019). This was one of the many reasons why</w:t>
      </w:r>
      <w:r w:rsidRPr="000852D7">
        <w:rPr>
          <w:rFonts w:ascii="Times New Roman" w:hAnsi="Times New Roman"/>
          <w:szCs w:val="24"/>
        </w:rPr>
        <w:t xml:space="preserve"> highly qualified migrant workers often undergo the process of deskilling when they arrive in a foreign land. In my study, most of my participants especially those who practiced as nurses in Nigeria became HCA in a deliberate act of deskilling.</w:t>
      </w:r>
    </w:p>
    <w:p w14:paraId="1147D858" w14:textId="77777777" w:rsidR="008861F2" w:rsidRPr="000873F9" w:rsidRDefault="008861F2" w:rsidP="008861F2">
      <w:pPr>
        <w:jc w:val="both"/>
        <w:rPr>
          <w:rFonts w:ascii="Times New Roman" w:hAnsi="Times New Roman"/>
          <w:szCs w:val="24"/>
        </w:rPr>
      </w:pPr>
      <w:r w:rsidRPr="004D386B">
        <w:rPr>
          <w:rFonts w:ascii="Times New Roman" w:hAnsi="Times New Roman"/>
          <w:szCs w:val="24"/>
        </w:rPr>
        <w:t xml:space="preserve">While care work was sometimes used by some of my participants as a strategic job to support their career progression, those who were trained nurses considered it as a job that keeps them within healthcare. Deskilling, the practice of taking on a role that is below an individual’s training and educational expertise, may result in the individual losing previously acquired skills (O’Brien, 2007).  In the literature, the form of deskilling among migrant nurses mostly discussed is the case </w:t>
      </w:r>
      <w:r>
        <w:rPr>
          <w:rFonts w:ascii="Times New Roman" w:hAnsi="Times New Roman"/>
          <w:szCs w:val="24"/>
        </w:rPr>
        <w:t xml:space="preserve">of employed </w:t>
      </w:r>
      <w:r w:rsidRPr="00295CFB">
        <w:rPr>
          <w:rFonts w:ascii="Times New Roman" w:hAnsi="Times New Roman"/>
          <w:szCs w:val="24"/>
        </w:rPr>
        <w:t xml:space="preserve">nurses </w:t>
      </w:r>
      <w:r w:rsidRPr="000873F9">
        <w:rPr>
          <w:rFonts w:ascii="Times New Roman" w:hAnsi="Times New Roman"/>
          <w:szCs w:val="24"/>
        </w:rPr>
        <w:t xml:space="preserve">working below their acquired skill set (Adhikari and Melia, 2015; Kurniati </w:t>
      </w:r>
      <w:r w:rsidRPr="00432E10">
        <w:rPr>
          <w:rFonts w:ascii="Times New Roman" w:hAnsi="Times New Roman"/>
          <w:i/>
          <w:iCs/>
          <w:szCs w:val="24"/>
        </w:rPr>
        <w:t>et al.</w:t>
      </w:r>
      <w:r w:rsidRPr="000873F9">
        <w:rPr>
          <w:rFonts w:ascii="Times New Roman" w:hAnsi="Times New Roman"/>
          <w:szCs w:val="24"/>
        </w:rPr>
        <w:t>, 2017). However, my findings suggest that overseas-trained nurses also take a step down to work as HCAs.</w:t>
      </w:r>
    </w:p>
    <w:p w14:paraId="0C436EB4" w14:textId="77777777" w:rsidR="008861F2" w:rsidRPr="004D386B" w:rsidRDefault="008861F2" w:rsidP="008861F2">
      <w:pPr>
        <w:jc w:val="both"/>
        <w:rPr>
          <w:rFonts w:ascii="Times New Roman" w:hAnsi="Times New Roman"/>
          <w:szCs w:val="24"/>
        </w:rPr>
      </w:pPr>
      <w:r w:rsidRPr="00761FE4">
        <w:rPr>
          <w:rFonts w:ascii="Times New Roman" w:hAnsi="Times New Roman"/>
          <w:szCs w:val="24"/>
        </w:rPr>
        <w:lastRenderedPageBreak/>
        <w:t>Doris (and the other overseas</w:t>
      </w:r>
      <w:r w:rsidRPr="000852D7">
        <w:rPr>
          <w:rFonts w:ascii="Times New Roman" w:hAnsi="Times New Roman"/>
          <w:szCs w:val="24"/>
        </w:rPr>
        <w:t xml:space="preserve"> nurses who had the desire to work as nurses in the UK), would have to first complete her registration with the Nursing and Midwifery Council (NMC) as part of the adaptation programme (Taylor, 2005). It </w:t>
      </w:r>
      <w:r>
        <w:rPr>
          <w:rFonts w:ascii="Times New Roman" w:hAnsi="Times New Roman"/>
          <w:szCs w:val="24"/>
        </w:rPr>
        <w:t>is</w:t>
      </w:r>
      <w:r w:rsidRPr="000873F9">
        <w:rPr>
          <w:rFonts w:ascii="Times New Roman" w:hAnsi="Times New Roman"/>
          <w:szCs w:val="24"/>
        </w:rPr>
        <w:t xml:space="preserve"> also </w:t>
      </w:r>
      <w:r w:rsidRPr="00761FE4">
        <w:rPr>
          <w:rFonts w:ascii="Times New Roman" w:hAnsi="Times New Roman"/>
          <w:szCs w:val="24"/>
        </w:rPr>
        <w:t>notable that deskilling was not only limited to nurses working as HCAs but also extended to highly qualified people (such as Oscar) working as HCAs.  My findings are similar to those of Willott and Stephenson (2013) who conducted a study with refugees in the UK. The authors found that despite 44 of the 50 refugees identifying as pr</w:t>
      </w:r>
      <w:r w:rsidRPr="000852D7">
        <w:rPr>
          <w:rFonts w:ascii="Times New Roman" w:hAnsi="Times New Roman"/>
          <w:szCs w:val="24"/>
        </w:rPr>
        <w:t>ofessionals, most of them were not employed as professionals. Indeed, in that study, even though most of their participants were highly qualified professionals (doctors, dentists, teachers, accountants, engineers, nurses, solicitors and journalists), almos</w:t>
      </w:r>
      <w:r w:rsidRPr="004D386B">
        <w:rPr>
          <w:rFonts w:ascii="Times New Roman" w:hAnsi="Times New Roman"/>
          <w:szCs w:val="24"/>
        </w:rPr>
        <w:t>t all were currently unemployed, as they were unable to secure similar jobs in the UK. Of those who were employed, many were in low-skilled and low-paid jobs with little or no connection to their previous profession. Although neither Oscar nor my other participants were refugees, Willott and Stephenson (2013) highlight the very essence that qualifications and degrees obtained abroad (particularly in developing countries) are not considered ‘good enough’ in Western countries like the UK. Amongst my participants, those who were professionals outside of healthcare and nursing embraced working as HCA partly because of their inability to find a job befitting their educational training, whereas those who were qualified nurses embraced it not only because of not being able to work as nurses in the UK but also because they considered it closely related to nursing.</w:t>
      </w:r>
    </w:p>
    <w:p w14:paraId="11FAB4DA" w14:textId="77777777" w:rsidR="008861F2" w:rsidRPr="004D386B" w:rsidRDefault="008861F2" w:rsidP="006869A3">
      <w:pPr>
        <w:pStyle w:val="Heading5"/>
      </w:pPr>
      <w:r w:rsidRPr="004D386B">
        <w:rPr>
          <w:b/>
        </w:rPr>
        <w:t>8.2.2.2.</w:t>
      </w:r>
      <w:r w:rsidRPr="004D386B">
        <w:t xml:space="preserve"> ‘Closest job to my health-related profession’</w:t>
      </w:r>
    </w:p>
    <w:p w14:paraId="59F8D148"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My findings suggest that many of the participants (n=7), both the trained nurses and those who were not nurses, were also motivated to work as HCA because they felt that working as a care worker was close to their chosen career. </w:t>
      </w:r>
    </w:p>
    <w:p w14:paraId="398198F0" w14:textId="77777777" w:rsidR="008861F2" w:rsidRPr="00761FE4" w:rsidRDefault="008861F2" w:rsidP="008861F2">
      <w:pPr>
        <w:jc w:val="both"/>
        <w:rPr>
          <w:rFonts w:ascii="Times New Roman" w:hAnsi="Times New Roman"/>
          <w:szCs w:val="24"/>
        </w:rPr>
      </w:pPr>
      <w:r w:rsidRPr="004D386B">
        <w:rPr>
          <w:rFonts w:ascii="Times New Roman" w:hAnsi="Times New Roman"/>
          <w:szCs w:val="24"/>
        </w:rPr>
        <w:t>Speaking about his previous job as an industrial worker, Jeff pointed out the need to keep track with his career and continue</w:t>
      </w:r>
      <w:r>
        <w:rPr>
          <w:rFonts w:ascii="Times New Roman" w:hAnsi="Times New Roman"/>
          <w:szCs w:val="24"/>
        </w:rPr>
        <w:t>d</w:t>
      </w:r>
      <w:r w:rsidRPr="000873F9">
        <w:rPr>
          <w:rFonts w:ascii="Times New Roman" w:hAnsi="Times New Roman"/>
          <w:szCs w:val="24"/>
        </w:rPr>
        <w:t xml:space="preserve"> to do something that is related. He stated that:</w:t>
      </w:r>
    </w:p>
    <w:p w14:paraId="3BD50A9A" w14:textId="77777777" w:rsidR="008861F2" w:rsidRPr="000852D7" w:rsidRDefault="008861F2" w:rsidP="008861F2">
      <w:pPr>
        <w:jc w:val="both"/>
        <w:rPr>
          <w:rFonts w:ascii="Times New Roman" w:hAnsi="Times New Roman"/>
          <w:szCs w:val="24"/>
        </w:rPr>
      </w:pPr>
      <w:r w:rsidRPr="00761FE4">
        <w:rPr>
          <w:rFonts w:ascii="Times New Roman" w:hAnsi="Times New Roman"/>
          <w:szCs w:val="24"/>
        </w:rPr>
        <w:lastRenderedPageBreak/>
        <w:t>“</w:t>
      </w:r>
      <w:r w:rsidRPr="00761FE4">
        <w:rPr>
          <w:rFonts w:ascii="Times New Roman" w:hAnsi="Times New Roman"/>
          <w:i/>
          <w:szCs w:val="24"/>
        </w:rPr>
        <w:t>…to be honest and considering my background [as a microbiologist] I wanted to maintain my medical background, health and care background, so that’s why I picked interest not in industrial but health [job</w:t>
      </w:r>
      <w:r w:rsidRPr="000852D7">
        <w:rPr>
          <w:rFonts w:ascii="Times New Roman" w:hAnsi="Times New Roman"/>
          <w:i/>
          <w:szCs w:val="24"/>
        </w:rPr>
        <w:t>s]</w:t>
      </w:r>
      <w:r w:rsidRPr="000852D7">
        <w:rPr>
          <w:rFonts w:ascii="Times New Roman" w:hAnsi="Times New Roman"/>
          <w:szCs w:val="24"/>
        </w:rPr>
        <w:t>” (Jeff, HCA)</w:t>
      </w:r>
    </w:p>
    <w:p w14:paraId="7704807F"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Jeff’s motivation is consistent with McGregor (2007) who suggests that migrant carers often considered care work as a useful steppingstone to higher career achievements. Although working as an HCA, which does not require an academic degree is a significant step-down to participants like Jeff, it was a job that </w:t>
      </w:r>
      <w:r>
        <w:rPr>
          <w:rFonts w:ascii="Times New Roman" w:hAnsi="Times New Roman"/>
          <w:szCs w:val="24"/>
        </w:rPr>
        <w:t>he</w:t>
      </w:r>
      <w:r w:rsidRPr="000A39C2">
        <w:rPr>
          <w:rFonts w:ascii="Times New Roman" w:hAnsi="Times New Roman"/>
          <w:szCs w:val="24"/>
        </w:rPr>
        <w:t xml:space="preserve"> w</w:t>
      </w:r>
      <w:r>
        <w:rPr>
          <w:rFonts w:ascii="Times New Roman" w:hAnsi="Times New Roman"/>
          <w:szCs w:val="24"/>
        </w:rPr>
        <w:t xml:space="preserve">as </w:t>
      </w:r>
      <w:r w:rsidRPr="000A39C2">
        <w:rPr>
          <w:rFonts w:ascii="Times New Roman" w:hAnsi="Times New Roman"/>
          <w:szCs w:val="24"/>
        </w:rPr>
        <w:t xml:space="preserve">willing to undertake in the interim (because of the connection to healthcare), rather than </w:t>
      </w:r>
      <w:r w:rsidRPr="00761FE4">
        <w:rPr>
          <w:rFonts w:ascii="Times New Roman" w:hAnsi="Times New Roman"/>
          <w:szCs w:val="24"/>
        </w:rPr>
        <w:t>a future career. The nature of the job (being health care), also motivated Do</w:t>
      </w:r>
      <w:r w:rsidRPr="000852D7">
        <w:rPr>
          <w:rFonts w:ascii="Times New Roman" w:hAnsi="Times New Roman"/>
          <w:szCs w:val="24"/>
        </w:rPr>
        <w:t xml:space="preserve">ris to continue in the role. Being a trained nurse, she considered </w:t>
      </w:r>
      <w:r w:rsidRPr="004D386B">
        <w:rPr>
          <w:rFonts w:ascii="Times New Roman" w:hAnsi="Times New Roman"/>
          <w:szCs w:val="24"/>
        </w:rPr>
        <w:t>working as HCA the closest job to working as a nurse. Doris concluded that:</w:t>
      </w:r>
    </w:p>
    <w:p w14:paraId="02C27E14"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…if I am not working as a nurse then that is the only thing I can do, I can never do anything aside that… Because that’s just what I think, that’s the only job</w:t>
      </w:r>
      <w:r w:rsidRPr="004D386B">
        <w:rPr>
          <w:rFonts w:ascii="Times New Roman" w:hAnsi="Times New Roman"/>
          <w:szCs w:val="24"/>
        </w:rPr>
        <w:t>” (Doris, HCA)</w:t>
      </w:r>
    </w:p>
    <w:p w14:paraId="7A6B7524" w14:textId="77777777" w:rsidR="008861F2" w:rsidRPr="004D386B" w:rsidRDefault="008861F2" w:rsidP="006869A3">
      <w:pPr>
        <w:pStyle w:val="Heading5"/>
      </w:pPr>
      <w:r w:rsidRPr="004D386B">
        <w:rPr>
          <w:b/>
        </w:rPr>
        <w:t>8.2.2.3.</w:t>
      </w:r>
      <w:r w:rsidRPr="004D386B">
        <w:t xml:space="preserve"> “Not bad on my CV [curriculum vitae]”</w:t>
      </w:r>
    </w:p>
    <w:p w14:paraId="0779E8E9" w14:textId="77777777" w:rsidR="008861F2" w:rsidRPr="004D386B" w:rsidRDefault="008861F2" w:rsidP="008861F2">
      <w:pPr>
        <w:jc w:val="both"/>
        <w:rPr>
          <w:rFonts w:ascii="Times New Roman" w:hAnsi="Times New Roman"/>
          <w:i/>
          <w:szCs w:val="24"/>
        </w:rPr>
      </w:pPr>
      <w:r w:rsidRPr="004D386B">
        <w:rPr>
          <w:rFonts w:ascii="Times New Roman" w:hAnsi="Times New Roman"/>
          <w:szCs w:val="24"/>
        </w:rPr>
        <w:t xml:space="preserve">The CV is an important piece of document that can determine an individual’s career path and suitability for employment (Dietz </w:t>
      </w:r>
      <w:r w:rsidRPr="00432E10">
        <w:rPr>
          <w:rFonts w:ascii="Times New Roman" w:hAnsi="Times New Roman"/>
          <w:i/>
          <w:iCs/>
          <w:szCs w:val="24"/>
        </w:rPr>
        <w:t>et al.</w:t>
      </w:r>
      <w:r w:rsidRPr="004D386B">
        <w:rPr>
          <w:rFonts w:ascii="Times New Roman" w:hAnsi="Times New Roman"/>
          <w:szCs w:val="24"/>
        </w:rPr>
        <w:t>, 2000; Dietz and Bozeman, 2005; Cañibano and Bozeman, 2009). Some of my participants (n=3) suggested that one of the rewarding things about working as a care worker is the effect it has on their CV. Because my participants are qualified individuals, who had engaged significant work experiences in and outside of the care sector in Nigeria, they valued their CV highly. Morgan whose encounter with an immigration officer whilst returning to the UK after a visit to Nigeria narrated his experience:</w:t>
      </w:r>
    </w:p>
    <w:p w14:paraId="6AE8DC61" w14:textId="77777777" w:rsidR="008861F2" w:rsidRPr="004D386B" w:rsidRDefault="008861F2" w:rsidP="008861F2">
      <w:pPr>
        <w:jc w:val="both"/>
        <w:rPr>
          <w:rFonts w:ascii="Times New Roman" w:hAnsi="Times New Roman"/>
          <w:b/>
          <w:szCs w:val="24"/>
        </w:rPr>
      </w:pPr>
      <w:r w:rsidRPr="004D386B">
        <w:rPr>
          <w:rFonts w:ascii="Times New Roman" w:hAnsi="Times New Roman"/>
          <w:szCs w:val="24"/>
        </w:rPr>
        <w:t>“</w:t>
      </w:r>
      <w:r w:rsidRPr="004D386B">
        <w:rPr>
          <w:rFonts w:ascii="Times New Roman" w:hAnsi="Times New Roman"/>
          <w:i/>
          <w:iCs/>
          <w:szCs w:val="24"/>
        </w:rPr>
        <w:t>[</w:t>
      </w:r>
      <w:r w:rsidRPr="004D386B">
        <w:rPr>
          <w:rFonts w:ascii="Times New Roman" w:hAnsi="Times New Roman"/>
          <w:i/>
          <w:szCs w:val="24"/>
        </w:rPr>
        <w:t>….] one of the … immigration officer …. was trying to know the kind of job I have been doing in the UK and why I travelled back to Nigeria and […..], he found that I have been doing industrial kind of jobs and … working with healthcare […..] and then he advice that I stop working [industrial jobs], that because my degree is health related, is not related to industrial…</w:t>
      </w:r>
      <w:r w:rsidRPr="004D386B">
        <w:rPr>
          <w:rFonts w:ascii="Times New Roman" w:hAnsi="Times New Roman"/>
          <w:szCs w:val="24"/>
        </w:rPr>
        <w:t>” (Morgan, HCA)</w:t>
      </w:r>
    </w:p>
    <w:p w14:paraId="025B55C0"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lastRenderedPageBreak/>
        <w:t>This encounter influenced Morgan’s decision to do only care work and it further highlights the significant role an individual’s perception of their CV plays in their choice of jobs. This is however not an isolated case because Jeff, who stated that he preferred working in the care industry rather than as an agency worker in an industrial site, also expressed similar views. Jeff who has an MSc in Public Health in the UK noted:</w:t>
      </w:r>
    </w:p>
    <w:p w14:paraId="04F5586E"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so my curriculum vitae</w:t>
      </w:r>
      <w:r w:rsidRPr="004D386B" w:rsidDel="003A1E86">
        <w:rPr>
          <w:rFonts w:ascii="Times New Roman" w:hAnsi="Times New Roman"/>
          <w:i/>
          <w:szCs w:val="24"/>
        </w:rPr>
        <w:t xml:space="preserve"> </w:t>
      </w:r>
      <w:r w:rsidRPr="004D386B">
        <w:rPr>
          <w:rFonts w:ascii="Times New Roman" w:hAnsi="Times New Roman"/>
          <w:i/>
          <w:szCs w:val="24"/>
        </w:rPr>
        <w:t>[….], it won’t make sense to put industrial experience in my CV, but care is quite fundamental. With that, you can decide to do nursing tomorrow. Like now I’ve got interest in doing mental health nursing.”</w:t>
      </w:r>
      <w:r w:rsidRPr="004D386B">
        <w:rPr>
          <w:rFonts w:ascii="Times New Roman" w:hAnsi="Times New Roman"/>
          <w:szCs w:val="24"/>
        </w:rPr>
        <w:t xml:space="preserve"> (Jeff, HCA)</w:t>
      </w:r>
    </w:p>
    <w:p w14:paraId="534E37D9"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In Jeff’s case he considered working in care as a low-level job he could do outside working as a trained microbiologist because it is within the field of healthcare. His experience of working as an industrial worker (which he viewed as menial work), informed his desire to assume and continue as a carer for PLWD, which he sees as a job closely related to his professional training. He also considered continuing in industrial jobs as what can have a potentially damning impact on his CV and his quest to continue career progression.</w:t>
      </w:r>
    </w:p>
    <w:p w14:paraId="7AC16007"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Despite not been involved in industrial jobs, Kate, a Nigerian-trained qualified general and mental health nurse who now works in the UK as HCA stated that she was willing to continue in the role as long as possible. She considered the opportunity to engage in care work to far outweigh the financial incentives attached. She noted that:</w:t>
      </w:r>
    </w:p>
    <w:p w14:paraId="678DE626"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xml:space="preserve">Well it’s </w:t>
      </w:r>
      <w:r w:rsidRPr="004D386B">
        <w:rPr>
          <w:rFonts w:ascii="Times New Roman" w:hAnsi="Times New Roman"/>
          <w:szCs w:val="24"/>
        </w:rPr>
        <w:t>[motivations to care</w:t>
      </w:r>
      <w:r w:rsidRPr="004D386B">
        <w:rPr>
          <w:rFonts w:ascii="Times New Roman" w:hAnsi="Times New Roman"/>
          <w:iCs/>
          <w:szCs w:val="24"/>
        </w:rPr>
        <w:t>]</w:t>
      </w:r>
      <w:r w:rsidRPr="004D386B">
        <w:rPr>
          <w:rFonts w:ascii="Times New Roman" w:hAnsi="Times New Roman"/>
          <w:i/>
          <w:szCs w:val="24"/>
        </w:rPr>
        <w:t xml:space="preserve"> not a big deal to me. If few were absent, I will still do because of the experience. There is no amount of money that can equal to an experience you have</w:t>
      </w:r>
      <w:r w:rsidRPr="004D386B">
        <w:rPr>
          <w:rFonts w:ascii="Times New Roman" w:hAnsi="Times New Roman"/>
          <w:szCs w:val="24"/>
        </w:rPr>
        <w:t>” (Kate, HCA)</w:t>
      </w:r>
    </w:p>
    <w:p w14:paraId="49C33884" w14:textId="7EE30587" w:rsidR="008861F2" w:rsidRPr="000852D7" w:rsidRDefault="008861F2" w:rsidP="008861F2">
      <w:pPr>
        <w:jc w:val="both"/>
        <w:rPr>
          <w:rFonts w:ascii="Times New Roman" w:hAnsi="Times New Roman"/>
          <w:szCs w:val="24"/>
        </w:rPr>
      </w:pPr>
      <w:r w:rsidRPr="004D386B">
        <w:rPr>
          <w:rFonts w:ascii="Times New Roman" w:hAnsi="Times New Roman"/>
          <w:szCs w:val="24"/>
        </w:rPr>
        <w:t xml:space="preserve">Kate spoke of her desire to continue to work as an HCA in terms of the effect such type of work experience of professional caring will have on her CV rather than the impact on her clinical skills as a trained nurse. Both Jeff and Kate’s made the decision to work as HCA because it was beneficial to their overall career prospects and considered the work experience good enough to be included in their CV. Hence, working as a HCA </w:t>
      </w:r>
      <w:r w:rsidRPr="004D386B">
        <w:rPr>
          <w:rFonts w:ascii="Times New Roman" w:hAnsi="Times New Roman"/>
          <w:szCs w:val="24"/>
        </w:rPr>
        <w:lastRenderedPageBreak/>
        <w:t xml:space="preserve">not only addresses a gap they would have had to explain to potential employers but also provides them with the opportunity to point to that period of the working life as a time they spent doing what was technically within the sphere of their profession. This concept of </w:t>
      </w:r>
      <w:r w:rsidR="00CC4B89" w:rsidRPr="004D386B">
        <w:rPr>
          <w:rFonts w:ascii="Times New Roman" w:hAnsi="Times New Roman"/>
          <w:szCs w:val="24"/>
        </w:rPr>
        <w:t>considering</w:t>
      </w:r>
      <w:r w:rsidRPr="004D386B">
        <w:rPr>
          <w:rFonts w:ascii="Times New Roman" w:hAnsi="Times New Roman"/>
          <w:szCs w:val="24"/>
        </w:rPr>
        <w:t xml:space="preserve"> </w:t>
      </w:r>
      <w:r>
        <w:rPr>
          <w:rFonts w:ascii="Times New Roman" w:hAnsi="Times New Roman"/>
          <w:szCs w:val="24"/>
        </w:rPr>
        <w:t xml:space="preserve">what </w:t>
      </w:r>
      <w:r w:rsidRPr="00F9054A">
        <w:rPr>
          <w:rFonts w:ascii="Times New Roman" w:hAnsi="Times New Roman"/>
          <w:szCs w:val="24"/>
        </w:rPr>
        <w:t xml:space="preserve">kind of work or personal experience should go into </w:t>
      </w:r>
      <w:r w:rsidR="00CC4B89">
        <w:rPr>
          <w:rFonts w:ascii="Times New Roman" w:hAnsi="Times New Roman"/>
          <w:szCs w:val="24"/>
        </w:rPr>
        <w:t>ones</w:t>
      </w:r>
      <w:r w:rsidRPr="00F9054A">
        <w:rPr>
          <w:rFonts w:ascii="Times New Roman" w:hAnsi="Times New Roman"/>
          <w:szCs w:val="24"/>
        </w:rPr>
        <w:t xml:space="preserve"> CV is not new</w:t>
      </w:r>
      <w:r w:rsidR="00CC4B89">
        <w:rPr>
          <w:rFonts w:ascii="Times New Roman" w:hAnsi="Times New Roman"/>
          <w:szCs w:val="24"/>
        </w:rPr>
        <w:t>.</w:t>
      </w:r>
      <w:r w:rsidRPr="00F9054A">
        <w:rPr>
          <w:rFonts w:ascii="Times New Roman" w:hAnsi="Times New Roman"/>
          <w:szCs w:val="24"/>
        </w:rPr>
        <w:t xml:space="preserve"> </w:t>
      </w:r>
      <w:r w:rsidR="00CC4B89">
        <w:rPr>
          <w:rFonts w:ascii="Times New Roman" w:hAnsi="Times New Roman"/>
          <w:szCs w:val="24"/>
        </w:rPr>
        <w:t>S</w:t>
      </w:r>
      <w:r w:rsidRPr="000852D7">
        <w:rPr>
          <w:rFonts w:ascii="Times New Roman" w:hAnsi="Times New Roman"/>
          <w:szCs w:val="24"/>
        </w:rPr>
        <w:t>cholars such as Watkins and Johnston (2000) have suggested that the quality of a resumé can have a positive impact on an individual’s chances of being employed.</w:t>
      </w:r>
    </w:p>
    <w:p w14:paraId="615BEB54" w14:textId="77777777" w:rsidR="008861F2" w:rsidRPr="004D386B" w:rsidRDefault="008861F2" w:rsidP="006869A3">
      <w:pPr>
        <w:pStyle w:val="Heading5"/>
      </w:pPr>
      <w:r w:rsidRPr="004D386B">
        <w:rPr>
          <w:b/>
        </w:rPr>
        <w:t xml:space="preserve">8.2.2.4. </w:t>
      </w:r>
      <w:r w:rsidRPr="004D386B">
        <w:t>As a pathway to nursing</w:t>
      </w:r>
    </w:p>
    <w:p w14:paraId="1E5FEB61"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Some of my participants (n=5) who had the ambition to train as nurses believed that working as HCA would improve their chances of being admitted to study nursing when they eventually apply. Cynthia, one of the nurses spoke of her own journey to training as a nurse and noted that:</w:t>
      </w:r>
    </w:p>
    <w:p w14:paraId="60D5B75C"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I had to do some hours [working as HCA] because that was also part of my requirement for my two years [nursing] programme. I think it was about 500 or 600 hours… just to make up for that and after that, I was doing my NVQ [National Vocational Qualification].</w:t>
      </w:r>
      <w:r w:rsidRPr="004D386B">
        <w:rPr>
          <w:rFonts w:ascii="Times New Roman" w:hAnsi="Times New Roman"/>
          <w:szCs w:val="24"/>
        </w:rPr>
        <w:t>” (Cynthia, RMN)</w:t>
      </w:r>
    </w:p>
    <w:p w14:paraId="01E83D6F"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Cynthia stated that applicants into the 2-years master’s in nursing course, an accelerated nursing degree, needed to show about 500-600 hours of working in a healthcare environment and other participants also cited similar reasons for first working as HCA before training as nurse. Bosede, a nurse, explained how she had longed dreamed of being a nurse when she was in Nigeria but ended up working as a public administrator. She described how she became a care</w:t>
      </w:r>
      <w:r>
        <w:rPr>
          <w:rFonts w:ascii="Times New Roman" w:hAnsi="Times New Roman"/>
          <w:szCs w:val="24"/>
        </w:rPr>
        <w:t xml:space="preserve"> worke</w:t>
      </w:r>
      <w:r w:rsidRPr="004D386B">
        <w:rPr>
          <w:rFonts w:ascii="Times New Roman" w:hAnsi="Times New Roman"/>
          <w:szCs w:val="24"/>
        </w:rPr>
        <w:t>r in the UK and why she made the decision to be a nurse:</w:t>
      </w:r>
    </w:p>
    <w:p w14:paraId="45898C36"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I eventually started as a carer and somebody now counselled me…to go to care, because I wanted to do nursing and they told me it should be good I have a care experience and so I started caring[….].</w:t>
      </w:r>
      <w:r w:rsidRPr="004D386B">
        <w:rPr>
          <w:rFonts w:ascii="Times New Roman" w:hAnsi="Times New Roman"/>
          <w:szCs w:val="24"/>
        </w:rPr>
        <w:t>” (Bosede, RMN)</w:t>
      </w:r>
    </w:p>
    <w:p w14:paraId="48D4D8FF" w14:textId="77777777" w:rsidR="008861F2" w:rsidRPr="00F9054A" w:rsidRDefault="008861F2" w:rsidP="008861F2">
      <w:pPr>
        <w:jc w:val="both"/>
        <w:rPr>
          <w:rFonts w:ascii="Times New Roman" w:hAnsi="Times New Roman"/>
          <w:szCs w:val="24"/>
        </w:rPr>
      </w:pPr>
      <w:r w:rsidRPr="004D386B">
        <w:rPr>
          <w:rFonts w:ascii="Times New Roman" w:hAnsi="Times New Roman"/>
          <w:szCs w:val="24"/>
        </w:rPr>
        <w:lastRenderedPageBreak/>
        <w:t xml:space="preserve">Bosede and the other participants who had the intention to train as a nurse considered doing care work as a good pathway to training as a nurse and as such saw it as </w:t>
      </w:r>
      <w:r>
        <w:rPr>
          <w:rFonts w:ascii="Times New Roman" w:hAnsi="Times New Roman"/>
          <w:szCs w:val="24"/>
        </w:rPr>
        <w:t>‘</w:t>
      </w:r>
      <w:r w:rsidRPr="00F369F3">
        <w:rPr>
          <w:rFonts w:ascii="Times New Roman" w:hAnsi="Times New Roman"/>
          <w:i/>
          <w:iCs/>
          <w:szCs w:val="24"/>
        </w:rPr>
        <w:t>a means to an end</w:t>
      </w:r>
      <w:r w:rsidRPr="00F369F3">
        <w:rPr>
          <w:rFonts w:ascii="Times New Roman" w:hAnsi="Times New Roman"/>
          <w:szCs w:val="24"/>
        </w:rPr>
        <w:t>’</w:t>
      </w:r>
      <w:r w:rsidRPr="004D386B">
        <w:rPr>
          <w:rFonts w:ascii="Times New Roman" w:hAnsi="Times New Roman"/>
          <w:szCs w:val="24"/>
        </w:rPr>
        <w:t>, rather than an end itself. Similar findings were reported by Lepore (2008) in a study of care workers working in a long-term care setting. They observed that 18% of their participants were engaged in care work primarily because they considered it an important part of their professional training in view to fulfil their long-term goal. Two of my participants, Cynthia and Bosede, were particularly motivated to do care work because they felt it was a good way to have a grounded understanding of health care before the commencement of their nursing programme. However, their motivation also resonates with other participants, particularly those who had worked as nurses in Nigeria and considered working as an HCA as a necessary thing to do even it meant them having to deskill</w:t>
      </w:r>
      <w:r w:rsidRPr="00F9054A">
        <w:rPr>
          <w:rFonts w:ascii="Times New Roman" w:hAnsi="Times New Roman"/>
          <w:szCs w:val="24"/>
        </w:rPr>
        <w:t xml:space="preserve"> as discussed below.</w:t>
      </w:r>
    </w:p>
    <w:p w14:paraId="28959644" w14:textId="77777777" w:rsidR="008861F2" w:rsidRPr="00BC2614" w:rsidRDefault="008861F2" w:rsidP="006869A3">
      <w:pPr>
        <w:pStyle w:val="Heading3"/>
      </w:pPr>
      <w:bookmarkStart w:id="188" w:name="_Toc86417368"/>
      <w:r w:rsidRPr="00BC2614">
        <w:t>8.2.3. Needs-based (necessity-defined) motivation</w:t>
      </w:r>
      <w:bookmarkEnd w:id="188"/>
    </w:p>
    <w:p w14:paraId="0DB26A33" w14:textId="77777777" w:rsidR="008861F2" w:rsidRPr="00F94B43" w:rsidRDefault="008861F2" w:rsidP="008861F2">
      <w:pPr>
        <w:jc w:val="both"/>
        <w:rPr>
          <w:rFonts w:ascii="Times New Roman" w:hAnsi="Times New Roman"/>
          <w:szCs w:val="24"/>
        </w:rPr>
      </w:pPr>
      <w:r w:rsidRPr="00BC2614">
        <w:rPr>
          <w:rFonts w:ascii="Times New Roman" w:hAnsi="Times New Roman"/>
          <w:szCs w:val="24"/>
        </w:rPr>
        <w:t>Most participants (n=15) cited needs-based reasons for working as a care</w:t>
      </w:r>
      <w:r>
        <w:rPr>
          <w:rFonts w:ascii="Times New Roman" w:hAnsi="Times New Roman"/>
          <w:szCs w:val="24"/>
        </w:rPr>
        <w:t xml:space="preserve"> worker</w:t>
      </w:r>
      <w:r w:rsidRPr="00F94B43">
        <w:rPr>
          <w:rFonts w:ascii="Times New Roman" w:hAnsi="Times New Roman"/>
          <w:szCs w:val="24"/>
        </w:rPr>
        <w:t>, which included, not having enough shift in their former jobs and the financial incentives of working as a care worker.</w:t>
      </w:r>
    </w:p>
    <w:p w14:paraId="10A0E28C" w14:textId="77777777" w:rsidR="008861F2" w:rsidRPr="00F94B43" w:rsidRDefault="008861F2" w:rsidP="006869A3">
      <w:pPr>
        <w:pStyle w:val="Heading5"/>
        <w:rPr>
          <w:iCs/>
        </w:rPr>
      </w:pPr>
      <w:r w:rsidRPr="00F94B43">
        <w:rPr>
          <w:b/>
        </w:rPr>
        <w:t xml:space="preserve">8.2.3.1. </w:t>
      </w:r>
      <w:r w:rsidRPr="00F94B43">
        <w:t xml:space="preserve">Not enough shift in other </w:t>
      </w:r>
      <w:r w:rsidRPr="00F94B43">
        <w:rPr>
          <w:iCs/>
        </w:rPr>
        <w:t>jobs</w:t>
      </w:r>
    </w:p>
    <w:p w14:paraId="071FDB4C" w14:textId="2939BB61" w:rsidR="008861F2" w:rsidRPr="00F94B43" w:rsidRDefault="008861F2" w:rsidP="008861F2">
      <w:pPr>
        <w:jc w:val="both"/>
        <w:rPr>
          <w:rFonts w:ascii="Times New Roman" w:hAnsi="Times New Roman"/>
          <w:szCs w:val="24"/>
        </w:rPr>
      </w:pPr>
      <w:r w:rsidRPr="00F94B43">
        <w:rPr>
          <w:rFonts w:ascii="Times New Roman" w:hAnsi="Times New Roman"/>
          <w:iCs/>
          <w:szCs w:val="24"/>
        </w:rPr>
        <w:t>One</w:t>
      </w:r>
      <w:r w:rsidRPr="00F94B43">
        <w:rPr>
          <w:rFonts w:ascii="Times New Roman" w:hAnsi="Times New Roman"/>
          <w:szCs w:val="24"/>
        </w:rPr>
        <w:t xml:space="preserve"> of needs-based extrinsic forms of motivation that spurred some participants (n=6) to assume the role of HCA was the lack of shift in their previous jobs. This was common with participants who had no prior nursing training in Nigeria. As noted earlier in this chapter, they were unable to find jobs that befits their professional expectation and therefore had to work to earn some </w:t>
      </w:r>
      <w:r w:rsidR="00170D8D" w:rsidRPr="00F94B43">
        <w:rPr>
          <w:rFonts w:ascii="Times New Roman" w:hAnsi="Times New Roman"/>
          <w:szCs w:val="24"/>
        </w:rPr>
        <w:t>money,</w:t>
      </w:r>
      <w:r w:rsidRPr="00F94B43">
        <w:rPr>
          <w:rFonts w:ascii="Times New Roman" w:hAnsi="Times New Roman"/>
          <w:szCs w:val="24"/>
        </w:rPr>
        <w:t xml:space="preserve"> and this was often only found in low-paying jobs. For example, Kemdo (who has a degree in accounting and worked as a resident control officer in a Nigerian bank) narrated how he became a porter in a care home after he migrated to the UK. He reflected:</w:t>
      </w:r>
    </w:p>
    <w:p w14:paraId="6C2C9C31" w14:textId="77777777" w:rsidR="008861F2" w:rsidRPr="00F94B43" w:rsidRDefault="008861F2" w:rsidP="008861F2">
      <w:pPr>
        <w:jc w:val="both"/>
        <w:rPr>
          <w:rFonts w:ascii="Times New Roman" w:hAnsi="Times New Roman"/>
          <w:szCs w:val="24"/>
        </w:rPr>
      </w:pPr>
      <w:r w:rsidRPr="00F94B43">
        <w:rPr>
          <w:rFonts w:ascii="Times New Roman" w:hAnsi="Times New Roman"/>
          <w:szCs w:val="24"/>
        </w:rPr>
        <w:t>“</w:t>
      </w:r>
      <w:r w:rsidRPr="00F94B43">
        <w:rPr>
          <w:rFonts w:ascii="Times New Roman" w:hAnsi="Times New Roman"/>
          <w:i/>
          <w:szCs w:val="24"/>
        </w:rPr>
        <w:t xml:space="preserve">At the initial stage, because you are just coming in, you don’t have work experience in the United Kingdom, you cannot find bank job here so I started with, porter ehm, </w:t>
      </w:r>
      <w:r w:rsidRPr="00F94B43">
        <w:rPr>
          <w:rFonts w:ascii="Times New Roman" w:hAnsi="Times New Roman"/>
          <w:i/>
          <w:szCs w:val="24"/>
        </w:rPr>
        <w:lastRenderedPageBreak/>
        <w:t>they call it catering job. You work in the kitchen, you wash plates, you tidy the dining in the care home.</w:t>
      </w:r>
      <w:r w:rsidRPr="00F94B43">
        <w:rPr>
          <w:rFonts w:ascii="Times New Roman" w:hAnsi="Times New Roman"/>
          <w:szCs w:val="24"/>
        </w:rPr>
        <w:t>” (Kemdo, HCA)</w:t>
      </w:r>
    </w:p>
    <w:p w14:paraId="0670FCBD" w14:textId="77777777" w:rsidR="008861F2" w:rsidRPr="005D3AE6" w:rsidRDefault="008861F2" w:rsidP="008861F2">
      <w:pPr>
        <w:jc w:val="both"/>
        <w:rPr>
          <w:rFonts w:ascii="Times New Roman" w:hAnsi="Times New Roman"/>
          <w:szCs w:val="24"/>
        </w:rPr>
      </w:pPr>
      <w:r w:rsidRPr="00F94B43">
        <w:rPr>
          <w:rFonts w:ascii="Times New Roman" w:hAnsi="Times New Roman"/>
          <w:szCs w:val="24"/>
        </w:rPr>
        <w:t xml:space="preserve">Working as a kitchen porter and washing-up dishes was not something Kemdo wanted to do but he did it all the same. Like Kemdo, nearly all my participants </w:t>
      </w:r>
      <w:r>
        <w:rPr>
          <w:rFonts w:ascii="Times New Roman" w:hAnsi="Times New Roman"/>
          <w:szCs w:val="24"/>
        </w:rPr>
        <w:t>who were not nurses</w:t>
      </w:r>
      <w:r w:rsidRPr="00F94B43">
        <w:rPr>
          <w:rFonts w:ascii="Times New Roman" w:hAnsi="Times New Roman"/>
          <w:szCs w:val="24"/>
        </w:rPr>
        <w:t>, took jobs that they considered menial and low paid. However, after working in these low paid jobs for some time, they changed jobs and began to work as HCAs because due to what they described as the ‘lack of shift’.</w:t>
      </w:r>
      <w:r>
        <w:rPr>
          <w:rFonts w:ascii="Times New Roman" w:hAnsi="Times New Roman"/>
          <w:szCs w:val="24"/>
        </w:rPr>
        <w:t xml:space="preserve"> The shortage of staff in the NHS and the availability of shifts also facilitated these choices.</w:t>
      </w:r>
      <w:r w:rsidRPr="005D3AE6">
        <w:rPr>
          <w:rFonts w:ascii="Times New Roman" w:hAnsi="Times New Roman"/>
          <w:szCs w:val="24"/>
        </w:rPr>
        <w:t xml:space="preserve"> For instance, Morgan, who worked at an industrial site before becoming a care worker shared his experience:</w:t>
      </w:r>
    </w:p>
    <w:p w14:paraId="379C98BB" w14:textId="77777777" w:rsidR="008861F2" w:rsidRPr="005D3AE6" w:rsidRDefault="008861F2" w:rsidP="008861F2">
      <w:pPr>
        <w:jc w:val="both"/>
        <w:rPr>
          <w:rFonts w:ascii="Times New Roman" w:hAnsi="Times New Roman"/>
          <w:szCs w:val="24"/>
        </w:rPr>
      </w:pPr>
      <w:r w:rsidRPr="005D3AE6">
        <w:rPr>
          <w:rFonts w:ascii="Times New Roman" w:hAnsi="Times New Roman"/>
          <w:szCs w:val="24"/>
        </w:rPr>
        <w:t>“</w:t>
      </w:r>
      <w:r w:rsidRPr="005D3AE6">
        <w:rPr>
          <w:rFonts w:ascii="Times New Roman" w:hAnsi="Times New Roman"/>
          <w:i/>
          <w:szCs w:val="24"/>
        </w:rPr>
        <w:t xml:space="preserve">What motivated me </w:t>
      </w:r>
      <w:r w:rsidRPr="005D3AE6">
        <w:rPr>
          <w:rFonts w:ascii="Times New Roman" w:hAnsi="Times New Roman"/>
          <w:szCs w:val="24"/>
        </w:rPr>
        <w:t>[into caregiving]</w:t>
      </w:r>
      <w:r w:rsidRPr="005D3AE6">
        <w:rPr>
          <w:rFonts w:ascii="Times New Roman" w:hAnsi="Times New Roman"/>
          <w:i/>
          <w:szCs w:val="24"/>
        </w:rPr>
        <w:t xml:space="preserve"> was that I wasn’t getting enough shift […..]in the industrial sector, so I decided that, ‘no I can’t survive like this, I can’t keep on going like this, I need, I need an additional source of income’ […..]</w:t>
      </w:r>
      <w:r w:rsidRPr="005D3AE6">
        <w:rPr>
          <w:rFonts w:ascii="Times New Roman" w:hAnsi="Times New Roman"/>
          <w:szCs w:val="24"/>
        </w:rPr>
        <w:t>” (Morgan, HCA)</w:t>
      </w:r>
    </w:p>
    <w:p w14:paraId="0D9C0F02" w14:textId="77777777" w:rsidR="008861F2" w:rsidRPr="005D3AE6" w:rsidRDefault="008861F2" w:rsidP="008861F2">
      <w:pPr>
        <w:jc w:val="both"/>
        <w:rPr>
          <w:rFonts w:ascii="Times New Roman" w:hAnsi="Times New Roman"/>
          <w:szCs w:val="24"/>
        </w:rPr>
      </w:pPr>
      <w:r w:rsidRPr="005D3AE6">
        <w:rPr>
          <w:rFonts w:ascii="Times New Roman" w:hAnsi="Times New Roman"/>
          <w:szCs w:val="24"/>
        </w:rPr>
        <w:t>Although Morgan had earlier cited the negative impact working in the industrial sector would have on his CV</w:t>
      </w:r>
      <w:r>
        <w:rPr>
          <w:rFonts w:ascii="Times New Roman" w:hAnsi="Times New Roman"/>
          <w:szCs w:val="24"/>
        </w:rPr>
        <w:t>,</w:t>
      </w:r>
      <w:r w:rsidRPr="005D3AE6">
        <w:rPr>
          <w:rFonts w:ascii="Times New Roman" w:hAnsi="Times New Roman"/>
          <w:szCs w:val="24"/>
        </w:rPr>
        <w:t xml:space="preserve"> (being a graduate with a health-related degree), he also stated that the lack of shift in that sector was another reason he chose to become a care worker. While the assumption might be that this was only related to income, other research (Alexander and Haley-Lock, 2013; Aaron-Mele, 2014; Alexander, Haley-Lock and Ruan, 2014) suggest</w:t>
      </w:r>
      <w:r>
        <w:rPr>
          <w:rFonts w:ascii="Times New Roman" w:hAnsi="Times New Roman"/>
          <w:szCs w:val="24"/>
        </w:rPr>
        <w:t>s</w:t>
      </w:r>
      <w:r w:rsidRPr="005D3AE6">
        <w:rPr>
          <w:rFonts w:ascii="Times New Roman" w:hAnsi="Times New Roman"/>
          <w:szCs w:val="24"/>
        </w:rPr>
        <w:t xml:space="preserve"> that lack of regular work patterns and shift</w:t>
      </w:r>
      <w:r>
        <w:rPr>
          <w:rFonts w:ascii="Times New Roman" w:hAnsi="Times New Roman"/>
          <w:szCs w:val="24"/>
        </w:rPr>
        <w:t>s</w:t>
      </w:r>
      <w:r w:rsidRPr="005D3AE6">
        <w:rPr>
          <w:rFonts w:ascii="Times New Roman" w:hAnsi="Times New Roman"/>
          <w:szCs w:val="24"/>
        </w:rPr>
        <w:t xml:space="preserve"> ha</w:t>
      </w:r>
      <w:r>
        <w:rPr>
          <w:rFonts w:ascii="Times New Roman" w:hAnsi="Times New Roman"/>
          <w:szCs w:val="24"/>
        </w:rPr>
        <w:t xml:space="preserve">ve </w:t>
      </w:r>
      <w:r w:rsidRPr="005D3AE6">
        <w:rPr>
          <w:rFonts w:ascii="Times New Roman" w:hAnsi="Times New Roman"/>
          <w:szCs w:val="24"/>
        </w:rPr>
        <w:t>been implicated in high level of stress reported amongst people working as agency staff (e.g.</w:t>
      </w:r>
      <w:r>
        <w:rPr>
          <w:rFonts w:ascii="Times New Roman" w:hAnsi="Times New Roman"/>
          <w:szCs w:val="24"/>
        </w:rPr>
        <w:t>,</w:t>
      </w:r>
      <w:r w:rsidRPr="005D3AE6">
        <w:rPr>
          <w:rFonts w:ascii="Times New Roman" w:hAnsi="Times New Roman"/>
          <w:szCs w:val="24"/>
        </w:rPr>
        <w:t xml:space="preserve"> temporary and casual workers on a zero-hours contract). My findings support Aarons-Mele (2014), as the participants identified stress (including the physical demands of working as a factory worker) in their previous role as one of the factors that made them take up a job in care. For example, Jeff, another participant, described his previous industrial work in the UK as tedious and more stressful than working as a care</w:t>
      </w:r>
      <w:r>
        <w:rPr>
          <w:rFonts w:ascii="Times New Roman" w:hAnsi="Times New Roman"/>
          <w:szCs w:val="24"/>
        </w:rPr>
        <w:t xml:space="preserve"> worker</w:t>
      </w:r>
      <w:r w:rsidRPr="005D3AE6">
        <w:rPr>
          <w:rFonts w:ascii="Times New Roman" w:hAnsi="Times New Roman"/>
          <w:szCs w:val="24"/>
        </w:rPr>
        <w:t>. He added:</w:t>
      </w:r>
    </w:p>
    <w:p w14:paraId="36F887BC" w14:textId="77777777" w:rsidR="008861F2" w:rsidRPr="005D3AE6" w:rsidRDefault="008861F2" w:rsidP="008861F2">
      <w:pPr>
        <w:jc w:val="both"/>
        <w:rPr>
          <w:rFonts w:ascii="Times New Roman" w:hAnsi="Times New Roman"/>
          <w:szCs w:val="24"/>
        </w:rPr>
      </w:pPr>
      <w:r w:rsidRPr="005D3AE6">
        <w:rPr>
          <w:rFonts w:ascii="Times New Roman" w:hAnsi="Times New Roman"/>
          <w:szCs w:val="24"/>
        </w:rPr>
        <w:t>“</w:t>
      </w:r>
      <w:r w:rsidRPr="005D3AE6">
        <w:rPr>
          <w:rFonts w:ascii="Times New Roman" w:hAnsi="Times New Roman"/>
          <w:i/>
          <w:szCs w:val="24"/>
        </w:rPr>
        <w:t>To be honest considering mm, that industrial job, has its own challenges as well as in it’s a bit stressful as well, so you have to stand too long … , a lot of lifting, pushing, pulling, you know. Apart from that, they are not very well paid.</w:t>
      </w:r>
      <w:r w:rsidRPr="005D3AE6">
        <w:rPr>
          <w:rFonts w:ascii="Times New Roman" w:hAnsi="Times New Roman"/>
          <w:szCs w:val="24"/>
        </w:rPr>
        <w:t>” (Jeff, HCA)</w:t>
      </w:r>
    </w:p>
    <w:p w14:paraId="777C0020" w14:textId="77777777" w:rsidR="008861F2" w:rsidRPr="00D47077" w:rsidRDefault="008861F2" w:rsidP="008861F2">
      <w:pPr>
        <w:jc w:val="both"/>
        <w:rPr>
          <w:rFonts w:ascii="Times New Roman" w:hAnsi="Times New Roman"/>
          <w:szCs w:val="24"/>
        </w:rPr>
      </w:pPr>
      <w:r w:rsidRPr="005D3AE6">
        <w:rPr>
          <w:rFonts w:ascii="Times New Roman" w:hAnsi="Times New Roman"/>
          <w:szCs w:val="24"/>
        </w:rPr>
        <w:lastRenderedPageBreak/>
        <w:t>Jeff and Morgan also found working as a care</w:t>
      </w:r>
      <w:r>
        <w:rPr>
          <w:rFonts w:ascii="Times New Roman" w:hAnsi="Times New Roman"/>
          <w:szCs w:val="24"/>
        </w:rPr>
        <w:t xml:space="preserve"> worke</w:t>
      </w:r>
      <w:r w:rsidRPr="005D3AE6">
        <w:rPr>
          <w:rFonts w:ascii="Times New Roman" w:hAnsi="Times New Roman"/>
          <w:szCs w:val="24"/>
        </w:rPr>
        <w:t>r financially rewarding because they get more shift</w:t>
      </w:r>
      <w:r>
        <w:rPr>
          <w:rFonts w:ascii="Times New Roman" w:hAnsi="Times New Roman"/>
          <w:szCs w:val="24"/>
        </w:rPr>
        <w:t>s</w:t>
      </w:r>
      <w:r w:rsidRPr="005D3AE6">
        <w:rPr>
          <w:rFonts w:ascii="Times New Roman" w:hAnsi="Times New Roman"/>
          <w:szCs w:val="24"/>
        </w:rPr>
        <w:t xml:space="preserve"> than when in industrial jobs and they consider this an additional motivation</w:t>
      </w:r>
      <w:r w:rsidRPr="00D47077">
        <w:rPr>
          <w:rFonts w:ascii="Times New Roman" w:hAnsi="Times New Roman"/>
          <w:szCs w:val="24"/>
        </w:rPr>
        <w:t>. For example, Jeff noted that:</w:t>
      </w:r>
    </w:p>
    <w:p w14:paraId="6B1DBABE"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w:t>
      </w:r>
      <w:r w:rsidRPr="00D47077">
        <w:rPr>
          <w:rFonts w:ascii="Times New Roman" w:hAnsi="Times New Roman"/>
          <w:i/>
          <w:szCs w:val="24"/>
        </w:rPr>
        <w:t>Yes, the money, yes, so the pay [from care work] is better as well, so compared to industrial so why spending lot of time</w:t>
      </w:r>
      <w:r w:rsidRPr="00D47077">
        <w:rPr>
          <w:rFonts w:ascii="Times New Roman" w:hAnsi="Times New Roman"/>
          <w:szCs w:val="24"/>
        </w:rPr>
        <w:t>” (Jeff, HCA)</w:t>
      </w:r>
    </w:p>
    <w:p w14:paraId="6E91F33F"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When asked specifically about caring for PLWD, Jeff admitted he only took the job as a care worker out of necessity. Whereas Morgan’s decision to remain in care work</w:t>
      </w:r>
      <w:r>
        <w:rPr>
          <w:rFonts w:ascii="Times New Roman" w:hAnsi="Times New Roman"/>
          <w:szCs w:val="24"/>
        </w:rPr>
        <w:t xml:space="preserve"> is</w:t>
      </w:r>
      <w:r w:rsidRPr="00D47077">
        <w:rPr>
          <w:rFonts w:ascii="Times New Roman" w:hAnsi="Times New Roman"/>
          <w:szCs w:val="24"/>
        </w:rPr>
        <w:t xml:space="preserve"> because he considers it closely related to public health, having completed his master’s degree. Indeed, Morgan seemed to have come to like his role as a carer and he attributed this to his experience of caring for his adopted dad, an experience Jeff never </w:t>
      </w:r>
      <w:r>
        <w:rPr>
          <w:rFonts w:ascii="Times New Roman" w:hAnsi="Times New Roman"/>
          <w:szCs w:val="24"/>
        </w:rPr>
        <w:t>forgets</w:t>
      </w:r>
      <w:r w:rsidRPr="00D47077">
        <w:rPr>
          <w:rFonts w:ascii="Times New Roman" w:hAnsi="Times New Roman"/>
          <w:szCs w:val="24"/>
        </w:rPr>
        <w:t>.</w:t>
      </w:r>
    </w:p>
    <w:p w14:paraId="702DAB33"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Although Jeff found care work less physically demanding than his previous industrial job, he also mentioned why he prefers to work in other mental health wards rather than a dementia ward. He stated:</w:t>
      </w:r>
    </w:p>
    <w:p w14:paraId="230DB259"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w:t>
      </w:r>
      <w:r w:rsidRPr="00D47077">
        <w:rPr>
          <w:rFonts w:ascii="Times New Roman" w:hAnsi="Times New Roman"/>
          <w:i/>
          <w:szCs w:val="24"/>
        </w:rPr>
        <w:t>…if I have the opportunity not to work there [on a dementia ward] …, I will not work there because their level of psychosis and cognitive fluctuations.</w:t>
      </w:r>
      <w:r w:rsidRPr="00D47077">
        <w:rPr>
          <w:rFonts w:ascii="Times New Roman" w:hAnsi="Times New Roman"/>
          <w:szCs w:val="24"/>
        </w:rPr>
        <w:t>” (Jeff, HCA)</w:t>
      </w:r>
    </w:p>
    <w:p w14:paraId="5F7FCCAF"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Despite the stated desire to work as HCA, Jeff took an exception to working as a care worker for PLWD and noted that his key reason he would contemplate doing so was the monetary gains he would receive. Compared to not working at all, Jeff considers caring for PLWD as a job he does out of necessity, to get the money. This complete monetary motivation to care is explored further in the next sub-section.</w:t>
      </w:r>
    </w:p>
    <w:p w14:paraId="44DC32EF" w14:textId="77777777" w:rsidR="008861F2" w:rsidRPr="00D47077" w:rsidRDefault="008861F2" w:rsidP="006869A3">
      <w:pPr>
        <w:pStyle w:val="Heading5"/>
        <w:rPr>
          <w:iCs/>
        </w:rPr>
      </w:pPr>
      <w:r w:rsidRPr="00D47077">
        <w:rPr>
          <w:b/>
        </w:rPr>
        <w:t xml:space="preserve">8.2.3.2. </w:t>
      </w:r>
      <w:r w:rsidRPr="00D47077">
        <w:t>Financial incentives:</w:t>
      </w:r>
    </w:p>
    <w:p w14:paraId="4E9AE11A" w14:textId="77777777" w:rsidR="008861F2" w:rsidRPr="004D386B" w:rsidRDefault="008861F2" w:rsidP="008861F2">
      <w:pPr>
        <w:jc w:val="both"/>
        <w:rPr>
          <w:rFonts w:ascii="Times New Roman" w:hAnsi="Times New Roman"/>
          <w:szCs w:val="24"/>
        </w:rPr>
      </w:pPr>
      <w:r w:rsidRPr="00B41D20">
        <w:rPr>
          <w:rFonts w:ascii="Times New Roman" w:hAnsi="Times New Roman"/>
          <w:szCs w:val="24"/>
        </w:rPr>
        <w:t xml:space="preserve">Everyone needs to earn </w:t>
      </w:r>
      <w:r>
        <w:rPr>
          <w:rFonts w:ascii="Times New Roman" w:hAnsi="Times New Roman"/>
          <w:szCs w:val="24"/>
        </w:rPr>
        <w:t>a</w:t>
      </w:r>
      <w:r w:rsidRPr="00B41D20">
        <w:rPr>
          <w:rFonts w:ascii="Times New Roman" w:hAnsi="Times New Roman"/>
          <w:szCs w:val="24"/>
        </w:rPr>
        <w:t xml:space="preserve"> living</w:t>
      </w:r>
      <w:r>
        <w:rPr>
          <w:rFonts w:ascii="Times New Roman" w:hAnsi="Times New Roman"/>
          <w:szCs w:val="24"/>
        </w:rPr>
        <w:t>.</w:t>
      </w:r>
      <w:r w:rsidRPr="00B41D20">
        <w:rPr>
          <w:rFonts w:ascii="Times New Roman" w:hAnsi="Times New Roman"/>
          <w:szCs w:val="24"/>
        </w:rPr>
        <w:t xml:space="preserve"> </w:t>
      </w:r>
      <w:r>
        <w:rPr>
          <w:rFonts w:ascii="Times New Roman" w:hAnsi="Times New Roman"/>
          <w:szCs w:val="24"/>
        </w:rPr>
        <w:t>It</w:t>
      </w:r>
      <w:r w:rsidRPr="00B41D20">
        <w:rPr>
          <w:rFonts w:ascii="Times New Roman" w:hAnsi="Times New Roman"/>
          <w:szCs w:val="24"/>
        </w:rPr>
        <w:t xml:space="preserve"> </w:t>
      </w:r>
      <w:r>
        <w:rPr>
          <w:rFonts w:ascii="Times New Roman" w:hAnsi="Times New Roman"/>
          <w:szCs w:val="24"/>
        </w:rPr>
        <w:t xml:space="preserve">was </w:t>
      </w:r>
      <w:r w:rsidRPr="00B41D20">
        <w:rPr>
          <w:rFonts w:ascii="Times New Roman" w:hAnsi="Times New Roman"/>
          <w:szCs w:val="24"/>
        </w:rPr>
        <w:t>therefore not surprising</w:t>
      </w:r>
      <w:r>
        <w:rPr>
          <w:rFonts w:ascii="Times New Roman" w:hAnsi="Times New Roman"/>
          <w:szCs w:val="24"/>
        </w:rPr>
        <w:t xml:space="preserve"> </w:t>
      </w:r>
      <w:r w:rsidRPr="00B41D20">
        <w:rPr>
          <w:rFonts w:ascii="Times New Roman" w:hAnsi="Times New Roman"/>
          <w:szCs w:val="24"/>
        </w:rPr>
        <w:t xml:space="preserve">that financial remuneration </w:t>
      </w:r>
      <w:r>
        <w:rPr>
          <w:rFonts w:ascii="Times New Roman" w:hAnsi="Times New Roman"/>
          <w:szCs w:val="24"/>
        </w:rPr>
        <w:t>is</w:t>
      </w:r>
      <w:r w:rsidRPr="00B41D20">
        <w:rPr>
          <w:rFonts w:ascii="Times New Roman" w:hAnsi="Times New Roman"/>
          <w:szCs w:val="24"/>
        </w:rPr>
        <w:t xml:space="preserve"> a motivating factor </w:t>
      </w:r>
      <w:r>
        <w:rPr>
          <w:rFonts w:ascii="Times New Roman" w:hAnsi="Times New Roman"/>
          <w:szCs w:val="24"/>
        </w:rPr>
        <w:t>to engage in</w:t>
      </w:r>
      <w:r w:rsidRPr="00B41D20">
        <w:rPr>
          <w:rFonts w:ascii="Times New Roman" w:hAnsi="Times New Roman"/>
          <w:szCs w:val="24"/>
        </w:rPr>
        <w:t xml:space="preserve"> care work.  However, three of my participants</w:t>
      </w:r>
      <w:r>
        <w:rPr>
          <w:rFonts w:ascii="Times New Roman" w:hAnsi="Times New Roman"/>
          <w:szCs w:val="24"/>
        </w:rPr>
        <w:t xml:space="preserve">, </w:t>
      </w:r>
      <w:r w:rsidRPr="00B41D20">
        <w:rPr>
          <w:rFonts w:ascii="Times New Roman" w:hAnsi="Times New Roman"/>
          <w:szCs w:val="24"/>
        </w:rPr>
        <w:t xml:space="preserve">Jeff, John and Kemdo, seemed to be expressly motivated by the financial reward </w:t>
      </w:r>
      <w:r>
        <w:rPr>
          <w:rFonts w:ascii="Times New Roman" w:hAnsi="Times New Roman"/>
          <w:szCs w:val="24"/>
        </w:rPr>
        <w:t>they</w:t>
      </w:r>
      <w:r w:rsidRPr="00B41D20">
        <w:rPr>
          <w:rFonts w:ascii="Times New Roman" w:hAnsi="Times New Roman"/>
          <w:szCs w:val="24"/>
        </w:rPr>
        <w:t xml:space="preserve"> derived from working as a care worker.</w:t>
      </w:r>
      <w:r>
        <w:rPr>
          <w:rFonts w:ascii="Times New Roman" w:hAnsi="Times New Roman"/>
          <w:szCs w:val="24"/>
        </w:rPr>
        <w:t xml:space="preserve"> I explored this in further details later (see subsection 8.2.4).</w:t>
      </w:r>
    </w:p>
    <w:p w14:paraId="26BA79F7" w14:textId="77777777" w:rsidR="008861F2" w:rsidRPr="00BC2614" w:rsidRDefault="008861F2" w:rsidP="006869A3">
      <w:pPr>
        <w:pStyle w:val="Heading5"/>
      </w:pPr>
      <w:r w:rsidRPr="00BC2614">
        <w:rPr>
          <w:b/>
        </w:rPr>
        <w:lastRenderedPageBreak/>
        <w:t>8.2.3.3.</w:t>
      </w:r>
      <w:r w:rsidRPr="00BC2614">
        <w:t xml:space="preserve"> Other needs-based motivations</w:t>
      </w:r>
    </w:p>
    <w:p w14:paraId="5AE5B233" w14:textId="77777777" w:rsidR="008861F2" w:rsidRPr="00D47077" w:rsidRDefault="008861F2" w:rsidP="008861F2">
      <w:pPr>
        <w:jc w:val="both"/>
        <w:rPr>
          <w:rFonts w:ascii="Times New Roman" w:hAnsi="Times New Roman"/>
          <w:szCs w:val="24"/>
        </w:rPr>
      </w:pPr>
      <w:r w:rsidRPr="00BC2614">
        <w:rPr>
          <w:rFonts w:ascii="Times New Roman" w:hAnsi="Times New Roman"/>
          <w:szCs w:val="24"/>
        </w:rPr>
        <w:t>Other material motives for caring included attending to childcare needs and suitable shift</w:t>
      </w:r>
      <w:r w:rsidRPr="00D47077">
        <w:rPr>
          <w:rFonts w:ascii="Times New Roman" w:hAnsi="Times New Roman"/>
          <w:szCs w:val="24"/>
        </w:rPr>
        <w:t xml:space="preserve"> patterns</w:t>
      </w:r>
      <w:r>
        <w:rPr>
          <w:rFonts w:ascii="Times New Roman" w:hAnsi="Times New Roman"/>
          <w:szCs w:val="24"/>
        </w:rPr>
        <w:t xml:space="preserve"> </w:t>
      </w:r>
      <w:r w:rsidRPr="00D47077">
        <w:rPr>
          <w:rFonts w:ascii="Times New Roman" w:hAnsi="Times New Roman"/>
          <w:szCs w:val="24"/>
        </w:rPr>
        <w:t>Omolara who works as a nurse, stated she was first motivated to work as HCA out of necessity. She noted:</w:t>
      </w:r>
    </w:p>
    <w:p w14:paraId="38F23495" w14:textId="77777777" w:rsidR="008861F2" w:rsidRPr="00D47077" w:rsidRDefault="008861F2" w:rsidP="008861F2">
      <w:pPr>
        <w:jc w:val="both"/>
        <w:rPr>
          <w:rFonts w:ascii="Times New Roman" w:hAnsi="Times New Roman"/>
          <w:szCs w:val="24"/>
        </w:rPr>
      </w:pPr>
      <w:r w:rsidRPr="00D47077">
        <w:rPr>
          <w:rFonts w:ascii="Times New Roman" w:hAnsi="Times New Roman"/>
          <w:szCs w:val="24"/>
        </w:rPr>
        <w:t xml:space="preserve"> “</w:t>
      </w:r>
      <w:r w:rsidRPr="00D47077">
        <w:rPr>
          <w:rFonts w:ascii="Times New Roman" w:hAnsi="Times New Roman"/>
          <w:i/>
          <w:szCs w:val="24"/>
        </w:rPr>
        <w:t>…. when I came here [to the UK], I practiced as a physio[therapist] but physio is a 9-5 job so it wasn’t helpful with the kids and [….] with child care… So, I decided to step down and do night … working as a health care assistant</w:t>
      </w:r>
      <w:r w:rsidRPr="00D47077">
        <w:rPr>
          <w:rFonts w:ascii="Times New Roman" w:hAnsi="Times New Roman"/>
          <w:szCs w:val="24"/>
        </w:rPr>
        <w:t>” (Omolara, RMN)</w:t>
      </w:r>
    </w:p>
    <w:p w14:paraId="7EBB10DA" w14:textId="3D78CD6C" w:rsidR="008861F2" w:rsidRPr="00871034" w:rsidRDefault="008861F2" w:rsidP="008861F2">
      <w:pPr>
        <w:jc w:val="both"/>
        <w:rPr>
          <w:rFonts w:ascii="Times New Roman" w:hAnsi="Times New Roman"/>
          <w:szCs w:val="24"/>
        </w:rPr>
      </w:pPr>
      <w:r w:rsidRPr="00D47077">
        <w:rPr>
          <w:rFonts w:ascii="Times New Roman" w:hAnsi="Times New Roman"/>
          <w:szCs w:val="24"/>
        </w:rPr>
        <w:t>Listening to Omolara, it seems that she was pragmatic in her decision to deskill and her employment strategy took her child-care need into consideration. Although she expressed other career-oriented motives for engaging in care, she basically typifies nearly all my participants whose motivation to care were mostly more than a single reason. In the next section, I present and discuss the main rewards that my participants derived from working as a care worker and nurse for PLWD.</w:t>
      </w:r>
    </w:p>
    <w:p w14:paraId="6982867C" w14:textId="77777777" w:rsidR="008861F2" w:rsidRPr="00761FE4" w:rsidRDefault="008861F2" w:rsidP="006869A3">
      <w:pPr>
        <w:pStyle w:val="Heading2"/>
      </w:pPr>
      <w:bookmarkStart w:id="189" w:name="_Toc86417369"/>
      <w:r w:rsidRPr="00761FE4">
        <w:t>8.</w:t>
      </w:r>
      <w:r>
        <w:t>3</w:t>
      </w:r>
      <w:r w:rsidRPr="00761FE4">
        <w:t>. The rewarding aspects of caring for PLWD</w:t>
      </w:r>
      <w:bookmarkEnd w:id="189"/>
    </w:p>
    <w:p w14:paraId="4F6E36A9" w14:textId="77777777" w:rsidR="008861F2" w:rsidRPr="000852D7" w:rsidRDefault="008861F2" w:rsidP="006869A3">
      <w:pPr>
        <w:pStyle w:val="Heading3"/>
      </w:pPr>
      <w:bookmarkStart w:id="190" w:name="_Toc86417370"/>
      <w:r w:rsidRPr="000852D7">
        <w:t>8.</w:t>
      </w:r>
      <w:r>
        <w:t>3</w:t>
      </w:r>
      <w:r w:rsidRPr="000852D7">
        <w:t>.1. Introduction</w:t>
      </w:r>
      <w:bookmarkEnd w:id="190"/>
    </w:p>
    <w:p w14:paraId="5233D5A6" w14:textId="77777777" w:rsidR="008861F2" w:rsidRPr="00B10442" w:rsidRDefault="008861F2" w:rsidP="008861F2">
      <w:pPr>
        <w:jc w:val="both"/>
        <w:rPr>
          <w:rFonts w:ascii="Times New Roman" w:hAnsi="Times New Roman"/>
          <w:szCs w:val="24"/>
        </w:rPr>
      </w:pPr>
      <w:r w:rsidRPr="004D386B">
        <w:rPr>
          <w:rFonts w:ascii="Times New Roman" w:hAnsi="Times New Roman"/>
          <w:szCs w:val="24"/>
        </w:rPr>
        <w:t>In the previous section, I presented and discussed my findings on the motivation of paid Nigerian migrant nurses and HCAs to care for PLWD in two NHS wards. However, this also raise</w:t>
      </w:r>
      <w:r>
        <w:rPr>
          <w:rFonts w:ascii="Times New Roman" w:hAnsi="Times New Roman"/>
          <w:szCs w:val="24"/>
        </w:rPr>
        <w:t>d</w:t>
      </w:r>
      <w:r w:rsidRPr="00B10442">
        <w:rPr>
          <w:rFonts w:ascii="Times New Roman" w:hAnsi="Times New Roman"/>
          <w:szCs w:val="24"/>
        </w:rPr>
        <w:t xml:space="preserve"> questions about my participants motivation to remain in their caring role, which </w:t>
      </w:r>
      <w:r w:rsidRPr="000852D7">
        <w:rPr>
          <w:rFonts w:ascii="Times New Roman" w:hAnsi="Times New Roman"/>
          <w:szCs w:val="24"/>
        </w:rPr>
        <w:t>other author</w:t>
      </w:r>
      <w:r w:rsidRPr="004D386B">
        <w:rPr>
          <w:rFonts w:ascii="Times New Roman" w:hAnsi="Times New Roman"/>
          <w:szCs w:val="24"/>
        </w:rPr>
        <w:t>s have suggested is closely associated with the rewards that they derive from their role (Quinn, Clare and Woods, 20</w:t>
      </w:r>
      <w:r>
        <w:rPr>
          <w:rFonts w:ascii="Times New Roman" w:hAnsi="Times New Roman"/>
          <w:szCs w:val="24"/>
        </w:rPr>
        <w:t>1</w:t>
      </w:r>
      <w:r w:rsidRPr="004D386B">
        <w:rPr>
          <w:rFonts w:ascii="Times New Roman" w:hAnsi="Times New Roman"/>
          <w:szCs w:val="24"/>
        </w:rPr>
        <w:t>0). My findings indicate that whether care</w:t>
      </w:r>
      <w:r>
        <w:rPr>
          <w:rFonts w:ascii="Times New Roman" w:hAnsi="Times New Roman"/>
          <w:szCs w:val="24"/>
        </w:rPr>
        <w:t xml:space="preserve"> workers</w:t>
      </w:r>
      <w:r w:rsidRPr="00B10442">
        <w:rPr>
          <w:rFonts w:ascii="Times New Roman" w:hAnsi="Times New Roman"/>
          <w:szCs w:val="24"/>
        </w:rPr>
        <w:t xml:space="preserve"> were motivated to assume care for intrinsic or extrinsic reasons, their motivation to remain in care was based on the benefit(s) they derived from the role, which in turn may or may not be related to what motivated them to assume the role in the first instance.</w:t>
      </w:r>
    </w:p>
    <w:p w14:paraId="29981C7E" w14:textId="77777777" w:rsidR="008861F2" w:rsidRPr="004D386B" w:rsidRDefault="008861F2" w:rsidP="008861F2">
      <w:pPr>
        <w:jc w:val="both"/>
        <w:rPr>
          <w:rFonts w:ascii="Times New Roman" w:hAnsi="Times New Roman"/>
          <w:szCs w:val="24"/>
        </w:rPr>
      </w:pPr>
      <w:r w:rsidRPr="000852D7">
        <w:rPr>
          <w:rFonts w:ascii="Times New Roman" w:hAnsi="Times New Roman"/>
          <w:szCs w:val="24"/>
        </w:rPr>
        <w:t xml:space="preserve">Previous research into care worker’s experiences of caring for PLWD has mostly focused on the associated care burden or the challenges (Stacey, 2005; Bevans and Sternberg, 2012). Furthermore, most of the </w:t>
      </w:r>
      <w:r w:rsidRPr="004D386B">
        <w:rPr>
          <w:rFonts w:ascii="Times New Roman" w:hAnsi="Times New Roman"/>
          <w:szCs w:val="24"/>
        </w:rPr>
        <w:t xml:space="preserve">literature centred on informal carers, with </w:t>
      </w:r>
      <w:r w:rsidRPr="004D386B">
        <w:rPr>
          <w:rFonts w:ascii="Times New Roman" w:hAnsi="Times New Roman"/>
          <w:szCs w:val="24"/>
        </w:rPr>
        <w:lastRenderedPageBreak/>
        <w:t>little attention given to paid carers’ experience of caring. One of the objectives of my research was to fill this gap in the literature on which aspects my participants found rewarding, which motivated them to continue to care for PLWD. As highlighted in Table 8.1, my participants mentioned three main rewards they derived from caring for PLWD, namely, financial and emotional rewards and opportunity for social interactions. These rewards are presented and discussed under those headings in the subsections below.</w:t>
      </w:r>
    </w:p>
    <w:p w14:paraId="4B89E9C9" w14:textId="77777777" w:rsidR="008861F2" w:rsidRPr="004D386B" w:rsidRDefault="008861F2" w:rsidP="006869A3">
      <w:pPr>
        <w:pStyle w:val="Heading3"/>
      </w:pPr>
      <w:bookmarkStart w:id="191" w:name="_Toc86417371"/>
      <w:r w:rsidRPr="004D386B">
        <w:t>8.</w:t>
      </w:r>
      <w:r>
        <w:t>3</w:t>
      </w:r>
      <w:r w:rsidRPr="004D386B">
        <w:t>.2. Financial rewards</w:t>
      </w:r>
      <w:bookmarkEnd w:id="191"/>
    </w:p>
    <w:p w14:paraId="04DA9FF6" w14:textId="77777777" w:rsidR="008861F2" w:rsidRPr="001A0D53" w:rsidRDefault="008861F2" w:rsidP="008861F2">
      <w:pPr>
        <w:jc w:val="both"/>
        <w:rPr>
          <w:rFonts w:ascii="Times New Roman" w:hAnsi="Times New Roman"/>
          <w:szCs w:val="24"/>
        </w:rPr>
      </w:pPr>
      <w:r w:rsidRPr="00761FE4">
        <w:rPr>
          <w:rFonts w:ascii="Times New Roman" w:hAnsi="Times New Roman"/>
          <w:szCs w:val="24"/>
        </w:rPr>
        <w:t xml:space="preserve">Although the latest NHS pay scale shows that a Band 5 nurse earns £22,000 – £28,700 per annum and an HCA earns £15,400 – £19,850 per annum depending on their experience, </w:t>
      </w:r>
      <w:r>
        <w:rPr>
          <w:rFonts w:ascii="Times New Roman" w:hAnsi="Times New Roman"/>
          <w:szCs w:val="24"/>
        </w:rPr>
        <w:t xml:space="preserve">this </w:t>
      </w:r>
      <w:r w:rsidRPr="00761FE4">
        <w:rPr>
          <w:rFonts w:ascii="Times New Roman" w:hAnsi="Times New Roman"/>
          <w:szCs w:val="24"/>
        </w:rPr>
        <w:t>puts them amongst the medium and low-paid jobs respectively (Royal College of Nursing, RCN, 2020). Other research suggests that working as a nurse and particularly as HCA is low-paying (</w:t>
      </w:r>
      <w:r w:rsidRPr="001A0D53">
        <w:rPr>
          <w:rFonts w:ascii="Times New Roman" w:hAnsi="Times New Roman"/>
          <w:iCs/>
          <w:szCs w:val="24"/>
        </w:rPr>
        <w:t xml:space="preserve">Tarricone and Tsouros, </w:t>
      </w:r>
      <w:r w:rsidRPr="001A0D53">
        <w:rPr>
          <w:rFonts w:ascii="Times New Roman" w:hAnsi="Times New Roman"/>
          <w:szCs w:val="24"/>
        </w:rPr>
        <w:t xml:space="preserve">2008; </w:t>
      </w:r>
      <w:r w:rsidRPr="001A0D53">
        <w:rPr>
          <w:rFonts w:ascii="Times New Roman" w:hAnsi="Times New Roman"/>
          <w:iCs/>
          <w:szCs w:val="24"/>
        </w:rPr>
        <w:t xml:space="preserve">Downs, </w:t>
      </w:r>
      <w:r w:rsidRPr="001A0D53">
        <w:rPr>
          <w:rFonts w:ascii="Times New Roman" w:hAnsi="Times New Roman"/>
          <w:szCs w:val="24"/>
        </w:rPr>
        <w:t>2015), and contributes to why UK-born individuals may not be attracted to take up the HCA role.</w:t>
      </w:r>
    </w:p>
    <w:p w14:paraId="52374EF9" w14:textId="77777777" w:rsidR="008861F2" w:rsidRPr="005E315F" w:rsidRDefault="008861F2" w:rsidP="008861F2">
      <w:pPr>
        <w:jc w:val="both"/>
        <w:rPr>
          <w:rFonts w:ascii="Times New Roman" w:hAnsi="Times New Roman"/>
          <w:szCs w:val="24"/>
        </w:rPr>
      </w:pPr>
      <w:r w:rsidRPr="000852D7">
        <w:rPr>
          <w:rFonts w:ascii="Times New Roman" w:hAnsi="Times New Roman"/>
          <w:szCs w:val="24"/>
        </w:rPr>
        <w:t xml:space="preserve">However, findings from this study indicate that the notion of care work being a low-paying job might be relative, as some of </w:t>
      </w:r>
      <w:r>
        <w:rPr>
          <w:rFonts w:ascii="Times New Roman" w:hAnsi="Times New Roman"/>
          <w:szCs w:val="24"/>
        </w:rPr>
        <w:t>my</w:t>
      </w:r>
      <w:r w:rsidRPr="00642ADE">
        <w:rPr>
          <w:rFonts w:ascii="Times New Roman" w:hAnsi="Times New Roman"/>
          <w:szCs w:val="24"/>
        </w:rPr>
        <w:t xml:space="preserve"> participants (n=3) in the study particularly viewed the job as financially rewarding. For example, two of my participants, Jeff and Kemdo, who are both HCAs, specifically held the view that ‘</w:t>
      </w:r>
      <w:r w:rsidRPr="000852D7">
        <w:rPr>
          <w:rFonts w:ascii="Times New Roman" w:hAnsi="Times New Roman"/>
          <w:i/>
          <w:szCs w:val="24"/>
        </w:rPr>
        <w:t>the pay is good</w:t>
      </w:r>
      <w:r w:rsidRPr="000852D7">
        <w:rPr>
          <w:rFonts w:ascii="Times New Roman" w:hAnsi="Times New Roman"/>
          <w:szCs w:val="24"/>
        </w:rPr>
        <w:t>’. From their previous experience of working in other jobs (as an industrial casual worker and a porter respectively) in the UK, they emphasised that their</w:t>
      </w:r>
      <w:r w:rsidRPr="004D386B">
        <w:rPr>
          <w:rFonts w:ascii="Times New Roman" w:hAnsi="Times New Roman"/>
          <w:szCs w:val="24"/>
        </w:rPr>
        <w:t xml:space="preserve"> previous jobs had paid less than what they were currently </w:t>
      </w:r>
      <w:r>
        <w:rPr>
          <w:rFonts w:ascii="Times New Roman" w:hAnsi="Times New Roman"/>
          <w:szCs w:val="24"/>
        </w:rPr>
        <w:t xml:space="preserve">been </w:t>
      </w:r>
      <w:r w:rsidRPr="005E315F">
        <w:rPr>
          <w:rFonts w:ascii="Times New Roman" w:hAnsi="Times New Roman"/>
          <w:szCs w:val="24"/>
        </w:rPr>
        <w:t>paid in care work. Therefore, it was understandable why they both considered working in the NHS as financially rewarding. Moreover, Kemdo who was a student when he began to work as HCA had completed his studies but decided to continue work full-time as HCA</w:t>
      </w:r>
      <w:r>
        <w:rPr>
          <w:rFonts w:ascii="Times New Roman" w:hAnsi="Times New Roman"/>
          <w:szCs w:val="24"/>
        </w:rPr>
        <w:t>.</w:t>
      </w:r>
      <w:r w:rsidRPr="005E315F">
        <w:rPr>
          <w:rFonts w:ascii="Times New Roman" w:hAnsi="Times New Roman"/>
          <w:szCs w:val="24"/>
        </w:rPr>
        <w:t xml:space="preserve"> </w:t>
      </w:r>
      <w:r>
        <w:rPr>
          <w:rFonts w:ascii="Times New Roman" w:hAnsi="Times New Roman"/>
          <w:szCs w:val="24"/>
        </w:rPr>
        <w:t xml:space="preserve">He </w:t>
      </w:r>
      <w:r w:rsidRPr="005E315F">
        <w:rPr>
          <w:rFonts w:ascii="Times New Roman" w:hAnsi="Times New Roman"/>
          <w:szCs w:val="24"/>
        </w:rPr>
        <w:t>spoke about the financial benefit he derived from working as a care</w:t>
      </w:r>
      <w:r>
        <w:rPr>
          <w:rFonts w:ascii="Times New Roman" w:hAnsi="Times New Roman"/>
          <w:szCs w:val="24"/>
        </w:rPr>
        <w:t xml:space="preserve"> worker</w:t>
      </w:r>
      <w:r w:rsidRPr="005E315F">
        <w:rPr>
          <w:rFonts w:ascii="Times New Roman" w:hAnsi="Times New Roman"/>
          <w:szCs w:val="24"/>
        </w:rPr>
        <w:t>, noting that</w:t>
      </w:r>
      <w:r>
        <w:rPr>
          <w:rFonts w:ascii="Times New Roman" w:hAnsi="Times New Roman"/>
          <w:szCs w:val="24"/>
        </w:rPr>
        <w:t>:</w:t>
      </w:r>
    </w:p>
    <w:p w14:paraId="2EDD7F8C" w14:textId="77777777" w:rsidR="008861F2" w:rsidRPr="004D386B" w:rsidRDefault="008861F2" w:rsidP="008861F2">
      <w:pPr>
        <w:jc w:val="both"/>
        <w:rPr>
          <w:rFonts w:ascii="Times New Roman" w:hAnsi="Times New Roman"/>
          <w:szCs w:val="24"/>
        </w:rPr>
      </w:pPr>
      <w:r w:rsidRPr="000852D7">
        <w:rPr>
          <w:rFonts w:ascii="Times New Roman" w:hAnsi="Times New Roman"/>
          <w:szCs w:val="24"/>
        </w:rPr>
        <w:t>“</w:t>
      </w:r>
      <w:r w:rsidRPr="000852D7">
        <w:rPr>
          <w:rFonts w:ascii="Times New Roman" w:hAnsi="Times New Roman"/>
          <w:i/>
          <w:szCs w:val="24"/>
        </w:rPr>
        <w:t xml:space="preserve">If I can be able to work as a carer and pay my school fees and pay the bills, and then sustain my </w:t>
      </w:r>
      <w:r w:rsidRPr="004D386B">
        <w:rPr>
          <w:rFonts w:ascii="Times New Roman" w:hAnsi="Times New Roman"/>
          <w:i/>
          <w:szCs w:val="24"/>
        </w:rPr>
        <w:t>family and at the same time study, I think is…is a good thing.</w:t>
      </w:r>
      <w:r w:rsidRPr="004D386B">
        <w:rPr>
          <w:rFonts w:ascii="Times New Roman" w:hAnsi="Times New Roman"/>
          <w:szCs w:val="24"/>
        </w:rPr>
        <w:t>” (Kemdo, HCA)</w:t>
      </w:r>
    </w:p>
    <w:p w14:paraId="0272F694"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lastRenderedPageBreak/>
        <w:t>Although HCA work is generally considered as a low paid job (</w:t>
      </w:r>
      <w:r w:rsidRPr="004D386B">
        <w:rPr>
          <w:rFonts w:ascii="Times New Roman" w:hAnsi="Times New Roman"/>
          <w:iCs/>
          <w:szCs w:val="24"/>
        </w:rPr>
        <w:t xml:space="preserve">Downs, </w:t>
      </w:r>
      <w:r w:rsidRPr="004D386B">
        <w:rPr>
          <w:rFonts w:ascii="Times New Roman" w:hAnsi="Times New Roman"/>
          <w:szCs w:val="24"/>
        </w:rPr>
        <w:t>2015), both Kemdo and Jeff, had lived and worked in Nigeria before coming to the UK, and therefore viewed their pay relative to that received in Nigeria. As Kemdo suggested</w:t>
      </w:r>
      <w:r>
        <w:rPr>
          <w:rFonts w:ascii="Times New Roman" w:hAnsi="Times New Roman"/>
          <w:szCs w:val="24"/>
        </w:rPr>
        <w:t>:</w:t>
      </w:r>
    </w:p>
    <w:p w14:paraId="0F6A41A4"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xml:space="preserve">If you look at what you will gain financially and translate it to naira </w:t>
      </w:r>
      <w:r w:rsidRPr="004D386B">
        <w:rPr>
          <w:rFonts w:ascii="Times New Roman" w:hAnsi="Times New Roman"/>
          <w:szCs w:val="24"/>
        </w:rPr>
        <w:t>[the Nigerian currency],</w:t>
      </w:r>
      <w:r w:rsidRPr="004D386B">
        <w:rPr>
          <w:rFonts w:ascii="Times New Roman" w:hAnsi="Times New Roman"/>
          <w:i/>
          <w:szCs w:val="24"/>
        </w:rPr>
        <w:t xml:space="preserve"> it's rewarding. It's rewarding if you are looking at it from Nigerian perspective, but if you are looking at it as if you are living here, it's not so</w:t>
      </w:r>
      <w:r w:rsidRPr="004D386B">
        <w:rPr>
          <w:rFonts w:ascii="Times New Roman" w:hAnsi="Times New Roman"/>
          <w:szCs w:val="24"/>
        </w:rPr>
        <w:t>” (Kemdo, HCA)</w:t>
      </w:r>
    </w:p>
    <w:p w14:paraId="7A64FB0E" w14:textId="77777777" w:rsidR="008861F2" w:rsidRPr="00E0137A" w:rsidRDefault="008861F2" w:rsidP="008861F2">
      <w:pPr>
        <w:jc w:val="both"/>
        <w:rPr>
          <w:rFonts w:ascii="Times New Roman" w:hAnsi="Times New Roman"/>
          <w:szCs w:val="24"/>
        </w:rPr>
      </w:pPr>
      <w:r w:rsidRPr="004D386B">
        <w:rPr>
          <w:rFonts w:ascii="Times New Roman" w:hAnsi="Times New Roman"/>
          <w:szCs w:val="24"/>
        </w:rPr>
        <w:t xml:space="preserve">Interestingly, Kemdo related the worth of the money he is </w:t>
      </w:r>
      <w:r>
        <w:rPr>
          <w:rFonts w:ascii="Times New Roman" w:hAnsi="Times New Roman"/>
          <w:szCs w:val="24"/>
        </w:rPr>
        <w:t xml:space="preserve">been </w:t>
      </w:r>
      <w:r w:rsidRPr="005E315F">
        <w:rPr>
          <w:rFonts w:ascii="Times New Roman" w:hAnsi="Times New Roman"/>
          <w:szCs w:val="24"/>
        </w:rPr>
        <w:t xml:space="preserve">paid </w:t>
      </w:r>
      <w:r>
        <w:rPr>
          <w:rFonts w:ascii="Times New Roman" w:hAnsi="Times New Roman"/>
          <w:szCs w:val="24"/>
        </w:rPr>
        <w:t xml:space="preserve">in </w:t>
      </w:r>
      <w:r w:rsidRPr="005E315F">
        <w:rPr>
          <w:rFonts w:ascii="Times New Roman" w:hAnsi="Times New Roman"/>
          <w:szCs w:val="24"/>
        </w:rPr>
        <w:t>care to its equivalent in Niger</w:t>
      </w:r>
      <w:r w:rsidRPr="00E0137A">
        <w:rPr>
          <w:rFonts w:ascii="Times New Roman" w:hAnsi="Times New Roman"/>
          <w:szCs w:val="24"/>
        </w:rPr>
        <w:t>ian naira. This finding concurs with research by the World Bank Group (2016)</w:t>
      </w:r>
      <w:r>
        <w:rPr>
          <w:rFonts w:ascii="Times New Roman" w:hAnsi="Times New Roman"/>
          <w:szCs w:val="24"/>
        </w:rPr>
        <w:t>,</w:t>
      </w:r>
      <w:r w:rsidRPr="00E0137A">
        <w:rPr>
          <w:rFonts w:ascii="Times New Roman" w:hAnsi="Times New Roman"/>
          <w:szCs w:val="24"/>
        </w:rPr>
        <w:t xml:space="preserve"> </w:t>
      </w:r>
      <w:r>
        <w:rPr>
          <w:rFonts w:ascii="Times New Roman" w:hAnsi="Times New Roman"/>
          <w:szCs w:val="24"/>
        </w:rPr>
        <w:t xml:space="preserve">which </w:t>
      </w:r>
      <w:r w:rsidRPr="00E0137A">
        <w:rPr>
          <w:rFonts w:ascii="Times New Roman" w:hAnsi="Times New Roman"/>
          <w:szCs w:val="24"/>
        </w:rPr>
        <w:t>suggests that many migrant workers relate their earnings to the currency of the countries they originally emigrated from, although other research indicates that this might be because most migrant workers usually have to give back a part of their earning in the form of financial remittance to their family in their country of origin (Nititham, 2017).</w:t>
      </w:r>
    </w:p>
    <w:p w14:paraId="0F004E10" w14:textId="77777777" w:rsidR="008861F2" w:rsidRPr="004D386B" w:rsidRDefault="008861F2" w:rsidP="008861F2">
      <w:pPr>
        <w:jc w:val="both"/>
        <w:rPr>
          <w:rFonts w:ascii="Times New Roman" w:hAnsi="Times New Roman"/>
          <w:szCs w:val="24"/>
        </w:rPr>
      </w:pPr>
      <w:r w:rsidRPr="000852D7">
        <w:rPr>
          <w:rFonts w:ascii="Times New Roman" w:hAnsi="Times New Roman"/>
          <w:szCs w:val="24"/>
        </w:rPr>
        <w:t xml:space="preserve">However, Kemdo, also suggested that he recognised the reality that the true worth of what he is paid in comparison to the cost of living in the UK means that working as </w:t>
      </w:r>
      <w:r w:rsidRPr="004D386B">
        <w:rPr>
          <w:rFonts w:ascii="Times New Roman" w:hAnsi="Times New Roman"/>
          <w:szCs w:val="24"/>
        </w:rPr>
        <w:t>HCA was not completely financially rewarding, when he stated:</w:t>
      </w:r>
    </w:p>
    <w:p w14:paraId="19BF6699"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iCs/>
          <w:szCs w:val="24"/>
        </w:rPr>
        <w:t>[</w:t>
      </w:r>
      <w:r w:rsidRPr="004D386B">
        <w:rPr>
          <w:rFonts w:ascii="Times New Roman" w:hAnsi="Times New Roman"/>
          <w:i/>
          <w:szCs w:val="24"/>
        </w:rPr>
        <w:t>…..] if you are looking at it from the point of view that you are a Nigerian it's rewarding but if you are looking at it from the point of view that you are in UK, this is where your life is, this may not… I look at it from point of view that I am a Nigerian. You pay your bills but the little you can save is something…</w:t>
      </w:r>
      <w:r w:rsidRPr="004D386B">
        <w:rPr>
          <w:rFonts w:ascii="Times New Roman" w:hAnsi="Times New Roman"/>
          <w:szCs w:val="24"/>
        </w:rPr>
        <w:t>” (Kemdo, HCA)</w:t>
      </w:r>
    </w:p>
    <w:p w14:paraId="5ECFCA8E"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This is similar to one of the reasons another participant, Jeff also gave as the rewarding aspect of caring for PLWD, when he declared that: </w:t>
      </w:r>
    </w:p>
    <w:p w14:paraId="649A94A8"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I just have to do it, just to, to get the money.</w:t>
      </w:r>
      <w:r w:rsidRPr="004D386B">
        <w:rPr>
          <w:rFonts w:ascii="Times New Roman" w:hAnsi="Times New Roman"/>
          <w:szCs w:val="24"/>
        </w:rPr>
        <w:t>” (Jeff, HCA)</w:t>
      </w:r>
    </w:p>
    <w:p w14:paraId="1945E087" w14:textId="77777777" w:rsidR="008861F2" w:rsidRPr="00871034" w:rsidRDefault="008861F2" w:rsidP="008861F2">
      <w:pPr>
        <w:jc w:val="both"/>
        <w:rPr>
          <w:rFonts w:ascii="Times New Roman" w:hAnsi="Times New Roman"/>
          <w:szCs w:val="24"/>
        </w:rPr>
      </w:pPr>
      <w:r w:rsidRPr="00871034">
        <w:rPr>
          <w:rFonts w:ascii="Times New Roman" w:hAnsi="Times New Roman"/>
          <w:szCs w:val="24"/>
        </w:rPr>
        <w:t xml:space="preserve">These finding concur with Chenoweth </w:t>
      </w:r>
      <w:r w:rsidRPr="00432E10">
        <w:rPr>
          <w:rFonts w:ascii="Times New Roman" w:hAnsi="Times New Roman"/>
          <w:i/>
          <w:iCs/>
          <w:szCs w:val="24"/>
        </w:rPr>
        <w:t>et al.</w:t>
      </w:r>
      <w:r w:rsidRPr="00871034">
        <w:rPr>
          <w:rFonts w:ascii="Times New Roman" w:hAnsi="Times New Roman"/>
          <w:szCs w:val="24"/>
        </w:rPr>
        <w:t xml:space="preserve"> (2010) who conducted a systematic review to understand what made care</w:t>
      </w:r>
      <w:r>
        <w:rPr>
          <w:rFonts w:ascii="Times New Roman" w:hAnsi="Times New Roman"/>
          <w:szCs w:val="24"/>
        </w:rPr>
        <w:t xml:space="preserve"> workers </w:t>
      </w:r>
      <w:r w:rsidRPr="00871034">
        <w:rPr>
          <w:rFonts w:ascii="Times New Roman" w:hAnsi="Times New Roman"/>
          <w:szCs w:val="24"/>
        </w:rPr>
        <w:t xml:space="preserve">retain their work in caring for </w:t>
      </w:r>
      <w:r w:rsidRPr="00761FE4">
        <w:rPr>
          <w:rFonts w:ascii="Times New Roman" w:hAnsi="Times New Roman"/>
          <w:szCs w:val="24"/>
        </w:rPr>
        <w:t xml:space="preserve">PLWD.  Chenoweth </w:t>
      </w:r>
      <w:r w:rsidRPr="00432E10">
        <w:rPr>
          <w:rFonts w:ascii="Times New Roman" w:hAnsi="Times New Roman"/>
          <w:i/>
          <w:iCs/>
          <w:szCs w:val="24"/>
        </w:rPr>
        <w:t>et al.</w:t>
      </w:r>
      <w:r w:rsidRPr="00761FE4">
        <w:rPr>
          <w:rFonts w:ascii="Times New Roman" w:hAnsi="Times New Roman"/>
          <w:szCs w:val="24"/>
        </w:rPr>
        <w:t xml:space="preserve"> (2010) observed that both extrinsic and intrinsic rewards contribute </w:t>
      </w:r>
      <w:r w:rsidRPr="00761FE4">
        <w:rPr>
          <w:rFonts w:ascii="Times New Roman" w:hAnsi="Times New Roman"/>
          <w:szCs w:val="24"/>
        </w:rPr>
        <w:lastRenderedPageBreak/>
        <w:t>toward staff retention with improved pay being one of the extrinsic factors cit</w:t>
      </w:r>
      <w:r w:rsidRPr="000852D7">
        <w:rPr>
          <w:rFonts w:ascii="Times New Roman" w:hAnsi="Times New Roman"/>
          <w:szCs w:val="24"/>
        </w:rPr>
        <w:t xml:space="preserve">ed. However, while Chenoweth </w:t>
      </w:r>
      <w:r w:rsidRPr="00432E10">
        <w:rPr>
          <w:rFonts w:ascii="Times New Roman" w:hAnsi="Times New Roman"/>
          <w:i/>
          <w:iCs/>
          <w:szCs w:val="24"/>
        </w:rPr>
        <w:t>et al.</w:t>
      </w:r>
      <w:r w:rsidRPr="000852D7">
        <w:rPr>
          <w:rFonts w:ascii="Times New Roman" w:hAnsi="Times New Roman"/>
          <w:szCs w:val="24"/>
        </w:rPr>
        <w:t xml:space="preserve"> (2010) emphasised the effect of improved pay as a way to retain nursing staff, my findings indicate that some care</w:t>
      </w:r>
      <w:r>
        <w:rPr>
          <w:rFonts w:ascii="Times New Roman" w:hAnsi="Times New Roman"/>
          <w:szCs w:val="24"/>
        </w:rPr>
        <w:t xml:space="preserve"> workers </w:t>
      </w:r>
      <w:r w:rsidRPr="00F13AC9">
        <w:rPr>
          <w:rFonts w:ascii="Times New Roman" w:hAnsi="Times New Roman"/>
          <w:szCs w:val="24"/>
        </w:rPr>
        <w:t xml:space="preserve">actually considered caring simply as a job that they require to do in order to meet their financial needs. Although there was no evidence to suggest that the carers who were in care work solely for the money provided poorer quality of care, </w:t>
      </w:r>
      <w:r w:rsidRPr="004D386B">
        <w:rPr>
          <w:rFonts w:ascii="Times New Roman" w:hAnsi="Times New Roman"/>
          <w:szCs w:val="24"/>
        </w:rPr>
        <w:t xml:space="preserve">although one </w:t>
      </w:r>
      <w:r>
        <w:rPr>
          <w:rFonts w:ascii="Times New Roman" w:hAnsi="Times New Roman"/>
          <w:szCs w:val="24"/>
        </w:rPr>
        <w:t>participant</w:t>
      </w:r>
      <w:r w:rsidRPr="004D386B">
        <w:rPr>
          <w:rFonts w:ascii="Times New Roman" w:hAnsi="Times New Roman"/>
          <w:szCs w:val="24"/>
        </w:rPr>
        <w:t xml:space="preserve"> (Jeff) stated that he was never motivated to go the extra mile </w:t>
      </w:r>
      <w:r w:rsidRPr="00871034">
        <w:rPr>
          <w:rFonts w:ascii="Times New Roman" w:hAnsi="Times New Roman"/>
          <w:szCs w:val="24"/>
        </w:rPr>
        <w:t>in meeting the care recipient’s needs. Jeff stated that:</w:t>
      </w:r>
    </w:p>
    <w:p w14:paraId="28C3594F" w14:textId="77777777" w:rsidR="008861F2" w:rsidRPr="004D386B" w:rsidRDefault="008861F2" w:rsidP="008861F2">
      <w:pPr>
        <w:jc w:val="both"/>
        <w:rPr>
          <w:rFonts w:ascii="Times New Roman" w:hAnsi="Times New Roman"/>
          <w:szCs w:val="24"/>
        </w:rPr>
      </w:pPr>
      <w:r w:rsidRPr="00761FE4">
        <w:rPr>
          <w:rFonts w:ascii="Times New Roman" w:hAnsi="Times New Roman"/>
          <w:szCs w:val="24"/>
        </w:rPr>
        <w:t>“</w:t>
      </w:r>
      <w:r w:rsidRPr="00F9054A">
        <w:rPr>
          <w:rFonts w:ascii="Times New Roman" w:hAnsi="Times New Roman"/>
          <w:i/>
          <w:szCs w:val="24"/>
        </w:rPr>
        <w:t>….some staff, they may say, “Okay, I want to give a bath or a shower to this patient”… even if it is someone who will be going home, let’s say in 20 minutes, some of them might decide to give a shower, give a bath before they</w:t>
      </w:r>
      <w:r w:rsidRPr="000852D7">
        <w:rPr>
          <w:rFonts w:ascii="Times New Roman" w:hAnsi="Times New Roman"/>
          <w:i/>
          <w:szCs w:val="24"/>
        </w:rPr>
        <w:t xml:space="preserve"> go, but myself I might not take it upon me, I can just make the person comfortable, I might not really give that shower because I’m going home.</w:t>
      </w:r>
      <w:r w:rsidRPr="004D386B">
        <w:rPr>
          <w:rFonts w:ascii="Times New Roman" w:hAnsi="Times New Roman"/>
          <w:szCs w:val="24"/>
        </w:rPr>
        <w:t>” (Jeff, HCA)</w:t>
      </w:r>
    </w:p>
    <w:p w14:paraId="6946035D"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Jeff narrated his approach to care in circumstances when he is about to finish his </w:t>
      </w:r>
      <w:r>
        <w:rPr>
          <w:rFonts w:ascii="Times New Roman" w:hAnsi="Times New Roman"/>
          <w:szCs w:val="24"/>
        </w:rPr>
        <w:t>a</w:t>
      </w:r>
      <w:r w:rsidRPr="004D386B">
        <w:rPr>
          <w:rFonts w:ascii="Times New Roman" w:hAnsi="Times New Roman"/>
          <w:szCs w:val="24"/>
        </w:rPr>
        <w:t xml:space="preserve"> and a care recipient needs to be attended to. He noted that he would not be using any extra time to provide care if he will not be paid. Rather, he will ‘just make the person comfortable’. In other words, he will provide a temporary fix to the need of the care recipient. While this may sound utilitarian, Jeff offered a deeper explanation as to why he would not go the extra mile to provide care.</w:t>
      </w:r>
    </w:p>
    <w:p w14:paraId="3DFBF48E"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…that motivation when it’s your father or mother…might not be there, you understand? To give that person shower. You might just clean the person, make sure the person is comfortable and leave the person... some people go extra mile, while even some Caucasians still do not do it but personally, I wouldn’t bother.</w:t>
      </w:r>
      <w:r w:rsidRPr="004D386B">
        <w:rPr>
          <w:rFonts w:ascii="Times New Roman" w:hAnsi="Times New Roman"/>
          <w:szCs w:val="24"/>
        </w:rPr>
        <w:t>” (Jeff, HCA)</w:t>
      </w:r>
    </w:p>
    <w:p w14:paraId="05E1C966" w14:textId="77777777" w:rsidR="008861F2" w:rsidRPr="00871034" w:rsidRDefault="008861F2" w:rsidP="008861F2">
      <w:pPr>
        <w:jc w:val="both"/>
        <w:rPr>
          <w:rFonts w:ascii="Times New Roman" w:hAnsi="Times New Roman"/>
          <w:szCs w:val="24"/>
        </w:rPr>
      </w:pPr>
      <w:r w:rsidRPr="004D386B">
        <w:rPr>
          <w:rFonts w:ascii="Times New Roman" w:hAnsi="Times New Roman"/>
          <w:szCs w:val="24"/>
        </w:rPr>
        <w:t xml:space="preserve">Jeff alluded to the emotional detachment he feels when caring for people who are not his family members. Folbre </w:t>
      </w:r>
      <w:r>
        <w:rPr>
          <w:rFonts w:ascii="Times New Roman" w:hAnsi="Times New Roman"/>
          <w:szCs w:val="24"/>
        </w:rPr>
        <w:t xml:space="preserve">and </w:t>
      </w:r>
      <w:r w:rsidRPr="004D386B">
        <w:rPr>
          <w:rFonts w:ascii="Times New Roman" w:hAnsi="Times New Roman"/>
          <w:szCs w:val="24"/>
        </w:rPr>
        <w:t xml:space="preserve">Nelson (2000) argued that people engaged in caring jobs can be both motivated altruistically and out of self-interest. However, from this study, those who were motivated by the self-interest of the financial gains they were to receive (Jeff, Kemdo and John) did not seem to exhibit the level of compassion ‘to go </w:t>
      </w:r>
      <w:r w:rsidRPr="004D386B">
        <w:rPr>
          <w:rFonts w:ascii="Times New Roman" w:hAnsi="Times New Roman"/>
          <w:szCs w:val="24"/>
        </w:rPr>
        <w:lastRenderedPageBreak/>
        <w:t>the extra mile’ in providing care to the care recipient. They implied that they were only motivated to remain in the role solely because of the financial reward they received, which is contrary to the compassionate nature often associated with caring roles and entails some form of emotional labour (Simpson and Acton, 2013).</w:t>
      </w:r>
      <w:r>
        <w:rPr>
          <w:rFonts w:ascii="Times New Roman" w:hAnsi="Times New Roman"/>
          <w:szCs w:val="24"/>
        </w:rPr>
        <w:t xml:space="preserve"> </w:t>
      </w:r>
      <w:r w:rsidRPr="00871034">
        <w:rPr>
          <w:rFonts w:ascii="Times New Roman" w:hAnsi="Times New Roman"/>
          <w:szCs w:val="24"/>
        </w:rPr>
        <w:t xml:space="preserve">The views of these three participants </w:t>
      </w:r>
      <w:r w:rsidRPr="004D386B">
        <w:rPr>
          <w:rFonts w:ascii="Times New Roman" w:hAnsi="Times New Roman"/>
          <w:szCs w:val="24"/>
        </w:rPr>
        <w:t>were different in some way from the experiences of the other participants who expressed passion for the job as their motivations for engaging in care for PLWD.</w:t>
      </w:r>
    </w:p>
    <w:p w14:paraId="41F8116A" w14:textId="77777777" w:rsidR="008861F2" w:rsidRPr="00F9054A" w:rsidRDefault="008861F2" w:rsidP="006869A3">
      <w:pPr>
        <w:pStyle w:val="Heading3"/>
      </w:pPr>
      <w:bookmarkStart w:id="192" w:name="_Toc86417372"/>
      <w:r w:rsidRPr="00761FE4">
        <w:t>8.</w:t>
      </w:r>
      <w:r>
        <w:t>3</w:t>
      </w:r>
      <w:r w:rsidRPr="00761FE4">
        <w:t xml:space="preserve">.3. </w:t>
      </w:r>
      <w:r w:rsidRPr="00F9054A">
        <w:t>Emotional rewards</w:t>
      </w:r>
      <w:bookmarkEnd w:id="192"/>
    </w:p>
    <w:p w14:paraId="64C0F4A9" w14:textId="77777777" w:rsidR="008861F2" w:rsidRPr="004D386B" w:rsidRDefault="008861F2" w:rsidP="008861F2">
      <w:pPr>
        <w:jc w:val="both"/>
        <w:rPr>
          <w:rFonts w:ascii="Times New Roman" w:hAnsi="Times New Roman"/>
          <w:szCs w:val="24"/>
        </w:rPr>
      </w:pPr>
      <w:r w:rsidRPr="000852D7">
        <w:rPr>
          <w:rFonts w:ascii="Times New Roman" w:hAnsi="Times New Roman"/>
          <w:szCs w:val="24"/>
        </w:rPr>
        <w:t>Whilst Kemdo, John and Jeff focused on the financial rewards, most of the other participants (n=18) talked about the positive emotions attached to caring for people with dementia. For example, many of them talked about ‘</w:t>
      </w:r>
      <w:r w:rsidRPr="004D386B">
        <w:rPr>
          <w:rFonts w:ascii="Times New Roman" w:hAnsi="Times New Roman"/>
          <w:i/>
          <w:szCs w:val="24"/>
        </w:rPr>
        <w:t>putting smiles</w:t>
      </w:r>
      <w:r w:rsidRPr="004D386B">
        <w:rPr>
          <w:rFonts w:ascii="Times New Roman" w:hAnsi="Times New Roman"/>
          <w:szCs w:val="24"/>
        </w:rPr>
        <w:t>’ on the care recipient’s face, implying that, for once, the older people became themselves again. Doris tried to make a link between passion for the job and what a carer might find rewarding.</w:t>
      </w:r>
    </w:p>
    <w:p w14:paraId="5976D979" w14:textId="708EFE94"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00D60E4A">
        <w:rPr>
          <w:rFonts w:ascii="Times New Roman" w:hAnsi="Times New Roman"/>
          <w:szCs w:val="24"/>
        </w:rPr>
        <w:t>…</w:t>
      </w:r>
      <w:r w:rsidRPr="004D386B">
        <w:rPr>
          <w:rFonts w:ascii="Times New Roman" w:hAnsi="Times New Roman"/>
          <w:i/>
          <w:szCs w:val="24"/>
        </w:rPr>
        <w:t>being passionate about it is rewarding in the sense that you will be able to at least, sometimes you put smiles on their face and that is, that is rewarding</w:t>
      </w:r>
      <w:r w:rsidR="00D60E4A">
        <w:rPr>
          <w:rFonts w:ascii="Times New Roman" w:hAnsi="Times New Roman"/>
          <w:i/>
          <w:szCs w:val="24"/>
        </w:rPr>
        <w:t>…</w:t>
      </w:r>
      <w:r w:rsidRPr="004D386B">
        <w:rPr>
          <w:rFonts w:ascii="Times New Roman" w:hAnsi="Times New Roman"/>
          <w:szCs w:val="24"/>
        </w:rPr>
        <w:t>” (Doris, HCA)</w:t>
      </w:r>
    </w:p>
    <w:p w14:paraId="3F81EE3E" w14:textId="77777777" w:rsidR="008861F2" w:rsidRPr="00E07979" w:rsidRDefault="008861F2" w:rsidP="008861F2">
      <w:pPr>
        <w:jc w:val="both"/>
        <w:rPr>
          <w:rFonts w:ascii="Times New Roman" w:hAnsi="Times New Roman"/>
          <w:szCs w:val="24"/>
        </w:rPr>
      </w:pPr>
      <w:r w:rsidRPr="004D386B">
        <w:rPr>
          <w:rFonts w:ascii="Times New Roman" w:hAnsi="Times New Roman"/>
          <w:szCs w:val="24"/>
        </w:rPr>
        <w:t>Two of the participants suggested that the simple smile o</w:t>
      </w:r>
      <w:r>
        <w:rPr>
          <w:rFonts w:ascii="Times New Roman" w:hAnsi="Times New Roman"/>
          <w:szCs w:val="24"/>
        </w:rPr>
        <w:t>n</w:t>
      </w:r>
      <w:r w:rsidRPr="00E07979">
        <w:rPr>
          <w:rFonts w:ascii="Times New Roman" w:hAnsi="Times New Roman"/>
          <w:szCs w:val="24"/>
        </w:rPr>
        <w:t xml:space="preserve"> the care recipient was the most rewarding part of their role. Like Doris, Jackie also identified the satisfaction she gets from the smile o</w:t>
      </w:r>
      <w:r>
        <w:rPr>
          <w:rFonts w:ascii="Times New Roman" w:hAnsi="Times New Roman"/>
          <w:szCs w:val="24"/>
        </w:rPr>
        <w:t>n</w:t>
      </w:r>
      <w:r w:rsidRPr="00E07979">
        <w:rPr>
          <w:rFonts w:ascii="Times New Roman" w:hAnsi="Times New Roman"/>
          <w:szCs w:val="24"/>
        </w:rPr>
        <w:t xml:space="preserve"> the care recipient:</w:t>
      </w:r>
    </w:p>
    <w:p w14:paraId="769DA0F4" w14:textId="38C971DF" w:rsidR="008861F2" w:rsidRPr="004D386B" w:rsidRDefault="008861F2" w:rsidP="008861F2">
      <w:pPr>
        <w:jc w:val="both"/>
        <w:rPr>
          <w:rFonts w:ascii="Times New Roman" w:hAnsi="Times New Roman"/>
          <w:szCs w:val="24"/>
        </w:rPr>
      </w:pPr>
      <w:r w:rsidRPr="000852D7">
        <w:rPr>
          <w:rFonts w:ascii="Times New Roman" w:hAnsi="Times New Roman"/>
          <w:szCs w:val="24"/>
        </w:rPr>
        <w:t>“</w:t>
      </w:r>
      <w:r w:rsidRPr="000852D7">
        <w:rPr>
          <w:rFonts w:ascii="Times New Roman" w:hAnsi="Times New Roman"/>
          <w:i/>
          <w:szCs w:val="24"/>
        </w:rPr>
        <w:t>There are some people that doesn’t communicate, they have impairment with their hearing, possi</w:t>
      </w:r>
      <w:r w:rsidRPr="004D386B">
        <w:rPr>
          <w:rFonts w:ascii="Times New Roman" w:hAnsi="Times New Roman"/>
          <w:i/>
          <w:szCs w:val="24"/>
        </w:rPr>
        <w:t>ble they can’t walk very well, […..] at the end of the day they just give you that little smile, so it’s not always about monetary [reward], [it] is good […..] but the utmost rewarding thing is …for them to give you a little smile</w:t>
      </w:r>
      <w:r w:rsidR="00D60E4A">
        <w:rPr>
          <w:rFonts w:ascii="Times New Roman" w:hAnsi="Times New Roman"/>
          <w:i/>
          <w:szCs w:val="24"/>
        </w:rPr>
        <w:t>.</w:t>
      </w:r>
      <w:r w:rsidRPr="004D386B">
        <w:rPr>
          <w:rFonts w:ascii="Times New Roman" w:hAnsi="Times New Roman"/>
          <w:szCs w:val="24"/>
        </w:rPr>
        <w:t xml:space="preserve">” (Jackie, HCA) </w:t>
      </w:r>
    </w:p>
    <w:p w14:paraId="1834A814"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Jackie, unlike Jeff, John and Kemdo, prized a smile from the care recipient more than the money she is paid to care. While she acknowledged the role of getting paid to care, in terms of paying bills and meeting personal needs, Jackie also emphasised the core purpose of her job, which was to care.</w:t>
      </w:r>
    </w:p>
    <w:p w14:paraId="3720CF6C"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lastRenderedPageBreak/>
        <w:t>Another participant, Miriam also highlighted the pleasure at eliciting a positive emotion from the people she cared for, she noted that:</w:t>
      </w:r>
    </w:p>
    <w:p w14:paraId="00C23901"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The care I give and also the blessings I get, the smile I put on most of the persons I have taken care of, I think is one of the rewarding things at least I think I, I’ve gotten from the job so far</w:t>
      </w:r>
      <w:r w:rsidRPr="004D386B">
        <w:rPr>
          <w:rFonts w:ascii="Times New Roman" w:hAnsi="Times New Roman"/>
          <w:szCs w:val="24"/>
        </w:rPr>
        <w:t>” (Miriam, HCA)</w:t>
      </w:r>
    </w:p>
    <w:p w14:paraId="36119BE1"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It </w:t>
      </w:r>
      <w:r>
        <w:rPr>
          <w:rFonts w:ascii="Times New Roman" w:hAnsi="Times New Roman"/>
          <w:szCs w:val="24"/>
        </w:rPr>
        <w:t xml:space="preserve">is </w:t>
      </w:r>
      <w:r w:rsidRPr="005D71F4">
        <w:rPr>
          <w:rFonts w:ascii="Times New Roman" w:hAnsi="Times New Roman"/>
          <w:szCs w:val="24"/>
        </w:rPr>
        <w:t xml:space="preserve">notable from findings that the participants who stated that they were satisfied when the patients smiled, were mostly women which may be related to the gender roles, since care activities were traditionally deemed to be ‘women’s work’ (Damaske and Frech, 2016; Scrinzi, 2018). Previous studies (Fields </w:t>
      </w:r>
      <w:r w:rsidRPr="00432E10">
        <w:rPr>
          <w:rFonts w:ascii="Times New Roman" w:hAnsi="Times New Roman"/>
          <w:i/>
          <w:iCs/>
          <w:szCs w:val="24"/>
        </w:rPr>
        <w:t>et al.</w:t>
      </w:r>
      <w:r w:rsidRPr="005D71F4">
        <w:rPr>
          <w:rFonts w:ascii="Times New Roman" w:hAnsi="Times New Roman"/>
          <w:szCs w:val="24"/>
        </w:rPr>
        <w:t>, 2011; William</w:t>
      </w:r>
      <w:r w:rsidRPr="000852D7">
        <w:rPr>
          <w:rFonts w:ascii="Times New Roman" w:hAnsi="Times New Roman"/>
          <w:szCs w:val="24"/>
        </w:rPr>
        <w:t xml:space="preserve">s </w:t>
      </w:r>
      <w:r w:rsidRPr="00432E10">
        <w:rPr>
          <w:rFonts w:ascii="Times New Roman" w:hAnsi="Times New Roman"/>
          <w:i/>
          <w:iCs/>
          <w:szCs w:val="24"/>
        </w:rPr>
        <w:t>et al.</w:t>
      </w:r>
      <w:r w:rsidRPr="000852D7">
        <w:rPr>
          <w:rFonts w:ascii="Times New Roman" w:hAnsi="Times New Roman"/>
          <w:szCs w:val="24"/>
        </w:rPr>
        <w:t xml:space="preserve">, 2014) have shown that women in the caring profession demonstrate more empathy than their male counterparts. Although my study did not set out to explore my participants’ show of empathy, it </w:t>
      </w:r>
      <w:r>
        <w:rPr>
          <w:rFonts w:ascii="Times New Roman" w:hAnsi="Times New Roman"/>
          <w:szCs w:val="24"/>
        </w:rPr>
        <w:t xml:space="preserve">is </w:t>
      </w:r>
      <w:r w:rsidRPr="005D71F4">
        <w:rPr>
          <w:rFonts w:ascii="Times New Roman" w:hAnsi="Times New Roman"/>
          <w:szCs w:val="24"/>
        </w:rPr>
        <w:t>interesting to note that despite having fewer female</w:t>
      </w:r>
      <w:r w:rsidRPr="000852D7">
        <w:rPr>
          <w:rFonts w:ascii="Times New Roman" w:hAnsi="Times New Roman"/>
          <w:szCs w:val="24"/>
        </w:rPr>
        <w:t xml:space="preserve"> participants, they were more likely than the male participants, </w:t>
      </w:r>
      <w:r w:rsidRPr="004D386B">
        <w:rPr>
          <w:rFonts w:ascii="Times New Roman" w:hAnsi="Times New Roman"/>
          <w:szCs w:val="24"/>
        </w:rPr>
        <w:t>to discuss the emotional rewards of caring. While this observation might be associated with gender, it is also possible that the male participants did not show the same level of empathy as the female participants (or they did not choose to tell me in the interview).</w:t>
      </w:r>
    </w:p>
    <w:p w14:paraId="5C95C946" w14:textId="77777777" w:rsidR="008861F2" w:rsidRPr="004D386B" w:rsidRDefault="008861F2" w:rsidP="006869A3">
      <w:pPr>
        <w:pStyle w:val="Heading3"/>
      </w:pPr>
      <w:bookmarkStart w:id="193" w:name="_Toc86417373"/>
      <w:r w:rsidRPr="004D386B">
        <w:t>8.</w:t>
      </w:r>
      <w:r>
        <w:t>3</w:t>
      </w:r>
      <w:r w:rsidRPr="004D386B">
        <w:t>.4. Opportunity to socialise</w:t>
      </w:r>
      <w:bookmarkEnd w:id="193"/>
    </w:p>
    <w:p w14:paraId="7957731E"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The opportunity to meet and interact with other people and particularly people of the same ethnic background was one of the things few of my participants (n=4) regarded as a reward of engaging in care work in the NHS. They expressed a feeling of isolation of being ‘a foreigner’ living in the UK which they attributed to not being around people of the same shared culture as themselves. They therefore saw their job as care workers, caring for PLWD as an opportunity to meet, socialise and interact with people of similar shared ethnic and cultural background, which helps them overcome the social isolation that they had become accustomed to. For instance, Kemdo conceptualised the rewarding nature of meeting people to overcome social isolation:</w:t>
      </w:r>
    </w:p>
    <w:p w14:paraId="2AE84D4C"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xml:space="preserve">Another way that it is rewarding is that …, in terms of interacting with other people…with patient and family members […..] you can't live in isolation, you have to </w:t>
      </w:r>
      <w:r w:rsidRPr="004D386B">
        <w:rPr>
          <w:rFonts w:ascii="Times New Roman" w:hAnsi="Times New Roman"/>
          <w:i/>
          <w:szCs w:val="24"/>
        </w:rPr>
        <w:lastRenderedPageBreak/>
        <w:t>relate with people. So that is why it’s rewarding for me, my meeting people</w:t>
      </w:r>
      <w:r w:rsidRPr="004D386B">
        <w:rPr>
          <w:rFonts w:ascii="Times New Roman" w:hAnsi="Times New Roman"/>
          <w:szCs w:val="24"/>
        </w:rPr>
        <w:t>” (Kemdo, HCA)</w:t>
      </w:r>
    </w:p>
    <w:p w14:paraId="2CEA18C7"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 xml:space="preserve">Kemdo alluded to feeling isolated after he relocated to the UK from Nigeria. This is consistent with the findings by Kim </w:t>
      </w:r>
      <w:r w:rsidRPr="00432E10">
        <w:rPr>
          <w:rFonts w:ascii="Times New Roman" w:hAnsi="Times New Roman"/>
          <w:i/>
          <w:iCs/>
          <w:szCs w:val="24"/>
        </w:rPr>
        <w:t>et al.</w:t>
      </w:r>
      <w:r w:rsidRPr="004D386B">
        <w:rPr>
          <w:rFonts w:ascii="Times New Roman" w:hAnsi="Times New Roman"/>
          <w:szCs w:val="24"/>
        </w:rPr>
        <w:t xml:space="preserve"> (2003), who explored the immigration experiences of ten Asian Americans. They found that some reported missing the sense of community in their native countries. One participant</w:t>
      </w:r>
      <w:r>
        <w:rPr>
          <w:rFonts w:ascii="Times New Roman" w:hAnsi="Times New Roman"/>
          <w:szCs w:val="24"/>
        </w:rPr>
        <w:t xml:space="preserve"> in their study</w:t>
      </w:r>
      <w:r w:rsidRPr="005D71F4">
        <w:rPr>
          <w:rFonts w:ascii="Times New Roman" w:hAnsi="Times New Roman"/>
          <w:szCs w:val="24"/>
        </w:rPr>
        <w:t xml:space="preserve"> said, “</w:t>
      </w:r>
      <w:r w:rsidRPr="00FC7695">
        <w:rPr>
          <w:rFonts w:ascii="Times New Roman" w:hAnsi="Times New Roman"/>
          <w:i/>
          <w:iCs/>
          <w:szCs w:val="24"/>
        </w:rPr>
        <w:t>I cannot help but miss…my house…the entering and leaving friends, neighbors, and relatives who’d drop by at any time of the day</w:t>
      </w:r>
      <w:r w:rsidRPr="005D71F4">
        <w:rPr>
          <w:rFonts w:ascii="Times New Roman" w:hAnsi="Times New Roman"/>
          <w:szCs w:val="24"/>
        </w:rPr>
        <w:t xml:space="preserve">” (Kim </w:t>
      </w:r>
      <w:r w:rsidRPr="00432E10">
        <w:rPr>
          <w:rFonts w:ascii="Times New Roman" w:hAnsi="Times New Roman"/>
          <w:i/>
          <w:iCs/>
          <w:szCs w:val="24"/>
        </w:rPr>
        <w:t>et al.</w:t>
      </w:r>
      <w:r w:rsidRPr="005D71F4">
        <w:rPr>
          <w:rFonts w:ascii="Times New Roman" w:hAnsi="Times New Roman"/>
          <w:szCs w:val="24"/>
        </w:rPr>
        <w:t xml:space="preserve">, 2003, p.162).  The authors also found that to address feeling isolated, their participants interacted with people from a similar background </w:t>
      </w:r>
      <w:r w:rsidRPr="000852D7">
        <w:rPr>
          <w:rFonts w:ascii="Times New Roman" w:hAnsi="Times New Roman"/>
          <w:szCs w:val="24"/>
        </w:rPr>
        <w:t xml:space="preserve">and felt a sense of community. The findings from my study suggest that paid Nigerian migrants care workers </w:t>
      </w:r>
      <w:r w:rsidRPr="004D386B">
        <w:rPr>
          <w:rFonts w:ascii="Times New Roman" w:hAnsi="Times New Roman"/>
          <w:szCs w:val="24"/>
        </w:rPr>
        <w:t>also sometimes felt socially isolated and that care work offered them an opportunity to meet people of shared ethnic background. For example, Morgan noted that:</w:t>
      </w:r>
    </w:p>
    <w:p w14:paraId="2BC55EAA"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w:t>
      </w:r>
      <w:r w:rsidRPr="004D386B">
        <w:rPr>
          <w:rFonts w:ascii="Times New Roman" w:hAnsi="Times New Roman"/>
          <w:i/>
          <w:szCs w:val="24"/>
        </w:rPr>
        <w:t>… it provides an opportunity for me […..] to develop relationship with other workers, … meet other Africans, … people from Nigeria […..], with the patients as well […..] I look forward to going to work to meet people I enjoy working with</w:t>
      </w:r>
      <w:r w:rsidRPr="004D386B">
        <w:rPr>
          <w:rFonts w:ascii="Times New Roman" w:hAnsi="Times New Roman"/>
          <w:szCs w:val="24"/>
        </w:rPr>
        <w:t>” (Morgan, HCA)</w:t>
      </w:r>
    </w:p>
    <w:p w14:paraId="4DCD6777" w14:textId="77777777" w:rsidR="008861F2" w:rsidRPr="004D386B" w:rsidRDefault="008861F2" w:rsidP="008861F2">
      <w:pPr>
        <w:jc w:val="both"/>
        <w:rPr>
          <w:rFonts w:ascii="Times New Roman" w:hAnsi="Times New Roman"/>
          <w:szCs w:val="24"/>
        </w:rPr>
      </w:pPr>
      <w:r w:rsidRPr="004D386B">
        <w:rPr>
          <w:rFonts w:ascii="Times New Roman" w:hAnsi="Times New Roman"/>
          <w:szCs w:val="24"/>
        </w:rPr>
        <w:t>Morgan pointed that the social isolation he felt was due to the UK not having the kind of communal life he experienced back in Nigeria</w:t>
      </w:r>
      <w:r>
        <w:rPr>
          <w:rFonts w:ascii="Times New Roman" w:hAnsi="Times New Roman"/>
          <w:szCs w:val="24"/>
        </w:rPr>
        <w:t>.</w:t>
      </w:r>
      <w:r w:rsidRPr="004D386B">
        <w:rPr>
          <w:rFonts w:ascii="Times New Roman" w:hAnsi="Times New Roman"/>
          <w:szCs w:val="24"/>
        </w:rPr>
        <w:t xml:space="preserve"> </w:t>
      </w:r>
      <w:r>
        <w:rPr>
          <w:rFonts w:ascii="Times New Roman" w:hAnsi="Times New Roman"/>
          <w:szCs w:val="24"/>
        </w:rPr>
        <w:t>H</w:t>
      </w:r>
      <w:r w:rsidRPr="004D386B">
        <w:rPr>
          <w:rFonts w:ascii="Times New Roman" w:hAnsi="Times New Roman"/>
          <w:szCs w:val="24"/>
        </w:rPr>
        <w:t>e found working as HCA within the NHS as a way of maintaining social interactions. Although not every participant mentioned this as a rewarding aspect of caring for PLWD, it underscores the importance of the workplace in building social network amongst migrant care workers who feel disconnected from their home country. Migrant workers can sometimes feel socially excluded as they try to adjust to life in the destination country, which like most western countries, is mostly individualistic (</w:t>
      </w:r>
      <w:r w:rsidRPr="004D386B">
        <w:rPr>
          <w:rStyle w:val="authors"/>
          <w:rFonts w:ascii="Times New Roman" w:eastAsia="MS Gothic" w:hAnsi="Times New Roman"/>
          <w:szCs w:val="24"/>
        </w:rPr>
        <w:t xml:space="preserve">Rozario and Rosetti, </w:t>
      </w:r>
      <w:r w:rsidRPr="004D386B">
        <w:rPr>
          <w:rStyle w:val="Date1"/>
          <w:rFonts w:ascii="Times New Roman" w:eastAsiaTheme="minorEastAsia" w:hAnsi="Times New Roman"/>
          <w:szCs w:val="24"/>
        </w:rPr>
        <w:t xml:space="preserve">2012; </w:t>
      </w:r>
      <w:r w:rsidRPr="004D386B">
        <w:rPr>
          <w:rFonts w:ascii="Times New Roman" w:hAnsi="Times New Roman"/>
          <w:noProof/>
          <w:szCs w:val="24"/>
        </w:rPr>
        <w:t xml:space="preserve">Lüdecke </w:t>
      </w:r>
      <w:r w:rsidRPr="00432E10">
        <w:rPr>
          <w:rFonts w:ascii="Times New Roman" w:hAnsi="Times New Roman"/>
          <w:i/>
          <w:iCs/>
          <w:noProof/>
          <w:szCs w:val="24"/>
        </w:rPr>
        <w:t>et al.</w:t>
      </w:r>
      <w:r w:rsidRPr="004D386B">
        <w:rPr>
          <w:rFonts w:ascii="Times New Roman" w:hAnsi="Times New Roman"/>
          <w:noProof/>
          <w:szCs w:val="24"/>
        </w:rPr>
        <w:t>, 2018</w:t>
      </w:r>
      <w:r w:rsidRPr="004D386B">
        <w:rPr>
          <w:rFonts w:ascii="Times New Roman" w:hAnsi="Times New Roman"/>
          <w:szCs w:val="24"/>
        </w:rPr>
        <w:t>). As highlighted in the literature review (see chapter 2), most family structures in African society are by nature collectivist, which might explain why some of my participants felt isolated when they were away from their family. However, this desire to socialise is not uniquely Nigerian as the same can be said of people of other ethnicities.</w:t>
      </w:r>
    </w:p>
    <w:p w14:paraId="5C07138D" w14:textId="77777777" w:rsidR="008861F2" w:rsidRPr="001D4711" w:rsidRDefault="008861F2" w:rsidP="006869A3">
      <w:pPr>
        <w:pStyle w:val="Heading2"/>
      </w:pPr>
      <w:bookmarkStart w:id="194" w:name="_Toc86417374"/>
      <w:r w:rsidRPr="001D4711">
        <w:lastRenderedPageBreak/>
        <w:t>8.</w:t>
      </w:r>
      <w:r>
        <w:t>4</w:t>
      </w:r>
      <w:r w:rsidRPr="001D4711">
        <w:t>. Discussion</w:t>
      </w:r>
      <w:bookmarkEnd w:id="194"/>
    </w:p>
    <w:p w14:paraId="1685E177" w14:textId="77777777" w:rsidR="008861F2" w:rsidRPr="001D4711" w:rsidRDefault="008861F2" w:rsidP="008861F2">
      <w:pPr>
        <w:jc w:val="both"/>
        <w:rPr>
          <w:rFonts w:ascii="Times New Roman" w:hAnsi="Times New Roman"/>
          <w:szCs w:val="24"/>
        </w:rPr>
      </w:pPr>
      <w:r w:rsidRPr="001D4711">
        <w:rPr>
          <w:rFonts w:ascii="Times New Roman" w:hAnsi="Times New Roman"/>
          <w:szCs w:val="24"/>
        </w:rPr>
        <w:t xml:space="preserve">The findings presented in this chapter suggest that Nigerian migrant HCAs and nurses were motivated to care for PLWD for intrinsic and extrinsic reasons consistent with the core principle of the self-determination theory (SDT) (Deci and Ryan, 2000). As reviewed in the literature (see chapter 3), applying the SDT to </w:t>
      </w:r>
      <w:r>
        <w:rPr>
          <w:rFonts w:ascii="Times New Roman" w:hAnsi="Times New Roman"/>
          <w:szCs w:val="24"/>
        </w:rPr>
        <w:t xml:space="preserve">a care worker’s motivation to care </w:t>
      </w:r>
      <w:r w:rsidRPr="001D4711">
        <w:rPr>
          <w:rFonts w:ascii="Times New Roman" w:hAnsi="Times New Roman"/>
          <w:szCs w:val="24"/>
        </w:rPr>
        <w:t xml:space="preserve">takes into consideration the “why” (motives) and “what” (goals) of individual care worker’s behaviour (Sheldon </w:t>
      </w:r>
      <w:r w:rsidRPr="00432E10">
        <w:rPr>
          <w:rFonts w:ascii="Times New Roman" w:hAnsi="Times New Roman"/>
          <w:i/>
          <w:iCs/>
          <w:szCs w:val="24"/>
        </w:rPr>
        <w:t>et al.</w:t>
      </w:r>
      <w:r w:rsidRPr="001D4711">
        <w:rPr>
          <w:rFonts w:ascii="Times New Roman" w:hAnsi="Times New Roman"/>
          <w:szCs w:val="24"/>
        </w:rPr>
        <w:t>, 2004). My participants were motivated by a combination of motives and goals to engage in care. Hence, most of my participants’ motivation to</w:t>
      </w:r>
      <w:r>
        <w:rPr>
          <w:rFonts w:ascii="Times New Roman" w:hAnsi="Times New Roman"/>
          <w:szCs w:val="24"/>
        </w:rPr>
        <w:t xml:space="preserve"> care</w:t>
      </w:r>
      <w:r w:rsidRPr="001D4711">
        <w:rPr>
          <w:rFonts w:ascii="Times New Roman" w:hAnsi="Times New Roman"/>
          <w:szCs w:val="24"/>
        </w:rPr>
        <w:t xml:space="preserve"> was not a binary choice between intrinsic or extrinsic but an intersection of both motivations.</w:t>
      </w:r>
    </w:p>
    <w:p w14:paraId="29275285" w14:textId="77777777" w:rsidR="008861F2" w:rsidRPr="001D4711" w:rsidRDefault="008861F2" w:rsidP="008861F2">
      <w:pPr>
        <w:jc w:val="both"/>
        <w:rPr>
          <w:rFonts w:ascii="Times New Roman" w:hAnsi="Times New Roman"/>
          <w:szCs w:val="24"/>
        </w:rPr>
      </w:pPr>
      <w:r w:rsidRPr="001D4711">
        <w:rPr>
          <w:rFonts w:ascii="Times New Roman" w:hAnsi="Times New Roman"/>
          <w:szCs w:val="24"/>
        </w:rPr>
        <w:t>It is also interesting to note that those who were motivated only by the financial reward they derived from the role expressed little empathy to care and were only motivated to remain in care because of the money. However, this does not imply that the participants who expressed a lack of enthusiasm to care without the money were bad care workers (Luff, 2010; England, Folbre and Leana, 2012). It is possible that their utilitarian approach to the job is inspired by their own previous experience of working in non-care jobs in the UK. Since all three participants worked in jobs with limited human contact before working as HCA, it might explain why they had less enthusiastic view of remaining in the job. Another explanation for the lack of empathy might be the participant</w:t>
      </w:r>
      <w:r>
        <w:rPr>
          <w:rFonts w:ascii="Times New Roman" w:hAnsi="Times New Roman"/>
          <w:szCs w:val="24"/>
        </w:rPr>
        <w:t>’</w:t>
      </w:r>
      <w:r w:rsidRPr="001D4711">
        <w:rPr>
          <w:rFonts w:ascii="Times New Roman" w:hAnsi="Times New Roman"/>
          <w:szCs w:val="24"/>
        </w:rPr>
        <w:t>s sources of motivation which were completely extrinsic. This might occur when a person fails to fully identify with the behaviour or internalise it because they are extrinsically motivated outside of self (Gagne and Deci, 2005). The Figure 8.1 below shows the conceptual framework to understand my participant</w:t>
      </w:r>
      <w:r>
        <w:rPr>
          <w:rFonts w:ascii="Times New Roman" w:hAnsi="Times New Roman"/>
          <w:szCs w:val="24"/>
        </w:rPr>
        <w:t>’</w:t>
      </w:r>
      <w:r w:rsidRPr="001D4711">
        <w:rPr>
          <w:rFonts w:ascii="Times New Roman" w:hAnsi="Times New Roman"/>
          <w:szCs w:val="24"/>
        </w:rPr>
        <w:t>s motivation to engage in care as HCA and the rewards they derived from their role as care workers.</w:t>
      </w:r>
    </w:p>
    <w:p w14:paraId="64958C4F" w14:textId="77777777" w:rsidR="008861F2" w:rsidRPr="001D4711" w:rsidRDefault="008861F2" w:rsidP="008861F2">
      <w:pPr>
        <w:jc w:val="both"/>
        <w:rPr>
          <w:rFonts w:ascii="Times New Roman" w:hAnsi="Times New Roman"/>
          <w:szCs w:val="24"/>
        </w:rPr>
      </w:pPr>
    </w:p>
    <w:p w14:paraId="13B211B7" w14:textId="7AEEF7F9" w:rsidR="000706DF" w:rsidRDefault="008861F2" w:rsidP="008861F2">
      <w:pPr>
        <w:jc w:val="both"/>
        <w:rPr>
          <w:rFonts w:ascii="Times New Roman" w:hAnsi="Times New Roman"/>
          <w:b/>
          <w:bCs/>
          <w:szCs w:val="24"/>
        </w:rPr>
      </w:pPr>
      <w:r w:rsidRPr="00BC2614">
        <w:rPr>
          <w:noProof/>
        </w:rPr>
        <w:lastRenderedPageBreak/>
        <w:drawing>
          <wp:inline distT="0" distB="0" distL="0" distR="0" wp14:anchorId="2CF581F5" wp14:editId="0DAF6D93">
            <wp:extent cx="5038725" cy="4017142"/>
            <wp:effectExtent l="0" t="0" r="0" b="0"/>
            <wp:docPr id="53" name="Picture 53" descr="P20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2065#yIS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68377" cy="4040782"/>
                    </a:xfrm>
                    <a:prstGeom prst="rect">
                      <a:avLst/>
                    </a:prstGeom>
                    <a:noFill/>
                    <a:ln>
                      <a:noFill/>
                    </a:ln>
                  </pic:spPr>
                </pic:pic>
              </a:graphicData>
            </a:graphic>
          </wp:inline>
        </w:drawing>
      </w:r>
      <w:r w:rsidR="000706DF" w:rsidRPr="000706DF">
        <w:rPr>
          <w:rFonts w:ascii="Times New Roman" w:hAnsi="Times New Roman"/>
          <w:b/>
          <w:bCs/>
          <w:szCs w:val="24"/>
        </w:rPr>
        <w:t>Figure 8.1. Framework for participants’ motivations and reward of caring for PLWD</w:t>
      </w:r>
    </w:p>
    <w:p w14:paraId="3CAC14CD" w14:textId="77777777" w:rsidR="000706DF" w:rsidRPr="000706DF" w:rsidRDefault="000706DF" w:rsidP="008861F2">
      <w:pPr>
        <w:jc w:val="both"/>
        <w:rPr>
          <w:rFonts w:ascii="Times New Roman" w:hAnsi="Times New Roman"/>
          <w:szCs w:val="24"/>
        </w:rPr>
      </w:pPr>
    </w:p>
    <w:p w14:paraId="31BD5176" w14:textId="77777777" w:rsidR="008861F2" w:rsidRPr="00BC2614" w:rsidRDefault="008861F2" w:rsidP="008861F2">
      <w:pPr>
        <w:jc w:val="both"/>
        <w:rPr>
          <w:rFonts w:ascii="Times New Roman" w:hAnsi="Times New Roman"/>
          <w:szCs w:val="24"/>
        </w:rPr>
      </w:pPr>
      <w:r w:rsidRPr="00BC2614">
        <w:rPr>
          <w:rFonts w:ascii="Times New Roman" w:hAnsi="Times New Roman"/>
          <w:szCs w:val="24"/>
        </w:rPr>
        <w:t>In addition</w:t>
      </w:r>
      <w:r>
        <w:rPr>
          <w:rFonts w:ascii="Times New Roman" w:hAnsi="Times New Roman"/>
          <w:szCs w:val="24"/>
        </w:rPr>
        <w:t>,</w:t>
      </w:r>
      <w:r w:rsidRPr="00BC2614">
        <w:rPr>
          <w:rFonts w:ascii="Times New Roman" w:hAnsi="Times New Roman"/>
          <w:szCs w:val="24"/>
        </w:rPr>
        <w:t xml:space="preserve"> my participants found working as a care worker financially rewarding. Much of the literature and statistics on care workers’ pay suggest that it is relatively low (Low Pay Commission, 2014; Skills for Care, 2018) and thus has little influence on </w:t>
      </w:r>
      <w:r w:rsidRPr="00BC2614">
        <w:rPr>
          <w:rFonts w:ascii="Times New Roman" w:hAnsi="Times New Roman"/>
          <w:noProof/>
          <w:szCs w:val="24"/>
        </w:rPr>
        <w:t>why</w:t>
      </w:r>
      <w:r w:rsidRPr="00BC2614">
        <w:rPr>
          <w:rFonts w:ascii="Times New Roman" w:hAnsi="Times New Roman"/>
          <w:szCs w:val="24"/>
        </w:rPr>
        <w:t xml:space="preserve"> they would want to continue in the role (Rakovski and Price-Glynn, 2010; Morgan, Dill and Kalleberg, 2013). My findings however indicate that many of my participants also considered the pay to be ‘okay’ and some considered it the only thing keeping them in the job. It is worth nothing that their description of the pay being ‘okay’ was in relation to their being able to pay bills and meet their financial needs. There were some participants who equally felt that what they were paid was not what was keeping them in the job. These were the participants whose main motivation to care was their love for the job and the passion to care for older adults (</w:t>
      </w:r>
      <w:r w:rsidRPr="00BC2614">
        <w:rPr>
          <w:rFonts w:ascii="Times New Roman" w:hAnsi="Times New Roman"/>
          <w:iCs/>
          <w:szCs w:val="24"/>
        </w:rPr>
        <w:t>Brodaty and Donkin, 2009</w:t>
      </w:r>
      <w:r w:rsidRPr="00BC2614">
        <w:rPr>
          <w:rFonts w:ascii="Times New Roman" w:hAnsi="Times New Roman"/>
          <w:szCs w:val="24"/>
        </w:rPr>
        <w:t xml:space="preserve">). </w:t>
      </w:r>
      <w:r w:rsidRPr="00BC2614">
        <w:rPr>
          <w:rFonts w:ascii="Times New Roman" w:hAnsi="Times New Roman"/>
          <w:szCs w:val="24"/>
        </w:rPr>
        <w:lastRenderedPageBreak/>
        <w:t>Consistent with Hussein (2017) findings on care workers’ pay, my participants appear to have accepted the low pay they received as part of the job. England (2005) referred to this phenomenon as the ‘prisoners of love’ framework which might have a wider implication on care workers pay (England, Allison and Wu, 2007; Hirsch and Manzella, 2014).</w:t>
      </w:r>
    </w:p>
    <w:p w14:paraId="46EAED50" w14:textId="77777777" w:rsidR="008861F2" w:rsidRPr="00BC2614" w:rsidRDefault="008861F2" w:rsidP="008861F2">
      <w:pPr>
        <w:jc w:val="both"/>
        <w:rPr>
          <w:rFonts w:ascii="Times New Roman" w:hAnsi="Times New Roman"/>
          <w:szCs w:val="24"/>
        </w:rPr>
      </w:pPr>
      <w:r w:rsidRPr="00BC2614">
        <w:rPr>
          <w:rFonts w:ascii="Times New Roman" w:hAnsi="Times New Roman"/>
          <w:szCs w:val="24"/>
        </w:rPr>
        <w:t xml:space="preserve">Lastly, it </w:t>
      </w:r>
      <w:r>
        <w:rPr>
          <w:rFonts w:ascii="Times New Roman" w:hAnsi="Times New Roman"/>
          <w:szCs w:val="24"/>
        </w:rPr>
        <w:t>is</w:t>
      </w:r>
      <w:r w:rsidRPr="00BC2614">
        <w:rPr>
          <w:rFonts w:ascii="Times New Roman" w:hAnsi="Times New Roman"/>
          <w:szCs w:val="24"/>
        </w:rPr>
        <w:t xml:space="preserve"> also interesting to note that many of the participants chose to ‘voluntar</w:t>
      </w:r>
      <w:r>
        <w:rPr>
          <w:rFonts w:ascii="Times New Roman" w:hAnsi="Times New Roman"/>
          <w:szCs w:val="24"/>
        </w:rPr>
        <w:t>il</w:t>
      </w:r>
      <w:r w:rsidRPr="00BC2614">
        <w:rPr>
          <w:rFonts w:ascii="Times New Roman" w:hAnsi="Times New Roman"/>
          <w:szCs w:val="24"/>
        </w:rPr>
        <w:t>y deskill’, and it</w:t>
      </w:r>
      <w:r>
        <w:rPr>
          <w:rFonts w:ascii="Times New Roman" w:hAnsi="Times New Roman"/>
          <w:szCs w:val="24"/>
        </w:rPr>
        <w:t xml:space="preserve"> is</w:t>
      </w:r>
      <w:r w:rsidRPr="00BC2614">
        <w:rPr>
          <w:rFonts w:ascii="Times New Roman" w:hAnsi="Times New Roman"/>
          <w:szCs w:val="24"/>
        </w:rPr>
        <w:t xml:space="preserve"> clear that they did so because of the constraints imposed on them by their personal circumstances and the circumstances around them. In addition, my participants who were Nigerian-trained nurses continued in their role as care workers whilst they undertake the necessary adaptation programme that will enable them to practice as nurses in the UK. These findings concur with other studies (Rosser and King, 2003; O'Brien, 2007)</w:t>
      </w:r>
      <w:r>
        <w:rPr>
          <w:rFonts w:ascii="Times New Roman" w:hAnsi="Times New Roman"/>
          <w:szCs w:val="24"/>
        </w:rPr>
        <w:t>,</w:t>
      </w:r>
      <w:r w:rsidRPr="00BC2614">
        <w:rPr>
          <w:rFonts w:ascii="Times New Roman" w:hAnsi="Times New Roman"/>
          <w:szCs w:val="24"/>
        </w:rPr>
        <w:t xml:space="preserve"> </w:t>
      </w:r>
      <w:r>
        <w:rPr>
          <w:rFonts w:ascii="Times New Roman" w:hAnsi="Times New Roman"/>
          <w:szCs w:val="24"/>
        </w:rPr>
        <w:t>which indicate</w:t>
      </w:r>
      <w:r w:rsidRPr="00BC2614">
        <w:rPr>
          <w:rFonts w:ascii="Times New Roman" w:hAnsi="Times New Roman"/>
          <w:szCs w:val="24"/>
        </w:rPr>
        <w:t xml:space="preserve"> that migrant nurses often felt deskilled when they continue to work as HCA for a long time without utilising their clinical skills. This could have a devastating effect on migrant nurses with a long-term plan to return to their home country to practice, which further aggravates the effect of brain drain (Kurniati </w:t>
      </w:r>
      <w:r w:rsidRPr="00432E10">
        <w:rPr>
          <w:rFonts w:ascii="Times New Roman" w:hAnsi="Times New Roman"/>
          <w:i/>
          <w:iCs/>
          <w:szCs w:val="24"/>
        </w:rPr>
        <w:t>et al.</w:t>
      </w:r>
      <w:r w:rsidRPr="00BC2614">
        <w:rPr>
          <w:rFonts w:ascii="Times New Roman" w:hAnsi="Times New Roman"/>
          <w:szCs w:val="24"/>
        </w:rPr>
        <w:t>, 2017). It may also have implications for these nurses achieving their professional goal of coming to the UK to enhance their career, as they may never get an opportunity to practice as qualified nurses in the UK.</w:t>
      </w:r>
    </w:p>
    <w:p w14:paraId="3D9F00E9" w14:textId="77777777" w:rsidR="008861F2" w:rsidRPr="00BC2614" w:rsidRDefault="008861F2" w:rsidP="006869A3">
      <w:pPr>
        <w:pStyle w:val="Heading3"/>
      </w:pPr>
      <w:bookmarkStart w:id="195" w:name="_Toc86417375"/>
      <w:r w:rsidRPr="00BC2614">
        <w:t>8.</w:t>
      </w:r>
      <w:r>
        <w:t>5</w:t>
      </w:r>
      <w:r w:rsidRPr="00BC2614">
        <w:t>. Summary</w:t>
      </w:r>
      <w:bookmarkEnd w:id="195"/>
    </w:p>
    <w:p w14:paraId="05F883F1" w14:textId="0D8611AF" w:rsidR="00D60E4A" w:rsidRDefault="008861F2" w:rsidP="006869A3">
      <w:pPr>
        <w:jc w:val="both"/>
      </w:pPr>
      <w:r w:rsidRPr="00BC2614">
        <w:rPr>
          <w:rFonts w:ascii="Times New Roman" w:hAnsi="Times New Roman"/>
          <w:szCs w:val="24"/>
        </w:rPr>
        <w:t>On the motivation to care, findings from this study on paid Nigerian care workers suggest that they are motivated to assume and remain as care workers because of both intrinsic and extrinsic reasons such as the passion to care for people, to advance their career and for monetary gain. In addition, care workers who had nursing qualification prior to migrating to the UK became care workers and continue to care as they want to maintain their nursing practice by doing a job that they believed was closest to working as a nurse. In contrast, my participants who had no prior training as nurses before coming to the UK took on different low paying jobs upon arrival in the UK. Subsequently they became HCAs due to inability to find job in the career they were qualified</w:t>
      </w:r>
      <w:r>
        <w:rPr>
          <w:rFonts w:ascii="Times New Roman" w:hAnsi="Times New Roman"/>
          <w:szCs w:val="24"/>
        </w:rPr>
        <w:t>,</w:t>
      </w:r>
      <w:r w:rsidRPr="00BC2614">
        <w:rPr>
          <w:rFonts w:ascii="Times New Roman" w:hAnsi="Times New Roman"/>
          <w:szCs w:val="24"/>
        </w:rPr>
        <w:t xml:space="preserve"> but some of them also cited doing it out of necessity, monetary gain and </w:t>
      </w:r>
      <w:r w:rsidRPr="00BC2614">
        <w:rPr>
          <w:rFonts w:ascii="Times New Roman" w:hAnsi="Times New Roman"/>
          <w:szCs w:val="24"/>
        </w:rPr>
        <w:lastRenderedPageBreak/>
        <w:t>passion for the role as some of the added reasons they decided to become care</w:t>
      </w:r>
      <w:r>
        <w:rPr>
          <w:rFonts w:ascii="Times New Roman" w:hAnsi="Times New Roman"/>
          <w:szCs w:val="24"/>
        </w:rPr>
        <w:t xml:space="preserve"> work</w:t>
      </w:r>
      <w:r w:rsidRPr="00BC2614">
        <w:rPr>
          <w:rFonts w:ascii="Times New Roman" w:hAnsi="Times New Roman"/>
          <w:szCs w:val="24"/>
        </w:rPr>
        <w:t>ers. However, participants who were mainly motivated by passion to assume caregiving role developed their passion from previous unpaid experience of working with the older adults and others became passionate after undertaking some volunteering role caring for the elderly. In the next section, I present findings on the challenges of caring for PLWD and the coping strategies my participants employed to manage the identified challenges.</w:t>
      </w:r>
    </w:p>
    <w:p w14:paraId="6B4C2625" w14:textId="77777777" w:rsidR="006869A3" w:rsidRDefault="006869A3">
      <w:pPr>
        <w:spacing w:after="0" w:line="240" w:lineRule="auto"/>
        <w:rPr>
          <w:rFonts w:ascii="Times New Roman" w:hAnsi="Times New Roman"/>
          <w:b/>
          <w:szCs w:val="24"/>
        </w:rPr>
      </w:pPr>
      <w:bookmarkStart w:id="196" w:name="_Hlk50494354"/>
      <w:bookmarkStart w:id="197" w:name="_Hlk50388591"/>
      <w:r>
        <w:rPr>
          <w:rFonts w:ascii="Times New Roman" w:hAnsi="Times New Roman"/>
          <w:b/>
          <w:szCs w:val="24"/>
        </w:rPr>
        <w:br w:type="page"/>
      </w:r>
    </w:p>
    <w:p w14:paraId="0480ED5B" w14:textId="6A481B4C" w:rsidR="000B3E7A" w:rsidRPr="00573A16" w:rsidRDefault="000B3E7A" w:rsidP="006869A3">
      <w:pPr>
        <w:pStyle w:val="Heading1"/>
      </w:pPr>
      <w:bookmarkStart w:id="198" w:name="_Toc86417376"/>
      <w:r w:rsidRPr="00573A16">
        <w:lastRenderedPageBreak/>
        <w:t>CHAPTER NINE</w:t>
      </w:r>
      <w:bookmarkEnd w:id="198"/>
    </w:p>
    <w:p w14:paraId="611E6B69" w14:textId="77777777" w:rsidR="000B3E7A" w:rsidRPr="00573A16" w:rsidRDefault="000B3E7A" w:rsidP="000B3E7A">
      <w:pPr>
        <w:jc w:val="center"/>
        <w:rPr>
          <w:rFonts w:ascii="Times New Roman" w:hAnsi="Times New Roman"/>
          <w:b/>
          <w:szCs w:val="24"/>
        </w:rPr>
      </w:pPr>
      <w:r w:rsidRPr="00573A16">
        <w:rPr>
          <w:rFonts w:ascii="Times New Roman" w:hAnsi="Times New Roman"/>
          <w:b/>
          <w:szCs w:val="24"/>
        </w:rPr>
        <w:t>CHALLENGES AND COPING WITH CARING FOR PEOPLE LIVING WITH DEMENTIA IN THE NHS</w:t>
      </w:r>
    </w:p>
    <w:p w14:paraId="670B938D" w14:textId="77777777" w:rsidR="000B3E7A" w:rsidRPr="00573A16" w:rsidRDefault="000B3E7A" w:rsidP="006869A3">
      <w:pPr>
        <w:pStyle w:val="Heading2"/>
      </w:pPr>
      <w:bookmarkStart w:id="199" w:name="_Toc86417377"/>
      <w:r w:rsidRPr="00573A16">
        <w:t>9.1. Introduction</w:t>
      </w:r>
      <w:bookmarkEnd w:id="199"/>
    </w:p>
    <w:p w14:paraId="4228847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This is the third of three successive chapters which presents and discusses findings on the experience of Nigerian migrant health care assistants (HCA) and nurses caring for people living with dementia (PLWD) in the NHS. It explores the challenging aspects of caring for PLWD in the NHS and how my participants coped with the challenges they identified. It is divided into two main sections, viz</w:t>
      </w:r>
      <w:r>
        <w:rPr>
          <w:rFonts w:ascii="Times New Roman" w:hAnsi="Times New Roman"/>
          <w:szCs w:val="24"/>
        </w:rPr>
        <w:t>:</w:t>
      </w:r>
      <w:r w:rsidRPr="00573A16">
        <w:rPr>
          <w:rFonts w:ascii="Times New Roman" w:hAnsi="Times New Roman"/>
          <w:szCs w:val="24"/>
        </w:rPr>
        <w:t xml:space="preserve"> challenges of caring and coping with caring for PLWD, which is followed by a discussion of the main findings and a summary of the chapter.</w:t>
      </w:r>
    </w:p>
    <w:p w14:paraId="276E3620" w14:textId="77777777" w:rsidR="000B3E7A" w:rsidRPr="00573A16" w:rsidRDefault="000B3E7A" w:rsidP="006869A3">
      <w:pPr>
        <w:pStyle w:val="Heading2"/>
      </w:pPr>
      <w:bookmarkStart w:id="200" w:name="_Toc86417378"/>
      <w:r w:rsidRPr="00573A16">
        <w:t>9.2. Challenges of caring for PLWD</w:t>
      </w:r>
      <w:bookmarkEnd w:id="200"/>
    </w:p>
    <w:p w14:paraId="4A1F3740" w14:textId="77777777" w:rsidR="000B3E7A" w:rsidRPr="00573A16" w:rsidRDefault="000B3E7A" w:rsidP="006869A3">
      <w:pPr>
        <w:pStyle w:val="Heading3"/>
      </w:pPr>
      <w:bookmarkStart w:id="201" w:name="_Toc86417379"/>
      <w:r w:rsidRPr="00573A16">
        <w:t>9.2.1. Introduction</w:t>
      </w:r>
      <w:bookmarkEnd w:id="201"/>
    </w:p>
    <w:p w14:paraId="2A9772FC"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Some of the challenges identified include physical/verbal abuse from patients, the physically demanding nature of caring, poor staffing levels, undesirable shift patterns and several instances of racial discrimination (see Table 9.1). This section discusses these challenges further.</w:t>
      </w:r>
    </w:p>
    <w:p w14:paraId="0F22F422" w14:textId="77777777" w:rsidR="000B3E7A" w:rsidRPr="00573A16" w:rsidRDefault="000B3E7A" w:rsidP="000B3E7A">
      <w:pPr>
        <w:jc w:val="both"/>
        <w:rPr>
          <w:rFonts w:ascii="Times New Roman" w:hAnsi="Times New Roman"/>
          <w:szCs w:val="24"/>
        </w:rPr>
      </w:pPr>
    </w:p>
    <w:p w14:paraId="6A9E346C" w14:textId="77777777" w:rsidR="000B3E7A" w:rsidRPr="00573A16" w:rsidRDefault="000B3E7A" w:rsidP="000B3E7A">
      <w:pPr>
        <w:jc w:val="both"/>
        <w:rPr>
          <w:rFonts w:ascii="Times New Roman" w:hAnsi="Times New Roman"/>
          <w:szCs w:val="24"/>
        </w:rPr>
        <w:sectPr w:rsidR="000B3E7A" w:rsidRPr="00573A16" w:rsidSect="00260E21">
          <w:footerReference w:type="default" r:id="rId28"/>
          <w:pgSz w:w="11906" w:h="16838"/>
          <w:pgMar w:top="1440" w:right="1797" w:bottom="1440" w:left="1797" w:header="709" w:footer="709" w:gutter="0"/>
          <w:cols w:space="708"/>
          <w:docGrid w:linePitch="360"/>
        </w:sectPr>
      </w:pPr>
    </w:p>
    <w:p w14:paraId="6CEB30CC" w14:textId="186FE7A8" w:rsidR="000B3E7A" w:rsidRDefault="000B3E7A" w:rsidP="00795C66">
      <w:pPr>
        <w:spacing w:after="0" w:line="276" w:lineRule="auto"/>
        <w:rPr>
          <w:rFonts w:ascii="Times New Roman" w:eastAsia="Calibri" w:hAnsi="Times New Roman"/>
          <w:b/>
          <w:sz w:val="18"/>
          <w:szCs w:val="18"/>
          <w:lang w:eastAsia="en-US"/>
        </w:rPr>
      </w:pPr>
      <w:r w:rsidRPr="00AF6415">
        <w:rPr>
          <w:rFonts w:ascii="Times New Roman" w:eastAsia="Calibri" w:hAnsi="Times New Roman"/>
          <w:b/>
          <w:szCs w:val="24"/>
          <w:lang w:eastAsia="en-US"/>
        </w:rPr>
        <w:lastRenderedPageBreak/>
        <w:t>Table 9.1</w:t>
      </w:r>
      <w:r w:rsidR="000F1FE4" w:rsidRPr="00AF6415">
        <w:rPr>
          <w:rFonts w:ascii="Times New Roman" w:eastAsia="Calibri" w:hAnsi="Times New Roman"/>
          <w:b/>
          <w:szCs w:val="24"/>
          <w:lang w:eastAsia="en-US"/>
        </w:rPr>
        <w:t>.</w:t>
      </w:r>
      <w:r w:rsidRPr="00AF6415">
        <w:rPr>
          <w:rFonts w:ascii="Times New Roman" w:eastAsia="Calibri" w:hAnsi="Times New Roman"/>
          <w:b/>
          <w:szCs w:val="24"/>
          <w:lang w:eastAsia="en-US"/>
        </w:rPr>
        <w:t xml:space="preserve"> – </w:t>
      </w:r>
      <w:r w:rsidR="00EF18EC" w:rsidRPr="00AF6415">
        <w:rPr>
          <w:rFonts w:ascii="Times New Roman" w:eastAsia="Calibri" w:hAnsi="Times New Roman"/>
          <w:b/>
          <w:szCs w:val="24"/>
          <w:lang w:eastAsia="en-US"/>
        </w:rPr>
        <w:t>The</w:t>
      </w:r>
      <w:r w:rsidRPr="00AF6415">
        <w:rPr>
          <w:rFonts w:ascii="Times New Roman" w:eastAsia="Calibri" w:hAnsi="Times New Roman"/>
          <w:b/>
          <w:szCs w:val="24"/>
          <w:lang w:eastAsia="en-US"/>
        </w:rPr>
        <w:t xml:space="preserve"> challenges faced by HCA and nurses caring for PLWD in the NHS</w:t>
      </w:r>
    </w:p>
    <w:tbl>
      <w:tblPr>
        <w:tblStyle w:val="TableGrid1"/>
        <w:tblpPr w:leftFromText="180" w:rightFromText="180" w:vertAnchor="page" w:horzAnchor="margin" w:tblpY="1816"/>
        <w:tblW w:w="15163" w:type="dxa"/>
        <w:tblLook w:val="04A0" w:firstRow="1" w:lastRow="0" w:firstColumn="1" w:lastColumn="0" w:noHBand="0" w:noVBand="1"/>
      </w:tblPr>
      <w:tblGrid>
        <w:gridCol w:w="678"/>
        <w:gridCol w:w="1368"/>
        <w:gridCol w:w="1667"/>
        <w:gridCol w:w="1283"/>
        <w:gridCol w:w="1189"/>
        <w:gridCol w:w="1389"/>
        <w:gridCol w:w="1548"/>
        <w:gridCol w:w="1656"/>
        <w:gridCol w:w="982"/>
        <w:gridCol w:w="1440"/>
        <w:gridCol w:w="1060"/>
        <w:gridCol w:w="903"/>
      </w:tblGrid>
      <w:tr w:rsidR="00795C66" w:rsidRPr="00795C66" w14:paraId="3B687946" w14:textId="77777777" w:rsidTr="00110D28">
        <w:trPr>
          <w:trHeight w:val="269"/>
        </w:trPr>
        <w:tc>
          <w:tcPr>
            <w:tcW w:w="678" w:type="dxa"/>
            <w:vMerge w:val="restart"/>
          </w:tcPr>
          <w:p w14:paraId="1ED50A01"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S/No</w:t>
            </w:r>
          </w:p>
        </w:tc>
        <w:tc>
          <w:tcPr>
            <w:tcW w:w="1368" w:type="dxa"/>
            <w:vMerge w:val="restart"/>
          </w:tcPr>
          <w:p w14:paraId="6DED7EE9"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Participants</w:t>
            </w:r>
          </w:p>
        </w:tc>
        <w:tc>
          <w:tcPr>
            <w:tcW w:w="13117" w:type="dxa"/>
            <w:gridSpan w:val="10"/>
          </w:tcPr>
          <w:p w14:paraId="4B2A9379"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Challenges of caring for people with dementia</w:t>
            </w:r>
          </w:p>
        </w:tc>
      </w:tr>
      <w:tr w:rsidR="00795C66" w:rsidRPr="00795C66" w14:paraId="7419026A" w14:textId="77777777" w:rsidTr="00110D28">
        <w:trPr>
          <w:trHeight w:val="269"/>
        </w:trPr>
        <w:tc>
          <w:tcPr>
            <w:tcW w:w="678" w:type="dxa"/>
            <w:vMerge/>
          </w:tcPr>
          <w:p w14:paraId="320156FC" w14:textId="77777777" w:rsidR="00795C66" w:rsidRPr="00795C66" w:rsidRDefault="00795C66" w:rsidP="00110D28">
            <w:pPr>
              <w:spacing w:after="0" w:line="240" w:lineRule="auto"/>
              <w:jc w:val="center"/>
              <w:rPr>
                <w:rFonts w:ascii="Times New Roman" w:hAnsi="Times New Roman"/>
                <w:sz w:val="18"/>
                <w:szCs w:val="18"/>
              </w:rPr>
            </w:pPr>
          </w:p>
        </w:tc>
        <w:tc>
          <w:tcPr>
            <w:tcW w:w="1368" w:type="dxa"/>
            <w:vMerge/>
          </w:tcPr>
          <w:p w14:paraId="7872D23E" w14:textId="77777777" w:rsidR="00795C66" w:rsidRPr="00795C66" w:rsidRDefault="00795C66" w:rsidP="00110D28">
            <w:pPr>
              <w:spacing w:after="0" w:line="240" w:lineRule="auto"/>
              <w:jc w:val="center"/>
              <w:rPr>
                <w:rFonts w:ascii="Times New Roman" w:hAnsi="Times New Roman"/>
                <w:b/>
                <w:sz w:val="18"/>
                <w:szCs w:val="18"/>
              </w:rPr>
            </w:pPr>
          </w:p>
        </w:tc>
        <w:tc>
          <w:tcPr>
            <w:tcW w:w="1667" w:type="dxa"/>
          </w:tcPr>
          <w:p w14:paraId="67F8866A"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Communication difficulties</w:t>
            </w:r>
          </w:p>
        </w:tc>
        <w:tc>
          <w:tcPr>
            <w:tcW w:w="1283" w:type="dxa"/>
          </w:tcPr>
          <w:p w14:paraId="44496DF2"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Physically demanding</w:t>
            </w:r>
          </w:p>
        </w:tc>
        <w:tc>
          <w:tcPr>
            <w:tcW w:w="1189" w:type="dxa"/>
          </w:tcPr>
          <w:p w14:paraId="500BA3CC"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Physical aggression</w:t>
            </w:r>
          </w:p>
        </w:tc>
        <w:tc>
          <w:tcPr>
            <w:tcW w:w="1389" w:type="dxa"/>
          </w:tcPr>
          <w:p w14:paraId="69979C81"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Inadequate staffing level</w:t>
            </w:r>
          </w:p>
        </w:tc>
        <w:tc>
          <w:tcPr>
            <w:tcW w:w="1548" w:type="dxa"/>
          </w:tcPr>
          <w:p w14:paraId="785BE111"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Racism and Discrimination</w:t>
            </w:r>
          </w:p>
        </w:tc>
        <w:tc>
          <w:tcPr>
            <w:tcW w:w="1656" w:type="dxa"/>
          </w:tcPr>
          <w:p w14:paraId="77D65211"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Uncooperative staff</w:t>
            </w:r>
          </w:p>
        </w:tc>
        <w:tc>
          <w:tcPr>
            <w:tcW w:w="982" w:type="dxa"/>
          </w:tcPr>
          <w:p w14:paraId="741750FB"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Verbally abusive</w:t>
            </w:r>
          </w:p>
        </w:tc>
        <w:tc>
          <w:tcPr>
            <w:tcW w:w="1440" w:type="dxa"/>
          </w:tcPr>
          <w:p w14:paraId="3D8AA24C"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Mentally and psychological draining</w:t>
            </w:r>
          </w:p>
        </w:tc>
        <w:tc>
          <w:tcPr>
            <w:tcW w:w="1060" w:type="dxa"/>
          </w:tcPr>
          <w:p w14:paraId="0A8113DB"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Personal care</w:t>
            </w:r>
          </w:p>
        </w:tc>
        <w:tc>
          <w:tcPr>
            <w:tcW w:w="903" w:type="dxa"/>
          </w:tcPr>
          <w:p w14:paraId="14E36EA9" w14:textId="77777777" w:rsidR="00795C66" w:rsidRPr="00795C66" w:rsidRDefault="00795C66" w:rsidP="00110D28">
            <w:pPr>
              <w:spacing w:after="0" w:line="240" w:lineRule="auto"/>
              <w:jc w:val="center"/>
              <w:rPr>
                <w:rFonts w:ascii="Times New Roman" w:hAnsi="Times New Roman"/>
                <w:b/>
                <w:sz w:val="18"/>
                <w:szCs w:val="18"/>
              </w:rPr>
            </w:pPr>
            <w:r w:rsidRPr="00795C66">
              <w:rPr>
                <w:rFonts w:ascii="Times New Roman" w:hAnsi="Times New Roman"/>
                <w:b/>
                <w:sz w:val="18"/>
                <w:szCs w:val="18"/>
              </w:rPr>
              <w:t>Shift pattern</w:t>
            </w:r>
          </w:p>
        </w:tc>
      </w:tr>
      <w:tr w:rsidR="00795C66" w:rsidRPr="00795C66" w14:paraId="05250C15" w14:textId="77777777" w:rsidTr="00110D28">
        <w:trPr>
          <w:trHeight w:val="269"/>
        </w:trPr>
        <w:tc>
          <w:tcPr>
            <w:tcW w:w="678" w:type="dxa"/>
          </w:tcPr>
          <w:p w14:paraId="7E7E7F1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1.</w:t>
            </w:r>
          </w:p>
        </w:tc>
        <w:tc>
          <w:tcPr>
            <w:tcW w:w="1368" w:type="dxa"/>
          </w:tcPr>
          <w:p w14:paraId="55DF56DF"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Adams</w:t>
            </w:r>
          </w:p>
        </w:tc>
        <w:tc>
          <w:tcPr>
            <w:tcW w:w="1667" w:type="dxa"/>
          </w:tcPr>
          <w:p w14:paraId="7414930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54599AE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70E563E" wp14:editId="2C0F6776">
                  <wp:extent cx="200025" cy="180975"/>
                  <wp:effectExtent l="0" t="0" r="9525" b="9525"/>
                  <wp:docPr id="250" name="Picture 250" descr="P2102C1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P2102C1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0C99949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600D2A9" wp14:editId="489E9175">
                  <wp:extent cx="200025" cy="180975"/>
                  <wp:effectExtent l="0" t="0" r="9525" b="9525"/>
                  <wp:docPr id="251" name="Picture 251" descr="P2103C1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P2103C1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7AE5856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63F1D35" wp14:editId="3E503CB7">
                  <wp:extent cx="200025" cy="180975"/>
                  <wp:effectExtent l="0" t="0" r="9525" b="9525"/>
                  <wp:docPr id="252" name="Picture 252" descr="P2104C1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P2104C1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523B642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73616BE" wp14:editId="61133DD4">
                  <wp:extent cx="200025" cy="180975"/>
                  <wp:effectExtent l="0" t="0" r="9525" b="9525"/>
                  <wp:docPr id="253" name="Picture 253" descr="P2105C2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P2105C2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4B7E451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A37E0CE" wp14:editId="0CB8232B">
                  <wp:extent cx="200025" cy="180975"/>
                  <wp:effectExtent l="0" t="0" r="9525" b="9525"/>
                  <wp:docPr id="254" name="Picture 254" descr="P2106C2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P2106C2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462D9F8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F29E46B" wp14:editId="552C8E66">
                  <wp:extent cx="200025" cy="180975"/>
                  <wp:effectExtent l="0" t="0" r="9525" b="9525"/>
                  <wp:docPr id="255" name="Picture 255" descr="P2107C2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P2107C2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5F4D066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28FAB45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34E6610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3861A433" w14:textId="77777777" w:rsidTr="00110D28">
        <w:trPr>
          <w:trHeight w:val="269"/>
        </w:trPr>
        <w:tc>
          <w:tcPr>
            <w:tcW w:w="678" w:type="dxa"/>
          </w:tcPr>
          <w:p w14:paraId="794D407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2.</w:t>
            </w:r>
          </w:p>
        </w:tc>
        <w:tc>
          <w:tcPr>
            <w:tcW w:w="1368" w:type="dxa"/>
          </w:tcPr>
          <w:p w14:paraId="23B00AD3"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Ademola</w:t>
            </w:r>
          </w:p>
        </w:tc>
        <w:tc>
          <w:tcPr>
            <w:tcW w:w="1667" w:type="dxa"/>
          </w:tcPr>
          <w:p w14:paraId="339C0D9B"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04C2BBB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95FBB5E" wp14:editId="58A3D698">
                  <wp:extent cx="200025" cy="180975"/>
                  <wp:effectExtent l="0" t="0" r="9525" b="9525"/>
                  <wp:docPr id="39" name="Picture 39" descr="P2115C2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2115C2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3DA73A9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06C7012" wp14:editId="7B1416C3">
                  <wp:extent cx="200025" cy="180975"/>
                  <wp:effectExtent l="0" t="0" r="9525" b="9525"/>
                  <wp:docPr id="44" name="Picture 44" descr="P2116C3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2116C3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53804D2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CBA27D5" wp14:editId="1C96ECEC">
                  <wp:extent cx="200025" cy="180975"/>
                  <wp:effectExtent l="0" t="0" r="9525" b="9525"/>
                  <wp:docPr id="43" name="Picture 43" descr="P2117C3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2117C3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7C1DEE1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50BEBB4" wp14:editId="155E4DA8">
                  <wp:extent cx="200025" cy="180975"/>
                  <wp:effectExtent l="0" t="0" r="9525" b="9525"/>
                  <wp:docPr id="40" name="Picture 40" descr="P2118C3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2118C3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23440FB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DD5E3C5" wp14:editId="718FF02E">
                  <wp:extent cx="200025" cy="180975"/>
                  <wp:effectExtent l="0" t="0" r="9525" b="9525"/>
                  <wp:docPr id="15" name="Picture 15" descr="P2119C3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2119C3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051CE42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9FDF8F7" wp14:editId="5F44F711">
                  <wp:extent cx="200025" cy="180975"/>
                  <wp:effectExtent l="0" t="0" r="9525" b="9525"/>
                  <wp:docPr id="42" name="Picture 42" descr="P2120C3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2120C3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4068CCB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0F822C3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3C7311F" wp14:editId="3BB46C52">
                  <wp:extent cx="200025" cy="180975"/>
                  <wp:effectExtent l="0" t="0" r="9525" b="9525"/>
                  <wp:docPr id="41" name="Picture 41" descr="P2122C3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2122C3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0FE752D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29085A3" w14:textId="77777777" w:rsidTr="00110D28">
        <w:trPr>
          <w:trHeight w:val="269"/>
        </w:trPr>
        <w:tc>
          <w:tcPr>
            <w:tcW w:w="678" w:type="dxa"/>
          </w:tcPr>
          <w:p w14:paraId="14E504C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3.</w:t>
            </w:r>
          </w:p>
        </w:tc>
        <w:tc>
          <w:tcPr>
            <w:tcW w:w="1368" w:type="dxa"/>
          </w:tcPr>
          <w:p w14:paraId="30F6293B"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Bernard</w:t>
            </w:r>
          </w:p>
        </w:tc>
        <w:tc>
          <w:tcPr>
            <w:tcW w:w="1667" w:type="dxa"/>
          </w:tcPr>
          <w:p w14:paraId="6E98807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6B8552B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3AC5B96" wp14:editId="56423C25">
                  <wp:extent cx="200025" cy="180975"/>
                  <wp:effectExtent l="0" t="0" r="9525" b="9525"/>
                  <wp:docPr id="45" name="Picture 45" descr="P2128C4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P2128C4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74C3D9B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60A2930" wp14:editId="0EDAF6CC">
                  <wp:extent cx="200025" cy="180975"/>
                  <wp:effectExtent l="0" t="0" r="9525" b="9525"/>
                  <wp:docPr id="46" name="Picture 46" descr="P2129C4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P2129C4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18848FE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13ABA38" wp14:editId="45069C1C">
                  <wp:extent cx="200025" cy="180975"/>
                  <wp:effectExtent l="0" t="0" r="9525" b="9525"/>
                  <wp:docPr id="256" name="Picture 256" descr="P2130C4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descr="P2130C4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3091A14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99FA6A1" wp14:editId="6CC8463A">
                  <wp:extent cx="200025" cy="180975"/>
                  <wp:effectExtent l="0" t="0" r="9525" b="9525"/>
                  <wp:docPr id="48" name="Picture 48" descr="P2131C4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P2131C4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5DE607F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A3B13CF" wp14:editId="2773C60A">
                  <wp:extent cx="200025" cy="180975"/>
                  <wp:effectExtent l="0" t="0" r="9525" b="9525"/>
                  <wp:docPr id="49" name="Picture 49" descr="P2132C4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P2132C4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5CCDB99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F813F4F" wp14:editId="3C666CBA">
                  <wp:extent cx="200025" cy="180975"/>
                  <wp:effectExtent l="0" t="0" r="9525" b="9525"/>
                  <wp:docPr id="257" name="Picture 257" descr="P2133C4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P2133C4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5B55F50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0BA4F9B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530C867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83BC75F" w14:textId="77777777" w:rsidTr="00110D28">
        <w:trPr>
          <w:trHeight w:val="269"/>
        </w:trPr>
        <w:tc>
          <w:tcPr>
            <w:tcW w:w="678" w:type="dxa"/>
          </w:tcPr>
          <w:p w14:paraId="1D638D5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4.</w:t>
            </w:r>
          </w:p>
        </w:tc>
        <w:tc>
          <w:tcPr>
            <w:tcW w:w="1368" w:type="dxa"/>
          </w:tcPr>
          <w:p w14:paraId="0F321541"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Bosede</w:t>
            </w:r>
          </w:p>
        </w:tc>
        <w:tc>
          <w:tcPr>
            <w:tcW w:w="1667" w:type="dxa"/>
          </w:tcPr>
          <w:p w14:paraId="0F661F8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065E9CC" wp14:editId="20C702DD">
                  <wp:extent cx="200025" cy="180975"/>
                  <wp:effectExtent l="0" t="0" r="9525" b="9525"/>
                  <wp:docPr id="51" name="Picture 51" descr="P2140C5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P2140C5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5BD356E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DC5A444" wp14:editId="723B7F38">
                  <wp:extent cx="200025" cy="180975"/>
                  <wp:effectExtent l="0" t="0" r="9525" b="9525"/>
                  <wp:docPr id="54" name="Picture 54" descr="P2141C5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P2141C5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55B8C65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2C9EA25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F8C8239" wp14:editId="7C6CC0B6">
                  <wp:extent cx="200025" cy="180975"/>
                  <wp:effectExtent l="0" t="0" r="9525" b="9525"/>
                  <wp:docPr id="56" name="Picture 56" descr="P2143C5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P2143C5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5CC6EB8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329F7A1" wp14:editId="2C0DE2E3">
                  <wp:extent cx="200025" cy="180975"/>
                  <wp:effectExtent l="0" t="0" r="9525" b="9525"/>
                  <wp:docPr id="258" name="Picture 258" descr="P2144C5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P2144C5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5646608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BC5DAA2" wp14:editId="60614D38">
                  <wp:extent cx="200025" cy="180975"/>
                  <wp:effectExtent l="0" t="0" r="9525" b="9525"/>
                  <wp:docPr id="259" name="Picture 259" descr="P2145C5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P2145C5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64F2D82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535AAB8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FDC4B6B" wp14:editId="1145F4D5">
                  <wp:extent cx="200025" cy="180975"/>
                  <wp:effectExtent l="0" t="0" r="9525" b="9525"/>
                  <wp:docPr id="260" name="Picture 260" descr="P2147C5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descr="P2147C5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58733AB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579FCB0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7EAF533C" w14:textId="77777777" w:rsidTr="00110D28">
        <w:trPr>
          <w:trHeight w:val="269"/>
        </w:trPr>
        <w:tc>
          <w:tcPr>
            <w:tcW w:w="678" w:type="dxa"/>
          </w:tcPr>
          <w:p w14:paraId="185C517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5.</w:t>
            </w:r>
          </w:p>
        </w:tc>
        <w:tc>
          <w:tcPr>
            <w:tcW w:w="1368" w:type="dxa"/>
          </w:tcPr>
          <w:p w14:paraId="28AE26C9"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Cynthia</w:t>
            </w:r>
          </w:p>
        </w:tc>
        <w:tc>
          <w:tcPr>
            <w:tcW w:w="1667" w:type="dxa"/>
          </w:tcPr>
          <w:p w14:paraId="3C12BDB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3605075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3CE4241" wp14:editId="5AD09E44">
                  <wp:extent cx="200025" cy="180975"/>
                  <wp:effectExtent l="0" t="0" r="9525" b="9525"/>
                  <wp:docPr id="61" name="Picture 61" descr="P2154C6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P2154C6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79F8A4F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0546AB3" wp14:editId="118E2042">
                  <wp:extent cx="200025" cy="180975"/>
                  <wp:effectExtent l="0" t="0" r="9525" b="9525"/>
                  <wp:docPr id="58" name="Picture 58" descr="P2155C6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P2155C6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52DCC52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478458B" wp14:editId="6510967F">
                  <wp:extent cx="200025" cy="180975"/>
                  <wp:effectExtent l="0" t="0" r="9525" b="9525"/>
                  <wp:docPr id="59" name="Picture 59" descr="P2156C6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P2156C6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7A84897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656" w:type="dxa"/>
          </w:tcPr>
          <w:p w14:paraId="49997BD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86A7E65" wp14:editId="387FD6FD">
                  <wp:extent cx="200025" cy="180975"/>
                  <wp:effectExtent l="0" t="0" r="9525" b="9525"/>
                  <wp:docPr id="261" name="Picture 261" descr="P2158C6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descr="P2158C6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203074D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7DFE58F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B6769C6" wp14:editId="69519DCE">
                  <wp:extent cx="200025" cy="180975"/>
                  <wp:effectExtent l="0" t="0" r="9525" b="9525"/>
                  <wp:docPr id="62" name="Picture 62" descr="P2160C7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P2160C7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21A873F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B1FCF9C" wp14:editId="0E6C8378">
                  <wp:extent cx="200025" cy="180975"/>
                  <wp:effectExtent l="0" t="0" r="9525" b="9525"/>
                  <wp:docPr id="57" name="Picture 57" descr="P2161C7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P2161C7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5675C26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1FDF4606" w14:textId="77777777" w:rsidTr="00110D28">
        <w:trPr>
          <w:trHeight w:val="269"/>
        </w:trPr>
        <w:tc>
          <w:tcPr>
            <w:tcW w:w="678" w:type="dxa"/>
          </w:tcPr>
          <w:p w14:paraId="27192DF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6.</w:t>
            </w:r>
          </w:p>
        </w:tc>
        <w:tc>
          <w:tcPr>
            <w:tcW w:w="1368" w:type="dxa"/>
          </w:tcPr>
          <w:p w14:paraId="0C06333B"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Dankay</w:t>
            </w:r>
          </w:p>
        </w:tc>
        <w:tc>
          <w:tcPr>
            <w:tcW w:w="1667" w:type="dxa"/>
          </w:tcPr>
          <w:p w14:paraId="64E81C9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379EF6D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3FC465E" wp14:editId="302471B2">
                  <wp:extent cx="200025" cy="180975"/>
                  <wp:effectExtent l="0" t="0" r="9525" b="9525"/>
                  <wp:docPr id="63" name="Picture 63" descr="P2167C7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P2167C7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686FC82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12A82B9" wp14:editId="56E5AA81">
                  <wp:extent cx="200025" cy="180975"/>
                  <wp:effectExtent l="0" t="0" r="9525" b="9525"/>
                  <wp:docPr id="67" name="Picture 67" descr="P2168C7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P2168C7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235F6A2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3CAF2A7" wp14:editId="5BCBC32A">
                  <wp:extent cx="200025" cy="180975"/>
                  <wp:effectExtent l="0" t="0" r="9525" b="9525"/>
                  <wp:docPr id="68" name="Picture 68" descr="P2169C7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P2169C7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1E77FAB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656" w:type="dxa"/>
          </w:tcPr>
          <w:p w14:paraId="7BD9055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30AFB93" wp14:editId="4761FDA9">
                  <wp:extent cx="200025" cy="180975"/>
                  <wp:effectExtent l="0" t="0" r="9525" b="9525"/>
                  <wp:docPr id="65" name="Picture 65" descr="P2171C8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P2171C8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4FAE6E1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71C2248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54D0C45" wp14:editId="47DC7EAB">
                  <wp:extent cx="200025" cy="180975"/>
                  <wp:effectExtent l="0" t="0" r="9525" b="9525"/>
                  <wp:docPr id="262" name="Picture 262" descr="P2173C8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P2173C8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3FFFFD0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5A9BA39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0F44A86" wp14:editId="66DBDFCD">
                  <wp:extent cx="200025" cy="180975"/>
                  <wp:effectExtent l="0" t="0" r="9525" b="9525"/>
                  <wp:docPr id="263" name="Picture 263" descr="P2175C8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descr="P2175C8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795C66" w:rsidRPr="00795C66" w14:paraId="011A94DA" w14:textId="77777777" w:rsidTr="00110D28">
        <w:trPr>
          <w:trHeight w:val="269"/>
        </w:trPr>
        <w:tc>
          <w:tcPr>
            <w:tcW w:w="678" w:type="dxa"/>
          </w:tcPr>
          <w:p w14:paraId="538E252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7.</w:t>
            </w:r>
          </w:p>
        </w:tc>
        <w:tc>
          <w:tcPr>
            <w:tcW w:w="1368" w:type="dxa"/>
          </w:tcPr>
          <w:p w14:paraId="0F3516C1"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Doris</w:t>
            </w:r>
          </w:p>
        </w:tc>
        <w:tc>
          <w:tcPr>
            <w:tcW w:w="1667" w:type="dxa"/>
          </w:tcPr>
          <w:p w14:paraId="02B690B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30DA11C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C25B5AF" wp14:editId="6DB7B7DD">
                  <wp:extent cx="200025" cy="180975"/>
                  <wp:effectExtent l="0" t="0" r="9525" b="9525"/>
                  <wp:docPr id="264" name="Picture 264" descr="P2180C8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P2180C8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38E89E3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4F0B7BA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C158974" wp14:editId="2146FDD6">
                  <wp:extent cx="200025" cy="180975"/>
                  <wp:effectExtent l="0" t="0" r="9525" b="9525"/>
                  <wp:docPr id="265" name="Picture 265" descr="P2182C9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descr="P2182C9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06947CC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B84B44A" wp14:editId="6D05418A">
                  <wp:extent cx="200025" cy="180975"/>
                  <wp:effectExtent l="0" t="0" r="9525" b="9525"/>
                  <wp:docPr id="266" name="Picture 266" descr="P2183C9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descr="P2183C9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0984C65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DB02FFC" wp14:editId="6B2DC344">
                  <wp:extent cx="200025" cy="180975"/>
                  <wp:effectExtent l="0" t="0" r="9525" b="9525"/>
                  <wp:docPr id="267" name="Picture 267" descr="P2184C9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descr="P2184C9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45B92FA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6C66CB4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5A8F71F" wp14:editId="4E1D3DFF">
                  <wp:extent cx="200025" cy="180975"/>
                  <wp:effectExtent l="0" t="0" r="9525" b="9525"/>
                  <wp:docPr id="268" name="Picture 268" descr="P2186C9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descr="P2186C9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3E921F7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06CCFD3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2E04264" wp14:editId="005FDF9B">
                  <wp:extent cx="200025" cy="180975"/>
                  <wp:effectExtent l="0" t="0" r="9525" b="9525"/>
                  <wp:docPr id="269" name="Picture 269" descr="P2188C9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descr="P2188C9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795C66" w:rsidRPr="00795C66" w14:paraId="28A0495A" w14:textId="77777777" w:rsidTr="00110D28">
        <w:trPr>
          <w:trHeight w:val="269"/>
        </w:trPr>
        <w:tc>
          <w:tcPr>
            <w:tcW w:w="678" w:type="dxa"/>
          </w:tcPr>
          <w:p w14:paraId="73CD245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8.</w:t>
            </w:r>
          </w:p>
        </w:tc>
        <w:tc>
          <w:tcPr>
            <w:tcW w:w="1368" w:type="dxa"/>
          </w:tcPr>
          <w:p w14:paraId="1FF72F51"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Folashade</w:t>
            </w:r>
          </w:p>
        </w:tc>
        <w:tc>
          <w:tcPr>
            <w:tcW w:w="1667" w:type="dxa"/>
          </w:tcPr>
          <w:p w14:paraId="68DEE70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4A52D98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911F8A6" wp14:editId="417CF31D">
                  <wp:extent cx="200025" cy="180975"/>
                  <wp:effectExtent l="0" t="0" r="9525" b="9525"/>
                  <wp:docPr id="72" name="Picture 72" descr="P2193C10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P2193C10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676F066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1877CAB" wp14:editId="75C6A3DB">
                  <wp:extent cx="200025" cy="180975"/>
                  <wp:effectExtent l="0" t="0" r="9525" b="9525"/>
                  <wp:docPr id="69" name="Picture 69" descr="P2194C10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P2194C10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29555D6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088EC96" wp14:editId="7FE92336">
                  <wp:extent cx="200025" cy="180975"/>
                  <wp:effectExtent l="0" t="0" r="9525" b="9525"/>
                  <wp:docPr id="70" name="Picture 70" descr="P2195C10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P2195C10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4AED3D4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DF8BDF6" wp14:editId="3A9C5D36">
                  <wp:extent cx="200025" cy="180975"/>
                  <wp:effectExtent l="0" t="0" r="9525" b="9525"/>
                  <wp:docPr id="270" name="Picture 270" descr="P2196C10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descr="P2196C10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0A54356B"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BB0A81A" wp14:editId="632DABDC">
                  <wp:extent cx="200025" cy="180975"/>
                  <wp:effectExtent l="0" t="0" r="9525" b="9525"/>
                  <wp:docPr id="73" name="Picture 73" descr="P2197C10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P2197C10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5B9209E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0C93FB4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241BAA6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5464586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7998721E" w14:textId="77777777" w:rsidTr="00110D28">
        <w:trPr>
          <w:trHeight w:val="269"/>
        </w:trPr>
        <w:tc>
          <w:tcPr>
            <w:tcW w:w="678" w:type="dxa"/>
          </w:tcPr>
          <w:p w14:paraId="282AC4A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9.</w:t>
            </w:r>
          </w:p>
        </w:tc>
        <w:tc>
          <w:tcPr>
            <w:tcW w:w="1368" w:type="dxa"/>
          </w:tcPr>
          <w:p w14:paraId="0BC82FE4"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Jackie</w:t>
            </w:r>
          </w:p>
        </w:tc>
        <w:tc>
          <w:tcPr>
            <w:tcW w:w="1667" w:type="dxa"/>
          </w:tcPr>
          <w:p w14:paraId="19E1E7C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0A85FF7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A26FC86" wp14:editId="74B28634">
                  <wp:extent cx="200025" cy="180975"/>
                  <wp:effectExtent l="0" t="0" r="9525" b="9525"/>
                  <wp:docPr id="271" name="Picture 271" descr="P2206C11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descr="P2206C11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51A5110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FD37DCF" wp14:editId="6F8E7764">
                  <wp:extent cx="200025" cy="180975"/>
                  <wp:effectExtent l="0" t="0" r="9525" b="9525"/>
                  <wp:docPr id="272" name="Picture 272" descr="P2207C11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P2207C11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448A185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00D5D98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656" w:type="dxa"/>
          </w:tcPr>
          <w:p w14:paraId="2706711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3D2DA54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78727A5" wp14:editId="2708C992">
                  <wp:extent cx="200025" cy="180975"/>
                  <wp:effectExtent l="0" t="0" r="9525" b="9525"/>
                  <wp:docPr id="273" name="Picture 273" descr="P2211C11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P2211C11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1B294D1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729BDB5" wp14:editId="375F9029">
                  <wp:extent cx="200025" cy="180975"/>
                  <wp:effectExtent l="0" t="0" r="9525" b="9525"/>
                  <wp:docPr id="17" name="Picture 17" descr="P2212C11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P2212C11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1A7E925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04C0F58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4453D656" w14:textId="77777777" w:rsidTr="00110D28">
        <w:trPr>
          <w:trHeight w:val="269"/>
        </w:trPr>
        <w:tc>
          <w:tcPr>
            <w:tcW w:w="678" w:type="dxa"/>
          </w:tcPr>
          <w:p w14:paraId="685ED19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10.</w:t>
            </w:r>
          </w:p>
        </w:tc>
        <w:tc>
          <w:tcPr>
            <w:tcW w:w="1368" w:type="dxa"/>
          </w:tcPr>
          <w:p w14:paraId="189AC4CE"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Jane</w:t>
            </w:r>
          </w:p>
        </w:tc>
        <w:tc>
          <w:tcPr>
            <w:tcW w:w="1667" w:type="dxa"/>
          </w:tcPr>
          <w:p w14:paraId="047CC27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82A52B4" wp14:editId="3AB3AD1D">
                  <wp:extent cx="200025" cy="180975"/>
                  <wp:effectExtent l="0" t="0" r="9525" b="9525"/>
                  <wp:docPr id="74" name="Picture 74" descr="P2218C12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P2218C12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413E235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A0516B1" wp14:editId="50444005">
                  <wp:extent cx="200025" cy="180975"/>
                  <wp:effectExtent l="0" t="0" r="9525" b="9525"/>
                  <wp:docPr id="274" name="Picture 274" descr="P2219C12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P2219C12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07DE394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558D0BD" wp14:editId="1B4CC318">
                  <wp:extent cx="200025" cy="180975"/>
                  <wp:effectExtent l="0" t="0" r="9525" b="9525"/>
                  <wp:docPr id="275" name="Picture 275" descr="P2220C12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descr="P2220C12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7347A0D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AE540CA" wp14:editId="77F373C0">
                  <wp:extent cx="200025" cy="180975"/>
                  <wp:effectExtent l="0" t="0" r="9525" b="9525"/>
                  <wp:docPr id="276" name="Picture 276" descr="P2221C12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descr="P2221C12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1DF17E3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656" w:type="dxa"/>
          </w:tcPr>
          <w:p w14:paraId="5482F8D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1AC7C05" wp14:editId="611E9B9D">
                  <wp:extent cx="200025" cy="180975"/>
                  <wp:effectExtent l="0" t="0" r="9525" b="9525"/>
                  <wp:docPr id="277" name="Picture 277" descr="P2223C12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descr="P2223C12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3F911E2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3D3FAEE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4F25350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6170ED7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7DDF1F84" w14:textId="77777777" w:rsidTr="00110D28">
        <w:trPr>
          <w:trHeight w:val="269"/>
        </w:trPr>
        <w:tc>
          <w:tcPr>
            <w:tcW w:w="678" w:type="dxa"/>
          </w:tcPr>
          <w:p w14:paraId="5F5279BB"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11.</w:t>
            </w:r>
          </w:p>
        </w:tc>
        <w:tc>
          <w:tcPr>
            <w:tcW w:w="1368" w:type="dxa"/>
          </w:tcPr>
          <w:p w14:paraId="7A14E8A0"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Jeff</w:t>
            </w:r>
          </w:p>
        </w:tc>
        <w:tc>
          <w:tcPr>
            <w:tcW w:w="1667" w:type="dxa"/>
          </w:tcPr>
          <w:p w14:paraId="0F2D3F5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E44C108" wp14:editId="5EAE386E">
                  <wp:extent cx="200025" cy="180975"/>
                  <wp:effectExtent l="0" t="0" r="9525" b="9525"/>
                  <wp:docPr id="278" name="Picture 278" descr="P2231C13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descr="P2231C13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55E3676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CB7BCC9" wp14:editId="0FD24948">
                  <wp:extent cx="200025" cy="180975"/>
                  <wp:effectExtent l="0" t="0" r="9525" b="9525"/>
                  <wp:docPr id="279" name="Picture 279" descr="P2232C13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descr="P2232C13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1003F91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15215F7" wp14:editId="15217129">
                  <wp:extent cx="200025" cy="180975"/>
                  <wp:effectExtent l="0" t="0" r="9525" b="9525"/>
                  <wp:docPr id="280" name="Picture 280" descr="P2233C13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descr="P2233C13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0377090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EFEEFDC" wp14:editId="5544AD14">
                  <wp:extent cx="200025" cy="180975"/>
                  <wp:effectExtent l="0" t="0" r="9525" b="9525"/>
                  <wp:docPr id="281" name="Picture 281" descr="P2234C13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descr="P2234C13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08A1EAB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6B0B028" wp14:editId="0362CAD9">
                  <wp:extent cx="200025" cy="180975"/>
                  <wp:effectExtent l="0" t="0" r="9525" b="9525"/>
                  <wp:docPr id="282" name="Picture 282" descr="P2235C14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P2235C14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46B66FE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00C91EC" wp14:editId="7D46A8DA">
                  <wp:extent cx="200025" cy="180975"/>
                  <wp:effectExtent l="0" t="0" r="9525" b="9525"/>
                  <wp:docPr id="283" name="Picture 283" descr="P2236C14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P2236C14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5FEEFF2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AC8B427" wp14:editId="20B3EE26">
                  <wp:extent cx="200025" cy="180975"/>
                  <wp:effectExtent l="0" t="0" r="9525" b="9525"/>
                  <wp:docPr id="284" name="Picture 284" descr="P2237C14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P2237C14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6EC0458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6138204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1C3E133" wp14:editId="42A3409D">
                  <wp:extent cx="200025" cy="180975"/>
                  <wp:effectExtent l="0" t="0" r="9525" b="9525"/>
                  <wp:docPr id="285" name="Picture 285" descr="P2239C14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descr="P2239C14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413A8A7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F714BF7" w14:textId="77777777" w:rsidTr="00110D28">
        <w:trPr>
          <w:trHeight w:val="269"/>
        </w:trPr>
        <w:tc>
          <w:tcPr>
            <w:tcW w:w="678" w:type="dxa"/>
          </w:tcPr>
          <w:p w14:paraId="73C909CE"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12.</w:t>
            </w:r>
          </w:p>
        </w:tc>
        <w:tc>
          <w:tcPr>
            <w:tcW w:w="1368" w:type="dxa"/>
          </w:tcPr>
          <w:p w14:paraId="028A119C"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John</w:t>
            </w:r>
          </w:p>
        </w:tc>
        <w:tc>
          <w:tcPr>
            <w:tcW w:w="1667" w:type="dxa"/>
          </w:tcPr>
          <w:p w14:paraId="05D2453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6EB5597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189" w:type="dxa"/>
          </w:tcPr>
          <w:p w14:paraId="3E372EC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660B38B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578C11A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BF28DC5" wp14:editId="73358406">
                  <wp:extent cx="200025" cy="180975"/>
                  <wp:effectExtent l="0" t="0" r="9525" b="9525"/>
                  <wp:docPr id="286" name="Picture 286" descr="P2248C15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descr="P2248C15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338D5A6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50D2FAF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48F38B4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42324A8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716C2A1" wp14:editId="6F357C6B">
                  <wp:extent cx="200025" cy="180975"/>
                  <wp:effectExtent l="0" t="0" r="9525" b="9525"/>
                  <wp:docPr id="287" name="Picture 287" descr="P2252C15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P2252C15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1E61F7E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1F2FE38" wp14:editId="120F932C">
                  <wp:extent cx="200025" cy="180975"/>
                  <wp:effectExtent l="0" t="0" r="9525" b="9525"/>
                  <wp:docPr id="288" name="Picture 288" descr="P2253C15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P2253C15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795C66" w:rsidRPr="00795C66" w14:paraId="6FF4499E" w14:textId="77777777" w:rsidTr="00110D28">
        <w:trPr>
          <w:trHeight w:val="269"/>
        </w:trPr>
        <w:tc>
          <w:tcPr>
            <w:tcW w:w="678" w:type="dxa"/>
          </w:tcPr>
          <w:p w14:paraId="287C08CA"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13.</w:t>
            </w:r>
          </w:p>
        </w:tc>
        <w:tc>
          <w:tcPr>
            <w:tcW w:w="1368" w:type="dxa"/>
          </w:tcPr>
          <w:p w14:paraId="396A00DB"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Kate</w:t>
            </w:r>
          </w:p>
        </w:tc>
        <w:tc>
          <w:tcPr>
            <w:tcW w:w="1667" w:type="dxa"/>
          </w:tcPr>
          <w:p w14:paraId="32AF925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A8DB6F4" wp14:editId="29B0A2C8">
                  <wp:extent cx="200025" cy="180975"/>
                  <wp:effectExtent l="0" t="0" r="9525" b="9525"/>
                  <wp:docPr id="289" name="Picture 289" descr="P2257C16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P2257C16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148F24E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189" w:type="dxa"/>
          </w:tcPr>
          <w:p w14:paraId="5288467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5104A0D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399C49B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8619B1C" wp14:editId="538873D0">
                  <wp:extent cx="200025" cy="180975"/>
                  <wp:effectExtent l="0" t="0" r="9525" b="9525"/>
                  <wp:docPr id="290" name="Picture 290" descr="P2261C16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P2261C16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3BC53FA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1928F19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52CA1A7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2E65CF1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4CFC91B" wp14:editId="2262E2C8">
                  <wp:extent cx="200025" cy="180975"/>
                  <wp:effectExtent l="0" t="0" r="9525" b="9525"/>
                  <wp:docPr id="291" name="Picture 291" descr="P2265C16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P2265C16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12C6CEB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190C643E" w14:textId="77777777" w:rsidTr="00110D28">
        <w:trPr>
          <w:trHeight w:val="269"/>
        </w:trPr>
        <w:tc>
          <w:tcPr>
            <w:tcW w:w="678" w:type="dxa"/>
          </w:tcPr>
          <w:p w14:paraId="09B9332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14.</w:t>
            </w:r>
          </w:p>
        </w:tc>
        <w:tc>
          <w:tcPr>
            <w:tcW w:w="1368" w:type="dxa"/>
          </w:tcPr>
          <w:p w14:paraId="20EB2EDD" w14:textId="77777777" w:rsidR="00795C66" w:rsidRPr="00795C66" w:rsidRDefault="00795C66" w:rsidP="00110D28">
            <w:pPr>
              <w:spacing w:after="0" w:line="240" w:lineRule="auto"/>
              <w:rPr>
                <w:rFonts w:ascii="Times New Roman" w:hAnsi="Times New Roman"/>
                <w:sz w:val="18"/>
                <w:szCs w:val="18"/>
              </w:rPr>
            </w:pPr>
            <w:r w:rsidRPr="00795C66">
              <w:rPr>
                <w:rFonts w:ascii="Times New Roman" w:hAnsi="Times New Roman"/>
                <w:sz w:val="18"/>
                <w:szCs w:val="18"/>
              </w:rPr>
              <w:t>Kemdo</w:t>
            </w:r>
          </w:p>
        </w:tc>
        <w:tc>
          <w:tcPr>
            <w:tcW w:w="1667" w:type="dxa"/>
          </w:tcPr>
          <w:p w14:paraId="79719EC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16E48DD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6A2E18E" wp14:editId="71B3E8B0">
                  <wp:extent cx="200025" cy="180975"/>
                  <wp:effectExtent l="0" t="0" r="9525" b="9525"/>
                  <wp:docPr id="292" name="Picture 292" descr="P2271C17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P2271C17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5921187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65B5488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76AC4A1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DF29B8E" wp14:editId="7F46548C">
                  <wp:extent cx="200025" cy="180975"/>
                  <wp:effectExtent l="0" t="0" r="9525" b="9525"/>
                  <wp:docPr id="30" name="Picture 30" descr="P2274C17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2274C17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4AA2650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530A013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41DDDF7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48268761" wp14:editId="09246C48">
                  <wp:extent cx="200025" cy="180975"/>
                  <wp:effectExtent l="0" t="0" r="9525" b="9525"/>
                  <wp:docPr id="293" name="Picture 293" descr="P2277C17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descr="P2277C17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77D1D5E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55ACA0A" wp14:editId="1705D134">
                  <wp:extent cx="200025" cy="180975"/>
                  <wp:effectExtent l="0" t="0" r="9525" b="9525"/>
                  <wp:docPr id="294" name="Picture 294" descr="P2278C18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P2278C18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4808EA2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8FE5CAC" w14:textId="77777777" w:rsidTr="00110D28">
        <w:trPr>
          <w:trHeight w:val="269"/>
        </w:trPr>
        <w:tc>
          <w:tcPr>
            <w:tcW w:w="678" w:type="dxa"/>
          </w:tcPr>
          <w:p w14:paraId="0B6E523A"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15.</w:t>
            </w:r>
          </w:p>
        </w:tc>
        <w:tc>
          <w:tcPr>
            <w:tcW w:w="1368" w:type="dxa"/>
          </w:tcPr>
          <w:p w14:paraId="22553B49"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Miriam</w:t>
            </w:r>
          </w:p>
        </w:tc>
        <w:tc>
          <w:tcPr>
            <w:tcW w:w="1667" w:type="dxa"/>
          </w:tcPr>
          <w:p w14:paraId="3AD02C8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5F49C63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5377D20" wp14:editId="4CC8082B">
                  <wp:extent cx="200025" cy="180975"/>
                  <wp:effectExtent l="0" t="0" r="9525" b="9525"/>
                  <wp:docPr id="295" name="Picture 295" descr="P2284C18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P2284C18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2C45C6C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30EE47C4" wp14:editId="4044047E">
                  <wp:extent cx="200025" cy="180975"/>
                  <wp:effectExtent l="0" t="0" r="9525" b="9525"/>
                  <wp:docPr id="296" name="Picture 296" descr="P2285C18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P2285C18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0BE8A7B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C6D2AE5" wp14:editId="531353DB">
                  <wp:extent cx="200025" cy="180975"/>
                  <wp:effectExtent l="0" t="0" r="9525" b="9525"/>
                  <wp:docPr id="297" name="Picture 297" descr="P2286C18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descr="P2286C18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548" w:type="dxa"/>
          </w:tcPr>
          <w:p w14:paraId="77774AB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784C909" wp14:editId="2C2114E5">
                  <wp:extent cx="200025" cy="180975"/>
                  <wp:effectExtent l="0" t="0" r="9525" b="9525"/>
                  <wp:docPr id="298" name="Picture 298" descr="P2287C18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descr="P2287C18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3679EE2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7EB307E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3542A3F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589961E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0F4D714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6DE0E6DC" w14:textId="77777777" w:rsidTr="00110D28">
        <w:trPr>
          <w:trHeight w:val="269"/>
        </w:trPr>
        <w:tc>
          <w:tcPr>
            <w:tcW w:w="678" w:type="dxa"/>
          </w:tcPr>
          <w:p w14:paraId="413603B5"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16.</w:t>
            </w:r>
          </w:p>
        </w:tc>
        <w:tc>
          <w:tcPr>
            <w:tcW w:w="1368" w:type="dxa"/>
          </w:tcPr>
          <w:p w14:paraId="50390CB2"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Morgan</w:t>
            </w:r>
          </w:p>
        </w:tc>
        <w:tc>
          <w:tcPr>
            <w:tcW w:w="1667" w:type="dxa"/>
          </w:tcPr>
          <w:p w14:paraId="37A8EF9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66FD49E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C2B58A1" wp14:editId="75F3DE3E">
                  <wp:extent cx="200025" cy="180975"/>
                  <wp:effectExtent l="0" t="0" r="9525" b="9525"/>
                  <wp:docPr id="299" name="Picture 299" descr="P2297C19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P2297C19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1E09040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7A1F4D9" wp14:editId="0B3AFA48">
                  <wp:extent cx="200025" cy="180975"/>
                  <wp:effectExtent l="0" t="0" r="9525" b="9525"/>
                  <wp:docPr id="300" name="Picture 300" descr="P2298C19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descr="P2298C19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5AEC439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34EA5A9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0A060A3" wp14:editId="53A84E2A">
                  <wp:extent cx="200025" cy="180975"/>
                  <wp:effectExtent l="0" t="0" r="9525" b="9525"/>
                  <wp:docPr id="301" name="Picture 301" descr="P2300C20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P2300C20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1DA21F0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6F8E51D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ACB9252" wp14:editId="6EB957A9">
                  <wp:extent cx="200025" cy="180975"/>
                  <wp:effectExtent l="0" t="0" r="9525" b="9525"/>
                  <wp:docPr id="302" name="Picture 302" descr="P2302C20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descr="P2302C20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41E7C68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73B8263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7AA02CB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09E322C5" w14:textId="77777777" w:rsidTr="00110D28">
        <w:trPr>
          <w:trHeight w:val="269"/>
        </w:trPr>
        <w:tc>
          <w:tcPr>
            <w:tcW w:w="678" w:type="dxa"/>
          </w:tcPr>
          <w:p w14:paraId="68057989"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17.</w:t>
            </w:r>
          </w:p>
        </w:tc>
        <w:tc>
          <w:tcPr>
            <w:tcW w:w="1368" w:type="dxa"/>
          </w:tcPr>
          <w:p w14:paraId="35146119"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Omolara</w:t>
            </w:r>
          </w:p>
        </w:tc>
        <w:tc>
          <w:tcPr>
            <w:tcW w:w="1667" w:type="dxa"/>
          </w:tcPr>
          <w:p w14:paraId="69DDDE3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764E29B" wp14:editId="54564A05">
                  <wp:extent cx="200025" cy="180975"/>
                  <wp:effectExtent l="0" t="0" r="9525" b="9525"/>
                  <wp:docPr id="303" name="Picture 303" descr="P2309C20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P2309C20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7FA3A20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D62895F" wp14:editId="183CB60A">
                  <wp:extent cx="200025" cy="180975"/>
                  <wp:effectExtent l="0" t="0" r="9525" b="9525"/>
                  <wp:docPr id="304" name="Picture 304" descr="P2310C209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P2310C209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438CA90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C205DC5" wp14:editId="30BA3AFD">
                  <wp:extent cx="200025" cy="180975"/>
                  <wp:effectExtent l="0" t="0" r="9525" b="9525"/>
                  <wp:docPr id="305" name="Picture 305" descr="P2311C21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P2311C21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063D8FB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02BF4A5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375CF74" wp14:editId="09A4834A">
                  <wp:extent cx="200025" cy="180975"/>
                  <wp:effectExtent l="0" t="0" r="9525" b="9525"/>
                  <wp:docPr id="306" name="Picture 306" descr="P2313C21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descr="P2313C21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7F93531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51E7FD7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4BF29F4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35D6699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7D9CF80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57EEBB6" w14:textId="77777777" w:rsidTr="00110D28">
        <w:trPr>
          <w:trHeight w:val="269"/>
        </w:trPr>
        <w:tc>
          <w:tcPr>
            <w:tcW w:w="678" w:type="dxa"/>
          </w:tcPr>
          <w:p w14:paraId="69B9A253"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18.</w:t>
            </w:r>
          </w:p>
        </w:tc>
        <w:tc>
          <w:tcPr>
            <w:tcW w:w="1368" w:type="dxa"/>
          </w:tcPr>
          <w:p w14:paraId="1195444A"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Oscar</w:t>
            </w:r>
          </w:p>
        </w:tc>
        <w:tc>
          <w:tcPr>
            <w:tcW w:w="1667" w:type="dxa"/>
          </w:tcPr>
          <w:p w14:paraId="2669813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74D61F6" wp14:editId="3EB3D70F">
                  <wp:extent cx="200025" cy="180975"/>
                  <wp:effectExtent l="0" t="0" r="9525" b="9525"/>
                  <wp:docPr id="38" name="Picture 38" descr="P2322C22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2322C22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388E9C2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44E393D" wp14:editId="17F68406">
                  <wp:extent cx="200025" cy="180975"/>
                  <wp:effectExtent l="0" t="0" r="9525" b="9525"/>
                  <wp:docPr id="307" name="Picture 307" descr="P2323C22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P2323C22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520A66F4"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73389C2" wp14:editId="3F38BE6E">
                  <wp:extent cx="200025" cy="180975"/>
                  <wp:effectExtent l="0" t="0" r="9525" b="9525"/>
                  <wp:docPr id="308" name="Picture 308" descr="P2324C22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P2324C22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741C7B1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03AB73D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656" w:type="dxa"/>
          </w:tcPr>
          <w:p w14:paraId="63876EB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5DAE84F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440" w:type="dxa"/>
          </w:tcPr>
          <w:p w14:paraId="0B3003ED"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EEE4B76" wp14:editId="16D1F557">
                  <wp:extent cx="200025" cy="180975"/>
                  <wp:effectExtent l="0" t="0" r="9525" b="9525"/>
                  <wp:docPr id="309" name="Picture 309" descr="P2329C22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P2329C22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4C1348C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FBDCDAB" wp14:editId="7F87E266">
                  <wp:extent cx="200025" cy="180975"/>
                  <wp:effectExtent l="0" t="0" r="9525" b="9525"/>
                  <wp:docPr id="310" name="Picture 310" descr="P2330C22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P2330C22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1ADCD90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04A23C7" w14:textId="77777777" w:rsidTr="00110D28">
        <w:trPr>
          <w:trHeight w:val="269"/>
        </w:trPr>
        <w:tc>
          <w:tcPr>
            <w:tcW w:w="678" w:type="dxa"/>
          </w:tcPr>
          <w:p w14:paraId="11257CDD"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19.</w:t>
            </w:r>
          </w:p>
        </w:tc>
        <w:tc>
          <w:tcPr>
            <w:tcW w:w="1368" w:type="dxa"/>
          </w:tcPr>
          <w:p w14:paraId="6633D24B"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Paul</w:t>
            </w:r>
          </w:p>
        </w:tc>
        <w:tc>
          <w:tcPr>
            <w:tcW w:w="1667" w:type="dxa"/>
          </w:tcPr>
          <w:p w14:paraId="6D17874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B05559F" wp14:editId="36B28443">
                  <wp:extent cx="200025" cy="180975"/>
                  <wp:effectExtent l="0" t="0" r="9525" b="9525"/>
                  <wp:docPr id="311" name="Picture 311" descr="P2335C23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P2335C23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3AAE58B5"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189" w:type="dxa"/>
          </w:tcPr>
          <w:p w14:paraId="4D8DF96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988CD76" wp14:editId="103F20E1">
                  <wp:extent cx="200025" cy="180975"/>
                  <wp:effectExtent l="0" t="0" r="9525" b="9525"/>
                  <wp:docPr id="312" name="Picture 312" descr="P2337C234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descr="P2337C234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5AA51870"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0AA779D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0DD18B3" wp14:editId="1D097760">
                  <wp:extent cx="200025" cy="180975"/>
                  <wp:effectExtent l="0" t="0" r="9525" b="9525"/>
                  <wp:docPr id="313" name="Picture 313" descr="P2339C23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P2339C23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55FA48A8"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7DC2322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F356A61" wp14:editId="0F3ED02D">
                  <wp:extent cx="200025" cy="180975"/>
                  <wp:effectExtent l="0" t="0" r="9525" b="9525"/>
                  <wp:docPr id="314" name="Picture 314" descr="P2341C23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descr="P2341C23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1E0B6CF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3761304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7C50604" wp14:editId="5C84C615">
                  <wp:extent cx="200025" cy="180975"/>
                  <wp:effectExtent l="0" t="0" r="9525" b="9525"/>
                  <wp:docPr id="315" name="Picture 315" descr="P2343C24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descr="P2343C24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03" w:type="dxa"/>
          </w:tcPr>
          <w:p w14:paraId="2686E69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2779CE83" w14:textId="77777777" w:rsidTr="00110D28">
        <w:trPr>
          <w:trHeight w:val="269"/>
        </w:trPr>
        <w:tc>
          <w:tcPr>
            <w:tcW w:w="678" w:type="dxa"/>
          </w:tcPr>
          <w:p w14:paraId="574B3DBE"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t>20.</w:t>
            </w:r>
          </w:p>
        </w:tc>
        <w:tc>
          <w:tcPr>
            <w:tcW w:w="1368" w:type="dxa"/>
          </w:tcPr>
          <w:p w14:paraId="7C8C818E"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Robert</w:t>
            </w:r>
          </w:p>
        </w:tc>
        <w:tc>
          <w:tcPr>
            <w:tcW w:w="1667" w:type="dxa"/>
          </w:tcPr>
          <w:p w14:paraId="3553152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283" w:type="dxa"/>
          </w:tcPr>
          <w:p w14:paraId="4F5E663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CAFEC91" wp14:editId="341367D2">
                  <wp:extent cx="200025" cy="180975"/>
                  <wp:effectExtent l="0" t="0" r="9525" b="9525"/>
                  <wp:docPr id="316" name="Picture 316" descr="P2349C245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descr="P2349C245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7384DE1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6782A18D" wp14:editId="197C9C41">
                  <wp:extent cx="200025" cy="180975"/>
                  <wp:effectExtent l="0" t="0" r="9525" b="9525"/>
                  <wp:docPr id="317" name="Picture 317" descr="P2350C24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descr="P2350C24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389" w:type="dxa"/>
          </w:tcPr>
          <w:p w14:paraId="4B481CF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288B69F9"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C833105" wp14:editId="2FFC6AA1">
                  <wp:extent cx="200025" cy="180975"/>
                  <wp:effectExtent l="0" t="0" r="9525" b="9525"/>
                  <wp:docPr id="318" name="Picture 318" descr="P2352C248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descr="P2352C248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076D4B2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82" w:type="dxa"/>
          </w:tcPr>
          <w:p w14:paraId="06E9CF66"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019365DA" wp14:editId="0EB71AFD">
                  <wp:extent cx="200025" cy="180975"/>
                  <wp:effectExtent l="0" t="0" r="9525" b="9525"/>
                  <wp:docPr id="319" name="Picture 319" descr="P2354C25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descr="P2354C25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52C62B8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060" w:type="dxa"/>
          </w:tcPr>
          <w:p w14:paraId="1781ECEF"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6E6B5A73"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r w:rsidR="00795C66" w:rsidRPr="00795C66" w14:paraId="6E2D9DDF" w14:textId="77777777" w:rsidTr="00110D28">
        <w:trPr>
          <w:trHeight w:val="269"/>
        </w:trPr>
        <w:tc>
          <w:tcPr>
            <w:tcW w:w="678" w:type="dxa"/>
          </w:tcPr>
          <w:p w14:paraId="06F43E40" w14:textId="77777777" w:rsidR="00795C66" w:rsidRPr="00795C66" w:rsidRDefault="00795C66" w:rsidP="00110D28">
            <w:pPr>
              <w:tabs>
                <w:tab w:val="left" w:pos="840"/>
              </w:tabs>
              <w:spacing w:after="0" w:line="240" w:lineRule="auto"/>
              <w:jc w:val="center"/>
              <w:rPr>
                <w:rFonts w:ascii="Times New Roman" w:hAnsi="Times New Roman"/>
                <w:sz w:val="18"/>
                <w:szCs w:val="18"/>
              </w:rPr>
            </w:pPr>
            <w:r w:rsidRPr="00795C66">
              <w:rPr>
                <w:rFonts w:ascii="Times New Roman" w:hAnsi="Times New Roman"/>
                <w:sz w:val="18"/>
                <w:szCs w:val="18"/>
              </w:rPr>
              <w:lastRenderedPageBreak/>
              <w:t>21.</w:t>
            </w:r>
          </w:p>
        </w:tc>
        <w:tc>
          <w:tcPr>
            <w:tcW w:w="1368" w:type="dxa"/>
          </w:tcPr>
          <w:p w14:paraId="6304DBBD" w14:textId="77777777" w:rsidR="00795C66" w:rsidRPr="00795C66" w:rsidRDefault="00795C66" w:rsidP="00110D28">
            <w:pPr>
              <w:tabs>
                <w:tab w:val="left" w:pos="840"/>
              </w:tabs>
              <w:spacing w:after="0" w:line="240" w:lineRule="auto"/>
              <w:rPr>
                <w:rFonts w:ascii="Times New Roman" w:hAnsi="Times New Roman"/>
                <w:sz w:val="18"/>
                <w:szCs w:val="18"/>
              </w:rPr>
            </w:pPr>
            <w:r w:rsidRPr="00795C66">
              <w:rPr>
                <w:rFonts w:ascii="Times New Roman" w:hAnsi="Times New Roman"/>
                <w:sz w:val="18"/>
                <w:szCs w:val="18"/>
              </w:rPr>
              <w:t>Shapiro</w:t>
            </w:r>
          </w:p>
        </w:tc>
        <w:tc>
          <w:tcPr>
            <w:tcW w:w="1667" w:type="dxa"/>
          </w:tcPr>
          <w:p w14:paraId="4C6ECE3B"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19317A2" wp14:editId="22FE57EA">
                  <wp:extent cx="200025" cy="180975"/>
                  <wp:effectExtent l="0" t="0" r="9525" b="9525"/>
                  <wp:docPr id="320" name="Picture 320" descr="P2361C256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descr="P2361C256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83" w:type="dxa"/>
          </w:tcPr>
          <w:p w14:paraId="51EA8ED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27F74BB" wp14:editId="3EADD50E">
                  <wp:extent cx="200025" cy="180975"/>
                  <wp:effectExtent l="0" t="0" r="9525" b="9525"/>
                  <wp:docPr id="36" name="Picture 36" descr="P2362C257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2362C257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189" w:type="dxa"/>
          </w:tcPr>
          <w:p w14:paraId="2E76AD0A"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389" w:type="dxa"/>
          </w:tcPr>
          <w:p w14:paraId="19D937CB"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1548" w:type="dxa"/>
          </w:tcPr>
          <w:p w14:paraId="3D3E3472"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2DD3553D" wp14:editId="1F79CA8C">
                  <wp:extent cx="200025" cy="180975"/>
                  <wp:effectExtent l="0" t="0" r="9525" b="9525"/>
                  <wp:docPr id="33" name="Picture 33" descr="P2365C260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2365C260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56" w:type="dxa"/>
          </w:tcPr>
          <w:p w14:paraId="166EE11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1E5C17FB" wp14:editId="4E10B7B9">
                  <wp:extent cx="200025" cy="180975"/>
                  <wp:effectExtent l="0" t="0" r="9525" b="9525"/>
                  <wp:docPr id="34" name="Picture 34" descr="P2366C26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P2366C261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982" w:type="dxa"/>
          </w:tcPr>
          <w:p w14:paraId="36BEFE5C"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72650F3E" wp14:editId="2A06B1F7">
                  <wp:extent cx="200025" cy="180975"/>
                  <wp:effectExtent l="0" t="0" r="9525" b="9525"/>
                  <wp:docPr id="37" name="Picture 37" descr="P2367C26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P2367C262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40" w:type="dxa"/>
          </w:tcPr>
          <w:p w14:paraId="5830EDAE"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noProof/>
                <w:sz w:val="18"/>
                <w:szCs w:val="18"/>
              </w:rPr>
              <w:drawing>
                <wp:inline distT="0" distB="0" distL="0" distR="0" wp14:anchorId="5DE60EB2" wp14:editId="5DCEA4D2">
                  <wp:extent cx="200025" cy="180975"/>
                  <wp:effectExtent l="0" t="0" r="9525" b="9525"/>
                  <wp:docPr id="35" name="Picture 35" descr="P2368C263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2368C263T7#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060" w:type="dxa"/>
          </w:tcPr>
          <w:p w14:paraId="681B1961"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c>
          <w:tcPr>
            <w:tcW w:w="903" w:type="dxa"/>
          </w:tcPr>
          <w:p w14:paraId="72A99107" w14:textId="77777777" w:rsidR="00795C66" w:rsidRPr="00795C66" w:rsidRDefault="00795C66" w:rsidP="00110D28">
            <w:pPr>
              <w:spacing w:after="0" w:line="240" w:lineRule="auto"/>
              <w:jc w:val="center"/>
              <w:rPr>
                <w:rFonts w:ascii="Times New Roman" w:hAnsi="Times New Roman"/>
                <w:sz w:val="18"/>
                <w:szCs w:val="18"/>
              </w:rPr>
            </w:pPr>
            <w:r w:rsidRPr="00795C66">
              <w:rPr>
                <w:rFonts w:ascii="Times New Roman" w:hAnsi="Times New Roman"/>
                <w:sz w:val="18"/>
                <w:szCs w:val="18"/>
              </w:rPr>
              <w:t>-</w:t>
            </w:r>
          </w:p>
        </w:tc>
      </w:tr>
    </w:tbl>
    <w:p w14:paraId="15BC0490" w14:textId="77777777" w:rsidR="000B3E7A" w:rsidRPr="00573A16" w:rsidRDefault="000B3E7A" w:rsidP="000B3E7A">
      <w:pPr>
        <w:jc w:val="both"/>
        <w:rPr>
          <w:rFonts w:ascii="Times New Roman" w:hAnsi="Times New Roman"/>
          <w:szCs w:val="24"/>
        </w:rPr>
        <w:sectPr w:rsidR="000B3E7A" w:rsidRPr="00573A16" w:rsidSect="00B470B5">
          <w:pgSz w:w="16838" w:h="11906" w:orient="landscape"/>
          <w:pgMar w:top="1134" w:right="1440" w:bottom="851" w:left="1440" w:header="709" w:footer="709" w:gutter="0"/>
          <w:cols w:space="708"/>
          <w:docGrid w:linePitch="360"/>
        </w:sectPr>
      </w:pPr>
    </w:p>
    <w:p w14:paraId="6907C4ED" w14:textId="77777777" w:rsidR="000B3E7A" w:rsidRPr="00573A16" w:rsidRDefault="000B3E7A" w:rsidP="006869A3">
      <w:pPr>
        <w:pStyle w:val="Heading3"/>
      </w:pPr>
      <w:bookmarkStart w:id="202" w:name="_Toc86417380"/>
      <w:r w:rsidRPr="00573A16">
        <w:lastRenderedPageBreak/>
        <w:t>9.2.2. Physically demanding</w:t>
      </w:r>
      <w:bookmarkEnd w:id="202"/>
    </w:p>
    <w:p w14:paraId="6A1AB646" w14:textId="77777777" w:rsidR="000B3E7A" w:rsidRPr="00573A16" w:rsidRDefault="000B3E7A" w:rsidP="000B3E7A">
      <w:pPr>
        <w:jc w:val="both"/>
        <w:rPr>
          <w:rFonts w:ascii="Times New Roman" w:hAnsi="Times New Roman"/>
          <w:szCs w:val="24"/>
        </w:rPr>
      </w:pPr>
      <w:bookmarkStart w:id="203" w:name="_Hlk52112454"/>
      <w:r w:rsidRPr="00573A16">
        <w:rPr>
          <w:rFonts w:ascii="Times New Roman" w:hAnsi="Times New Roman"/>
          <w:szCs w:val="24"/>
        </w:rPr>
        <w:t xml:space="preserve">Nearly all my participants (n=18) found caring for PLWD physically demanding, and they attributed it to the complex needs involved (McPherson, Hiskey and Alderson, 2016). For example, meeting a patient’s care needs (such as bathing, toileting, grooming and feeding) was reported to be particularly challenging when the patient becomes resistive (Fauth, Femia and Zarit, 2016). This is discussed further in a later subsection (see subsection 9.2.6). However, what contributes to make giving personal care demanding is the adverse cumulative effect of the use of manual handling techniques and equipment on the care worker (Samaei </w:t>
      </w:r>
      <w:r w:rsidRPr="009353F6">
        <w:rPr>
          <w:rFonts w:ascii="Times New Roman" w:hAnsi="Times New Roman"/>
          <w:i/>
          <w:iCs/>
          <w:szCs w:val="24"/>
        </w:rPr>
        <w:t>et al.</w:t>
      </w:r>
      <w:r w:rsidRPr="00573A16">
        <w:rPr>
          <w:rFonts w:ascii="Times New Roman" w:hAnsi="Times New Roman"/>
          <w:szCs w:val="24"/>
        </w:rPr>
        <w:t>, 2017).</w:t>
      </w:r>
    </w:p>
    <w:p w14:paraId="1DCF972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Aside the physical demands of giving personal care, PLWD can present with different behavioural disturbances which makes it difficult to manage or engage them in activities of daily living (ADL) (</w:t>
      </w:r>
      <w:r w:rsidRPr="00573A16">
        <w:rPr>
          <w:rFonts w:ascii="Times New Roman" w:hAnsi="Times New Roman"/>
          <w:szCs w:val="24"/>
          <w:lang w:val="en"/>
        </w:rPr>
        <w:t xml:space="preserve">Desai, Grossberg and Sheth, 2004; </w:t>
      </w:r>
      <w:r w:rsidRPr="00573A16">
        <w:rPr>
          <w:rFonts w:ascii="Times New Roman" w:hAnsi="Times New Roman"/>
          <w:szCs w:val="24"/>
        </w:rPr>
        <w:t>Miyamoto, Tachimori and Ito, 2010).</w:t>
      </w:r>
      <w:bookmarkEnd w:id="203"/>
      <w:r w:rsidRPr="00573A16">
        <w:rPr>
          <w:rFonts w:ascii="Times New Roman" w:hAnsi="Times New Roman"/>
          <w:szCs w:val="24"/>
        </w:rPr>
        <w:t xml:space="preserve"> Dealing with the patients’ behavioural presentations and the heavy workload had a negative toll on my participants. For instance, Robert itemised some of care activities he routinely carries out on the ward:</w:t>
      </w:r>
    </w:p>
    <w:p w14:paraId="3FE5EF49" w14:textId="77777777" w:rsidR="000B3E7A" w:rsidRPr="00573A16" w:rsidRDefault="000B3E7A" w:rsidP="000B3E7A">
      <w:pPr>
        <w:spacing w:before="240"/>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From the workload, yes, you come in, you have to help them with their personal care, help them with their nutritional needs, help them with … some engagement, try to relate… get to know what they want, take them for activities… Yes, there is so much to do, within the short time you have.</w:t>
      </w:r>
      <w:r w:rsidRPr="00573A16">
        <w:rPr>
          <w:rFonts w:ascii="Times New Roman" w:hAnsi="Times New Roman"/>
          <w:szCs w:val="24"/>
        </w:rPr>
        <w:t>” (Robert, HCA)</w:t>
      </w:r>
    </w:p>
    <w:p w14:paraId="731987A0" w14:textId="77777777" w:rsidR="000B3E7A" w:rsidRPr="00573A16" w:rsidRDefault="000B3E7A" w:rsidP="000B3E7A">
      <w:pPr>
        <w:spacing w:before="240"/>
        <w:jc w:val="both"/>
        <w:rPr>
          <w:rFonts w:ascii="Times New Roman" w:hAnsi="Times New Roman"/>
          <w:szCs w:val="24"/>
        </w:rPr>
      </w:pPr>
      <w:r w:rsidRPr="00573A16">
        <w:rPr>
          <w:rFonts w:ascii="Times New Roman" w:hAnsi="Times New Roman"/>
          <w:szCs w:val="24"/>
        </w:rPr>
        <w:t xml:space="preserve">Robert’s description of activities on the ward underscores the physically demanding nature of caring for PLWD, which both nurses and HCA discussed in terms of the heavy workload they had to complete within a limited time. Two factors that contribute to the heavy workload experienced by my participants are the deteriorative nature of dementia and the stage at which they are admitted into hospital (Zimmerman </w:t>
      </w:r>
      <w:r w:rsidRPr="009353F6">
        <w:rPr>
          <w:rFonts w:ascii="Times New Roman" w:hAnsi="Times New Roman"/>
          <w:i/>
          <w:iCs/>
          <w:szCs w:val="24"/>
        </w:rPr>
        <w:t>et al.</w:t>
      </w:r>
      <w:r w:rsidRPr="00573A16">
        <w:rPr>
          <w:rFonts w:ascii="Times New Roman" w:hAnsi="Times New Roman"/>
          <w:szCs w:val="24"/>
        </w:rPr>
        <w:t xml:space="preserve">, 2005). Firstly, the observable decline in PLWD as the condition advances makes them wholly dependent on care staff for their personal care needs (Fauth, Femia and Zarit, 2016; Bernstein, 2017; Batchelor-Murphy, Steinberg and Young, 2019). Secondly, as dementia advances to the stage when it becomes difficult for family carers to cope at </w:t>
      </w:r>
      <w:r w:rsidRPr="00573A16">
        <w:rPr>
          <w:rFonts w:ascii="Times New Roman" w:hAnsi="Times New Roman"/>
          <w:szCs w:val="24"/>
        </w:rPr>
        <w:lastRenderedPageBreak/>
        <w:t xml:space="preserve">home, it becomes necessary for the individual to be placed in a residential home (Toot </w:t>
      </w:r>
      <w:r w:rsidRPr="009353F6">
        <w:rPr>
          <w:rFonts w:ascii="Times New Roman" w:hAnsi="Times New Roman"/>
          <w:i/>
          <w:iCs/>
          <w:szCs w:val="24"/>
        </w:rPr>
        <w:t>et al.</w:t>
      </w:r>
      <w:r w:rsidRPr="00573A16">
        <w:rPr>
          <w:rFonts w:ascii="Times New Roman" w:hAnsi="Times New Roman"/>
          <w:szCs w:val="24"/>
        </w:rPr>
        <w:t xml:space="preserve">, 2017; Harrison </w:t>
      </w:r>
      <w:r w:rsidRPr="009353F6">
        <w:rPr>
          <w:rFonts w:ascii="Times New Roman" w:hAnsi="Times New Roman"/>
          <w:i/>
          <w:iCs/>
          <w:szCs w:val="24"/>
        </w:rPr>
        <w:t>et al.</w:t>
      </w:r>
      <w:r w:rsidRPr="00573A16">
        <w:rPr>
          <w:rFonts w:ascii="Times New Roman" w:hAnsi="Times New Roman"/>
          <w:szCs w:val="24"/>
        </w:rPr>
        <w:t xml:space="preserve">, 2017), or as is the case in my study, admitted into a specialist dementia ward (Briggs </w:t>
      </w:r>
      <w:r w:rsidRPr="009353F6">
        <w:rPr>
          <w:rFonts w:ascii="Times New Roman" w:hAnsi="Times New Roman"/>
          <w:i/>
          <w:iCs/>
          <w:szCs w:val="24"/>
        </w:rPr>
        <w:t>et al.</w:t>
      </w:r>
      <w:r w:rsidRPr="00573A16">
        <w:rPr>
          <w:rFonts w:ascii="Times New Roman" w:hAnsi="Times New Roman"/>
          <w:szCs w:val="24"/>
        </w:rPr>
        <w:t xml:space="preserve">, 2017). In addition, because PLWD </w:t>
      </w:r>
      <w:r w:rsidRPr="00573A16">
        <w:rPr>
          <w:rFonts w:ascii="Times New Roman" w:hAnsi="Times New Roman"/>
          <w:szCs w:val="24"/>
          <w:shd w:val="clear" w:color="auto" w:fill="FFFFFF"/>
        </w:rPr>
        <w:t xml:space="preserve">represent the older adult group with significant medical comorbidities (Timmons </w:t>
      </w:r>
      <w:r w:rsidRPr="009353F6">
        <w:rPr>
          <w:rFonts w:ascii="Times New Roman" w:hAnsi="Times New Roman"/>
          <w:i/>
          <w:iCs/>
          <w:szCs w:val="24"/>
        </w:rPr>
        <w:t>et al.</w:t>
      </w:r>
      <w:r w:rsidRPr="00573A16">
        <w:rPr>
          <w:rFonts w:ascii="Times New Roman" w:hAnsi="Times New Roman"/>
          <w:szCs w:val="24"/>
          <w:shd w:val="clear" w:color="auto" w:fill="FFFFFF"/>
        </w:rPr>
        <w:t xml:space="preserve">, </w:t>
      </w:r>
      <w:r w:rsidRPr="00573A16">
        <w:rPr>
          <w:rFonts w:ascii="Times New Roman" w:hAnsi="Times New Roman"/>
          <w:bCs/>
          <w:szCs w:val="24"/>
        </w:rPr>
        <w:t xml:space="preserve">2015; </w:t>
      </w:r>
      <w:r w:rsidRPr="00573A16">
        <w:rPr>
          <w:rFonts w:ascii="Times New Roman" w:hAnsi="Times New Roman"/>
          <w:szCs w:val="24"/>
        </w:rPr>
        <w:t xml:space="preserve">Clague </w:t>
      </w:r>
      <w:r w:rsidRPr="009353F6">
        <w:rPr>
          <w:rFonts w:ascii="Times New Roman" w:hAnsi="Times New Roman"/>
          <w:i/>
          <w:iCs/>
          <w:szCs w:val="24"/>
        </w:rPr>
        <w:t>et al.</w:t>
      </w:r>
      <w:r w:rsidRPr="00573A16">
        <w:rPr>
          <w:rFonts w:ascii="Times New Roman" w:hAnsi="Times New Roman"/>
          <w:szCs w:val="24"/>
        </w:rPr>
        <w:t>, 2017</w:t>
      </w:r>
      <w:r w:rsidRPr="00573A16">
        <w:rPr>
          <w:rFonts w:ascii="Times New Roman" w:hAnsi="Times New Roman"/>
          <w:szCs w:val="24"/>
          <w:shd w:val="clear" w:color="auto" w:fill="FFFFFF"/>
        </w:rPr>
        <w:t>),</w:t>
      </w:r>
      <w:r w:rsidRPr="00573A16">
        <w:rPr>
          <w:rFonts w:ascii="Times New Roman" w:hAnsi="Times New Roman"/>
          <w:szCs w:val="24"/>
        </w:rPr>
        <w:t xml:space="preserve"> care workers may have to facilitate frequent appointments to and from primary and secondary care centres (Mueller </w:t>
      </w:r>
      <w:r w:rsidRPr="009353F6">
        <w:rPr>
          <w:rFonts w:ascii="Times New Roman" w:hAnsi="Times New Roman"/>
          <w:i/>
          <w:iCs/>
          <w:szCs w:val="24"/>
        </w:rPr>
        <w:t>et al.</w:t>
      </w:r>
      <w:r w:rsidRPr="00573A16">
        <w:rPr>
          <w:rFonts w:ascii="Times New Roman" w:hAnsi="Times New Roman"/>
          <w:szCs w:val="24"/>
        </w:rPr>
        <w:t>, 2017). These physical demands of caring for PLWD sometimes resulted in adverse health effects on my participants. As Doris mentioned:</w:t>
      </w:r>
    </w:p>
    <w:p w14:paraId="3575099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 “</w:t>
      </w:r>
      <w:r>
        <w:rPr>
          <w:rFonts w:ascii="Times New Roman" w:hAnsi="Times New Roman"/>
          <w:szCs w:val="24"/>
        </w:rPr>
        <w:t xml:space="preserve">… </w:t>
      </w:r>
      <w:r w:rsidRPr="00573A16">
        <w:rPr>
          <w:rFonts w:ascii="Times New Roman" w:hAnsi="Times New Roman"/>
          <w:i/>
          <w:szCs w:val="24"/>
        </w:rPr>
        <w:t>often times, I return back having headaches because [of] the whole stuff to be done at the same time,</w:t>
      </w:r>
      <w:r>
        <w:rPr>
          <w:rFonts w:ascii="Times New Roman" w:hAnsi="Times New Roman"/>
          <w:i/>
          <w:szCs w:val="24"/>
        </w:rPr>
        <w:t xml:space="preserve"> </w:t>
      </w:r>
      <w:r w:rsidRPr="00573A16">
        <w:rPr>
          <w:rFonts w:ascii="Times New Roman" w:hAnsi="Times New Roman"/>
          <w:i/>
          <w:szCs w:val="24"/>
        </w:rPr>
        <w:t>… you’ve got their personal care, … their feeding,</w:t>
      </w:r>
      <w:r>
        <w:rPr>
          <w:rFonts w:ascii="Times New Roman" w:hAnsi="Times New Roman"/>
          <w:i/>
          <w:szCs w:val="24"/>
        </w:rPr>
        <w:t xml:space="preserve"> </w:t>
      </w:r>
      <w:r w:rsidRPr="00573A16">
        <w:rPr>
          <w:rFonts w:ascii="Times New Roman" w:hAnsi="Times New Roman"/>
          <w:i/>
          <w:szCs w:val="24"/>
        </w:rPr>
        <w:t>… you need to make the environment clean, conducive, you need to do your documentation, … you are trying to manage so many things at the same time, so it really challenging.</w:t>
      </w:r>
      <w:r w:rsidRPr="00573A16">
        <w:rPr>
          <w:rFonts w:ascii="Times New Roman" w:hAnsi="Times New Roman"/>
          <w:szCs w:val="24"/>
        </w:rPr>
        <w:t>” (Doris, HCA)</w:t>
      </w:r>
    </w:p>
    <w:p w14:paraId="65FE11D0"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When care workers become stressed, the impact can be far reaching, leading to absenteeism, increased sick leave, increased turnover of staff and the consequent effect on patients care (Pitfield, Shahriyarmolki and Livingston, 2011). Conversely, Morgan h</w:t>
      </w:r>
      <w:r>
        <w:rPr>
          <w:rFonts w:ascii="Times New Roman" w:hAnsi="Times New Roman"/>
          <w:szCs w:val="24"/>
        </w:rPr>
        <w:t>el</w:t>
      </w:r>
      <w:r w:rsidRPr="00573A16">
        <w:rPr>
          <w:rFonts w:ascii="Times New Roman" w:hAnsi="Times New Roman"/>
          <w:szCs w:val="24"/>
        </w:rPr>
        <w:t xml:space="preserve">d a different view. Whilst he acknowledged that the job is indeed physically demanding, he noted that uses it to his advantage, stating that: </w:t>
      </w:r>
    </w:p>
    <w:p w14:paraId="5EFE539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It saves me money from registering at the gym…. because it’s very physically demanding working in this area, so I don’t need a gym…. when I go to work, I really exert myself physically, so I exhaust myself…</w:t>
      </w:r>
      <w:r w:rsidRPr="00573A16">
        <w:rPr>
          <w:rFonts w:ascii="Times New Roman" w:hAnsi="Times New Roman"/>
          <w:szCs w:val="24"/>
        </w:rPr>
        <w:t>” (Morgan, HCA)</w:t>
      </w:r>
    </w:p>
    <w:p w14:paraId="5DD9D1CC"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Morgan takes a positive attitude despite the demands of the role, which suggests that care workers often employ different techniques to cope with the stress they experienced.</w:t>
      </w:r>
    </w:p>
    <w:p w14:paraId="08526850" w14:textId="77777777" w:rsidR="000B3E7A" w:rsidRPr="00573A16" w:rsidRDefault="000B3E7A" w:rsidP="006869A3">
      <w:pPr>
        <w:pStyle w:val="Heading3"/>
      </w:pPr>
      <w:bookmarkStart w:id="204" w:name="_Hlk49824263"/>
      <w:bookmarkStart w:id="205" w:name="_Toc86417381"/>
      <w:r w:rsidRPr="00573A16">
        <w:rPr>
          <w:bdr w:val="none" w:sz="0" w:space="0" w:color="auto" w:frame="1"/>
        </w:rPr>
        <w:t>9.2.3. Psychologically/mentally stressful</w:t>
      </w:r>
      <w:bookmarkEnd w:id="205"/>
    </w:p>
    <w:p w14:paraId="5C787970" w14:textId="77777777" w:rsidR="000B3E7A" w:rsidRPr="00573A16" w:rsidRDefault="000B3E7A" w:rsidP="000B3E7A">
      <w:pPr>
        <w:spacing w:before="240"/>
        <w:jc w:val="both"/>
        <w:rPr>
          <w:rFonts w:ascii="Times New Roman" w:hAnsi="Times New Roman"/>
          <w:szCs w:val="24"/>
        </w:rPr>
      </w:pPr>
      <w:r w:rsidRPr="00573A16">
        <w:rPr>
          <w:rFonts w:ascii="Times New Roman" w:hAnsi="Times New Roman"/>
          <w:szCs w:val="24"/>
        </w:rPr>
        <w:t>In addition to the physical demand of caring for PLWD, m</w:t>
      </w:r>
      <w:r w:rsidRPr="00573A16">
        <w:rPr>
          <w:rFonts w:ascii="Times New Roman" w:hAnsi="Times New Roman"/>
          <w:szCs w:val="24"/>
          <w:bdr w:val="none" w:sz="0" w:space="0" w:color="auto" w:frame="1"/>
        </w:rPr>
        <w:t xml:space="preserve">any of my participants (n=8) found it to be psychologically and mentally draining. They attributed it to different forms of discordant noise (like screaming and shouting) and other behavioural </w:t>
      </w:r>
      <w:r w:rsidRPr="00573A16">
        <w:rPr>
          <w:rFonts w:ascii="Times New Roman" w:hAnsi="Times New Roman"/>
          <w:szCs w:val="24"/>
          <w:bdr w:val="none" w:sz="0" w:space="0" w:color="auto" w:frame="1"/>
        </w:rPr>
        <w:lastRenderedPageBreak/>
        <w:t>disturbances on the ward. The behavioural or psychological symptoms of dementia which manifests as screaming may be caused by the cognitive impairment resulting from the condition, or the response of the patient to unmet needs (</w:t>
      </w:r>
      <w:r w:rsidRPr="00573A16">
        <w:rPr>
          <w:rFonts w:ascii="Times New Roman" w:hAnsi="Times New Roman"/>
          <w:szCs w:val="24"/>
        </w:rPr>
        <w:t xml:space="preserve">Bourbonnais and Ducharme, 2008; </w:t>
      </w:r>
      <w:r w:rsidRPr="00573A16">
        <w:rPr>
          <w:rFonts w:ascii="Times New Roman" w:hAnsi="Times New Roman"/>
          <w:szCs w:val="24"/>
          <w:lang w:val="en"/>
        </w:rPr>
        <w:t>Cohen-Mansfield</w:t>
      </w:r>
      <w:r>
        <w:rPr>
          <w:rFonts w:ascii="Times New Roman" w:hAnsi="Times New Roman"/>
          <w:szCs w:val="24"/>
          <w:lang w:val="en"/>
        </w:rPr>
        <w:t xml:space="preserve"> </w:t>
      </w:r>
      <w:r w:rsidRPr="009353F6">
        <w:rPr>
          <w:rFonts w:ascii="Times New Roman" w:hAnsi="Times New Roman"/>
          <w:i/>
          <w:iCs/>
          <w:szCs w:val="24"/>
          <w:lang w:val="en"/>
        </w:rPr>
        <w:t>et al.</w:t>
      </w:r>
      <w:r w:rsidRPr="00573A16">
        <w:rPr>
          <w:rFonts w:ascii="Times New Roman" w:hAnsi="Times New Roman"/>
          <w:szCs w:val="24"/>
          <w:lang w:val="en"/>
        </w:rPr>
        <w:t>, 2015</w:t>
      </w:r>
      <w:r w:rsidRPr="00573A16">
        <w:rPr>
          <w:rFonts w:ascii="Times New Roman" w:hAnsi="Times New Roman"/>
          <w:szCs w:val="24"/>
          <w:bdr w:val="none" w:sz="0" w:space="0" w:color="auto" w:frame="1"/>
        </w:rPr>
        <w:t>). Regardless of the cause of a patient screaming on the ward, one reason my participant found it distressing was because it could continue for a long time. For instance, Doris observed that:</w:t>
      </w:r>
    </w:p>
    <w:p w14:paraId="14D79641" w14:textId="77777777" w:rsidR="000B3E7A" w:rsidRPr="00573A16" w:rsidRDefault="000B3E7A" w:rsidP="000B3E7A">
      <w:pPr>
        <w:spacing w:after="0"/>
        <w:rPr>
          <w:rFonts w:ascii="Times New Roman" w:hAnsi="Times New Roman"/>
          <w:szCs w:val="24"/>
        </w:rPr>
      </w:pPr>
      <w:r w:rsidRPr="00573A16">
        <w:rPr>
          <w:rFonts w:ascii="Times New Roman" w:hAnsi="Times New Roman"/>
          <w:szCs w:val="24"/>
          <w:bdr w:val="none" w:sz="0" w:space="0" w:color="auto" w:frame="1"/>
        </w:rPr>
        <w:t>“</w:t>
      </w:r>
      <w:r w:rsidRPr="00573A16">
        <w:rPr>
          <w:rFonts w:ascii="Times New Roman" w:hAnsi="Times New Roman"/>
          <w:i/>
          <w:iCs/>
          <w:szCs w:val="24"/>
          <w:bdr w:val="none" w:sz="0" w:space="0" w:color="auto" w:frame="1"/>
        </w:rPr>
        <w:t>[…..] psychological [stress] is part of it, it comprises of everything. You are giving in your all to it [caring],</w:t>
      </w:r>
      <w:r>
        <w:rPr>
          <w:rFonts w:ascii="Times New Roman" w:hAnsi="Times New Roman"/>
          <w:i/>
          <w:iCs/>
          <w:szCs w:val="24"/>
          <w:bdr w:val="none" w:sz="0" w:space="0" w:color="auto" w:frame="1"/>
        </w:rPr>
        <w:t xml:space="preserve"> </w:t>
      </w:r>
      <w:r w:rsidRPr="00573A16">
        <w:rPr>
          <w:rFonts w:ascii="Times New Roman" w:hAnsi="Times New Roman"/>
          <w:i/>
          <w:iCs/>
          <w:szCs w:val="24"/>
          <w:bdr w:val="none" w:sz="0" w:space="0" w:color="auto" w:frame="1"/>
        </w:rPr>
        <w:t>…some of them [PLWD], you have to be calming them down while they are shouting, … and just when you stop, they are starting again. ….</w:t>
      </w:r>
      <w:r w:rsidRPr="00573A16">
        <w:rPr>
          <w:rFonts w:ascii="Times New Roman" w:hAnsi="Times New Roman"/>
          <w:szCs w:val="24"/>
          <w:bdr w:val="none" w:sz="0" w:space="0" w:color="auto" w:frame="1"/>
        </w:rPr>
        <w:t>” (Doris, HCA)</w:t>
      </w:r>
    </w:p>
    <w:p w14:paraId="2DAC09EA" w14:textId="77777777" w:rsidR="000B3E7A" w:rsidRPr="00573A16" w:rsidRDefault="000B3E7A" w:rsidP="000B3E7A">
      <w:pPr>
        <w:spacing w:after="0"/>
        <w:rPr>
          <w:rFonts w:ascii="Times New Roman" w:hAnsi="Times New Roman"/>
          <w:szCs w:val="24"/>
        </w:rPr>
      </w:pPr>
      <w:r w:rsidRPr="00573A16">
        <w:rPr>
          <w:rFonts w:ascii="Times New Roman" w:hAnsi="Times New Roman"/>
          <w:szCs w:val="24"/>
          <w:bdr w:val="none" w:sz="0" w:space="0" w:color="auto" w:frame="1"/>
        </w:rPr>
        <w:t> </w:t>
      </w:r>
    </w:p>
    <w:p w14:paraId="3C0528BB" w14:textId="77777777" w:rsidR="000B3E7A" w:rsidRPr="00573A16" w:rsidRDefault="000B3E7A" w:rsidP="000B3E7A">
      <w:pPr>
        <w:jc w:val="both"/>
        <w:rPr>
          <w:rFonts w:ascii="Times New Roman" w:hAnsi="Times New Roman"/>
          <w:szCs w:val="24"/>
        </w:rPr>
      </w:pPr>
      <w:r w:rsidRPr="00573A16">
        <w:rPr>
          <w:rFonts w:ascii="Times New Roman" w:hAnsi="Times New Roman"/>
          <w:szCs w:val="24"/>
          <w:bdr w:val="none" w:sz="0" w:space="0" w:color="auto" w:frame="1"/>
        </w:rPr>
        <w:t xml:space="preserve">My findings are consistent with those reported in previous studies (Edgberg </w:t>
      </w:r>
      <w:r w:rsidRPr="009353F6">
        <w:rPr>
          <w:rFonts w:ascii="Times New Roman" w:hAnsi="Times New Roman"/>
          <w:i/>
          <w:iCs/>
          <w:szCs w:val="24"/>
          <w:bdr w:val="none" w:sz="0" w:space="0" w:color="auto" w:frame="1"/>
        </w:rPr>
        <w:t>et al.</w:t>
      </w:r>
      <w:r w:rsidRPr="00573A16">
        <w:rPr>
          <w:rFonts w:ascii="Times New Roman" w:hAnsi="Times New Roman"/>
          <w:szCs w:val="24"/>
          <w:bdr w:val="none" w:sz="0" w:space="0" w:color="auto" w:frame="1"/>
        </w:rPr>
        <w:t>, 2008;</w:t>
      </w:r>
      <w:r>
        <w:rPr>
          <w:rFonts w:ascii="Times New Roman" w:hAnsi="Times New Roman"/>
          <w:szCs w:val="24"/>
          <w:bdr w:val="none" w:sz="0" w:space="0" w:color="auto" w:frame="1"/>
        </w:rPr>
        <w:t xml:space="preserve"> </w:t>
      </w:r>
      <w:r w:rsidRPr="00A826A2">
        <w:rPr>
          <w:rFonts w:ascii="Times New Roman" w:hAnsi="Times New Roman"/>
          <w:szCs w:val="24"/>
        </w:rPr>
        <w:t>Miyamoto, Tachimori and Ito, 2010</w:t>
      </w:r>
      <w:r w:rsidRPr="00573A16">
        <w:rPr>
          <w:rFonts w:ascii="Times New Roman" w:hAnsi="Times New Roman"/>
          <w:szCs w:val="24"/>
          <w:bdr w:val="none" w:sz="0" w:space="0" w:color="auto" w:frame="1"/>
        </w:rPr>
        <w:t>). Another point worth mentioning is that the experience of screaming could have a long-term effect on care workers mental health. Although my participants did not raise this as a concern, it was evident from their emphatic description of their experience that they might still be suffering from their experience of patients screaming on the ward. For instance, Oscar spoke emotionally about the effect constant screaming had on him:</w:t>
      </w:r>
    </w:p>
    <w:p w14:paraId="2CF855CB" w14:textId="77777777" w:rsidR="000B3E7A" w:rsidRPr="00573A16" w:rsidRDefault="000B3E7A" w:rsidP="000B3E7A">
      <w:pPr>
        <w:jc w:val="both"/>
        <w:rPr>
          <w:rFonts w:ascii="Times New Roman" w:hAnsi="Times New Roman"/>
          <w:szCs w:val="24"/>
        </w:rPr>
      </w:pPr>
      <w:r w:rsidRPr="00573A16">
        <w:rPr>
          <w:rFonts w:ascii="Times New Roman" w:hAnsi="Times New Roman"/>
          <w:szCs w:val="24"/>
          <w:bdr w:val="none" w:sz="0" w:space="0" w:color="auto" w:frame="1"/>
        </w:rPr>
        <w:t>“</w:t>
      </w:r>
      <w:r w:rsidRPr="00573A16">
        <w:rPr>
          <w:rFonts w:ascii="Times New Roman" w:hAnsi="Times New Roman"/>
          <w:i/>
          <w:iCs/>
          <w:szCs w:val="24"/>
          <w:bdr w:val="none" w:sz="0" w:space="0" w:color="auto" w:frame="1"/>
        </w:rPr>
        <w:t>I could remember when I first started, I worked with a lady that screams all the time, … and even when I finished my job and got back home, even when am lying down, I still hear her screaming as if she is just behind me….</w:t>
      </w:r>
      <w:r w:rsidRPr="00573A16">
        <w:rPr>
          <w:rFonts w:ascii="Times New Roman" w:hAnsi="Times New Roman"/>
          <w:szCs w:val="24"/>
          <w:bdr w:val="none" w:sz="0" w:space="0" w:color="auto" w:frame="1"/>
        </w:rPr>
        <w:t>” (Oscar, HCA)</w:t>
      </w:r>
    </w:p>
    <w:p w14:paraId="4E0007A4" w14:textId="77777777" w:rsidR="000B3E7A" w:rsidRPr="00573A16" w:rsidRDefault="000B3E7A" w:rsidP="000B3E7A">
      <w:pPr>
        <w:jc w:val="both"/>
        <w:rPr>
          <w:rFonts w:ascii="Times New Roman" w:hAnsi="Times New Roman"/>
          <w:szCs w:val="24"/>
          <w:bdr w:val="none" w:sz="0" w:space="0" w:color="auto" w:frame="1"/>
        </w:rPr>
      </w:pPr>
      <w:bookmarkStart w:id="206" w:name="_Hlk51550324"/>
      <w:r w:rsidRPr="00573A16">
        <w:rPr>
          <w:rFonts w:ascii="Times New Roman" w:hAnsi="Times New Roman"/>
          <w:szCs w:val="24"/>
          <w:bdr w:val="none" w:sz="0" w:space="0" w:color="auto" w:frame="1"/>
        </w:rPr>
        <w:t xml:space="preserve">This is a vivid example of the mental and psychological toll screaming had on my participants. My own personal experience </w:t>
      </w:r>
      <w:r>
        <w:rPr>
          <w:rFonts w:ascii="Times New Roman" w:hAnsi="Times New Roman"/>
          <w:szCs w:val="24"/>
          <w:bdr w:val="none" w:sz="0" w:space="0" w:color="auto" w:frame="1"/>
        </w:rPr>
        <w:t>wa</w:t>
      </w:r>
      <w:r w:rsidRPr="00573A16">
        <w:rPr>
          <w:rFonts w:ascii="Times New Roman" w:hAnsi="Times New Roman"/>
          <w:szCs w:val="24"/>
          <w:bdr w:val="none" w:sz="0" w:space="0" w:color="auto" w:frame="1"/>
        </w:rPr>
        <w:t>s no different. I can still remember felling mentally distressed when I worked in a nursing home some years ago</w:t>
      </w:r>
      <w:r>
        <w:rPr>
          <w:rFonts w:ascii="Times New Roman" w:hAnsi="Times New Roman"/>
          <w:szCs w:val="24"/>
          <w:bdr w:val="none" w:sz="0" w:space="0" w:color="auto" w:frame="1"/>
        </w:rPr>
        <w:t xml:space="preserve"> where</w:t>
      </w:r>
      <w:r w:rsidRPr="00573A16">
        <w:rPr>
          <w:rFonts w:ascii="Times New Roman" w:hAnsi="Times New Roman"/>
          <w:szCs w:val="24"/>
          <w:bdr w:val="none" w:sz="0" w:space="0" w:color="auto" w:frame="1"/>
        </w:rPr>
        <w:t xml:space="preserve"> two patients screamed intensely throughout the shift. It was my first time in the home, and I never went back there again because of that. Although my employment status as an agency worker at the time afforded me the opportunity not to work there again, I could only imagine what the experience</w:t>
      </w:r>
      <w:r>
        <w:rPr>
          <w:rFonts w:ascii="Times New Roman" w:hAnsi="Times New Roman"/>
          <w:szCs w:val="24"/>
          <w:bdr w:val="none" w:sz="0" w:space="0" w:color="auto" w:frame="1"/>
        </w:rPr>
        <w:t>s</w:t>
      </w:r>
      <w:r w:rsidRPr="00573A16">
        <w:rPr>
          <w:rFonts w:ascii="Times New Roman" w:hAnsi="Times New Roman"/>
          <w:szCs w:val="24"/>
          <w:bdr w:val="none" w:sz="0" w:space="0" w:color="auto" w:frame="1"/>
        </w:rPr>
        <w:t xml:space="preserve"> of </w:t>
      </w:r>
      <w:r>
        <w:rPr>
          <w:rFonts w:ascii="Times New Roman" w:hAnsi="Times New Roman"/>
          <w:szCs w:val="24"/>
          <w:bdr w:val="none" w:sz="0" w:space="0" w:color="auto" w:frame="1"/>
        </w:rPr>
        <w:t xml:space="preserve">the full-time </w:t>
      </w:r>
      <w:r w:rsidRPr="00573A16">
        <w:rPr>
          <w:rFonts w:ascii="Times New Roman" w:hAnsi="Times New Roman"/>
          <w:szCs w:val="24"/>
          <w:bdr w:val="none" w:sz="0" w:space="0" w:color="auto" w:frame="1"/>
        </w:rPr>
        <w:t xml:space="preserve">care workers </w:t>
      </w:r>
      <w:r>
        <w:rPr>
          <w:rFonts w:ascii="Times New Roman" w:hAnsi="Times New Roman"/>
          <w:szCs w:val="24"/>
          <w:bdr w:val="none" w:sz="0" w:space="0" w:color="auto" w:frame="1"/>
        </w:rPr>
        <w:t xml:space="preserve">in the home </w:t>
      </w:r>
      <w:r w:rsidRPr="00573A16">
        <w:rPr>
          <w:rFonts w:ascii="Times New Roman" w:hAnsi="Times New Roman"/>
          <w:szCs w:val="24"/>
          <w:bdr w:val="none" w:sz="0" w:space="0" w:color="auto" w:frame="1"/>
        </w:rPr>
        <w:t>whose contract required them to be there regularly.</w:t>
      </w:r>
    </w:p>
    <w:p w14:paraId="7231EF93" w14:textId="77777777" w:rsidR="000B3E7A" w:rsidRPr="00573A16" w:rsidRDefault="000B3E7A" w:rsidP="000B3E7A">
      <w:pPr>
        <w:spacing w:after="0"/>
        <w:jc w:val="both"/>
        <w:rPr>
          <w:rFonts w:ascii="Times New Roman" w:hAnsi="Times New Roman"/>
          <w:szCs w:val="24"/>
          <w:bdr w:val="none" w:sz="0" w:space="0" w:color="auto" w:frame="1"/>
        </w:rPr>
      </w:pPr>
      <w:r w:rsidRPr="00573A16">
        <w:rPr>
          <w:rFonts w:ascii="Times New Roman" w:hAnsi="Times New Roman"/>
          <w:szCs w:val="24"/>
          <w:bdr w:val="none" w:sz="0" w:space="0" w:color="auto" w:frame="1"/>
        </w:rPr>
        <w:lastRenderedPageBreak/>
        <w:t xml:space="preserve">Another cause of psychological distress was the ripple effect of other challenges my participants experienced. As one participant </w:t>
      </w:r>
      <w:r>
        <w:rPr>
          <w:rFonts w:ascii="Times New Roman" w:hAnsi="Times New Roman"/>
          <w:szCs w:val="24"/>
          <w:bdr w:val="none" w:sz="0" w:space="0" w:color="auto" w:frame="1"/>
        </w:rPr>
        <w:t>commented</w:t>
      </w:r>
      <w:r w:rsidRPr="00573A16">
        <w:rPr>
          <w:rFonts w:ascii="Times New Roman" w:hAnsi="Times New Roman"/>
          <w:szCs w:val="24"/>
          <w:bdr w:val="none" w:sz="0" w:space="0" w:color="auto" w:frame="1"/>
        </w:rPr>
        <w:t xml:space="preserve">: </w:t>
      </w:r>
      <w:bookmarkEnd w:id="206"/>
    </w:p>
    <w:p w14:paraId="00C0C1CF" w14:textId="77777777" w:rsidR="000B3E7A" w:rsidRPr="00573A16" w:rsidRDefault="000B3E7A" w:rsidP="000B3E7A">
      <w:pPr>
        <w:spacing w:before="240"/>
        <w:jc w:val="both"/>
        <w:rPr>
          <w:rFonts w:ascii="Times New Roman" w:hAnsi="Times New Roman"/>
          <w:szCs w:val="24"/>
          <w:bdr w:val="none" w:sz="0" w:space="0" w:color="auto" w:frame="1"/>
        </w:rPr>
      </w:pPr>
      <w:r w:rsidRPr="00573A16">
        <w:rPr>
          <w:rFonts w:ascii="Times New Roman" w:hAnsi="Times New Roman"/>
          <w:szCs w:val="24"/>
          <w:bdr w:val="none" w:sz="0" w:space="0" w:color="auto" w:frame="1"/>
        </w:rPr>
        <w:t>“</w:t>
      </w:r>
      <w:r w:rsidRPr="00573A16">
        <w:rPr>
          <w:rFonts w:ascii="Times New Roman" w:hAnsi="Times New Roman"/>
          <w:i/>
          <w:iCs/>
          <w:szCs w:val="24"/>
          <w:bdr w:val="none" w:sz="0" w:space="0" w:color="auto" w:frame="1"/>
        </w:rPr>
        <w:t>…we run on one nurse, which at the time you are finishing, you are both mentally and physically stressed….</w:t>
      </w:r>
      <w:r w:rsidRPr="00573A16">
        <w:rPr>
          <w:rFonts w:ascii="Times New Roman" w:hAnsi="Times New Roman"/>
          <w:szCs w:val="24"/>
          <w:bdr w:val="none" w:sz="0" w:space="0" w:color="auto" w:frame="1"/>
        </w:rPr>
        <w:t>” (Bosede, RMN)</w:t>
      </w:r>
    </w:p>
    <w:p w14:paraId="7DD7C8C9" w14:textId="77777777" w:rsidR="000B3E7A" w:rsidRPr="00573A16" w:rsidRDefault="000B3E7A" w:rsidP="000B3E7A">
      <w:pPr>
        <w:jc w:val="both"/>
        <w:rPr>
          <w:rFonts w:ascii="Times New Roman" w:hAnsi="Times New Roman"/>
          <w:szCs w:val="24"/>
        </w:rPr>
      </w:pPr>
      <w:r w:rsidRPr="00573A16">
        <w:rPr>
          <w:rFonts w:ascii="Times New Roman" w:hAnsi="Times New Roman"/>
          <w:szCs w:val="24"/>
          <w:bdr w:val="none" w:sz="0" w:space="0" w:color="auto" w:frame="1"/>
        </w:rPr>
        <w:t>The causes of psychological stress to my participants were mostly a combination of many stressors that are not limited to the ones already highlighted. In the next subsection, I continue to discuss some of the challenges that contribute to my participants’ experiences of psychological distress.</w:t>
      </w:r>
      <w:bookmarkEnd w:id="204"/>
    </w:p>
    <w:p w14:paraId="5A3EB5C3" w14:textId="77777777" w:rsidR="000B3E7A" w:rsidRPr="00573A16" w:rsidRDefault="000B3E7A" w:rsidP="006869A3">
      <w:pPr>
        <w:pStyle w:val="Heading3"/>
      </w:pPr>
      <w:bookmarkStart w:id="207" w:name="_Hlk49900385"/>
      <w:bookmarkStart w:id="208" w:name="_Toc86417382"/>
      <w:r w:rsidRPr="00573A16">
        <w:t>9.2.4. Physically aggression and verbal abuse</w:t>
      </w:r>
      <w:bookmarkEnd w:id="208"/>
    </w:p>
    <w:p w14:paraId="32CFF10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My participants faced several forms of physical aggression (n=15) and verbal abuse (n=9) whilst caring for PLWD in the NHS. Jointly, sixteen participants experienced verbal abuse and/or physical aggression (see Table 9.1). Verbal abuse includes swearing, use of derogatory words or racial abuse (see subsection 9.2.10). My participants’ experience of physical aggression alone was the third most cited challenge that they faced, aside the physically demanding nature of their role and racism/discrimination. </w:t>
      </w:r>
      <w:r w:rsidRPr="00573A16">
        <w:rPr>
          <w:rFonts w:ascii="Times New Roman" w:hAnsi="Times New Roman"/>
          <w:bCs/>
          <w:szCs w:val="24"/>
        </w:rPr>
        <w:t>They noted that most times, physical aggression results when patients resist having personal care done.</w:t>
      </w:r>
    </w:p>
    <w:p w14:paraId="6E5F592F" w14:textId="77777777" w:rsidR="000B3E7A" w:rsidRPr="00573A16" w:rsidRDefault="000B3E7A" w:rsidP="000B3E7A">
      <w:pPr>
        <w:jc w:val="both"/>
        <w:rPr>
          <w:rFonts w:ascii="Times New Roman" w:hAnsi="Times New Roman"/>
          <w:bCs/>
          <w:szCs w:val="24"/>
        </w:rPr>
      </w:pPr>
      <w:r w:rsidRPr="00573A16">
        <w:rPr>
          <w:rFonts w:ascii="Times New Roman" w:hAnsi="Times New Roman"/>
          <w:szCs w:val="24"/>
        </w:rPr>
        <w:t>“</w:t>
      </w:r>
      <w:r w:rsidRPr="00573A16">
        <w:rPr>
          <w:rFonts w:ascii="Times New Roman" w:hAnsi="Times New Roman"/>
          <w:i/>
          <w:iCs/>
          <w:szCs w:val="24"/>
        </w:rPr>
        <w:t>The physical aggression from patients, ehm, when you are trying to provide personal care for example you can get punched</w:t>
      </w:r>
      <w:r w:rsidRPr="00573A16">
        <w:rPr>
          <w:rFonts w:ascii="Times New Roman" w:hAnsi="Times New Roman"/>
          <w:szCs w:val="24"/>
        </w:rPr>
        <w:t>” (Morgan, HCA)</w:t>
      </w:r>
    </w:p>
    <w:p w14:paraId="5AED5BA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The intrusive nature of personal care, the cognitive impairment of PLWD and staffs’ inability to understand patients’ unmet needs probably contributed to the patients’ resisting personal care. Care workers who are not regular on a ward will likely not be familiar with a patient’s needs and care (</w:t>
      </w:r>
      <w:r w:rsidRPr="00573A16">
        <w:rPr>
          <w:rFonts w:ascii="Times" w:hAnsi="Times" w:cs="Times"/>
          <w:szCs w:val="24"/>
        </w:rPr>
        <w:t>Zahran</w:t>
      </w:r>
      <w:r w:rsidRPr="00573A16">
        <w:rPr>
          <w:rFonts w:ascii="Times New Roman" w:hAnsi="Times New Roman"/>
          <w:szCs w:val="24"/>
        </w:rPr>
        <w:t xml:space="preserve"> </w:t>
      </w:r>
      <w:r w:rsidRPr="009353F6">
        <w:rPr>
          <w:rFonts w:ascii="Times New Roman" w:hAnsi="Times New Roman"/>
          <w:i/>
          <w:iCs/>
          <w:szCs w:val="24"/>
        </w:rPr>
        <w:t>et al.</w:t>
      </w:r>
      <w:r w:rsidRPr="00573A16">
        <w:rPr>
          <w:rFonts w:ascii="Times New Roman" w:hAnsi="Times New Roman"/>
          <w:szCs w:val="24"/>
        </w:rPr>
        <w:t xml:space="preserve">, 2016). The nature of employment contracts has changed over the years, with many care workers (such as bank or agency staff) on flexible contract (Ball </w:t>
      </w:r>
      <w:r w:rsidRPr="009353F6">
        <w:rPr>
          <w:rFonts w:ascii="Times New Roman" w:hAnsi="Times New Roman"/>
          <w:i/>
          <w:iCs/>
          <w:szCs w:val="24"/>
        </w:rPr>
        <w:t>et al.</w:t>
      </w:r>
      <w:r w:rsidRPr="00573A16">
        <w:rPr>
          <w:rFonts w:ascii="Times New Roman" w:hAnsi="Times New Roman"/>
          <w:szCs w:val="24"/>
        </w:rPr>
        <w:t xml:space="preserve">, 2017; Datta, Giupponi and Machin, 2019; Farina, Green and McVicar, 2020). In this study, about three quarter of my participants were on a temporary contract and did not work on the two NHS wards on a regular basis (in </w:t>
      </w:r>
      <w:r w:rsidRPr="00573A16">
        <w:rPr>
          <w:rFonts w:ascii="Times New Roman" w:hAnsi="Times New Roman"/>
          <w:szCs w:val="24"/>
        </w:rPr>
        <w:lastRenderedPageBreak/>
        <w:t>comparison to staffs on permanent contract). This might have contributed to their experience of physical aggression and verbal abuse because they do not get to know the patients and neither do the patients know them well. From my own experience, I have been on a dementia ward where a patient had said to me, ‘who are all these strangers’, referring to members of staff who were not familiar with the ward. Although PLWD may have been greatly impacted by the disease, they are still human and, in many cases, have lucid moments (Baird, 2019). They had a life that was stolen from them by the disease but as humans, they also have needs that should be met. Understanding the patients could go a long way to reducing the incidence of physical and verbal aggression on an NHS ward. This approach continues to gain momentum and it is based on the needs-driven dementia-compromised behaviour (NDB) model (</w:t>
      </w:r>
      <w:r w:rsidRPr="00573A16">
        <w:rPr>
          <w:rFonts w:ascii="Times New Roman" w:hAnsi="Times New Roman"/>
          <w:szCs w:val="24"/>
          <w:lang w:val="en"/>
        </w:rPr>
        <w:t>Cohen-Mansfield</w:t>
      </w:r>
      <w:r>
        <w:rPr>
          <w:rFonts w:ascii="Times New Roman" w:hAnsi="Times New Roman"/>
          <w:szCs w:val="24"/>
          <w:lang w:val="en"/>
        </w:rPr>
        <w:t xml:space="preserve"> </w:t>
      </w:r>
      <w:r w:rsidRPr="009353F6">
        <w:rPr>
          <w:rFonts w:ascii="Times New Roman" w:hAnsi="Times New Roman"/>
          <w:i/>
          <w:iCs/>
          <w:szCs w:val="24"/>
          <w:lang w:val="en"/>
        </w:rPr>
        <w:t>et al.</w:t>
      </w:r>
      <w:r w:rsidRPr="00573A16">
        <w:rPr>
          <w:rFonts w:ascii="Times New Roman" w:hAnsi="Times New Roman"/>
          <w:szCs w:val="24"/>
          <w:lang w:val="en"/>
        </w:rPr>
        <w:t xml:space="preserve">, 2015; </w:t>
      </w:r>
      <w:r w:rsidRPr="00573A16">
        <w:rPr>
          <w:rFonts w:ascii="Times New Roman" w:hAnsi="Times New Roman"/>
          <w:szCs w:val="24"/>
        </w:rPr>
        <w:t xml:space="preserve">Davison </w:t>
      </w:r>
      <w:r w:rsidRPr="009353F6">
        <w:rPr>
          <w:rFonts w:ascii="Times New Roman" w:hAnsi="Times New Roman"/>
          <w:i/>
          <w:iCs/>
          <w:szCs w:val="24"/>
        </w:rPr>
        <w:t>et al.</w:t>
      </w:r>
      <w:r w:rsidRPr="00573A16">
        <w:rPr>
          <w:rFonts w:ascii="Times New Roman" w:hAnsi="Times New Roman"/>
          <w:szCs w:val="24"/>
        </w:rPr>
        <w:t>, 2016).</w:t>
      </w:r>
    </w:p>
    <w:p w14:paraId="5EE11D8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Care workers’ experiences of physical aggression sometimes resulted to assault and injuries. My participants who reported that they experienced physical aggression also stated that they have experience physical assault and injuries from PLWD. For example, one participant noted: </w:t>
      </w:r>
    </w:p>
    <w:p w14:paraId="7D37CA4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Pr>
          <w:rFonts w:ascii="Times New Roman" w:hAnsi="Times New Roman"/>
          <w:szCs w:val="24"/>
        </w:rPr>
        <w:t>…</w:t>
      </w:r>
      <w:r w:rsidRPr="00573A16">
        <w:rPr>
          <w:rFonts w:ascii="Times New Roman" w:hAnsi="Times New Roman"/>
          <w:i/>
          <w:iCs/>
          <w:szCs w:val="24"/>
        </w:rPr>
        <w:t>the patient requested for a hot drink, so I made a hot drink, brought it to the patient, offered it to the patient, the patient got it and just poured it on me like that</w:t>
      </w:r>
      <w:r w:rsidRPr="00573A16">
        <w:rPr>
          <w:rFonts w:ascii="Times New Roman" w:hAnsi="Times New Roman"/>
          <w:szCs w:val="24"/>
        </w:rPr>
        <w:t>” (Morgan)</w:t>
      </w:r>
    </w:p>
    <w:p w14:paraId="6057924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Aside psychological distress and injury to the body, verbal abuse/physical aggression can also lead to absenteeism of injured staff and the spiral effect of increased physical demands on unaffected staff (Pitfield, Shahriyarmolki and Livingston, 2011). Other factors that might contribute to a patient’s aggressive behaviour include adverse effect of medications, institutional abuse, and other forms of abuse which were not explored in this study. However, one factor that might contribute to physical aggression is poor communication between the care worker and the patients, and this is discussed next.</w:t>
      </w:r>
    </w:p>
    <w:p w14:paraId="1A94A111" w14:textId="77777777" w:rsidR="000B3E7A" w:rsidRPr="00573A16" w:rsidRDefault="000B3E7A" w:rsidP="006869A3">
      <w:pPr>
        <w:pStyle w:val="Heading3"/>
      </w:pPr>
      <w:bookmarkStart w:id="209" w:name="_Toc86417383"/>
      <w:bookmarkEnd w:id="207"/>
      <w:r w:rsidRPr="00573A16">
        <w:t>9.2.5. Communication difficulties</w:t>
      </w:r>
      <w:bookmarkEnd w:id="209"/>
    </w:p>
    <w:p w14:paraId="52F3BDC6"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 xml:space="preserve">A difficulty with communicating was highlighted by some of my participants (n=8) as one of the challenges associated with caring for PLWD. They discussed the difficulties </w:t>
      </w:r>
      <w:r w:rsidRPr="00573A16">
        <w:rPr>
          <w:rFonts w:ascii="Times New Roman" w:eastAsia="Calibri" w:hAnsi="Times New Roman"/>
          <w:szCs w:val="24"/>
          <w:lang w:eastAsia="en-US"/>
        </w:rPr>
        <w:lastRenderedPageBreak/>
        <w:t>they experienced from two main perspectives. Firstly, their lack of understanding of what a patient is saying, which they attributed to the patient’s deteriorating cognitive presentation that hinders effective communication. For instance, Sharpiro alluded to how stressful this could be, saying:</w:t>
      </w:r>
    </w:p>
    <w:p w14:paraId="6BC44266"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w:t>
      </w:r>
      <w:r w:rsidRPr="00573A16">
        <w:rPr>
          <w:rFonts w:ascii="Times New Roman" w:eastAsia="Calibri" w:hAnsi="Times New Roman"/>
          <w:i/>
          <w:szCs w:val="24"/>
          <w:lang w:eastAsia="en-US"/>
        </w:rPr>
        <w:t>Like someone living with dementia… is trying to communicate to you, and you are not able to understand, you cannot get what the person is saying</w:t>
      </w:r>
      <w:r w:rsidRPr="00573A16">
        <w:rPr>
          <w:rFonts w:ascii="Times New Roman" w:eastAsia="Calibri" w:hAnsi="Times New Roman"/>
          <w:szCs w:val="24"/>
          <w:lang w:eastAsia="en-US"/>
        </w:rPr>
        <w:t>” – (Sharpiro, HCA)</w:t>
      </w:r>
    </w:p>
    <w:p w14:paraId="63342B5A"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 xml:space="preserve">From my participants’ descriptions of their communication difficulty, it appears that they mostly relied on verbal expression as a means of communicating with PLWD, hence, they experienced the challenge of understanding what PLWD are trying to communicate. This finding resonates with Stans </w:t>
      </w:r>
      <w:r w:rsidRPr="009353F6">
        <w:rPr>
          <w:rFonts w:ascii="Times New Roman" w:eastAsia="Calibri" w:hAnsi="Times New Roman"/>
          <w:i/>
          <w:iCs/>
          <w:szCs w:val="24"/>
          <w:lang w:eastAsia="en-US"/>
        </w:rPr>
        <w:t>et al.</w:t>
      </w:r>
      <w:r w:rsidRPr="00573A16">
        <w:rPr>
          <w:rFonts w:ascii="Times New Roman" w:eastAsia="Calibri" w:hAnsi="Times New Roman"/>
          <w:szCs w:val="24"/>
          <w:lang w:eastAsia="en-US"/>
        </w:rPr>
        <w:t xml:space="preserve"> (2013) who observed that care workers lacked the skill and knowledge required to communicate effectively with PLWD. </w:t>
      </w:r>
    </w:p>
    <w:p w14:paraId="637015E7"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Another issue worth pointing is that my participant did not mention using non-verbal expression in their communication with PLWD, suggesting that it may have been largely ignored. Working as a care worker can be daunting and it is not surprising why they relied on verbal rather than non-verbal skills to communicate with their patients. While verbal expression is essential to patient care, it is of less value in care for PLWD because of the cognitive impairment that characterise the condition.</w:t>
      </w:r>
    </w:p>
    <w:p w14:paraId="5E052292"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Although it can be challenging, researchers (Brodaty</w:t>
      </w:r>
      <w:r>
        <w:rPr>
          <w:rFonts w:ascii="Times New Roman" w:eastAsia="Calibri" w:hAnsi="Times New Roman"/>
          <w:szCs w:val="24"/>
          <w:lang w:eastAsia="en-US"/>
        </w:rPr>
        <w:t>,</w:t>
      </w:r>
      <w:r w:rsidRPr="00573A16">
        <w:rPr>
          <w:rFonts w:ascii="Times New Roman" w:eastAsia="Calibri" w:hAnsi="Times New Roman"/>
          <w:szCs w:val="24"/>
          <w:lang w:eastAsia="en-US"/>
        </w:rPr>
        <w:t xml:space="preserve"> </w:t>
      </w:r>
      <w:r w:rsidRPr="00164EBE">
        <w:rPr>
          <w:rFonts w:ascii="Times New Roman" w:hAnsi="Times New Roman"/>
          <w:bCs/>
          <w:szCs w:val="24"/>
        </w:rPr>
        <w:t>Draper and Low</w:t>
      </w:r>
      <w:r w:rsidRPr="00573A16">
        <w:rPr>
          <w:rFonts w:ascii="Times New Roman" w:eastAsia="Calibri" w:hAnsi="Times New Roman"/>
          <w:szCs w:val="24"/>
          <w:lang w:eastAsia="en-US"/>
        </w:rPr>
        <w:t>,</w:t>
      </w:r>
      <w:r>
        <w:rPr>
          <w:rFonts w:ascii="Times New Roman" w:eastAsia="Calibri" w:hAnsi="Times New Roman"/>
          <w:szCs w:val="24"/>
          <w:lang w:eastAsia="en-US"/>
        </w:rPr>
        <w:t xml:space="preserve"> </w:t>
      </w:r>
      <w:r w:rsidRPr="00573A16">
        <w:rPr>
          <w:rFonts w:ascii="Times New Roman" w:eastAsia="Calibri" w:hAnsi="Times New Roman"/>
          <w:szCs w:val="24"/>
          <w:lang w:eastAsia="en-US"/>
        </w:rPr>
        <w:t>2003, Savundranayagam</w:t>
      </w:r>
      <w:r>
        <w:rPr>
          <w:rFonts w:ascii="Times New Roman" w:eastAsia="Calibri" w:hAnsi="Times New Roman"/>
          <w:szCs w:val="24"/>
          <w:lang w:eastAsia="en-US"/>
        </w:rPr>
        <w:t xml:space="preserve">, </w:t>
      </w:r>
      <w:r w:rsidRPr="0042674F">
        <w:rPr>
          <w:rFonts w:ascii="Times New Roman" w:hAnsi="Times New Roman"/>
          <w:szCs w:val="24"/>
        </w:rPr>
        <w:t>Hummert and Montgomery</w:t>
      </w:r>
      <w:r w:rsidRPr="00573A16">
        <w:rPr>
          <w:rFonts w:ascii="Times New Roman" w:eastAsia="Calibri" w:hAnsi="Times New Roman"/>
          <w:szCs w:val="24"/>
          <w:lang w:eastAsia="en-US"/>
        </w:rPr>
        <w:t>, 2005, Wang</w:t>
      </w:r>
      <w:r>
        <w:rPr>
          <w:rFonts w:ascii="Times New Roman" w:eastAsia="Calibri" w:hAnsi="Times New Roman"/>
          <w:szCs w:val="24"/>
          <w:lang w:eastAsia="en-US"/>
        </w:rPr>
        <w:t>,</w:t>
      </w:r>
      <w:r w:rsidRPr="00570CC9">
        <w:rPr>
          <w:rFonts w:ascii="Times New Roman" w:hAnsi="Times New Roman"/>
          <w:bCs/>
          <w:szCs w:val="24"/>
        </w:rPr>
        <w:t xml:space="preserve"> </w:t>
      </w:r>
      <w:r w:rsidRPr="003F2996">
        <w:rPr>
          <w:rFonts w:ascii="Times New Roman" w:hAnsi="Times New Roman"/>
          <w:bCs/>
          <w:szCs w:val="24"/>
        </w:rPr>
        <w:t>Hsieh and Wang,</w:t>
      </w:r>
      <w:r w:rsidRPr="00573A16">
        <w:rPr>
          <w:rFonts w:ascii="Times New Roman" w:eastAsia="Calibri" w:hAnsi="Times New Roman"/>
          <w:szCs w:val="24"/>
          <w:lang w:eastAsia="en-US"/>
        </w:rPr>
        <w:t xml:space="preserve"> 2013) have stated the need for care workers to rely on non-verbal behavioural communication and impaired verbal expression to better understand and communicate with PLWD.</w:t>
      </w:r>
    </w:p>
    <w:p w14:paraId="060C2B36"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Secondly, few of my participants (n=3) believed that the reason PLWD or their families could not understand them was because of their accent. Kate observed that:</w:t>
      </w:r>
    </w:p>
    <w:p w14:paraId="1BE266E0" w14:textId="77777777" w:rsidR="000B3E7A" w:rsidRPr="00573A16" w:rsidRDefault="000B3E7A" w:rsidP="000B3E7A">
      <w:pPr>
        <w:jc w:val="both"/>
        <w:rPr>
          <w:rFonts w:ascii="Times New Roman" w:eastAsia="Calibri" w:hAnsi="Times New Roman"/>
          <w:szCs w:val="24"/>
          <w:lang w:eastAsia="en-US"/>
        </w:rPr>
      </w:pPr>
      <w:r w:rsidRPr="00573A16">
        <w:rPr>
          <w:rFonts w:ascii="Times New Roman" w:eastAsia="Calibri" w:hAnsi="Times New Roman"/>
          <w:szCs w:val="24"/>
          <w:lang w:eastAsia="en-US"/>
        </w:rPr>
        <w:t>“</w:t>
      </w:r>
      <w:r w:rsidRPr="00573A16">
        <w:rPr>
          <w:rFonts w:ascii="Times New Roman" w:eastAsia="Calibri" w:hAnsi="Times New Roman"/>
          <w:i/>
          <w:szCs w:val="24"/>
          <w:lang w:eastAsia="en-US"/>
        </w:rPr>
        <w:t>It was challenging when I came in [to care work] because of my accent. All my life I was studying in English, even though our presentation of English back in Nigeria and the presentation of English here is different, but we speak English</w:t>
      </w:r>
      <w:r w:rsidRPr="00573A16">
        <w:rPr>
          <w:rFonts w:ascii="Times New Roman" w:eastAsia="Calibri" w:hAnsi="Times New Roman"/>
          <w:szCs w:val="24"/>
          <w:lang w:eastAsia="en-US"/>
        </w:rPr>
        <w:t>” (Kate, HCA)</w:t>
      </w:r>
    </w:p>
    <w:p w14:paraId="579151F3" w14:textId="77777777" w:rsidR="000B3E7A" w:rsidRPr="00573A16" w:rsidRDefault="000B3E7A" w:rsidP="000B3E7A">
      <w:pPr>
        <w:spacing w:before="240"/>
        <w:jc w:val="both"/>
        <w:rPr>
          <w:rFonts w:ascii="Times New Roman" w:eastAsia="Calibri" w:hAnsi="Times New Roman"/>
          <w:szCs w:val="24"/>
          <w:lang w:eastAsia="en-US"/>
        </w:rPr>
      </w:pPr>
      <w:r w:rsidRPr="00573A16">
        <w:rPr>
          <w:rFonts w:ascii="Times New Roman" w:eastAsia="Calibri" w:hAnsi="Times New Roman"/>
          <w:szCs w:val="24"/>
          <w:lang w:eastAsia="en-US"/>
        </w:rPr>
        <w:lastRenderedPageBreak/>
        <w:t xml:space="preserve">A care worker’s accent can be a barrier to communication (Burda </w:t>
      </w:r>
      <w:r w:rsidRPr="009353F6">
        <w:rPr>
          <w:rFonts w:ascii="Times New Roman" w:eastAsia="Calibri" w:hAnsi="Times New Roman"/>
          <w:i/>
          <w:iCs/>
          <w:szCs w:val="24"/>
          <w:lang w:eastAsia="en-US"/>
        </w:rPr>
        <w:t>et al.</w:t>
      </w:r>
      <w:r w:rsidRPr="00573A16">
        <w:rPr>
          <w:rFonts w:ascii="Times New Roman" w:eastAsia="Calibri" w:hAnsi="Times New Roman"/>
          <w:szCs w:val="24"/>
          <w:lang w:eastAsia="en-US"/>
        </w:rPr>
        <w:t xml:space="preserve">, 2004; </w:t>
      </w:r>
      <w:r w:rsidRPr="00573A16">
        <w:rPr>
          <w:rFonts w:ascii="Times New Roman" w:hAnsi="Times New Roman"/>
          <w:bCs/>
          <w:szCs w:val="24"/>
        </w:rPr>
        <w:t>Levy and Crowley, 2012</w:t>
      </w:r>
      <w:r w:rsidRPr="00573A16">
        <w:rPr>
          <w:rFonts w:ascii="Times New Roman" w:eastAsia="Calibri" w:hAnsi="Times New Roman"/>
          <w:szCs w:val="24"/>
          <w:lang w:eastAsia="en-US"/>
        </w:rPr>
        <w:t>). However, the three participants stated they only faced the challenge when they began to work as care workers, but they overcame it by learning to talk with a British accent. The overall effect of a difficult in communication was mostly felt during personal care and this is discussed next.</w:t>
      </w:r>
    </w:p>
    <w:p w14:paraId="7D01C86A" w14:textId="77777777" w:rsidR="000B3E7A" w:rsidRPr="00573A16" w:rsidRDefault="000B3E7A" w:rsidP="006869A3">
      <w:pPr>
        <w:pStyle w:val="Heading3"/>
      </w:pPr>
      <w:bookmarkStart w:id="210" w:name="_Toc86417384"/>
      <w:r w:rsidRPr="00573A16">
        <w:t>9.2.6. Challenges of giving personal care</w:t>
      </w:r>
      <w:bookmarkEnd w:id="210"/>
    </w:p>
    <w:p w14:paraId="4872955A" w14:textId="77777777" w:rsidR="000B3E7A" w:rsidRPr="00573A16" w:rsidRDefault="000B3E7A" w:rsidP="000B3E7A">
      <w:pPr>
        <w:spacing w:before="240"/>
        <w:jc w:val="both"/>
        <w:rPr>
          <w:rFonts w:ascii="Times New Roman" w:hAnsi="Times New Roman"/>
          <w:szCs w:val="24"/>
        </w:rPr>
      </w:pPr>
      <w:r w:rsidRPr="00573A16">
        <w:rPr>
          <w:rFonts w:ascii="Times New Roman" w:hAnsi="Times New Roman"/>
          <w:szCs w:val="24"/>
        </w:rPr>
        <w:t xml:space="preserve">As stated earlier, providing personal care is integral to caring for PLWD because the deteriorating nature of the illness makes PLWD dependent on their carers or care workers (Bernstein, 2017). Apart from the physically demanding nature of giving personal care (see subsection 9.2.2), some of my participants (n=8) cited two other reasons they found giving personal care challenging. Firstly, because they were mostly professionally qualified and had many years of experience working in their respective career pre-migration, they were frustrated that they had to ‘condescend’ to doing a job they considered to be below their professional qualification. Kemdo, who has a degree in accountancy and worked as a quality control officer in a bank reflected on how he felt having to work as a care worker in the UK:  </w:t>
      </w:r>
    </w:p>
    <w:p w14:paraId="6ED8677F" w14:textId="77777777" w:rsidR="000B3E7A" w:rsidRPr="00573A16" w:rsidRDefault="000B3E7A" w:rsidP="000B3E7A">
      <w:pPr>
        <w:jc w:val="both"/>
        <w:rPr>
          <w:rFonts w:ascii="Times New Roman" w:hAnsi="Times New Roman"/>
          <w:i/>
          <w:szCs w:val="24"/>
        </w:rPr>
      </w:pPr>
      <w:r w:rsidRPr="00573A16">
        <w:rPr>
          <w:rFonts w:ascii="Times New Roman" w:hAnsi="Times New Roman"/>
          <w:szCs w:val="24"/>
        </w:rPr>
        <w:t>“</w:t>
      </w:r>
      <w:r w:rsidRPr="00573A16">
        <w:rPr>
          <w:rFonts w:ascii="Times New Roman" w:hAnsi="Times New Roman"/>
          <w:i/>
          <w:iCs/>
          <w:szCs w:val="24"/>
        </w:rPr>
        <w:t>…you have to bear a lot of things, … that ordinarily you will feel that you are above the level to do. For instance, packing shit... is one of the challenges that is part of the job but, you still feel like “no, I shouldn’t be doing this”.</w:t>
      </w:r>
      <w:r w:rsidRPr="00573A16">
        <w:rPr>
          <w:rFonts w:ascii="Times New Roman" w:hAnsi="Times New Roman"/>
          <w:szCs w:val="24"/>
        </w:rPr>
        <w:t>” (Kemdo, HCA)</w:t>
      </w:r>
    </w:p>
    <w:p w14:paraId="7F07701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Evidence from previous studies (McGregor, 2007) and the findings presented earlier (see chapter 8) indicates that migrant workers in the UK often had to settle for jobs below their professional qualification. However, it is interesting to note that despite choosing to work as care workers, Kemdo and other seven care workers found giving personal care which is an essential aspect of care work challenging. An understanding of their individual motivation to engage in care work provides better insight to why they found providing personal care challenging. For instance, Kemdo’s motivation to care for PLWD was mostly needs-based (financial reward), just like other participants (Jeff and John) who also found giving personal care to PLWD challenging.</w:t>
      </w:r>
    </w:p>
    <w:p w14:paraId="5B6507D6"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Secondly, they lacked any experience of paid or unpaid care work. For example, Jeff stated candidly that:</w:t>
      </w:r>
    </w:p>
    <w:p w14:paraId="4DEA8DF5" w14:textId="77777777" w:rsidR="000B3E7A" w:rsidRPr="00573A16" w:rsidRDefault="000B3E7A" w:rsidP="000B3E7A">
      <w:pPr>
        <w:jc w:val="both"/>
        <w:rPr>
          <w:rFonts w:ascii="Times New Roman" w:hAnsi="Times New Roman"/>
          <w:szCs w:val="24"/>
        </w:rPr>
      </w:pPr>
      <w:r w:rsidRPr="00573A16">
        <w:rPr>
          <w:rFonts w:ascii="Times New Roman" w:hAnsi="Times New Roman"/>
          <w:i/>
          <w:szCs w:val="24"/>
        </w:rPr>
        <w:t>“…considering the fact that in Nigeria I don’t see poo, I don’t see faeces, you know, except my own faeces. But here, you have to clean people, pack their faeces you know, give have them a wash, you know. It’s not really that easy.</w:t>
      </w:r>
      <w:r w:rsidRPr="00573A16">
        <w:rPr>
          <w:rFonts w:ascii="Times New Roman" w:hAnsi="Times New Roman"/>
          <w:szCs w:val="24"/>
        </w:rPr>
        <w:t>” (Jeff, HCA)</w:t>
      </w:r>
    </w:p>
    <w:p w14:paraId="3A54DB74" w14:textId="77777777" w:rsidR="000B3E7A" w:rsidRPr="00573A16" w:rsidRDefault="000B3E7A" w:rsidP="000B3E7A">
      <w:pPr>
        <w:jc w:val="both"/>
        <w:rPr>
          <w:rFonts w:ascii="Times New Roman" w:hAnsi="Times New Roman"/>
          <w:b/>
          <w:szCs w:val="24"/>
        </w:rPr>
      </w:pPr>
      <w:r w:rsidRPr="00573A16">
        <w:rPr>
          <w:rFonts w:ascii="Times New Roman" w:hAnsi="Times New Roman"/>
          <w:szCs w:val="24"/>
        </w:rPr>
        <w:t>It is notable that unlike Jeff, most of the participants who had worked as nurses in Nigeria (except for Kate) and some participants who had previously cared for a relative in Nigeria (e.g.</w:t>
      </w:r>
      <w:r>
        <w:rPr>
          <w:rFonts w:ascii="Times New Roman" w:hAnsi="Times New Roman"/>
          <w:szCs w:val="24"/>
        </w:rPr>
        <w:t>,</w:t>
      </w:r>
      <w:r w:rsidRPr="00573A16">
        <w:rPr>
          <w:rFonts w:ascii="Times New Roman" w:hAnsi="Times New Roman"/>
          <w:szCs w:val="24"/>
        </w:rPr>
        <w:t xml:space="preserve"> Morgan) did not express displeasure at having to conduct personal care.  These care workers generally perceived their overall role to be less stressful.</w:t>
      </w:r>
    </w:p>
    <w:p w14:paraId="6473B6BF"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Thirdly, six out of eight participants who found giving personal care challenging were males, suggesting that there might be some gender/cultural perspective to the issue and this is discussed later (see section 10.5.4). In the next section, I discuss the challenges my participants experienced in relation to working with other care workers.</w:t>
      </w:r>
    </w:p>
    <w:p w14:paraId="4636B3C6" w14:textId="77777777" w:rsidR="000B3E7A" w:rsidRPr="00573A16" w:rsidRDefault="000B3E7A" w:rsidP="006869A3">
      <w:pPr>
        <w:pStyle w:val="Heading3"/>
      </w:pPr>
      <w:bookmarkStart w:id="211" w:name="_Toc86417385"/>
      <w:r w:rsidRPr="00573A16">
        <w:t>9.2.7. Inadequate staffing level</w:t>
      </w:r>
      <w:bookmarkEnd w:id="211"/>
    </w:p>
    <w:p w14:paraId="3B9B8C7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In my study, many of the participants (n=11) stated that they were mostly short o</w:t>
      </w:r>
      <w:r>
        <w:rPr>
          <w:rFonts w:ascii="Times New Roman" w:hAnsi="Times New Roman"/>
          <w:szCs w:val="24"/>
        </w:rPr>
        <w:t>f</w:t>
      </w:r>
      <w:r w:rsidRPr="00573A16">
        <w:rPr>
          <w:rFonts w:ascii="Times New Roman" w:hAnsi="Times New Roman"/>
          <w:szCs w:val="24"/>
        </w:rPr>
        <w:t xml:space="preserve"> staff </w:t>
      </w:r>
      <w:r>
        <w:rPr>
          <w:rFonts w:ascii="Times New Roman" w:hAnsi="Times New Roman"/>
          <w:szCs w:val="24"/>
        </w:rPr>
        <w:t>which</w:t>
      </w:r>
      <w:r w:rsidRPr="00573A16">
        <w:rPr>
          <w:rFonts w:ascii="Times New Roman" w:hAnsi="Times New Roman"/>
          <w:szCs w:val="24"/>
        </w:rPr>
        <w:t xml:space="preserve"> this often left them feeling stressed and overwhelmed by workload. For instance, Doris alludes to this:</w:t>
      </w:r>
    </w:p>
    <w:p w14:paraId="5968B3C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I think … having enough staff seems to be the best because it reduces the stress load [….]</w:t>
      </w:r>
      <w:r w:rsidRPr="00573A16">
        <w:rPr>
          <w:rFonts w:ascii="Times New Roman" w:hAnsi="Times New Roman"/>
          <w:szCs w:val="24"/>
        </w:rPr>
        <w:t>” (Doris, HCA)</w:t>
      </w:r>
    </w:p>
    <w:p w14:paraId="20C4DCF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Common reasons mentioned for the shortage of staff were mostly institutional and includes staff being on sick-leave and inability of the ward management to cover cancelled shifts. My participants suggested that the frequent shortage of staff might be part of the ward management’s and/or NHS Trust’s cost-cutting measures. Jackie noted:</w:t>
      </w:r>
    </w:p>
    <w:p w14:paraId="3B5EA2A3"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Yeah, there have been [concerns raised] but nothing has been done about it, probably they don’t have the funds for more staff, I don’t know</w:t>
      </w:r>
      <w:r w:rsidRPr="00573A16">
        <w:rPr>
          <w:rFonts w:ascii="Times New Roman" w:hAnsi="Times New Roman"/>
          <w:szCs w:val="24"/>
        </w:rPr>
        <w:t>” (Jackie, HCA)</w:t>
      </w:r>
    </w:p>
    <w:p w14:paraId="3892210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Inadequate staffing levels have dire consequences on to the wellbeing of both patients and staff (</w:t>
      </w:r>
      <w:r w:rsidRPr="00573A16">
        <w:rPr>
          <w:rFonts w:ascii="Times" w:hAnsi="Times" w:cs="Times"/>
          <w:szCs w:val="24"/>
        </w:rPr>
        <w:t>Ball, 2006</w:t>
      </w:r>
      <w:r w:rsidRPr="00573A16">
        <w:rPr>
          <w:rFonts w:ascii="Times New Roman" w:hAnsi="Times New Roman"/>
          <w:szCs w:val="24"/>
        </w:rPr>
        <w:t xml:space="preserve">). For patients, it could result in an increase in physical aggression when their needs are not met (Houghton </w:t>
      </w:r>
      <w:r w:rsidRPr="009353F6">
        <w:rPr>
          <w:rFonts w:ascii="Times New Roman" w:hAnsi="Times New Roman"/>
          <w:i/>
          <w:iCs/>
          <w:szCs w:val="24"/>
        </w:rPr>
        <w:t>et al.</w:t>
      </w:r>
      <w:r w:rsidRPr="00573A16">
        <w:rPr>
          <w:rFonts w:ascii="Times New Roman" w:hAnsi="Times New Roman"/>
          <w:szCs w:val="24"/>
        </w:rPr>
        <w:t xml:space="preserve">, 2016, Spilsbury </w:t>
      </w:r>
      <w:r w:rsidRPr="009353F6">
        <w:rPr>
          <w:rFonts w:ascii="Times New Roman" w:hAnsi="Times New Roman"/>
          <w:i/>
          <w:iCs/>
          <w:szCs w:val="24"/>
        </w:rPr>
        <w:t>et al.</w:t>
      </w:r>
      <w:r w:rsidRPr="00573A16">
        <w:rPr>
          <w:rFonts w:ascii="Times New Roman" w:hAnsi="Times New Roman"/>
          <w:szCs w:val="24"/>
        </w:rPr>
        <w:t>, 2011). For example, Doris noted that inadequate staffing compromised the quality of care the patients received because care workers were unable to give their 100%, stating:</w:t>
      </w:r>
    </w:p>
    <w:p w14:paraId="590AE7C2"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 with the [low] staff strength, for instance, if you've got like sixteen (16) residents to look after, you can’t be giving them [the] 100% care that you really want to because, with that, it’s going to get to twelve [patients]</w:t>
      </w:r>
      <w:r w:rsidRPr="00573A16">
        <w:rPr>
          <w:rFonts w:ascii="Times New Roman" w:hAnsi="Times New Roman"/>
          <w:szCs w:val="24"/>
        </w:rPr>
        <w:t>” (Doris, HCA)</w:t>
      </w:r>
    </w:p>
    <w:p w14:paraId="1269D6D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Inadequate staffing also had enormous impact on patient-staff relationship as staff concentrate on utilising the numbers of staff available to meet the need of the patients (</w:t>
      </w:r>
      <w:r w:rsidRPr="00573A16">
        <w:rPr>
          <w:rFonts w:ascii="Times" w:hAnsi="Times" w:cs="Times"/>
          <w:szCs w:val="24"/>
        </w:rPr>
        <w:t>Dinsdale, 2003; Ball, 2006</w:t>
      </w:r>
      <w:r w:rsidRPr="00573A16">
        <w:rPr>
          <w:rFonts w:ascii="Times New Roman" w:hAnsi="Times New Roman"/>
          <w:szCs w:val="24"/>
        </w:rPr>
        <w:t>). Doris continued her description of her experience of caring when there were not enough staff on the ward:</w:t>
      </w:r>
    </w:p>
    <w:p w14:paraId="0164D0E1" w14:textId="77777777" w:rsidR="000B3E7A" w:rsidRPr="00573A16" w:rsidRDefault="000B3E7A" w:rsidP="000B3E7A">
      <w:pPr>
        <w:jc w:val="both"/>
        <w:rPr>
          <w:rFonts w:ascii="Times New Roman" w:hAnsi="Times New Roman"/>
          <w:szCs w:val="24"/>
        </w:rPr>
      </w:pPr>
      <w:r w:rsidRPr="00573A16">
        <w:rPr>
          <w:rFonts w:ascii="Times New Roman" w:hAnsi="Times New Roman"/>
          <w:i/>
          <w:szCs w:val="24"/>
        </w:rPr>
        <w:t>“for instance you get to work at 7:30am, you meant to ensure they are all up in the lounge for them to have their breakfast, if you really want to spend that time with them, to let them pour their heart to you, talk with them, give them time to talk you, respond to them you, you won’t be able to meet up</w:t>
      </w:r>
      <w:r w:rsidRPr="00573A16">
        <w:rPr>
          <w:rFonts w:ascii="Times New Roman" w:hAnsi="Times New Roman"/>
          <w:szCs w:val="24"/>
        </w:rPr>
        <w:t>” (Doris, HCA)</w:t>
      </w:r>
    </w:p>
    <w:p w14:paraId="13ADED2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Doris’ description highlights the ill effect of inadequate staff numbers on the patients, as it essentially hinders the delivery of a person-centred care. With fixed task to be done on a shift, patients’ care was typically treated as part of the routine to be completed with little or no attention given to the patients’ emotional or individualised needs.</w:t>
      </w:r>
    </w:p>
    <w:p w14:paraId="126ED6F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Inadequate staffing level was also detrimental to my participants’ wellbeing. For instance, it led to increased absenteeism, use of sick leave and turnover of staff (Johnson </w:t>
      </w:r>
      <w:r w:rsidRPr="009353F6">
        <w:rPr>
          <w:rFonts w:ascii="Times New Roman" w:hAnsi="Times New Roman"/>
          <w:i/>
          <w:iCs/>
          <w:szCs w:val="24"/>
        </w:rPr>
        <w:t>et al.</w:t>
      </w:r>
      <w:r w:rsidRPr="00573A16">
        <w:rPr>
          <w:rFonts w:ascii="Times New Roman" w:hAnsi="Times New Roman"/>
          <w:szCs w:val="24"/>
        </w:rPr>
        <w:t>, 2018) and the attendant effects on the care workers left to deal with the negative consequences on the ward. It also has a knock-on effect on all the challenges discussed so far.</w:t>
      </w:r>
    </w:p>
    <w:p w14:paraId="4139AE1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Although a study by Schnelle </w:t>
      </w:r>
      <w:r w:rsidRPr="009353F6">
        <w:rPr>
          <w:rFonts w:ascii="Times New Roman" w:hAnsi="Times New Roman"/>
          <w:i/>
          <w:iCs/>
          <w:szCs w:val="24"/>
        </w:rPr>
        <w:t>et al.</w:t>
      </w:r>
      <w:r w:rsidRPr="00573A16">
        <w:rPr>
          <w:rFonts w:ascii="Times New Roman" w:hAnsi="Times New Roman"/>
          <w:szCs w:val="24"/>
        </w:rPr>
        <w:t xml:space="preserve"> (</w:t>
      </w:r>
      <w:bookmarkStart w:id="212" w:name="bsec0130"/>
      <w:r w:rsidRPr="00573A16">
        <w:rPr>
          <w:rFonts w:ascii="Times New Roman" w:hAnsi="Times New Roman"/>
          <w:szCs w:val="24"/>
        </w:rPr>
        <w:t xml:space="preserve">2004) observed that there was no linear relationship between staffing levels and the quality of care, the authors acknowledged the existence </w:t>
      </w:r>
      <w:r w:rsidRPr="00573A16">
        <w:rPr>
          <w:rFonts w:ascii="Times New Roman" w:hAnsi="Times New Roman"/>
          <w:szCs w:val="24"/>
        </w:rPr>
        <w:lastRenderedPageBreak/>
        <w:t xml:space="preserve">of a ‘staffing threshold’, which must be attained before the benefits of staffing levels can be seen on the ward (similar findings were reported by Zhang and Grabowski, </w:t>
      </w:r>
      <w:bookmarkEnd w:id="212"/>
      <w:r w:rsidRPr="00573A16">
        <w:rPr>
          <w:rFonts w:ascii="Times New Roman" w:hAnsi="Times New Roman"/>
          <w:szCs w:val="24"/>
        </w:rPr>
        <w:t xml:space="preserve">2004). Stress may be inevitable when inadequate staffing numbers persist (Schnelle </w:t>
      </w:r>
      <w:r w:rsidRPr="009353F6">
        <w:rPr>
          <w:rFonts w:ascii="Times New Roman" w:hAnsi="Times New Roman"/>
          <w:i/>
          <w:iCs/>
          <w:szCs w:val="24"/>
        </w:rPr>
        <w:t>et al.</w:t>
      </w:r>
      <w:r w:rsidRPr="00573A16">
        <w:rPr>
          <w:rFonts w:ascii="Times New Roman" w:hAnsi="Times New Roman"/>
          <w:szCs w:val="24"/>
        </w:rPr>
        <w:t>, 2004). My participants also had other institutional challenges, which are discussed below.</w:t>
      </w:r>
    </w:p>
    <w:p w14:paraId="5CD971B4" w14:textId="77777777" w:rsidR="000B3E7A" w:rsidRPr="00573A16" w:rsidRDefault="000B3E7A" w:rsidP="006869A3">
      <w:pPr>
        <w:pStyle w:val="Heading3"/>
      </w:pPr>
      <w:bookmarkStart w:id="213" w:name="_Toc86417386"/>
      <w:r w:rsidRPr="00573A16">
        <w:t>9.2.8. Undesirable length of shift</w:t>
      </w:r>
      <w:bookmarkEnd w:id="213"/>
    </w:p>
    <w:p w14:paraId="1CEBDC69"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Few participants (n=4) identified the length of shift as a stressor. Shift in care/nursing work usually consist of working long 12-hours shift or shorter shifts (Royal College of Nursing, RCN, 201</w:t>
      </w:r>
      <w:r>
        <w:rPr>
          <w:rFonts w:ascii="Times New Roman" w:eastAsia="Calibri" w:hAnsi="Times New Roman"/>
          <w:szCs w:val="24"/>
          <w:lang w:eastAsia="en-US"/>
        </w:rPr>
        <w:t>7</w:t>
      </w:r>
      <w:r w:rsidRPr="00573A16">
        <w:rPr>
          <w:rFonts w:ascii="Times New Roman" w:eastAsia="Calibri" w:hAnsi="Times New Roman"/>
          <w:szCs w:val="24"/>
          <w:lang w:eastAsia="en-US"/>
        </w:rPr>
        <w:t xml:space="preserve">; Harris </w:t>
      </w:r>
      <w:r w:rsidRPr="009353F6">
        <w:rPr>
          <w:rFonts w:ascii="Times New Roman" w:eastAsia="Calibri" w:hAnsi="Times New Roman"/>
          <w:i/>
          <w:iCs/>
          <w:szCs w:val="24"/>
          <w:lang w:eastAsia="en-US"/>
        </w:rPr>
        <w:t>et al.</w:t>
      </w:r>
      <w:r w:rsidRPr="00573A16">
        <w:rPr>
          <w:rFonts w:ascii="Times New Roman" w:eastAsia="Calibri" w:hAnsi="Times New Roman"/>
          <w:szCs w:val="24"/>
          <w:lang w:eastAsia="en-US"/>
        </w:rPr>
        <w:t>, 2015). Although all the participants in this study worked the same 12-hours shift, those who considered the length of shift as challenging stated that they were constrained to work because that was the only type of shifts available in the two NHS wards. One participant, John, cited the lack of choice as the reason he is compelled to do long-shift.</w:t>
      </w:r>
    </w:p>
    <w:p w14:paraId="1F736FB4"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w:t>
      </w:r>
      <w:r w:rsidRPr="00573A16">
        <w:rPr>
          <w:rFonts w:ascii="Times New Roman" w:eastAsia="Calibri" w:hAnsi="Times New Roman"/>
          <w:i/>
          <w:szCs w:val="24"/>
          <w:lang w:eastAsia="en-US"/>
        </w:rPr>
        <w:t>I have to do them, I don’t have any choice, that’s the only challenge am facing now, I have to do the long days and the night shift.</w:t>
      </w:r>
      <w:r w:rsidRPr="00573A16">
        <w:rPr>
          <w:rFonts w:ascii="Times New Roman" w:eastAsia="Calibri" w:hAnsi="Times New Roman"/>
          <w:szCs w:val="24"/>
          <w:lang w:eastAsia="en-US"/>
        </w:rPr>
        <w:t>” (John, HCA)</w:t>
      </w:r>
    </w:p>
    <w:p w14:paraId="2A9111C7"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 xml:space="preserve">They endured the long hours spent on the job because of the nature of caring for PLWD discussed earlier and they often stressed afterwards. Another participant, Doris gave some insight into doing a long day: </w:t>
      </w:r>
    </w:p>
    <w:p w14:paraId="1A63BA6A"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w:t>
      </w:r>
      <w:r w:rsidRPr="00573A16">
        <w:rPr>
          <w:rFonts w:ascii="Times New Roman" w:eastAsia="Calibri" w:hAnsi="Times New Roman"/>
          <w:i/>
          <w:szCs w:val="24"/>
          <w:lang w:eastAsia="en-US"/>
        </w:rPr>
        <w:t>… whenever am going for a long day, I just prepare myself like okay, am going there today and often times I return back having headaches…</w:t>
      </w:r>
      <w:r w:rsidRPr="00573A16">
        <w:rPr>
          <w:rFonts w:ascii="Times New Roman" w:eastAsia="Calibri" w:hAnsi="Times New Roman"/>
          <w:szCs w:val="24"/>
          <w:lang w:eastAsia="en-US"/>
        </w:rPr>
        <w:t>” (Doris, HCA)</w:t>
      </w:r>
    </w:p>
    <w:p w14:paraId="7EF3340B" w14:textId="77777777" w:rsidR="000B3E7A" w:rsidRPr="00573A16" w:rsidRDefault="000B3E7A" w:rsidP="000B3E7A">
      <w:pPr>
        <w:spacing w:after="200"/>
        <w:jc w:val="both"/>
        <w:rPr>
          <w:rFonts w:ascii="Times New Roman" w:eastAsia="Calibri" w:hAnsi="Times New Roman"/>
          <w:szCs w:val="24"/>
          <w:lang w:eastAsia="en-US"/>
        </w:rPr>
      </w:pPr>
      <w:r w:rsidRPr="00573A16">
        <w:rPr>
          <w:rFonts w:ascii="Times New Roman" w:eastAsia="Calibri" w:hAnsi="Times New Roman"/>
          <w:szCs w:val="24"/>
          <w:lang w:eastAsia="en-US"/>
        </w:rPr>
        <w:t>It is important to point that despite these participants citing the longer hours as a challenge, a further look at their narratives indicates that their experience of stress was more to do with their apparent lack of choice, as no alternative was available. This is consistent with findings reported in previous literature (Bambra et al, 2008;</w:t>
      </w:r>
      <w:r w:rsidRPr="00322E3C">
        <w:rPr>
          <w:rFonts w:ascii="Times New Roman" w:hAnsi="Times New Roman"/>
          <w:szCs w:val="24"/>
        </w:rPr>
        <w:t xml:space="preserve"> </w:t>
      </w:r>
      <w:r w:rsidRPr="00F54295">
        <w:rPr>
          <w:rFonts w:ascii="Times New Roman" w:hAnsi="Times New Roman"/>
          <w:szCs w:val="24"/>
        </w:rPr>
        <w:t>Rosa</w:t>
      </w:r>
      <w:r>
        <w:rPr>
          <w:rFonts w:ascii="Times New Roman" w:hAnsi="Times New Roman"/>
          <w:szCs w:val="24"/>
        </w:rPr>
        <w:t xml:space="preserve"> </w:t>
      </w:r>
      <w:r w:rsidRPr="009353F6">
        <w:rPr>
          <w:rFonts w:ascii="Times New Roman" w:hAnsi="Times New Roman"/>
          <w:i/>
          <w:iCs/>
          <w:szCs w:val="24"/>
        </w:rPr>
        <w:t>et al.</w:t>
      </w:r>
      <w:r>
        <w:rPr>
          <w:rFonts w:ascii="Times New Roman" w:hAnsi="Times New Roman"/>
          <w:szCs w:val="24"/>
        </w:rPr>
        <w:t>, 2019</w:t>
      </w:r>
      <w:r w:rsidRPr="00573A16">
        <w:rPr>
          <w:rFonts w:ascii="Times New Roman" w:eastAsia="Calibri" w:hAnsi="Times New Roman"/>
          <w:szCs w:val="24"/>
          <w:lang w:eastAsia="en-US"/>
        </w:rPr>
        <w:t xml:space="preserve">). Although the other participants who did not cite shift pattern as a challenge did not mention their affinity for it, the literature suggests that some staff working in the NHS preferred the 12-hours shift despite it being linked to low job satisfaction and other </w:t>
      </w:r>
      <w:r w:rsidRPr="00573A16">
        <w:rPr>
          <w:rFonts w:ascii="Times New Roman" w:eastAsia="Calibri" w:hAnsi="Times New Roman"/>
          <w:szCs w:val="24"/>
          <w:lang w:eastAsia="en-US"/>
        </w:rPr>
        <w:lastRenderedPageBreak/>
        <w:t xml:space="preserve">negative impact to their physical and psychological wellbeing (Stone </w:t>
      </w:r>
      <w:r w:rsidRPr="009353F6">
        <w:rPr>
          <w:rFonts w:ascii="Times New Roman" w:eastAsia="Calibri" w:hAnsi="Times New Roman"/>
          <w:i/>
          <w:iCs/>
          <w:szCs w:val="24"/>
          <w:lang w:eastAsia="en-US"/>
        </w:rPr>
        <w:t>et al.</w:t>
      </w:r>
      <w:r w:rsidRPr="00573A16">
        <w:rPr>
          <w:rFonts w:ascii="Times New Roman" w:eastAsia="Calibri" w:hAnsi="Times New Roman"/>
          <w:szCs w:val="24"/>
          <w:lang w:eastAsia="en-US"/>
        </w:rPr>
        <w:t>, 2006;</w:t>
      </w:r>
      <w:r>
        <w:rPr>
          <w:rFonts w:ascii="Times New Roman" w:eastAsia="Calibri" w:hAnsi="Times New Roman"/>
          <w:szCs w:val="24"/>
          <w:lang w:eastAsia="en-US"/>
        </w:rPr>
        <w:t xml:space="preserve"> </w:t>
      </w:r>
      <w:r w:rsidRPr="00573A16">
        <w:rPr>
          <w:rFonts w:ascii="Times New Roman" w:eastAsia="Calibri" w:hAnsi="Times New Roman"/>
          <w:szCs w:val="24"/>
          <w:lang w:eastAsia="en-US"/>
        </w:rPr>
        <w:t xml:space="preserve">Gander </w:t>
      </w:r>
      <w:r w:rsidRPr="009353F6">
        <w:rPr>
          <w:rFonts w:ascii="Times New Roman" w:eastAsia="Calibri" w:hAnsi="Times New Roman"/>
          <w:i/>
          <w:iCs/>
          <w:szCs w:val="24"/>
          <w:lang w:eastAsia="en-US"/>
        </w:rPr>
        <w:t>et al.</w:t>
      </w:r>
      <w:r w:rsidRPr="00573A16">
        <w:rPr>
          <w:rFonts w:ascii="Times New Roman" w:eastAsia="Calibri" w:hAnsi="Times New Roman"/>
          <w:szCs w:val="24"/>
          <w:lang w:eastAsia="en-US"/>
        </w:rPr>
        <w:t>, 2019).</w:t>
      </w:r>
    </w:p>
    <w:p w14:paraId="53208B65" w14:textId="77777777" w:rsidR="000B3E7A" w:rsidRPr="00573A16" w:rsidRDefault="000B3E7A" w:rsidP="000B3E7A">
      <w:pPr>
        <w:jc w:val="both"/>
        <w:rPr>
          <w:rFonts w:ascii="Times New Roman" w:eastAsia="Calibri" w:hAnsi="Times New Roman"/>
          <w:szCs w:val="24"/>
          <w:lang w:eastAsia="en-US"/>
        </w:rPr>
      </w:pPr>
      <w:r w:rsidRPr="00573A16">
        <w:rPr>
          <w:rFonts w:ascii="Times New Roman" w:eastAsia="Calibri" w:hAnsi="Times New Roman"/>
          <w:szCs w:val="24"/>
          <w:lang w:eastAsia="en-US"/>
        </w:rPr>
        <w:t>It is possible that these four participants considered the shift pattern challenging because it did not fit into their work-life balance. However, their experience may have been further accentuated by the nature of the job, which usually involves dealing with patients’</w:t>
      </w:r>
      <w:r>
        <w:rPr>
          <w:rFonts w:ascii="Times New Roman" w:eastAsia="Calibri" w:hAnsi="Times New Roman"/>
          <w:szCs w:val="24"/>
          <w:lang w:eastAsia="en-US"/>
        </w:rPr>
        <w:t xml:space="preserve"> </w:t>
      </w:r>
      <w:r w:rsidRPr="00573A16">
        <w:rPr>
          <w:rFonts w:ascii="Times New Roman" w:eastAsia="Calibri" w:hAnsi="Times New Roman"/>
          <w:szCs w:val="24"/>
          <w:lang w:eastAsia="en-US"/>
        </w:rPr>
        <w:t>behavioural disturbances, their personal care needs</w:t>
      </w:r>
      <w:r>
        <w:rPr>
          <w:rFonts w:ascii="Times New Roman" w:eastAsia="Calibri" w:hAnsi="Times New Roman"/>
          <w:szCs w:val="24"/>
          <w:lang w:eastAsia="en-US"/>
        </w:rPr>
        <w:t>,</w:t>
      </w:r>
      <w:r w:rsidRPr="00573A16">
        <w:rPr>
          <w:rFonts w:ascii="Times New Roman" w:eastAsia="Calibri" w:hAnsi="Times New Roman"/>
          <w:szCs w:val="24"/>
          <w:lang w:eastAsia="en-US"/>
        </w:rPr>
        <w:t xml:space="preserve"> and the other challenges (such as staffing levels) already discussed. My participants also faced the challenge of working with ‘difficult’ members of staff and this is discussed in the next subsection.</w:t>
      </w:r>
    </w:p>
    <w:p w14:paraId="22909635" w14:textId="77777777" w:rsidR="000B3E7A" w:rsidRPr="00573A16" w:rsidRDefault="000B3E7A" w:rsidP="006869A3">
      <w:pPr>
        <w:pStyle w:val="Heading3"/>
      </w:pPr>
      <w:bookmarkStart w:id="214" w:name="_Toc86417387"/>
      <w:r w:rsidRPr="00573A16">
        <w:t>9.2.9. Uncooperative staff</w:t>
      </w:r>
      <w:bookmarkEnd w:id="214"/>
    </w:p>
    <w:p w14:paraId="1FDF340A"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Narratives by my participants (n=11) indicates that they sometimes find it challenging to work with some members of staff citing reasons such as, the staff’s inability to cope with work-related stress which affects their attitude to work and staff bringing their own personal/family problems to work. It was evident that my participants deemed this to be an additional burden to the already demanding job of caring for PLWD. Folashade summed it up, saying:</w:t>
      </w:r>
    </w:p>
    <w:p w14:paraId="50DC33BB" w14:textId="77777777" w:rsidR="000B3E7A" w:rsidRPr="00573A16" w:rsidRDefault="000B3E7A" w:rsidP="000B3E7A">
      <w:pPr>
        <w:rPr>
          <w:rFonts w:ascii="Times New Roman" w:hAnsi="Times New Roman"/>
          <w:szCs w:val="24"/>
        </w:rPr>
      </w:pPr>
      <w:r w:rsidRPr="00573A16">
        <w:rPr>
          <w:rFonts w:ascii="Times New Roman" w:hAnsi="Times New Roman"/>
          <w:szCs w:val="24"/>
        </w:rPr>
        <w:t>“</w:t>
      </w:r>
      <w:r w:rsidRPr="00573A16">
        <w:rPr>
          <w:rFonts w:ascii="Times New Roman" w:hAnsi="Times New Roman"/>
          <w:i/>
          <w:iCs/>
          <w:szCs w:val="24"/>
        </w:rPr>
        <w:t>I think the most important one is working with bad staff. Yea, because at the end of the day, working with a dementia patient… is challenging</w:t>
      </w:r>
      <w:r w:rsidRPr="00573A16">
        <w:rPr>
          <w:rFonts w:ascii="Times New Roman" w:hAnsi="Times New Roman"/>
          <w:szCs w:val="24"/>
        </w:rPr>
        <w:t>” (Folashade, HCA)</w:t>
      </w:r>
    </w:p>
    <w:p w14:paraId="2AB96D7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My participants considered staff who they perceived to be lazy and with a bad attitude difficult to work with. However, their challenging work relationship was often fallout from the challenges previously discussed, which Alexander and Hegarty (</w:t>
      </w:r>
      <w:r>
        <w:rPr>
          <w:rFonts w:ascii="Times New Roman" w:hAnsi="Times New Roman"/>
          <w:szCs w:val="24"/>
        </w:rPr>
        <w:t>2000</w:t>
      </w:r>
      <w:r w:rsidRPr="00573A16">
        <w:rPr>
          <w:rFonts w:ascii="Times New Roman" w:hAnsi="Times New Roman"/>
          <w:szCs w:val="24"/>
        </w:rPr>
        <w:t>) noted leads to staff burnout and emotional exhaustion.</w:t>
      </w:r>
    </w:p>
    <w:p w14:paraId="26A8601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In addition, my participants also mentioned racial discrimination from staff as one reason they find it difficult to work with some staff and this is discussed next.</w:t>
      </w:r>
    </w:p>
    <w:p w14:paraId="247B3C9B" w14:textId="77777777" w:rsidR="000B3E7A" w:rsidRPr="00573A16" w:rsidRDefault="000B3E7A" w:rsidP="006869A3">
      <w:pPr>
        <w:pStyle w:val="Heading3"/>
      </w:pPr>
      <w:bookmarkStart w:id="215" w:name="_Toc86417388"/>
      <w:r w:rsidRPr="00573A16">
        <w:t>9.2.10. Discrimination and racism</w:t>
      </w:r>
      <w:bookmarkEnd w:id="215"/>
    </w:p>
    <w:p w14:paraId="26D0CF8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Most of my participants (n=16) narrated different instances of workplace discrimination and/or what they perceived as outright racism towards them. This was the second most </w:t>
      </w:r>
      <w:r w:rsidRPr="00573A16">
        <w:rPr>
          <w:rFonts w:ascii="Times New Roman" w:hAnsi="Times New Roman"/>
          <w:szCs w:val="24"/>
        </w:rPr>
        <w:lastRenderedPageBreak/>
        <w:t>mentioned challenge, and it was perpetuated by fellow staff and the patients/their families.</w:t>
      </w:r>
    </w:p>
    <w:p w14:paraId="33B5C030" w14:textId="77777777" w:rsidR="000B3E7A" w:rsidRPr="00573A16" w:rsidRDefault="000B3E7A" w:rsidP="006869A3">
      <w:pPr>
        <w:pStyle w:val="Heading5"/>
      </w:pPr>
      <w:r w:rsidRPr="00573A16">
        <w:rPr>
          <w:b/>
        </w:rPr>
        <w:t xml:space="preserve">9.2.10.1. </w:t>
      </w:r>
      <w:r w:rsidRPr="00573A16">
        <w:t>Staff on staff discrimination and racism</w:t>
      </w:r>
    </w:p>
    <w:p w14:paraId="5E9AC4FB"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My participants agreed that the racial discriminations they experienced from their Caucasian counterparts was mostly covert and subtle. An instance of this subtle form of racial discrimination was being denied a career opportunity that was made available to Caucasian staffs. Adams commenting on a case he witnessed observed that:</w:t>
      </w:r>
    </w:p>
    <w:p w14:paraId="7283BF53" w14:textId="77777777" w:rsidR="000B3E7A" w:rsidRPr="00573A16" w:rsidRDefault="000B3E7A" w:rsidP="000B3E7A">
      <w:pPr>
        <w:jc w:val="both"/>
        <w:rPr>
          <w:rFonts w:ascii="Times New Roman" w:hAnsi="Times New Roman"/>
          <w:i/>
          <w:szCs w:val="24"/>
        </w:rPr>
      </w:pPr>
      <w:r w:rsidRPr="00573A16" w:rsidDel="00365AE9">
        <w:rPr>
          <w:rFonts w:ascii="Times New Roman" w:hAnsi="Times New Roman"/>
          <w:szCs w:val="24"/>
        </w:rPr>
        <w:t xml:space="preserve"> </w:t>
      </w:r>
      <w:r w:rsidRPr="00573A16">
        <w:rPr>
          <w:rFonts w:ascii="Times New Roman" w:hAnsi="Times New Roman"/>
          <w:szCs w:val="24"/>
        </w:rPr>
        <w:t>“</w:t>
      </w:r>
      <w:r w:rsidRPr="00573A16">
        <w:rPr>
          <w:rFonts w:ascii="Times New Roman" w:hAnsi="Times New Roman"/>
          <w:i/>
          <w:szCs w:val="24"/>
        </w:rPr>
        <w:t xml:space="preserve"> you see someone [Caucasian] … with GCSE, 6 months experience and the manager… is forwarding that individual to go and do associate practitioner training… but here you have someone [person of colour] … whose got the skills and everything,… goes to the same manager, he doesn’t get the approval.</w:t>
      </w:r>
      <w:r w:rsidRPr="00573A16">
        <w:rPr>
          <w:rFonts w:ascii="Times New Roman" w:hAnsi="Times New Roman"/>
          <w:szCs w:val="24"/>
        </w:rPr>
        <w:t>” (Adams, HCA)</w:t>
      </w:r>
    </w:p>
    <w:p w14:paraId="434FD3C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Adams could not understand why black care workers who had multiple degrees were not sponsored to pursue a career in nursing whereas their white colleagues with no degree were allowed. This experience resulted in self-doubt because my participants began to question themselves as to why they were overlooked. They also believed that they were often unfairly targeted by their White counterpart and assigned the most difficult patients or duties on the ward. One participant, Miriams noted:</w:t>
      </w:r>
    </w:p>
    <w:p w14:paraId="687D5B07"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 they will just give you [the difficult allocation] because you are black…, to me that’s how I feel it, I see it that it’s been racist</w:t>
      </w:r>
      <w:r w:rsidRPr="00573A16">
        <w:rPr>
          <w:rFonts w:ascii="Times New Roman" w:hAnsi="Times New Roman"/>
          <w:szCs w:val="24"/>
        </w:rPr>
        <w:t>” (Miriam, HCA)</w:t>
      </w:r>
    </w:p>
    <w:p w14:paraId="2C1A098A"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Despite their experience of workplace discrimination/racism, only few spoke out against it. For example, Adams shared his experience of confronting racism, although this was at his previous place of work. He stated that:</w:t>
      </w:r>
    </w:p>
    <w:p w14:paraId="7DECBF7B" w14:textId="77777777" w:rsidR="000B3E7A" w:rsidRPr="00573A16" w:rsidRDefault="000B3E7A" w:rsidP="000B3E7A">
      <w:pPr>
        <w:jc w:val="both"/>
        <w:rPr>
          <w:rFonts w:ascii="Times New Roman" w:hAnsi="Times New Roman"/>
          <w:szCs w:val="24"/>
        </w:rPr>
      </w:pPr>
      <w:r w:rsidRPr="00573A16">
        <w:rPr>
          <w:rFonts w:ascii="Times New Roman" w:hAnsi="Times New Roman"/>
          <w:i/>
          <w:szCs w:val="24"/>
        </w:rPr>
        <w:t xml:space="preserve"> “I told her [the ward manager], I said, ‘look, just tell me straight away if you don’t want to sponsor me’. It was highly demoralising and that was the reason why I resigned from that job</w:t>
      </w:r>
      <w:r w:rsidRPr="00573A16">
        <w:rPr>
          <w:rFonts w:ascii="Times New Roman" w:hAnsi="Times New Roman"/>
          <w:szCs w:val="24"/>
        </w:rPr>
        <w:t>” (Adams, HCA)</w:t>
      </w:r>
    </w:p>
    <w:p w14:paraId="7E7AD567"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In this instance, Adam was visibly disappointed that the manager did not support his career ambition to be an associate professional even though other white colleagues were sponsored. He felt he was refused sponsorship because of the colour of his skin. Although Adams spoke up and eventually had to quit the job, most of my participants did not bother to complain about this. They tried to rationalise the discriminatory or racist behaviour and simply carried on with their job. For example, both Kate and Doris showed indifference to racist behaviour targeted at them because they saw it as what they could endure.</w:t>
      </w:r>
    </w:p>
    <w:p w14:paraId="4959DD35" w14:textId="77777777" w:rsidR="000B3E7A" w:rsidRPr="00573A16" w:rsidRDefault="000B3E7A" w:rsidP="000B3E7A">
      <w:pPr>
        <w:jc w:val="both"/>
        <w:rPr>
          <w:rFonts w:ascii="Times New Roman" w:hAnsi="Times New Roman"/>
          <w:szCs w:val="24"/>
        </w:rPr>
      </w:pPr>
      <w:r w:rsidRPr="00573A16">
        <w:rPr>
          <w:rFonts w:ascii="Times New Roman" w:hAnsi="Times New Roman"/>
          <w:i/>
          <w:szCs w:val="24"/>
        </w:rPr>
        <w:t xml:space="preserve"> “… the worst I can do is if I feel I cannot take it, I can no longer accommodate their attitude and I’m getting to my wits end, I might just quit and get a job somewhere else.</w:t>
      </w:r>
      <w:r w:rsidRPr="00573A16">
        <w:rPr>
          <w:rFonts w:ascii="Times New Roman" w:hAnsi="Times New Roman"/>
          <w:szCs w:val="24"/>
        </w:rPr>
        <w:t>” (Doris, HCA)</w:t>
      </w:r>
    </w:p>
    <w:p w14:paraId="17881FC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 what I feel I can accommodate there is no point talking about it and secondly</w:t>
      </w:r>
      <w:r>
        <w:rPr>
          <w:rFonts w:ascii="Times New Roman" w:hAnsi="Times New Roman"/>
          <w:i/>
          <w:szCs w:val="24"/>
        </w:rPr>
        <w:t>,</w:t>
      </w:r>
      <w:r w:rsidRPr="00573A16">
        <w:rPr>
          <w:rFonts w:ascii="Times New Roman" w:hAnsi="Times New Roman"/>
          <w:i/>
          <w:szCs w:val="24"/>
        </w:rPr>
        <w:t xml:space="preserve"> I just have it in my head that am not going to be here forever, am just going to be here for a short while”</w:t>
      </w:r>
      <w:r w:rsidRPr="00573A16">
        <w:rPr>
          <w:rFonts w:ascii="Times New Roman" w:hAnsi="Times New Roman"/>
          <w:szCs w:val="24"/>
        </w:rPr>
        <w:t xml:space="preserve"> (Kate, HCA)</w:t>
      </w:r>
    </w:p>
    <w:p w14:paraId="5C381A37"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Both Kate and Doris appeared to have a threshold where they were willing to accept discriminatory behaviours before they will quit the job. One reason my participants did not bother to report their experiences of racism was lack of confidence in how their complaints would be handled. They believed that the forms of racism they experienced was entrenched within the NHS and there was no need complaining about it. Doris explained why this is the case:</w:t>
      </w:r>
    </w:p>
    <w:p w14:paraId="6F5292A9" w14:textId="77777777" w:rsidR="000B3E7A" w:rsidRPr="00573A16" w:rsidRDefault="000B3E7A" w:rsidP="000B3E7A">
      <w:pPr>
        <w:jc w:val="both"/>
        <w:rPr>
          <w:rFonts w:ascii="Times New Roman" w:hAnsi="Times New Roman"/>
          <w:i/>
          <w:szCs w:val="24"/>
        </w:rPr>
      </w:pPr>
      <w:r w:rsidRPr="00573A16">
        <w:rPr>
          <w:rFonts w:ascii="Times New Roman" w:hAnsi="Times New Roman"/>
          <w:szCs w:val="24"/>
        </w:rPr>
        <w:t>“</w:t>
      </w:r>
      <w:r w:rsidRPr="00573A16">
        <w:rPr>
          <w:rFonts w:ascii="Times New Roman" w:hAnsi="Times New Roman"/>
          <w:i/>
          <w:szCs w:val="24"/>
        </w:rPr>
        <w:t>There is actually a ‘speak up, speak up’ thing but I don’t think people actually use it…. Because I just think, some people just have this idea that no matter what I say, in as much as I’m not one of them, then I can never be accepted.” (Doris, HCA)</w:t>
      </w:r>
    </w:p>
    <w:p w14:paraId="4DD13FB3"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Another reason for their inaction was the nature of their work contract. As stated previously, most of my participants (n=16) were on zero-hours contract which offered no guaranteed work hours. Hence, some of my participants did not want to </w:t>
      </w:r>
      <w:r>
        <w:rPr>
          <w:rFonts w:ascii="Times New Roman" w:hAnsi="Times New Roman"/>
          <w:szCs w:val="24"/>
        </w:rPr>
        <w:t>complain about their experience of racial discrimination for fear they may not be considered for work again</w:t>
      </w:r>
      <w:r w:rsidRPr="00573A16">
        <w:rPr>
          <w:rFonts w:ascii="Times New Roman" w:hAnsi="Times New Roman"/>
          <w:szCs w:val="24"/>
        </w:rPr>
        <w:t>. This finding is not unique</w:t>
      </w:r>
      <w:r>
        <w:rPr>
          <w:rFonts w:ascii="Times New Roman" w:hAnsi="Times New Roman"/>
          <w:szCs w:val="24"/>
        </w:rPr>
        <w:t>.</w:t>
      </w:r>
      <w:r w:rsidRPr="00573A16">
        <w:rPr>
          <w:rFonts w:ascii="Times New Roman" w:hAnsi="Times New Roman"/>
          <w:szCs w:val="24"/>
        </w:rPr>
        <w:t xml:space="preserve"> </w:t>
      </w:r>
      <w:r>
        <w:rPr>
          <w:rFonts w:ascii="Times New Roman" w:hAnsi="Times New Roman"/>
          <w:szCs w:val="24"/>
        </w:rPr>
        <w:t xml:space="preserve">Migrant care workers’ experiences of racism </w:t>
      </w:r>
      <w:r>
        <w:rPr>
          <w:rFonts w:ascii="Times New Roman" w:hAnsi="Times New Roman"/>
          <w:szCs w:val="24"/>
        </w:rPr>
        <w:lastRenderedPageBreak/>
        <w:t xml:space="preserve">have been reported in other studies (Mercer, Heacock and Beck, 1994; Stevens, Hussein and Manthorpe, 2012). For example, </w:t>
      </w:r>
      <w:r w:rsidRPr="00573A16">
        <w:rPr>
          <w:rFonts w:ascii="Times New Roman" w:hAnsi="Times New Roman"/>
          <w:szCs w:val="24"/>
        </w:rPr>
        <w:t xml:space="preserve">Mercer, Heacock and Beck </w:t>
      </w:r>
      <w:r>
        <w:rPr>
          <w:rFonts w:ascii="Times New Roman" w:hAnsi="Times New Roman"/>
          <w:szCs w:val="24"/>
        </w:rPr>
        <w:t>(</w:t>
      </w:r>
      <w:r w:rsidRPr="00573A16">
        <w:rPr>
          <w:rFonts w:ascii="Times New Roman" w:hAnsi="Times New Roman"/>
          <w:szCs w:val="24"/>
        </w:rPr>
        <w:t>1994</w:t>
      </w:r>
      <w:r>
        <w:rPr>
          <w:rFonts w:ascii="Times New Roman" w:hAnsi="Times New Roman"/>
          <w:szCs w:val="24"/>
        </w:rPr>
        <w:t>)</w:t>
      </w:r>
      <w:r w:rsidRPr="00573A16">
        <w:rPr>
          <w:rFonts w:ascii="Times New Roman" w:hAnsi="Times New Roman"/>
          <w:szCs w:val="24"/>
        </w:rPr>
        <w:t xml:space="preserve"> </w:t>
      </w:r>
      <w:r>
        <w:rPr>
          <w:rFonts w:ascii="Times New Roman" w:hAnsi="Times New Roman"/>
          <w:szCs w:val="24"/>
        </w:rPr>
        <w:t>found that the experience of racism</w:t>
      </w:r>
      <w:r w:rsidRPr="00573A16">
        <w:rPr>
          <w:rFonts w:ascii="Times New Roman" w:hAnsi="Times New Roman"/>
          <w:szCs w:val="24"/>
        </w:rPr>
        <w:t xml:space="preserve"> was one of the stressors most cited by </w:t>
      </w:r>
      <w:r>
        <w:rPr>
          <w:rFonts w:ascii="Times New Roman" w:hAnsi="Times New Roman"/>
          <w:szCs w:val="24"/>
        </w:rPr>
        <w:t xml:space="preserve">nursing aides. </w:t>
      </w:r>
      <w:r w:rsidRPr="00573A16">
        <w:rPr>
          <w:rFonts w:ascii="Times New Roman" w:hAnsi="Times New Roman"/>
          <w:szCs w:val="24"/>
        </w:rPr>
        <w:t>Listening to the participants, it seemed that although they detest the racist abuse, they experienced from some of their white counterparts they were unwilling to complain about it.</w:t>
      </w:r>
      <w:r>
        <w:rPr>
          <w:rFonts w:ascii="Times New Roman" w:hAnsi="Times New Roman"/>
          <w:szCs w:val="24"/>
        </w:rPr>
        <w:t xml:space="preserve"> </w:t>
      </w:r>
      <w:r w:rsidRPr="00573A16">
        <w:rPr>
          <w:rFonts w:ascii="Times New Roman" w:hAnsi="Times New Roman"/>
          <w:szCs w:val="24"/>
        </w:rPr>
        <w:t>However, they were more understanding of the abuse they received from their patients because they say it as a reflection of the illness.</w:t>
      </w:r>
    </w:p>
    <w:p w14:paraId="6F859BDA" w14:textId="77777777" w:rsidR="000B3E7A" w:rsidRPr="00573A16" w:rsidRDefault="000B3E7A" w:rsidP="006869A3">
      <w:pPr>
        <w:pStyle w:val="Heading5"/>
      </w:pPr>
      <w:r w:rsidRPr="00573A16">
        <w:rPr>
          <w:b/>
        </w:rPr>
        <w:t xml:space="preserve">9.2.10.2. </w:t>
      </w:r>
      <w:r w:rsidRPr="00573A16">
        <w:t>Patients on staff racist behaviour</w:t>
      </w:r>
    </w:p>
    <w:p w14:paraId="73B8F4A0"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Most participants also reported facing most overt racist behaviour from patients. However, they did not feel offended and were quick to excuse the behaviour, explaining it away. Participants saw those sorts of behaviours from patients to be part of their presentation and one of the signs that comes with dementia. In addition, they also stated that they have faced discriminatory behaviours and racism at one point or another. Their reaction to this kind of behaviours varied from explaining it away, making excuses for it or simply disregarding it as something not worth worrying about. Doris, who mentioned discriminatory behaviours as being responsible for some of her colleagues leaving her workplace, spoke of the attitude of some white staff to black members of staff. She noted:</w:t>
      </w:r>
    </w:p>
    <w:p w14:paraId="198D96D6"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 they’ll resist your honest intention to help, because you are dark in complexion, … it has been challenging, but some people [patients] love you because you are black. It’s not usually 100% bad</w:t>
      </w:r>
      <w:r w:rsidRPr="00573A16">
        <w:rPr>
          <w:rFonts w:ascii="Times New Roman" w:hAnsi="Times New Roman"/>
          <w:szCs w:val="24"/>
        </w:rPr>
        <w:t>” (Doris, HCA)</w:t>
      </w:r>
    </w:p>
    <w:p w14:paraId="67E05B3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However, my participants stated that the experience of racism from the patients contributes to the psychologically and physically demands of the job. Miriam shared her experience of caring for a patient who was racially abusive, commenting that:</w:t>
      </w:r>
    </w:p>
    <w:p w14:paraId="251763A2" w14:textId="77777777" w:rsidR="000B3E7A" w:rsidRPr="00573A16" w:rsidRDefault="000B3E7A" w:rsidP="000B3E7A">
      <w:pPr>
        <w:jc w:val="both"/>
        <w:rPr>
          <w:rFonts w:ascii="Times New Roman" w:hAnsi="Times New Roman"/>
          <w:szCs w:val="24"/>
        </w:rPr>
      </w:pPr>
      <w:r w:rsidRPr="00573A16" w:rsidDel="00685589">
        <w:rPr>
          <w:rFonts w:ascii="Times New Roman" w:hAnsi="Times New Roman"/>
          <w:szCs w:val="24"/>
        </w:rPr>
        <w:t xml:space="preserve"> </w:t>
      </w:r>
      <w:r w:rsidRPr="00573A16">
        <w:rPr>
          <w:rFonts w:ascii="Times New Roman" w:hAnsi="Times New Roman"/>
          <w:szCs w:val="24"/>
        </w:rPr>
        <w:t>“</w:t>
      </w:r>
      <w:r w:rsidRPr="00573A16">
        <w:rPr>
          <w:rFonts w:ascii="Times New Roman" w:hAnsi="Times New Roman"/>
          <w:i/>
          <w:szCs w:val="24"/>
        </w:rPr>
        <w:t>I assumed he was sick, I knew he was doing the wrong thing, but I just refused… to get angry with such people because when you start getting angry it affects the care I’m giving to the patient</w:t>
      </w:r>
      <w:r w:rsidRPr="00573A16">
        <w:rPr>
          <w:rFonts w:ascii="Times New Roman" w:hAnsi="Times New Roman"/>
          <w:szCs w:val="24"/>
        </w:rPr>
        <w:t>” (Miriam, HCA)</w:t>
      </w:r>
    </w:p>
    <w:p w14:paraId="0D5608DC"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Miriam chose to ignore racial abuse from the patients because she rationalised their behaviour to be the result of dementia. Like many of my participants who had to endure racism, Miriam stated that she tried to digest it and let it go. This attitude towards racism and discrimination in the workplace might be due to the feeling of hopelessness that anything will ever change (Jönson, 2007</w:t>
      </w:r>
      <w:r>
        <w:rPr>
          <w:rFonts w:ascii="Times New Roman" w:hAnsi="Times New Roman"/>
          <w:szCs w:val="24"/>
        </w:rPr>
        <w:t>; Shutes and Walsh, 2012</w:t>
      </w:r>
      <w:r w:rsidRPr="00573A16">
        <w:rPr>
          <w:rFonts w:ascii="Times New Roman" w:hAnsi="Times New Roman"/>
          <w:szCs w:val="24"/>
        </w:rPr>
        <w:t>).</w:t>
      </w:r>
    </w:p>
    <w:p w14:paraId="389E8C94" w14:textId="77777777" w:rsidR="000B3E7A" w:rsidRPr="00573A16" w:rsidRDefault="000B3E7A" w:rsidP="006869A3">
      <w:pPr>
        <w:pStyle w:val="Heading3"/>
      </w:pPr>
      <w:bookmarkStart w:id="216" w:name="_Toc86417389"/>
      <w:r w:rsidRPr="00573A16">
        <w:rPr>
          <w:bCs/>
        </w:rPr>
        <w:t xml:space="preserve">9.2.11. </w:t>
      </w:r>
      <w:r w:rsidRPr="00573A16">
        <w:t>The challenges of working as a nurse caring for PLWD</w:t>
      </w:r>
      <w:bookmarkEnd w:id="216"/>
    </w:p>
    <w:p w14:paraId="3583ED7F"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My findings suggest that the six practicing nurses experienced the added constraint of working as nurses in the NHS. Comparing her experiences of working as HCA and as a nurse, Omolara stated:</w:t>
      </w:r>
    </w:p>
    <w:p w14:paraId="213AF1E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The only difference now is that as a nurse, I give the medication. You know and, and the HCAs they are more on the floor, they know what happens more with the patient, so if you as a nurse, if you don’t have a relationship with the staff you’re working with, it becomes difficult to know what is going on with the patient</w:t>
      </w:r>
      <w:r w:rsidRPr="00573A16">
        <w:rPr>
          <w:rFonts w:ascii="Times New Roman" w:hAnsi="Times New Roman"/>
          <w:szCs w:val="24"/>
        </w:rPr>
        <w:t>”.  (Omolara, RMN)</w:t>
      </w:r>
    </w:p>
    <w:p w14:paraId="6D5F4A23" w14:textId="7321B16E" w:rsidR="000B3E7A" w:rsidRDefault="000B3E7A" w:rsidP="000B3E7A">
      <w:pPr>
        <w:jc w:val="both"/>
        <w:rPr>
          <w:rFonts w:ascii="Times New Roman" w:hAnsi="Times New Roman"/>
          <w:bCs/>
          <w:szCs w:val="24"/>
        </w:rPr>
      </w:pPr>
      <w:r w:rsidRPr="00573A16">
        <w:rPr>
          <w:rFonts w:ascii="Times New Roman" w:hAnsi="Times New Roman"/>
          <w:szCs w:val="24"/>
        </w:rPr>
        <w:t xml:space="preserve">Omolara’s description of her role as a nurse and her perception of the role of an HCA in her nursing team is a view widely held by nurses (Alcorn and Topping, 2009; </w:t>
      </w:r>
      <w:bookmarkStart w:id="217" w:name="baep-author-id2"/>
      <w:bookmarkEnd w:id="217"/>
      <w:r w:rsidRPr="00573A16">
        <w:rPr>
          <w:rFonts w:ascii="Times New Roman" w:hAnsi="Times New Roman"/>
          <w:szCs w:val="24"/>
        </w:rPr>
        <w:t xml:space="preserve">Hugh, McKenna and Keeney, 2013) and not typical of Nigerian migrant nurses. However, Omolara’s description raises issues relating to how the nursing team works, where the HCAs are often delegated to see to the direct care of the patients while nurses commit themselves to the bureaucratic aspects of nursing like completing paper works (Wheatley 2006). </w:t>
      </w:r>
      <w:r w:rsidRPr="00573A16">
        <w:rPr>
          <w:rFonts w:ascii="Times New Roman" w:hAnsi="Times New Roman"/>
          <w:bCs/>
          <w:szCs w:val="24"/>
        </w:rPr>
        <w:t>James et</w:t>
      </w:r>
      <w:r w:rsidRPr="00573A16">
        <w:rPr>
          <w:rFonts w:ascii="Times New Roman" w:hAnsi="Times New Roman"/>
          <w:bCs/>
          <w:szCs w:val="24"/>
        </w:rPr>
        <w:t> </w:t>
      </w:r>
      <w:r w:rsidRPr="00573A16">
        <w:rPr>
          <w:rFonts w:ascii="Times New Roman" w:hAnsi="Times New Roman"/>
          <w:bCs/>
          <w:szCs w:val="24"/>
        </w:rPr>
        <w:t>al. (2010)</w:t>
      </w:r>
      <w:r w:rsidRPr="00573A16">
        <w:rPr>
          <w:rFonts w:ascii="Times New Roman" w:hAnsi="Times New Roman"/>
          <w:szCs w:val="24"/>
        </w:rPr>
        <w:t xml:space="preserve"> noted that this rising trend might have serious implication to patients care because the HCAs are not clinically trained to detect deterioration in patient’s care.</w:t>
      </w:r>
      <w:r w:rsidRPr="00573A16">
        <w:rPr>
          <w:rFonts w:ascii="Times New Roman" w:hAnsi="Times New Roman"/>
          <w:bCs/>
          <w:szCs w:val="24"/>
        </w:rPr>
        <w:t xml:space="preserve"> Spending more time on documentation and paper works rather than the patients have been frequently cited as some of the common challenges </w:t>
      </w:r>
      <w:r>
        <w:rPr>
          <w:rFonts w:ascii="Times New Roman" w:hAnsi="Times New Roman"/>
          <w:bCs/>
          <w:szCs w:val="24"/>
        </w:rPr>
        <w:t xml:space="preserve">that </w:t>
      </w:r>
      <w:r w:rsidRPr="00573A16">
        <w:rPr>
          <w:rFonts w:ascii="Times New Roman" w:hAnsi="Times New Roman"/>
          <w:bCs/>
          <w:szCs w:val="24"/>
        </w:rPr>
        <w:t>nurses face in the UK (</w:t>
      </w:r>
      <w:r w:rsidRPr="00573A16">
        <w:rPr>
          <w:rFonts w:ascii="Times New Roman" w:hAnsi="Times New Roman"/>
          <w:szCs w:val="24"/>
        </w:rPr>
        <w:t xml:space="preserve">Albaugh, 2003; Sellgren, Ekvall and Tomson, 2008; Duffield </w:t>
      </w:r>
      <w:r w:rsidRPr="009353F6">
        <w:rPr>
          <w:rFonts w:ascii="Times New Roman" w:hAnsi="Times New Roman"/>
          <w:i/>
          <w:iCs/>
          <w:szCs w:val="24"/>
        </w:rPr>
        <w:t>et al.</w:t>
      </w:r>
      <w:r w:rsidRPr="00573A16">
        <w:rPr>
          <w:rFonts w:ascii="Times New Roman" w:hAnsi="Times New Roman"/>
          <w:szCs w:val="24"/>
        </w:rPr>
        <w:t>, 2014</w:t>
      </w:r>
      <w:r w:rsidRPr="00573A16">
        <w:rPr>
          <w:rFonts w:ascii="Times New Roman" w:hAnsi="Times New Roman"/>
          <w:bCs/>
          <w:szCs w:val="24"/>
        </w:rPr>
        <w:t>).</w:t>
      </w:r>
    </w:p>
    <w:p w14:paraId="6EA0B8E7" w14:textId="26E25E25" w:rsidR="006869A3" w:rsidRDefault="006869A3" w:rsidP="000B3E7A">
      <w:pPr>
        <w:jc w:val="both"/>
        <w:rPr>
          <w:rFonts w:ascii="Times New Roman" w:hAnsi="Times New Roman"/>
          <w:bCs/>
          <w:szCs w:val="24"/>
        </w:rPr>
      </w:pPr>
    </w:p>
    <w:p w14:paraId="55427E64" w14:textId="77777777" w:rsidR="006869A3" w:rsidRPr="00573A16" w:rsidRDefault="006869A3" w:rsidP="000B3E7A">
      <w:pPr>
        <w:jc w:val="both"/>
        <w:rPr>
          <w:rFonts w:ascii="Times New Roman" w:hAnsi="Times New Roman"/>
          <w:szCs w:val="24"/>
        </w:rPr>
      </w:pPr>
    </w:p>
    <w:p w14:paraId="7BAC2064" w14:textId="3F40A5D0" w:rsidR="000B3E7A" w:rsidRPr="00573A16" w:rsidRDefault="000B3E7A" w:rsidP="006869A3">
      <w:pPr>
        <w:pStyle w:val="Heading3"/>
      </w:pPr>
      <w:bookmarkStart w:id="218" w:name="_Toc86417390"/>
      <w:r w:rsidRPr="00573A16">
        <w:lastRenderedPageBreak/>
        <w:t>9.</w:t>
      </w:r>
      <w:r w:rsidR="00BE15C9">
        <w:t>2</w:t>
      </w:r>
      <w:r w:rsidRPr="00573A16">
        <w:t>.12. Comparing paid and unpaid caregiving experiences</w:t>
      </w:r>
      <w:bookmarkEnd w:id="218"/>
    </w:p>
    <w:p w14:paraId="156389F3"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Although only some of my participants (n=8) had cared for relatives in Nigeria before becoming care workers in the UK, their experiences were similar and shared. One notable point made by Morgan and Oscar was that they found their previous unpaid caregiving roles (as family carers in Nigeria) less challenging when compared to the challenges they face as paid care workers.  For example, Morgan noted that caring for his dad was less challenging because he had a relationship with the care recipient as opposed to caring for someone, ‘who do not know you from Adam’. Oscar, also echoed this point stating:</w:t>
      </w:r>
    </w:p>
    <w:p w14:paraId="26AFFF3A"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Yea, it wasn’t really challenging per se because it’s just my granddad and again his, someone am already use to</w:t>
      </w:r>
      <w:r w:rsidRPr="00573A16">
        <w:rPr>
          <w:rFonts w:ascii="Times New Roman" w:hAnsi="Times New Roman"/>
          <w:szCs w:val="24"/>
        </w:rPr>
        <w:t xml:space="preserve">…. </w:t>
      </w:r>
      <w:r w:rsidRPr="00573A16">
        <w:rPr>
          <w:rFonts w:ascii="Times New Roman" w:hAnsi="Times New Roman"/>
          <w:i/>
          <w:szCs w:val="24"/>
        </w:rPr>
        <w:t>You understand he is someone I’m already…</w:t>
      </w:r>
      <w:r w:rsidRPr="00573A16">
        <w:rPr>
          <w:rFonts w:ascii="Times New Roman" w:hAnsi="Times New Roman"/>
          <w:szCs w:val="24"/>
        </w:rPr>
        <w:t>” (Oscar, HCA)</w:t>
      </w:r>
    </w:p>
    <w:p w14:paraId="48DF26A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This finding contrasts with the notion that unpaid carers always find caring for PLWD challenging (Greenwood </w:t>
      </w:r>
      <w:r w:rsidRPr="009353F6">
        <w:rPr>
          <w:rFonts w:ascii="Times New Roman" w:hAnsi="Times New Roman"/>
          <w:i/>
          <w:iCs/>
          <w:szCs w:val="24"/>
        </w:rPr>
        <w:t>et al.</w:t>
      </w:r>
      <w:r w:rsidRPr="00573A16">
        <w:rPr>
          <w:rFonts w:ascii="Times New Roman" w:hAnsi="Times New Roman"/>
          <w:szCs w:val="24"/>
        </w:rPr>
        <w:t>, 2019), indeed Morgan and Oscar suggested that it was the exact opposite.</w:t>
      </w:r>
    </w:p>
    <w:p w14:paraId="33DA41D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Oscar did not find caring for his grandfather challenging because of the quality of relationship and love he had for him. Morgan also shared a similar experience stating that care workers in care homes for PLWD, may find it more challenging because they do not have any filial relationship with their patients. It is possible that they considered caring for their relatives a way to show reciprocity. For instance, Morgan, stated that care workers are like stranger who are trying to help people they do not know. Although it has been widely speculated that unpaid carers suffer more because they provide round-the-clock care to their relatives, Morgan and Oscar who have lived in both worlds considered working as a care worker to be more challenging because nurses and HCAs had no filial relationship with the PLWD. However, although it was not discussed by the participants, it is also notable that most PLWD only go into institutional care when they are in the advanced stage of their illness and clearly this brings additional challenges to care work (Toot </w:t>
      </w:r>
      <w:r w:rsidRPr="009353F6">
        <w:rPr>
          <w:rFonts w:ascii="Times New Roman" w:hAnsi="Times New Roman"/>
          <w:i/>
          <w:iCs/>
          <w:szCs w:val="24"/>
        </w:rPr>
        <w:t>et al.</w:t>
      </w:r>
      <w:r w:rsidRPr="00573A16">
        <w:rPr>
          <w:rFonts w:ascii="Times New Roman" w:hAnsi="Times New Roman"/>
          <w:szCs w:val="24"/>
        </w:rPr>
        <w:t xml:space="preserve">, 2017; Harrison </w:t>
      </w:r>
      <w:r w:rsidRPr="009353F6">
        <w:rPr>
          <w:rFonts w:ascii="Times New Roman" w:hAnsi="Times New Roman"/>
          <w:i/>
          <w:iCs/>
          <w:szCs w:val="24"/>
        </w:rPr>
        <w:t>et al.</w:t>
      </w:r>
      <w:r w:rsidRPr="00573A16">
        <w:rPr>
          <w:rFonts w:ascii="Times New Roman" w:hAnsi="Times New Roman"/>
          <w:szCs w:val="24"/>
        </w:rPr>
        <w:t>, 2017).</w:t>
      </w:r>
    </w:p>
    <w:p w14:paraId="571D7E6B" w14:textId="77777777" w:rsidR="000B3E7A" w:rsidRPr="00573A16" w:rsidRDefault="000B3E7A" w:rsidP="006869A3">
      <w:pPr>
        <w:pStyle w:val="Heading2"/>
      </w:pPr>
      <w:bookmarkStart w:id="219" w:name="_Toc86417391"/>
      <w:r w:rsidRPr="00573A16">
        <w:lastRenderedPageBreak/>
        <w:t>9.3. Coping with the challenges of caring for PLWD</w:t>
      </w:r>
      <w:bookmarkEnd w:id="219"/>
    </w:p>
    <w:p w14:paraId="2187C57C" w14:textId="77777777" w:rsidR="000B3E7A" w:rsidRPr="00573A16" w:rsidRDefault="000B3E7A" w:rsidP="006869A3">
      <w:pPr>
        <w:pStyle w:val="Heading3"/>
      </w:pPr>
      <w:bookmarkStart w:id="220" w:name="_Toc86417392"/>
      <w:r w:rsidRPr="00573A16">
        <w:t>9.3.1. Introduction</w:t>
      </w:r>
      <w:bookmarkEnd w:id="220"/>
    </w:p>
    <w:p w14:paraId="70AFEE20"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In the following section, I present the findings on how my participants coped with the challenges they identified, and the different coping strategies (and sometimes multiple strategies) employed.</w:t>
      </w:r>
    </w:p>
    <w:p w14:paraId="284F37CA" w14:textId="77777777" w:rsidR="000B3E7A" w:rsidRPr="00573A16" w:rsidRDefault="000B3E7A" w:rsidP="006869A3">
      <w:pPr>
        <w:pStyle w:val="Heading3"/>
      </w:pPr>
      <w:bookmarkStart w:id="221" w:name="_Toc86417393"/>
      <w:r w:rsidRPr="00573A16">
        <w:t>9.3.2. Types of coping strategies identified</w:t>
      </w:r>
      <w:bookmarkEnd w:id="221"/>
    </w:p>
    <w:p w14:paraId="021C051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Coping in this context can be described as what the care worker does to adapt or adjust to a situation of stress (Cooper </w:t>
      </w:r>
      <w:r w:rsidRPr="009353F6">
        <w:rPr>
          <w:rFonts w:ascii="Times New Roman" w:hAnsi="Times New Roman"/>
          <w:i/>
          <w:iCs/>
          <w:szCs w:val="24"/>
        </w:rPr>
        <w:t>et al.</w:t>
      </w:r>
      <w:r w:rsidRPr="00573A16">
        <w:rPr>
          <w:rFonts w:ascii="Times New Roman" w:hAnsi="Times New Roman"/>
          <w:szCs w:val="24"/>
        </w:rPr>
        <w:t xml:space="preserve">, 2008). This entails a care worker responding to caregiving stress by allocating cognitive and behavioural mechanism they have within them in response to internal and/or external demands placed on them, which currently surpasses their normal capacity to respond (Folkman and Lazarus, 1980; Endler and Parker, 1990; Austenfeld and Stanton, 2004). However, for this study, the coping strategies employed by my participants may be grouped under two broad categories (Cooper </w:t>
      </w:r>
      <w:r w:rsidRPr="009353F6">
        <w:rPr>
          <w:rFonts w:ascii="Times New Roman" w:hAnsi="Times New Roman"/>
          <w:i/>
          <w:iCs/>
          <w:szCs w:val="24"/>
        </w:rPr>
        <w:t>et al.</w:t>
      </w:r>
      <w:r w:rsidRPr="00573A16">
        <w:rPr>
          <w:rFonts w:ascii="Times New Roman" w:hAnsi="Times New Roman"/>
          <w:szCs w:val="24"/>
        </w:rPr>
        <w:t>, 2008), namely</w:t>
      </w:r>
      <w:r>
        <w:rPr>
          <w:rFonts w:ascii="Times New Roman" w:hAnsi="Times New Roman"/>
          <w:szCs w:val="24"/>
        </w:rPr>
        <w:t>:</w:t>
      </w:r>
      <w:r w:rsidRPr="00573A16">
        <w:rPr>
          <w:rFonts w:ascii="Times New Roman" w:hAnsi="Times New Roman"/>
          <w:szCs w:val="24"/>
        </w:rPr>
        <w:t xml:space="preserve"> problem-focused coping (n=13), emotion-focused coping (n=9) and both (n=2). A few of the participants (e.g.</w:t>
      </w:r>
      <w:r>
        <w:rPr>
          <w:rFonts w:ascii="Times New Roman" w:hAnsi="Times New Roman"/>
          <w:szCs w:val="24"/>
        </w:rPr>
        <w:t>,</w:t>
      </w:r>
      <w:r w:rsidRPr="00573A16">
        <w:rPr>
          <w:rFonts w:ascii="Times New Roman" w:hAnsi="Times New Roman"/>
          <w:szCs w:val="24"/>
        </w:rPr>
        <w:t xml:space="preserve"> Jeff) also mentioned what could be described as dysfunctional or avoidance coping (non-coping) but they did not express it as their sole coping strategy.</w:t>
      </w:r>
    </w:p>
    <w:p w14:paraId="07FC32DA"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The next section highlights the strategies that the care</w:t>
      </w:r>
      <w:r>
        <w:rPr>
          <w:rFonts w:ascii="Times New Roman" w:hAnsi="Times New Roman"/>
          <w:szCs w:val="24"/>
        </w:rPr>
        <w:t xml:space="preserve"> work</w:t>
      </w:r>
      <w:r w:rsidRPr="00573A16">
        <w:rPr>
          <w:rFonts w:ascii="Times New Roman" w:hAnsi="Times New Roman"/>
          <w:szCs w:val="24"/>
        </w:rPr>
        <w:t>ers used to manage work stress.</w:t>
      </w:r>
    </w:p>
    <w:p w14:paraId="71379376" w14:textId="77777777" w:rsidR="000B3E7A" w:rsidRPr="00573A16" w:rsidRDefault="000B3E7A" w:rsidP="006869A3">
      <w:pPr>
        <w:pStyle w:val="Heading3"/>
      </w:pPr>
      <w:bookmarkStart w:id="222" w:name="_Toc86417394"/>
      <w:r w:rsidRPr="00573A16">
        <w:t>9.3.3. Problem-focused strategies</w:t>
      </w:r>
      <w:bookmarkEnd w:id="222"/>
    </w:p>
    <w:p w14:paraId="7C210486" w14:textId="77777777" w:rsidR="000B3E7A" w:rsidRPr="00573A16" w:rsidRDefault="000B3E7A" w:rsidP="000B3E7A">
      <w:pPr>
        <w:jc w:val="both"/>
        <w:rPr>
          <w:rFonts w:ascii="Times New Roman" w:hAnsi="Times New Roman"/>
          <w:b/>
          <w:szCs w:val="24"/>
        </w:rPr>
      </w:pPr>
      <w:r w:rsidRPr="00573A16">
        <w:rPr>
          <w:rFonts w:ascii="Times New Roman" w:hAnsi="Times New Roman"/>
          <w:szCs w:val="24"/>
        </w:rPr>
        <w:t>Most of my participants (n=13) used problem or task-focused coping strategies by undertaking an action which directly removes, or reduces their caregiving stress (Austenfield and Stanton, 2004) and the strategies as discussed below.</w:t>
      </w:r>
    </w:p>
    <w:p w14:paraId="19B7848A" w14:textId="77777777" w:rsidR="000B3E7A" w:rsidRPr="00573A16" w:rsidRDefault="000B3E7A" w:rsidP="006869A3">
      <w:pPr>
        <w:pStyle w:val="Heading5"/>
        <w:rPr>
          <w:b/>
        </w:rPr>
      </w:pPr>
      <w:r w:rsidRPr="00573A16">
        <w:rPr>
          <w:b/>
        </w:rPr>
        <w:t xml:space="preserve">9.3.3.1. </w:t>
      </w:r>
      <w:r w:rsidRPr="00573A16">
        <w:t>Knowing the patients</w:t>
      </w:r>
    </w:p>
    <w:p w14:paraId="30645F5A"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Instead of focusing on the physical and behavioural challenges posed by the care recipients on the ward, Ademola (an RMN) chose to address what he perceived to be </w:t>
      </w:r>
      <w:r w:rsidRPr="00573A16">
        <w:rPr>
          <w:rFonts w:ascii="Times New Roman" w:hAnsi="Times New Roman"/>
          <w:szCs w:val="24"/>
        </w:rPr>
        <w:lastRenderedPageBreak/>
        <w:t>the source of such behaviours. He acknowledged the importance of knowing the patients by developing a relationship with them, so he could deal with some of the physical/behavioural challenges they posed on the ward. Ademola noted that he can better respond to their needs because he tries to understand his patients. This has helped him avoid chaos that could arise on the ward as a result of having to deal with restless patients.</w:t>
      </w:r>
    </w:p>
    <w:p w14:paraId="15AAC28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 once you know the patient …. there is no amount of strains that they can put on you, because as I have said, there is a policy and procedure… you have your medication as backup, … further therapy … one to one … a lot of things […..]</w:t>
      </w:r>
      <w:r w:rsidRPr="00573A16">
        <w:rPr>
          <w:rFonts w:ascii="Times New Roman" w:hAnsi="Times New Roman"/>
          <w:szCs w:val="24"/>
        </w:rPr>
        <w:t>” (Ademola, RMN)</w:t>
      </w:r>
    </w:p>
    <w:p w14:paraId="52F5B625"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lang w:val="en"/>
        </w:rPr>
        <w:t>Ademola spoke in his professional capacity as a nurse and mentioned different measures he takes in advance to guide against physical aggression and other behavioural challenges on the ward and this includes knowing what works for the patient. Although, Ademola’s response might have been different if he had been working in the capacity of an HCA because the additional training he received as a qualified nurse enabled him to consider alternative behaviour management strategies. In comparison to taking rest breaks, a commonly used strategy by both HCAs and nurses, most nurses like Ademola tend to take a professional perspective to coping with caring for his care recipients. For instance, Ademola re-emphasized the importance of knowing the patient to understand them and to be able to respond appropriately. He noted:</w:t>
      </w:r>
    </w:p>
    <w:p w14:paraId="37598202"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rPr>
        <w:t>“</w:t>
      </w:r>
      <w:r w:rsidRPr="00573A16">
        <w:rPr>
          <w:rFonts w:ascii="Times New Roman" w:hAnsi="Times New Roman"/>
          <w:i/>
          <w:szCs w:val="24"/>
        </w:rPr>
        <w:t>Because once you know the patient, you will know how to manage the patient, you will get yourself known, familiar with the care plan, familiar with the risk that the patient can possess, you know, with that, that is easy for you to manage.</w:t>
      </w:r>
      <w:r w:rsidRPr="00573A16">
        <w:rPr>
          <w:rFonts w:ascii="Times New Roman" w:hAnsi="Times New Roman"/>
          <w:szCs w:val="24"/>
        </w:rPr>
        <w:t>” (Ademola, RMN)</w:t>
      </w:r>
    </w:p>
    <w:p w14:paraId="7FDD5506"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lang w:val="en"/>
        </w:rPr>
        <w:t xml:space="preserve">Similarities can be drawn between Ademola’s approach to getting to know the care recipient as a strategy to cope with challenges of caregiving and Morgan’s idea of why his experience of doing unpaid caregiving was not particularly challenging (discussed in </w:t>
      </w:r>
      <w:r>
        <w:rPr>
          <w:rFonts w:ascii="Times New Roman" w:hAnsi="Times New Roman"/>
          <w:szCs w:val="24"/>
          <w:lang w:val="en"/>
        </w:rPr>
        <w:t xml:space="preserve">section </w:t>
      </w:r>
      <w:r w:rsidRPr="00573A16">
        <w:rPr>
          <w:rFonts w:ascii="Times New Roman" w:hAnsi="Times New Roman"/>
          <w:szCs w:val="24"/>
          <w:lang w:val="en"/>
        </w:rPr>
        <w:t xml:space="preserve">9.2.12). These findings are supported by previous studies, for example, </w:t>
      </w:r>
      <w:r w:rsidRPr="00573A16">
        <w:rPr>
          <w:rFonts w:ascii="Times New Roman" w:hAnsi="Times New Roman"/>
          <w:szCs w:val="24"/>
        </w:rPr>
        <w:t xml:space="preserve">Ostaszkiewicz </w:t>
      </w:r>
      <w:r w:rsidRPr="009353F6">
        <w:rPr>
          <w:rFonts w:ascii="Times New Roman" w:hAnsi="Times New Roman"/>
          <w:i/>
          <w:iCs/>
          <w:szCs w:val="24"/>
        </w:rPr>
        <w:t>et al.</w:t>
      </w:r>
      <w:r w:rsidRPr="00573A16">
        <w:rPr>
          <w:rFonts w:ascii="Times New Roman" w:hAnsi="Times New Roman"/>
          <w:szCs w:val="24"/>
        </w:rPr>
        <w:t xml:space="preserve"> (2015) observed that nurses managed physical and behavioural </w:t>
      </w:r>
      <w:r w:rsidRPr="00573A16">
        <w:rPr>
          <w:rFonts w:ascii="Times New Roman" w:hAnsi="Times New Roman"/>
          <w:szCs w:val="24"/>
        </w:rPr>
        <w:lastRenderedPageBreak/>
        <w:t>challenges from clients through a range of strategies, including understanding individual care recipients.</w:t>
      </w:r>
      <w:r w:rsidRPr="00573A16">
        <w:rPr>
          <w:rFonts w:ascii="Times New Roman" w:hAnsi="Times New Roman"/>
          <w:szCs w:val="24"/>
          <w:lang w:val="en"/>
        </w:rPr>
        <w:t xml:space="preserve"> Moreover, </w:t>
      </w:r>
      <w:r w:rsidRPr="00573A16">
        <w:rPr>
          <w:rFonts w:ascii="Times New Roman" w:hAnsi="Times New Roman"/>
          <w:szCs w:val="24"/>
        </w:rPr>
        <w:t>Cohen-Mansfield</w:t>
      </w:r>
      <w:r w:rsidRPr="00573A16">
        <w:rPr>
          <w:rFonts w:ascii="Times New Roman" w:hAnsi="Times New Roman"/>
          <w:szCs w:val="24"/>
          <w:lang w:val="en"/>
        </w:rPr>
        <w:t xml:space="preserve"> (2000) framework for managing challenging behaviour also provides an explanation for understanding care recipient’s presentation from their care plan to better manage their care needs and cope with the challenges of their behaviours. </w:t>
      </w:r>
    </w:p>
    <w:p w14:paraId="6913C043"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lang w:val="en"/>
        </w:rPr>
        <w:t xml:space="preserve">The Cohen-Mansfield (2000) </w:t>
      </w:r>
      <w:r w:rsidRPr="00573A16">
        <w:rPr>
          <w:rFonts w:ascii="Times New Roman" w:hAnsi="Times New Roman"/>
          <w:szCs w:val="24"/>
        </w:rPr>
        <w:t>behavioural/learning model theorizes that challenges manifested by care recipients can be due to unmet care needs and when these are addressed, the challenges are managed. It therefore follows that care workers who understand and anticipate what these unmet care needs are will be prepared to deal with them. Although Ademola used the strategy of knowing the patient as a form of problem-focused coping strategy, he and the other participants also used other coping strategies, and these are highlighted in the next sections.</w:t>
      </w:r>
    </w:p>
    <w:p w14:paraId="35C3B88F" w14:textId="77777777" w:rsidR="000B3E7A" w:rsidRPr="00573A16" w:rsidRDefault="000B3E7A" w:rsidP="006869A3">
      <w:pPr>
        <w:pStyle w:val="Heading5"/>
        <w:rPr>
          <w:b/>
        </w:rPr>
      </w:pPr>
      <w:r w:rsidRPr="00573A16">
        <w:rPr>
          <w:b/>
        </w:rPr>
        <w:t xml:space="preserve">9.3.3.2. </w:t>
      </w:r>
      <w:r w:rsidRPr="00573A16">
        <w:t>Rest and recreation</w:t>
      </w:r>
    </w:p>
    <w:p w14:paraId="308C2735"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Another important coping strategy used by my participants was to take rest/break. Morgan described how he handles a stressful shift whilst on the ward, stating that:</w:t>
      </w:r>
    </w:p>
    <w:p w14:paraId="0BC8ED4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 “</w:t>
      </w:r>
      <w:r w:rsidRPr="00573A16">
        <w:rPr>
          <w:rFonts w:ascii="Times New Roman" w:hAnsi="Times New Roman"/>
          <w:i/>
          <w:szCs w:val="24"/>
        </w:rPr>
        <w:t>….</w:t>
      </w:r>
      <w:r>
        <w:rPr>
          <w:rFonts w:ascii="Times New Roman" w:hAnsi="Times New Roman"/>
          <w:i/>
          <w:szCs w:val="24"/>
        </w:rPr>
        <w:t xml:space="preserve"> </w:t>
      </w:r>
      <w:r w:rsidRPr="00573A16">
        <w:rPr>
          <w:rFonts w:ascii="Times New Roman" w:hAnsi="Times New Roman"/>
          <w:i/>
          <w:szCs w:val="24"/>
        </w:rPr>
        <w:t xml:space="preserve">the way you cope at work …. is to take a break, you can go out because sometimes it can be very stuffy within the setting, you go outside to get fresh air… deep breath in and out” </w:t>
      </w:r>
      <w:r w:rsidRPr="00573A16">
        <w:rPr>
          <w:rFonts w:ascii="Times New Roman" w:hAnsi="Times New Roman"/>
          <w:szCs w:val="24"/>
        </w:rPr>
        <w:t>(Morgan, HCA)</w:t>
      </w:r>
    </w:p>
    <w:p w14:paraId="364297A7"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As discussed earlier, the physical demand of caring for PLWD can take a toll on care workers (Miyamoto, Tachimori and Ito, 2010). Morgan’s reflection of how he coped with the demand of his job by taking time to rest and take fresh air before returning to work highlights the place of rest in the workplace. Rest is vital and the adverse effect of staff not having enough rest at work and off work can be damaging to their health and wellbeing (Dall’Ora </w:t>
      </w:r>
      <w:r w:rsidRPr="009353F6">
        <w:rPr>
          <w:rFonts w:ascii="Times New Roman" w:hAnsi="Times New Roman"/>
          <w:i/>
          <w:iCs/>
          <w:szCs w:val="24"/>
        </w:rPr>
        <w:t>et al.</w:t>
      </w:r>
      <w:r w:rsidRPr="00573A16">
        <w:rPr>
          <w:rFonts w:ascii="Times New Roman" w:hAnsi="Times New Roman"/>
          <w:szCs w:val="24"/>
        </w:rPr>
        <w:t>, 2018).</w:t>
      </w:r>
    </w:p>
    <w:p w14:paraId="33C0AE9F"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lang w:val="en"/>
        </w:rPr>
        <w:t>However, the nature of the workplace might present with constraints that makes it difficult for staff to take rest. For instance, Morgan admitted to not being able to rest at work because certain situations do not permit, commenting:</w:t>
      </w:r>
    </w:p>
    <w:p w14:paraId="01F7D226"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w:t>
      </w:r>
      <w:r w:rsidRPr="00573A16">
        <w:rPr>
          <w:rFonts w:ascii="Times New Roman" w:hAnsi="Times New Roman"/>
          <w:i/>
          <w:szCs w:val="24"/>
        </w:rPr>
        <w:t>I will take some rest [if I were home], in this case [at work] you can’t rest until you finish your shift, you just endure until you finish your shift. So, when you get home,</w:t>
      </w:r>
      <w:r>
        <w:rPr>
          <w:rFonts w:ascii="Times New Roman" w:hAnsi="Times New Roman"/>
          <w:i/>
          <w:szCs w:val="24"/>
        </w:rPr>
        <w:t xml:space="preserve"> </w:t>
      </w:r>
      <w:r w:rsidRPr="00573A16">
        <w:rPr>
          <w:rFonts w:ascii="Times New Roman" w:hAnsi="Times New Roman"/>
          <w:i/>
          <w:szCs w:val="24"/>
        </w:rPr>
        <w:t>… how you feel within you will determine if you are going back to work the next day or not</w:t>
      </w:r>
      <w:r w:rsidRPr="00573A16">
        <w:rPr>
          <w:rFonts w:ascii="Times New Roman" w:hAnsi="Times New Roman"/>
          <w:szCs w:val="24"/>
        </w:rPr>
        <w:t>” (Morgan, HCA)</w:t>
      </w:r>
    </w:p>
    <w:p w14:paraId="1B459AC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Taking rest at work can be met with practical constraints such as not being able</w:t>
      </w:r>
      <w:r>
        <w:rPr>
          <w:rFonts w:ascii="Times New Roman" w:hAnsi="Times New Roman"/>
          <w:szCs w:val="24"/>
        </w:rPr>
        <w:t>,</w:t>
      </w:r>
      <w:r w:rsidRPr="00573A16">
        <w:rPr>
          <w:rFonts w:ascii="Times New Roman" w:hAnsi="Times New Roman"/>
          <w:szCs w:val="24"/>
        </w:rPr>
        <w:t xml:space="preserve"> to do so when it is most needed. This might be due to the busy activity on the ward (Turner </w:t>
      </w:r>
      <w:r w:rsidRPr="009353F6">
        <w:rPr>
          <w:rFonts w:ascii="Times New Roman" w:hAnsi="Times New Roman"/>
          <w:i/>
          <w:iCs/>
          <w:szCs w:val="24"/>
        </w:rPr>
        <w:t>et al.</w:t>
      </w:r>
      <w:r w:rsidRPr="00573A16">
        <w:rPr>
          <w:rFonts w:ascii="Times New Roman" w:hAnsi="Times New Roman"/>
          <w:szCs w:val="24"/>
        </w:rPr>
        <w:t xml:space="preserve">, 2017) and my participant would often have to ‘endure’ not taking a break. It is noteworthy that Morgan specifically used the words ‘just endure’ when referring to being unable to take a rest/break. At one level, this could be something he had to accept, however, on the other hand, it might be something he feels he had to suffer because he had no choice. Having to cope with stress by postponing much needed rest can have dire consequences on the care worker (Johnson </w:t>
      </w:r>
      <w:r w:rsidRPr="009353F6">
        <w:rPr>
          <w:rFonts w:ascii="Times New Roman" w:hAnsi="Times New Roman"/>
          <w:i/>
          <w:iCs/>
          <w:szCs w:val="24"/>
        </w:rPr>
        <w:t>et al.</w:t>
      </w:r>
      <w:r w:rsidRPr="00573A16">
        <w:rPr>
          <w:rFonts w:ascii="Times New Roman" w:hAnsi="Times New Roman"/>
          <w:szCs w:val="24"/>
        </w:rPr>
        <w:t>, 2018). As Morgan rightly noted, it could result in sick leave or absenteeism. Thus, Morgan used physical activity to cope with the stress he experienced in his job. He observed that:</w:t>
      </w:r>
    </w:p>
    <w:p w14:paraId="584E9244" w14:textId="77777777" w:rsidR="000B3E7A" w:rsidRPr="00573A16" w:rsidRDefault="000B3E7A" w:rsidP="000B3E7A">
      <w:pPr>
        <w:jc w:val="both"/>
        <w:rPr>
          <w:rFonts w:ascii="Times New Roman" w:hAnsi="Times New Roman"/>
          <w:szCs w:val="24"/>
          <w:lang w:val="en"/>
        </w:rPr>
      </w:pPr>
      <w:r w:rsidRPr="00573A16">
        <w:rPr>
          <w:rFonts w:ascii="Times New Roman" w:hAnsi="Times New Roman"/>
          <w:i/>
          <w:szCs w:val="24"/>
        </w:rPr>
        <w:t>“[….] you know, at home, [it] is to sometimes exercise, that is, most of the times [I] go jogging in the park, come back have a good sleep, yea, sleeping is a very good eh, coping mechanism…. Yea, engaging in physical activity and having a good sleep definitely refreshes you</w:t>
      </w:r>
      <w:r w:rsidRPr="00573A16">
        <w:rPr>
          <w:rFonts w:ascii="Times New Roman" w:hAnsi="Times New Roman"/>
          <w:szCs w:val="24"/>
        </w:rPr>
        <w:t>” (Morgan, HCA)</w:t>
      </w:r>
    </w:p>
    <w:p w14:paraId="594E155D" w14:textId="72F7B112" w:rsidR="000B3E7A" w:rsidRDefault="000B3E7A" w:rsidP="000B3E7A">
      <w:pPr>
        <w:jc w:val="both"/>
        <w:rPr>
          <w:rFonts w:ascii="Times New Roman" w:hAnsi="Times New Roman"/>
          <w:szCs w:val="24"/>
        </w:rPr>
      </w:pPr>
      <w:r w:rsidRPr="00573A16">
        <w:rPr>
          <w:rFonts w:ascii="Times New Roman" w:hAnsi="Times New Roman"/>
          <w:szCs w:val="24"/>
        </w:rPr>
        <w:t>It is interesting to note that Morgan’s apparent use of physical activity to cope with the stress of caring for PLWD might be unique to him. This is because although other participants also cited taking rest as their main strategy to cope with the challenges they faced, Morgan was the only participant who specifically stated that he did not need to register in a gym because caring for PLWD was like going to one. This suggests that care workers might rely on coping strategies they find helpful. In addition to the problem-focused strategies, my participants also utilised emotion-focused coping and this is discussed next.</w:t>
      </w:r>
    </w:p>
    <w:p w14:paraId="2350EB37" w14:textId="725C5134" w:rsidR="006869A3" w:rsidRDefault="006869A3" w:rsidP="000B3E7A">
      <w:pPr>
        <w:jc w:val="both"/>
        <w:rPr>
          <w:rFonts w:ascii="Times New Roman" w:hAnsi="Times New Roman"/>
          <w:szCs w:val="24"/>
        </w:rPr>
      </w:pPr>
    </w:p>
    <w:p w14:paraId="5AA428E2" w14:textId="77777777" w:rsidR="006869A3" w:rsidRPr="00573A16" w:rsidRDefault="006869A3" w:rsidP="000B3E7A">
      <w:pPr>
        <w:jc w:val="both"/>
        <w:rPr>
          <w:rFonts w:ascii="Times New Roman" w:hAnsi="Times New Roman"/>
          <w:szCs w:val="24"/>
        </w:rPr>
      </w:pPr>
    </w:p>
    <w:p w14:paraId="239688BF" w14:textId="77777777" w:rsidR="000B3E7A" w:rsidRPr="00573A16" w:rsidRDefault="000B3E7A" w:rsidP="006869A3">
      <w:pPr>
        <w:pStyle w:val="Heading3"/>
      </w:pPr>
      <w:bookmarkStart w:id="223" w:name="_Toc86417395"/>
      <w:r w:rsidRPr="00573A16">
        <w:lastRenderedPageBreak/>
        <w:t>9.3.4. Emotion-focused coping</w:t>
      </w:r>
      <w:bookmarkEnd w:id="223"/>
    </w:p>
    <w:p w14:paraId="6108D9CE"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Many of the care workers (n=9) used emotion-focused coping in which they sought to adjust their emotional responses to cope with the caregiving stress. This was often applied in situations where the stressor (source of stress) was beyond their immediate control. They employed emotion-focused coping using emotional expressions to reflect positively or negatively on the source of stress (McWilliams, Cox and Enns, 2003). An important response to stress is the use of strategies that can be described as avoidance coping, where the care</w:t>
      </w:r>
      <w:r>
        <w:rPr>
          <w:rFonts w:ascii="Times New Roman" w:hAnsi="Times New Roman"/>
          <w:szCs w:val="24"/>
        </w:rPr>
        <w:t xml:space="preserve"> work</w:t>
      </w:r>
      <w:r w:rsidRPr="00573A16">
        <w:rPr>
          <w:rFonts w:ascii="Times New Roman" w:hAnsi="Times New Roman"/>
          <w:szCs w:val="24"/>
        </w:rPr>
        <w:t>ers sought to completely avoid the stress. However, this can lead to the dysfunctional consequences of a further increase in stress (McWilliams, Cox and Enns, 2003).</w:t>
      </w:r>
    </w:p>
    <w:p w14:paraId="2B98AC8C" w14:textId="77777777" w:rsidR="000B3E7A" w:rsidRPr="00573A16" w:rsidRDefault="000B3E7A" w:rsidP="006869A3">
      <w:pPr>
        <w:pStyle w:val="Heading5"/>
        <w:rPr>
          <w:b/>
        </w:rPr>
      </w:pPr>
      <w:r w:rsidRPr="00573A16">
        <w:rPr>
          <w:b/>
        </w:rPr>
        <w:t xml:space="preserve">9.3.4.1. </w:t>
      </w:r>
      <w:r w:rsidRPr="00573A16">
        <w:t>I know that the job is temporary</w:t>
      </w:r>
    </w:p>
    <w:p w14:paraId="1B20423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Jeff considered his current role as HCA to be a temporary job and stated that his main ambition is to become a nurse. He stated that it was this mind-set and ambition and the better days ahead that was keeping him going. He reflected:</w:t>
      </w:r>
    </w:p>
    <w:p w14:paraId="3F99EDA9"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Anyway, I know that the job is temporary, um, I look forward to better days whereby, maybe I will do more training and become a nurse… I may [chose] not [to] be working on dementia ward…</w:t>
      </w:r>
      <w:r w:rsidRPr="00573A16">
        <w:rPr>
          <w:rFonts w:ascii="Times New Roman" w:hAnsi="Times New Roman"/>
          <w:szCs w:val="24"/>
        </w:rPr>
        <w:t>” (Jeff, HCA)</w:t>
      </w:r>
    </w:p>
    <w:p w14:paraId="0F3F3B86"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This is an emotion-focused coping strategy because Jeff tries to take his attention from the stressful situation by reflecting that the job was only temporary which therefore strengthens his resilience to go through the periods of work stress. </w:t>
      </w:r>
    </w:p>
    <w:p w14:paraId="1E73A33D" w14:textId="6721D664" w:rsidR="006869A3" w:rsidRDefault="000B3E7A" w:rsidP="000B3E7A">
      <w:pPr>
        <w:jc w:val="both"/>
        <w:rPr>
          <w:rFonts w:ascii="Times New Roman" w:hAnsi="Times New Roman"/>
          <w:szCs w:val="24"/>
        </w:rPr>
      </w:pPr>
      <w:r w:rsidRPr="00573A16">
        <w:rPr>
          <w:rFonts w:ascii="Times New Roman" w:hAnsi="Times New Roman"/>
          <w:szCs w:val="24"/>
        </w:rPr>
        <w:t>From the perspective of their gender, it is worth noting that there was no significant difference between male and female participants in terms of their reflections of working as HCA in a temporary capacity.</w:t>
      </w:r>
    </w:p>
    <w:p w14:paraId="182AA94D" w14:textId="37ADA2D3" w:rsidR="006869A3" w:rsidRDefault="006869A3" w:rsidP="000B3E7A">
      <w:pPr>
        <w:jc w:val="both"/>
        <w:rPr>
          <w:rFonts w:ascii="Times New Roman" w:hAnsi="Times New Roman"/>
          <w:szCs w:val="24"/>
        </w:rPr>
      </w:pPr>
    </w:p>
    <w:p w14:paraId="1B4C46CE" w14:textId="5845119E" w:rsidR="006869A3" w:rsidRDefault="006869A3" w:rsidP="000B3E7A">
      <w:pPr>
        <w:jc w:val="both"/>
        <w:rPr>
          <w:rFonts w:ascii="Times New Roman" w:hAnsi="Times New Roman"/>
          <w:szCs w:val="24"/>
        </w:rPr>
      </w:pPr>
    </w:p>
    <w:p w14:paraId="6CC1D0DC" w14:textId="77777777" w:rsidR="006869A3" w:rsidRPr="00573A16" w:rsidRDefault="006869A3" w:rsidP="000B3E7A">
      <w:pPr>
        <w:jc w:val="both"/>
        <w:rPr>
          <w:rFonts w:ascii="Times New Roman" w:hAnsi="Times New Roman"/>
          <w:szCs w:val="24"/>
        </w:rPr>
      </w:pPr>
    </w:p>
    <w:p w14:paraId="7ECBD79D" w14:textId="77777777" w:rsidR="000B3E7A" w:rsidRPr="00573A16" w:rsidRDefault="000B3E7A" w:rsidP="006869A3">
      <w:pPr>
        <w:pStyle w:val="Heading5"/>
        <w:rPr>
          <w:b/>
        </w:rPr>
      </w:pPr>
      <w:r w:rsidRPr="00573A16">
        <w:rPr>
          <w:b/>
        </w:rPr>
        <w:lastRenderedPageBreak/>
        <w:t xml:space="preserve">9.3.4.2. </w:t>
      </w:r>
      <w:r w:rsidRPr="00573A16">
        <w:t>Predetermined coping</w:t>
      </w:r>
    </w:p>
    <w:p w14:paraId="6D1BADC6"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One care worker, Doris, reported having a predetermined focus, which seemed to help her face any potentially challenging situations at work. She described how she copes with doing a long day shift which often left her with headaches: </w:t>
      </w:r>
    </w:p>
    <w:p w14:paraId="59E67BFD"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Yeah, that’s like whenever am going for a long day, I just prepare myself like okay, am going there today and often times I return back having headaches because, the whole stuff to be done [….]</w:t>
      </w:r>
      <w:r w:rsidRPr="00573A16">
        <w:rPr>
          <w:rFonts w:ascii="Times New Roman" w:hAnsi="Times New Roman"/>
          <w:szCs w:val="24"/>
        </w:rPr>
        <w:t>” (Doris, HCA)</w:t>
      </w:r>
    </w:p>
    <w:p w14:paraId="7A2F8ADF"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Therefore, Doris coped with the stress of the job by preparing her mind before work and reminding herself of the different tasks she will undertake at work. She cited this resolve and her predetermined beliefs as what helps her get through every long day shift. To put it clearly, she noted:</w:t>
      </w:r>
    </w:p>
    <w:p w14:paraId="0CEF97C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I cope with it and having the mind, and already having the mind that okay, am going for a 12</w:t>
      </w:r>
      <w:r>
        <w:rPr>
          <w:rFonts w:ascii="Times New Roman" w:hAnsi="Times New Roman"/>
          <w:i/>
          <w:szCs w:val="24"/>
        </w:rPr>
        <w:t>-</w:t>
      </w:r>
      <w:r w:rsidRPr="00573A16">
        <w:rPr>
          <w:rFonts w:ascii="Times New Roman" w:hAnsi="Times New Roman"/>
          <w:i/>
          <w:szCs w:val="24"/>
        </w:rPr>
        <w:t>hours shift, after 12 hours is over, I will come back home, just having that in mind that keeps me going</w:t>
      </w:r>
      <w:r w:rsidRPr="00573A16">
        <w:rPr>
          <w:rFonts w:ascii="Times New Roman" w:hAnsi="Times New Roman"/>
          <w:szCs w:val="24"/>
        </w:rPr>
        <w:t>” (Doris, HCA)</w:t>
      </w:r>
    </w:p>
    <w:p w14:paraId="5E9E966A" w14:textId="77777777" w:rsidR="000B3E7A" w:rsidRPr="00573A16" w:rsidRDefault="000B3E7A" w:rsidP="006869A3">
      <w:pPr>
        <w:pStyle w:val="Heading5"/>
        <w:rPr>
          <w:b/>
        </w:rPr>
      </w:pPr>
      <w:r w:rsidRPr="00573A16">
        <w:rPr>
          <w:b/>
        </w:rPr>
        <w:t xml:space="preserve">9.3.4.3. </w:t>
      </w:r>
      <w:r w:rsidRPr="00573A16">
        <w:t>Once I step out of the ward, I start another life</w:t>
      </w:r>
    </w:p>
    <w:p w14:paraId="04FD5AA5"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One creative way that some care workers dealt with psychological challenges on the ward was to employ an avoidance coping style. This was candidly described in Ademola’s response as to why he never calls-in sick when he is required to work:</w:t>
      </w:r>
    </w:p>
    <w:p w14:paraId="068B2245"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But one thing I always do, the moment I stepped out of the ward, I don’t like doing, sort of carrying over. Once I step out of the ward, sign [out], that is it, I start another life. So, when I come back, then I pick it from where I stopped</w:t>
      </w:r>
      <w:r w:rsidRPr="00573A16">
        <w:rPr>
          <w:rFonts w:ascii="Times New Roman" w:hAnsi="Times New Roman"/>
          <w:szCs w:val="24"/>
        </w:rPr>
        <w:t>” (Ademola, RMN)</w:t>
      </w:r>
    </w:p>
    <w:p w14:paraId="22AE58A1"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 xml:space="preserve">The very practice of living work at work is not new (Wattis, Standing and Yerkes, 2013). Ademola acknowledged the need to have a life outside of work and maintain a work-life balance. He was able to detach himself from work and he attributed this attitude to why he has not taken time off sick. This is interesting because care provision is done in continuum such that there will always be fellow professionals who take care </w:t>
      </w:r>
      <w:r w:rsidRPr="00573A16">
        <w:rPr>
          <w:rFonts w:ascii="Times New Roman" w:hAnsi="Times New Roman"/>
          <w:szCs w:val="24"/>
        </w:rPr>
        <w:lastRenderedPageBreak/>
        <w:t xml:space="preserve">of PLWD at any given time. More importantly, it is essential that care workers maintain a work-life balance to ensure they don’t suffer harsh consequences such as fatigue and burnout (Alexander and Hegarty, </w:t>
      </w:r>
      <w:r>
        <w:rPr>
          <w:rFonts w:ascii="Times New Roman" w:hAnsi="Times New Roman"/>
          <w:szCs w:val="24"/>
        </w:rPr>
        <w:t>2000</w:t>
      </w:r>
      <w:r w:rsidRPr="00573A16">
        <w:rPr>
          <w:rFonts w:ascii="Times New Roman" w:hAnsi="Times New Roman"/>
          <w:szCs w:val="24"/>
        </w:rPr>
        <w:t xml:space="preserve">; Johnson </w:t>
      </w:r>
      <w:r w:rsidRPr="009353F6">
        <w:rPr>
          <w:rFonts w:ascii="Times New Roman" w:hAnsi="Times New Roman"/>
          <w:i/>
          <w:iCs/>
          <w:szCs w:val="24"/>
        </w:rPr>
        <w:t>et al.</w:t>
      </w:r>
      <w:r w:rsidRPr="00573A16">
        <w:rPr>
          <w:rFonts w:ascii="Times New Roman" w:hAnsi="Times New Roman"/>
          <w:szCs w:val="24"/>
        </w:rPr>
        <w:t>, 2018).</w:t>
      </w:r>
    </w:p>
    <w:p w14:paraId="158AEEBC" w14:textId="77777777" w:rsidR="000B3E7A" w:rsidRPr="00573A16" w:rsidRDefault="000B3E7A" w:rsidP="006869A3">
      <w:pPr>
        <w:pStyle w:val="Heading3"/>
      </w:pPr>
      <w:bookmarkStart w:id="224" w:name="_Toc86417396"/>
      <w:r w:rsidRPr="00573A16">
        <w:t>9.3.5. Coping in the context of culture</w:t>
      </w:r>
      <w:bookmarkEnd w:id="224"/>
    </w:p>
    <w:p w14:paraId="0DF55866" w14:textId="77777777" w:rsidR="000B3E7A" w:rsidRPr="00573A16" w:rsidRDefault="000B3E7A" w:rsidP="000B3E7A">
      <w:pPr>
        <w:jc w:val="both"/>
        <w:rPr>
          <w:rFonts w:ascii="Times New Roman" w:hAnsi="Times New Roman"/>
          <w:szCs w:val="24"/>
          <w:lang w:val="en"/>
        </w:rPr>
      </w:pPr>
      <w:r w:rsidRPr="00573A16">
        <w:rPr>
          <w:rFonts w:ascii="Times New Roman" w:hAnsi="Times New Roman"/>
          <w:szCs w:val="24"/>
          <w:lang w:val="en"/>
        </w:rPr>
        <w:t>My findings suggest that the care workers sometimes drew on their cultural beliefs and spirituality to help them cope with stressful situations. For instance, Morgan confessed to avoid showing signs of weakness or tiredness when he is at work, preferring instead to pretend to be strong, even when he is feeling weak. He stated:</w:t>
      </w:r>
    </w:p>
    <w:p w14:paraId="184CFA14"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No, when I go in my closet, in my private I do what I need to, it’s the coping mechanism… I can give a sigh of relieve, I can sleep</w:t>
      </w:r>
      <w:r w:rsidRPr="00573A16">
        <w:rPr>
          <w:rFonts w:ascii="Times New Roman" w:hAnsi="Times New Roman"/>
          <w:szCs w:val="24"/>
        </w:rPr>
        <w:t>…</w:t>
      </w:r>
      <w:r w:rsidRPr="00573A16">
        <w:rPr>
          <w:rFonts w:ascii="Times New Roman" w:hAnsi="Times New Roman"/>
          <w:i/>
          <w:szCs w:val="24"/>
        </w:rPr>
        <w:t>You know what I mean, yea I can do anything. Obviously, I can’t sleep while am at work then, when I go back home, I can sleep, even I can’t give a sigh of relieve in front of my patients</w:t>
      </w:r>
      <w:r w:rsidRPr="00573A16">
        <w:rPr>
          <w:rFonts w:ascii="Times New Roman" w:hAnsi="Times New Roman"/>
          <w:szCs w:val="24"/>
        </w:rPr>
        <w:t>” (Morgan, HCA)</w:t>
      </w:r>
    </w:p>
    <w:p w14:paraId="02FD0CFD" w14:textId="20EC1640" w:rsidR="00BE15C9" w:rsidRPr="00573A16" w:rsidRDefault="000B3E7A" w:rsidP="000B3E7A">
      <w:pPr>
        <w:jc w:val="both"/>
        <w:rPr>
          <w:rFonts w:ascii="Times New Roman" w:hAnsi="Times New Roman"/>
          <w:szCs w:val="24"/>
        </w:rPr>
      </w:pPr>
      <w:r w:rsidRPr="00573A16">
        <w:rPr>
          <w:rFonts w:ascii="Times New Roman" w:hAnsi="Times New Roman"/>
          <w:szCs w:val="24"/>
        </w:rPr>
        <w:t>Morgan attributed this coping strategy to his culture, stating that to show signs of weakness were not acceptable in his culture. This cultural perception of what is expected of him as a man influenced how he coped with the stress he faced at work. The next chapter discuss the overall influence of my participants cultural beliefs and values on their experience of caring for PLWD.</w:t>
      </w:r>
    </w:p>
    <w:p w14:paraId="349B8F91" w14:textId="77777777" w:rsidR="000B3E7A" w:rsidRPr="00573A16" w:rsidRDefault="000B3E7A" w:rsidP="006869A3">
      <w:pPr>
        <w:pStyle w:val="Heading3"/>
      </w:pPr>
      <w:bookmarkStart w:id="225" w:name="_Toc86417397"/>
      <w:r w:rsidRPr="00573A16">
        <w:t>9.3.6. Availability of support for coping</w:t>
      </w:r>
      <w:bookmarkEnd w:id="225"/>
    </w:p>
    <w:p w14:paraId="4EDF7143" w14:textId="77777777" w:rsidR="000B3E7A" w:rsidRPr="00573A16" w:rsidRDefault="000B3E7A" w:rsidP="000B3E7A">
      <w:pPr>
        <w:jc w:val="both"/>
        <w:rPr>
          <w:rFonts w:ascii="Times New Roman" w:hAnsi="Times New Roman"/>
          <w:i/>
          <w:szCs w:val="24"/>
        </w:rPr>
      </w:pPr>
      <w:r w:rsidRPr="00573A16">
        <w:rPr>
          <w:rFonts w:ascii="Times New Roman" w:hAnsi="Times New Roman"/>
          <w:szCs w:val="24"/>
        </w:rPr>
        <w:t>Although most (n=13) participants were aware of the availability of some forms of formal support with coping, none of them reported using any workplace support or other formal support group or network, instead, they relied on using personal strategies that they had developed for themselves. Indeed, some participants (n=8) were unaware of the availability of formal support to assist with coping with the demands of caregiving. One participant (Cynthia) spoke about the availability of formal support to help her cope but admitted that she has not use it. She noted:</w:t>
      </w:r>
    </w:p>
    <w:p w14:paraId="6D08EB08" w14:textId="77777777" w:rsidR="000B3E7A" w:rsidRPr="00573A16" w:rsidRDefault="000B3E7A" w:rsidP="000B3E7A">
      <w:pPr>
        <w:jc w:val="both"/>
        <w:rPr>
          <w:rFonts w:ascii="Times New Roman" w:hAnsi="Times New Roman"/>
          <w:szCs w:val="24"/>
        </w:rPr>
      </w:pPr>
      <w:r w:rsidRPr="00573A16">
        <w:rPr>
          <w:rFonts w:ascii="Times New Roman" w:hAnsi="Times New Roman"/>
          <w:szCs w:val="24"/>
        </w:rPr>
        <w:t>“</w:t>
      </w:r>
      <w:r w:rsidRPr="00573A16">
        <w:rPr>
          <w:rFonts w:ascii="Times New Roman" w:hAnsi="Times New Roman"/>
          <w:i/>
          <w:szCs w:val="24"/>
        </w:rPr>
        <w:t>Emm, yes, there is support in the NHS… but I haven’t used it myself</w:t>
      </w:r>
      <w:r w:rsidRPr="00573A16">
        <w:rPr>
          <w:rFonts w:ascii="Times New Roman" w:hAnsi="Times New Roman"/>
          <w:szCs w:val="24"/>
        </w:rPr>
        <w:t>” (Cynthia, RMN)</w:t>
      </w:r>
    </w:p>
    <w:p w14:paraId="10ACF4F6" w14:textId="40E7F770" w:rsidR="000B3E7A" w:rsidRPr="00573A16" w:rsidRDefault="000B3E7A" w:rsidP="000B3E7A">
      <w:pPr>
        <w:jc w:val="both"/>
        <w:rPr>
          <w:rFonts w:ascii="Times New Roman" w:hAnsi="Times New Roman"/>
          <w:szCs w:val="24"/>
        </w:rPr>
      </w:pPr>
      <w:r w:rsidRPr="00573A16">
        <w:rPr>
          <w:rFonts w:ascii="Times New Roman" w:hAnsi="Times New Roman"/>
          <w:szCs w:val="24"/>
        </w:rPr>
        <w:lastRenderedPageBreak/>
        <w:t>It is possible that Cynthia, like all the other participants did not use any of the formal support available because they appear to be able to cope by using their own individual coping techniques. In addition, although none of the participants specifically mentioned the use of informal support groups to cope with the challenges they faced in their role. It might be argued that they may have considered such form of support as an integral part of their everyday life and hence does not warrant a special mention. The fact that they all self-identified as practicing Christian and are part of a church community suggest that it is possible that they used it as a support system. However, they made mention of some informal ways they coped with the emotional strain caring for PLWD placed on them and this is discussed further next.</w:t>
      </w:r>
    </w:p>
    <w:p w14:paraId="563E30DF" w14:textId="77777777" w:rsidR="000B3E7A" w:rsidRPr="00573A16" w:rsidRDefault="000B3E7A" w:rsidP="006869A3">
      <w:pPr>
        <w:pStyle w:val="Heading2"/>
      </w:pPr>
      <w:bookmarkStart w:id="226" w:name="_Toc86417398"/>
      <w:r w:rsidRPr="00573A16">
        <w:t>9.4. Discussion</w:t>
      </w:r>
      <w:bookmarkEnd w:id="226"/>
    </w:p>
    <w:p w14:paraId="2AE5BAFF" w14:textId="77777777" w:rsidR="000B3E7A" w:rsidRPr="00721063" w:rsidRDefault="000B3E7A" w:rsidP="000B3E7A">
      <w:pPr>
        <w:jc w:val="both"/>
        <w:rPr>
          <w:rFonts w:ascii="Times New Roman" w:hAnsi="Times New Roman"/>
          <w:szCs w:val="24"/>
        </w:rPr>
      </w:pPr>
      <w:r w:rsidRPr="00721063">
        <w:rPr>
          <w:rFonts w:ascii="Times New Roman" w:hAnsi="Times New Roman"/>
          <w:szCs w:val="24"/>
        </w:rPr>
        <w:t>Although a further discussion of my findings in relation to the research objectives (see section 1.7) and existing literature is presented in a later chapter (see section 11.3b), here, an aspect of their experiences that I find particularly interesting are highlighted and then I relate their experience to the conceptual framework.</w:t>
      </w:r>
    </w:p>
    <w:p w14:paraId="4A439643" w14:textId="77777777" w:rsidR="000B3E7A" w:rsidRPr="00721063" w:rsidRDefault="000B3E7A" w:rsidP="000B3E7A">
      <w:pPr>
        <w:jc w:val="both"/>
        <w:rPr>
          <w:rFonts w:ascii="Times New Roman" w:hAnsi="Times New Roman"/>
          <w:szCs w:val="24"/>
        </w:rPr>
      </w:pPr>
      <w:r w:rsidRPr="00721063">
        <w:rPr>
          <w:rFonts w:ascii="Times New Roman" w:hAnsi="Times New Roman"/>
          <w:szCs w:val="24"/>
        </w:rPr>
        <w:t xml:space="preserve">Firstly, the inability/difficulty in communicating with the patients had an overarching effect on the care worker’s experiences of caring for PLWD. Although only a few of my participants specifically mentioned this as a challenge, it is evident from all my participants description of their experiences that a difficulty in communication was perhaps implicated in most of the challenges they faced with the patients. This might be because they overly relied on a patient’s verbal expression rather than their non-verbal expressions. It is understandable that this is the case. A patient’s non-verbal expressions require care workers to be patient, but the heavy workload they must complete within a limited time made communicating with PLWD of little priority (Buron, 2008, Stans </w:t>
      </w:r>
      <w:r w:rsidRPr="009353F6">
        <w:rPr>
          <w:rFonts w:ascii="Times New Roman" w:hAnsi="Times New Roman"/>
          <w:i/>
          <w:iCs/>
          <w:szCs w:val="24"/>
        </w:rPr>
        <w:t>et al.</w:t>
      </w:r>
      <w:r w:rsidRPr="00721063">
        <w:rPr>
          <w:rFonts w:ascii="Times New Roman" w:hAnsi="Times New Roman"/>
          <w:szCs w:val="24"/>
        </w:rPr>
        <w:t xml:space="preserve">, 2013). One possible consequence of this approach is that it hinders the provision of person-centred care (Twigg, 2011). This easily occurs when care workers, due to workload, engage PLWD in only brief interaction that is usually based around personal care and mostly task-oriented (Wood </w:t>
      </w:r>
      <w:r w:rsidRPr="009353F6">
        <w:rPr>
          <w:rFonts w:ascii="Times New Roman" w:hAnsi="Times New Roman"/>
          <w:i/>
          <w:iCs/>
          <w:szCs w:val="24"/>
        </w:rPr>
        <w:t>et al.</w:t>
      </w:r>
      <w:r w:rsidRPr="00721063">
        <w:rPr>
          <w:rFonts w:ascii="Times New Roman" w:hAnsi="Times New Roman"/>
          <w:szCs w:val="24"/>
        </w:rPr>
        <w:t xml:space="preserve">, 2005; Williams </w:t>
      </w:r>
      <w:r w:rsidRPr="009353F6">
        <w:rPr>
          <w:rFonts w:ascii="Times New Roman" w:hAnsi="Times New Roman"/>
          <w:i/>
          <w:iCs/>
          <w:szCs w:val="24"/>
        </w:rPr>
        <w:t>et al.</w:t>
      </w:r>
      <w:r w:rsidRPr="00721063">
        <w:rPr>
          <w:rFonts w:ascii="Times New Roman" w:hAnsi="Times New Roman"/>
          <w:szCs w:val="24"/>
        </w:rPr>
        <w:t xml:space="preserve">, 2009; Beerens </w:t>
      </w:r>
      <w:r w:rsidRPr="009353F6">
        <w:rPr>
          <w:rFonts w:ascii="Times New Roman" w:hAnsi="Times New Roman"/>
          <w:i/>
          <w:iCs/>
          <w:szCs w:val="24"/>
        </w:rPr>
        <w:t>et al.</w:t>
      </w:r>
      <w:r w:rsidRPr="00721063">
        <w:rPr>
          <w:rFonts w:ascii="Times New Roman" w:hAnsi="Times New Roman"/>
          <w:szCs w:val="24"/>
        </w:rPr>
        <w:t xml:space="preserve">, 2016), resulting in PLWD being inadvertently treated like </w:t>
      </w:r>
      <w:r w:rsidRPr="00721063">
        <w:rPr>
          <w:rFonts w:ascii="Times New Roman" w:hAnsi="Times New Roman"/>
          <w:szCs w:val="24"/>
        </w:rPr>
        <w:lastRenderedPageBreak/>
        <w:t xml:space="preserve">robots for all intent and purpose (Machiels </w:t>
      </w:r>
      <w:r w:rsidRPr="009353F6">
        <w:rPr>
          <w:rFonts w:ascii="Times New Roman" w:hAnsi="Times New Roman"/>
          <w:i/>
          <w:iCs/>
          <w:szCs w:val="24"/>
        </w:rPr>
        <w:t>et al.</w:t>
      </w:r>
      <w:r w:rsidRPr="00721063">
        <w:rPr>
          <w:rFonts w:ascii="Times New Roman" w:hAnsi="Times New Roman"/>
          <w:szCs w:val="24"/>
        </w:rPr>
        <w:t>, 2017). The wider impact of this practice is the increase in unmet needs which can contribute to an increased physical aggression and psychological behaviours on the ward.</w:t>
      </w:r>
    </w:p>
    <w:p w14:paraId="1DE86913" w14:textId="77777777" w:rsidR="000B3E7A" w:rsidRPr="00721063" w:rsidRDefault="000B3E7A" w:rsidP="000B3E7A">
      <w:pPr>
        <w:jc w:val="both"/>
        <w:rPr>
          <w:rFonts w:ascii="Times New Roman" w:hAnsi="Times New Roman"/>
          <w:szCs w:val="24"/>
        </w:rPr>
      </w:pPr>
      <w:r w:rsidRPr="00721063">
        <w:rPr>
          <w:rFonts w:ascii="Times New Roman" w:hAnsi="Times New Roman"/>
          <w:szCs w:val="24"/>
        </w:rPr>
        <w:t>Secondly, in the conceptual framework (see Figure 4.1), I noted that care workers’ experiences of caring for PLWD would depend on the challenges they face in their role and how they dealt with them. My findings however indicate that most of the challenges that they faced was from the patients and the added constraints imposed on them by organisational challenges (e.g.</w:t>
      </w:r>
      <w:r>
        <w:rPr>
          <w:rFonts w:ascii="Times New Roman" w:hAnsi="Times New Roman"/>
          <w:szCs w:val="24"/>
        </w:rPr>
        <w:t>,</w:t>
      </w:r>
      <w:r w:rsidRPr="00721063">
        <w:rPr>
          <w:rFonts w:ascii="Times New Roman" w:hAnsi="Times New Roman"/>
          <w:szCs w:val="24"/>
        </w:rPr>
        <w:t xml:space="preserve"> inadequate staffing), that was beyond their control. This is consistent with findings by (Rafferty </w:t>
      </w:r>
      <w:r w:rsidRPr="009353F6">
        <w:rPr>
          <w:rFonts w:ascii="Times New Roman" w:hAnsi="Times New Roman"/>
          <w:i/>
          <w:iCs/>
          <w:szCs w:val="24"/>
        </w:rPr>
        <w:t>et al.</w:t>
      </w:r>
      <w:r w:rsidRPr="00721063">
        <w:rPr>
          <w:rFonts w:ascii="Times New Roman" w:hAnsi="Times New Roman"/>
          <w:szCs w:val="24"/>
        </w:rPr>
        <w:t xml:space="preserve">, 2007; Øye, Jacobsen and Mekki, 2017; Gwernan‐Jones </w:t>
      </w:r>
      <w:r w:rsidRPr="009353F6">
        <w:rPr>
          <w:rFonts w:ascii="Times New Roman" w:hAnsi="Times New Roman"/>
          <w:i/>
          <w:iCs/>
          <w:szCs w:val="24"/>
        </w:rPr>
        <w:t>et al.</w:t>
      </w:r>
      <w:r w:rsidRPr="00721063">
        <w:rPr>
          <w:rFonts w:ascii="Times New Roman" w:hAnsi="Times New Roman"/>
          <w:szCs w:val="24"/>
        </w:rPr>
        <w:t>, 2020). However, it is also interesting to note that despite using various strategies to cope with workplace stress, they did not make use of formal support services available to them in their workplace. One possible explanation for this is their cultural perception of the challenges they faced, and this is highlighted in the next chapter.</w:t>
      </w:r>
    </w:p>
    <w:p w14:paraId="7813C47B" w14:textId="77777777" w:rsidR="000B3E7A" w:rsidRPr="00573A16" w:rsidRDefault="000B3E7A" w:rsidP="006869A3">
      <w:pPr>
        <w:pStyle w:val="Heading2"/>
      </w:pPr>
      <w:bookmarkStart w:id="227" w:name="_Toc86417399"/>
      <w:r w:rsidRPr="00573A16">
        <w:t>9.5. Summary</w:t>
      </w:r>
      <w:bookmarkEnd w:id="227"/>
    </w:p>
    <w:p w14:paraId="07CF61A8" w14:textId="74EDF8EB" w:rsidR="00BE15C9" w:rsidRPr="006869A3" w:rsidRDefault="000B3E7A" w:rsidP="006869A3">
      <w:pPr>
        <w:jc w:val="both"/>
        <w:rPr>
          <w:rFonts w:ascii="Times New Roman" w:hAnsi="Times New Roman"/>
          <w:szCs w:val="24"/>
        </w:rPr>
      </w:pPr>
      <w:r w:rsidRPr="00721063">
        <w:rPr>
          <w:rFonts w:ascii="Times New Roman" w:hAnsi="Times New Roman"/>
          <w:szCs w:val="24"/>
        </w:rPr>
        <w:t>In this chapter, the challenging aspects of my participants’ experiences of caring for PLWD and how they coped is discussed. My findings suggest that Nigerian care workers found their role as nurses and HCA caring for PLWD in an NHS ward to be challenging. They utilised different informal strategies to cope. In the next chapter, the study findings on the cultural beliefs and perception of paid Nigerian migrant care</w:t>
      </w:r>
      <w:r>
        <w:rPr>
          <w:rFonts w:ascii="Times New Roman" w:hAnsi="Times New Roman"/>
          <w:szCs w:val="24"/>
        </w:rPr>
        <w:t xml:space="preserve"> work</w:t>
      </w:r>
      <w:r w:rsidRPr="00721063">
        <w:rPr>
          <w:rFonts w:ascii="Times New Roman" w:hAnsi="Times New Roman"/>
          <w:szCs w:val="24"/>
        </w:rPr>
        <w:t>ers are presented.</w:t>
      </w:r>
      <w:bookmarkEnd w:id="196"/>
      <w:bookmarkEnd w:id="197"/>
    </w:p>
    <w:p w14:paraId="6B11F522" w14:textId="77777777" w:rsidR="006869A3" w:rsidRDefault="006869A3">
      <w:pPr>
        <w:spacing w:after="0" w:line="240" w:lineRule="auto"/>
        <w:rPr>
          <w:rFonts w:ascii="Times New Roman" w:hAnsi="Times New Roman"/>
          <w:b/>
          <w:bCs/>
          <w:szCs w:val="24"/>
        </w:rPr>
      </w:pPr>
      <w:r>
        <w:rPr>
          <w:rFonts w:ascii="Times New Roman" w:hAnsi="Times New Roman"/>
          <w:b/>
          <w:bCs/>
          <w:szCs w:val="24"/>
        </w:rPr>
        <w:br w:type="page"/>
      </w:r>
    </w:p>
    <w:p w14:paraId="5404E889" w14:textId="2D59DA21" w:rsidR="007332FB" w:rsidRPr="00795F1B" w:rsidRDefault="007332FB" w:rsidP="006869A3">
      <w:pPr>
        <w:pStyle w:val="Heading1"/>
      </w:pPr>
      <w:bookmarkStart w:id="228" w:name="_Toc86417400"/>
      <w:r w:rsidRPr="00795F1B">
        <w:lastRenderedPageBreak/>
        <w:t>CHAPTER TEN</w:t>
      </w:r>
      <w:bookmarkEnd w:id="228"/>
    </w:p>
    <w:p w14:paraId="5B59B299" w14:textId="77777777" w:rsidR="007332FB" w:rsidRPr="00795F1B" w:rsidRDefault="007332FB" w:rsidP="007332FB">
      <w:pPr>
        <w:jc w:val="center"/>
        <w:rPr>
          <w:rFonts w:ascii="Times New Roman" w:hAnsi="Times New Roman"/>
          <w:szCs w:val="24"/>
        </w:rPr>
      </w:pPr>
      <w:r w:rsidRPr="00795F1B">
        <w:rPr>
          <w:rFonts w:ascii="Times New Roman" w:hAnsi="Times New Roman"/>
          <w:b/>
          <w:bCs/>
          <w:szCs w:val="24"/>
        </w:rPr>
        <w:t>CULTURE, DEMENTIA AND THE PRACTICE OF CAREGIVING</w:t>
      </w:r>
    </w:p>
    <w:p w14:paraId="1B2587D4" w14:textId="77777777" w:rsidR="007332FB" w:rsidRPr="00795F1B" w:rsidRDefault="007332FB" w:rsidP="006869A3">
      <w:pPr>
        <w:pStyle w:val="Heading2"/>
      </w:pPr>
      <w:bookmarkStart w:id="229" w:name="_Toc86417401"/>
      <w:r w:rsidRPr="00795F1B">
        <w:t>10.1. Introduction</w:t>
      </w:r>
      <w:bookmarkEnd w:id="229"/>
    </w:p>
    <w:p w14:paraId="09D8873E"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This chapter explores my participants’ experiences of dementia from a cultural perspective. It highlights the paid Nigerian migrant health care assistants’ (HCAs) and nurses’ cultural beliefs and perception of dementia before and after migrating to engage in care for people living with dementia (PLWD) in the UK. Divided into three main sections, it starts by examining the participants’ past understanding, perceptions, and experiences of dementia in Nigeria, their care training in the UK and their overall lived experiences as care workers coming from a different culture. The second section discusses the shift in participants’ beliefs about dementia once they began to work as care workers and nurses in the UK (although some of my participants [n=5] who worked as qualified nurses in Nigeria had already studied the biomedical constructs of dementia as part of their professional nursing training). Finally, section three of this chapter explores my participants’ practices and experiences of caring as they worked in a dementia ward in the NHS.</w:t>
      </w:r>
    </w:p>
    <w:p w14:paraId="52C903FA" w14:textId="77777777" w:rsidR="007332FB" w:rsidRPr="00795F1B" w:rsidRDefault="007332FB" w:rsidP="006869A3">
      <w:pPr>
        <w:pStyle w:val="Heading2"/>
      </w:pPr>
      <w:bookmarkStart w:id="230" w:name="_Toc86417402"/>
      <w:r w:rsidRPr="00795F1B">
        <w:t>10.2. Paid Nigerian migrant HCAs’ and nurses’ cultural beliefs about dementia</w:t>
      </w:r>
      <w:bookmarkEnd w:id="230"/>
      <w:r w:rsidRPr="00795F1B">
        <w:t> </w:t>
      </w:r>
    </w:p>
    <w:p w14:paraId="04AA7F5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In this study, it was essential to explore my participant’s journey into care work and to understand their beliefs about dementia. This is because the research literature suggests that there is a global multiplicity of cultural beliefs about dementia which might influence the practice of caregiving (</w:t>
      </w:r>
      <w:bookmarkStart w:id="231" w:name="_Hlk50334111"/>
      <w:r w:rsidRPr="00795F1B">
        <w:rPr>
          <w:rFonts w:ascii="Times New Roman" w:hAnsi="Times New Roman"/>
          <w:szCs w:val="24"/>
        </w:rPr>
        <w:t xml:space="preserve">Dilworth-Anderson and Gibson, 2002; </w:t>
      </w:r>
      <w:r w:rsidRPr="00795F1B">
        <w:rPr>
          <w:rFonts w:ascii="Times" w:hAnsi="Times" w:cs="Times"/>
        </w:rPr>
        <w:t xml:space="preserve">Antelius and Kiwi, 2015; Nichols, </w:t>
      </w:r>
      <w:r w:rsidRPr="00795F1B">
        <w:rPr>
          <w:rFonts w:ascii="Times New Roman" w:hAnsi="Times New Roman"/>
          <w:color w:val="333333"/>
          <w:szCs w:val="24"/>
        </w:rPr>
        <w:t>Horner and Fyfe</w:t>
      </w:r>
      <w:r w:rsidRPr="00795F1B">
        <w:rPr>
          <w:rFonts w:ascii="Times" w:hAnsi="Times" w:cs="Times"/>
        </w:rPr>
        <w:t xml:space="preserve">, 2015; Xiao, Habel and De Bellis, 2015; Brooke </w:t>
      </w:r>
      <w:r w:rsidRPr="009533A9">
        <w:rPr>
          <w:rFonts w:ascii="Times" w:hAnsi="Times" w:cs="Times"/>
          <w:i/>
          <w:iCs/>
        </w:rPr>
        <w:t>et al.</w:t>
      </w:r>
      <w:r w:rsidRPr="00795F1B">
        <w:rPr>
          <w:rFonts w:ascii="Times" w:hAnsi="Times" w:cs="Times"/>
        </w:rPr>
        <w:t>, 2018</w:t>
      </w:r>
      <w:bookmarkEnd w:id="231"/>
      <w:r w:rsidRPr="00795F1B">
        <w:rPr>
          <w:rFonts w:ascii="Times New Roman" w:hAnsi="Times New Roman"/>
          <w:szCs w:val="24"/>
        </w:rPr>
        <w:t xml:space="preserve">). It was also pertinent because of the phenomenological study design employed in this research. Understanding my participants’ cultural perspectives on dementia allowed me to gain better insight of some of the nuances that might arise from their description of their experience of caring for PLWD in the UK. Prior to coming to the UK, my participants held varying beliefs about dementia that were not consistent with the biomedical model of understanding dementia. This section examines </w:t>
      </w:r>
      <w:r w:rsidRPr="00795F1B">
        <w:rPr>
          <w:rFonts w:ascii="Times New Roman" w:hAnsi="Times New Roman"/>
          <w:szCs w:val="24"/>
        </w:rPr>
        <w:lastRenderedPageBreak/>
        <w:t>these different beliefs, which include the construction of dementia as an inevitable part of the normal ageing process, equating dementia to other mental illnesses, demonic influences on an individual, being possessed with witchcraft, as well as the notion of dementia being the negative reward of an individual’s lived experiences. Such misconceptions about dementia generally highlights my participants’ lack of awareness of the condition.</w:t>
      </w:r>
    </w:p>
    <w:p w14:paraId="1BE3E734" w14:textId="77777777" w:rsidR="007332FB" w:rsidRPr="00795F1B" w:rsidRDefault="007332FB" w:rsidP="006869A3">
      <w:pPr>
        <w:pStyle w:val="Heading3"/>
      </w:pPr>
      <w:bookmarkStart w:id="232" w:name="_Hlk51407051"/>
      <w:bookmarkStart w:id="233" w:name="_Toc86417403"/>
      <w:r w:rsidRPr="00795F1B">
        <w:t>10.2.1. Dementia as a normal ageing</w:t>
      </w:r>
      <w:bookmarkEnd w:id="232"/>
      <w:bookmarkEnd w:id="233"/>
    </w:p>
    <w:p w14:paraId="11296B0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One of the beliefs commonly held by most participants (n=13) before they migrated to the UK and subsequently began to work as care workers was the belief that dementia is an inevitable part of the ageing process. They frequently described how what they now recognise as dementia was traditionally believed to be a part of the normal ageing process in many Nigerian cultures. Apart from three participants (Paul, Morgan and Miriam)</w:t>
      </w:r>
      <w:r>
        <w:rPr>
          <w:rFonts w:ascii="Times New Roman" w:hAnsi="Times New Roman"/>
          <w:szCs w:val="24"/>
        </w:rPr>
        <w:t xml:space="preserve"> </w:t>
      </w:r>
      <w:r w:rsidRPr="00795F1B">
        <w:rPr>
          <w:rFonts w:ascii="Times New Roman" w:hAnsi="Times New Roman"/>
          <w:szCs w:val="24"/>
        </w:rPr>
        <w:t>who ascribed other causes to dementia, most of my participants (n=10) considered dementia as part of normal ageing</w:t>
      </w:r>
      <w:r>
        <w:rPr>
          <w:rFonts w:ascii="Times New Roman" w:hAnsi="Times New Roman"/>
          <w:szCs w:val="24"/>
        </w:rPr>
        <w:t>.</w:t>
      </w:r>
      <w:r w:rsidRPr="00795F1B">
        <w:rPr>
          <w:rFonts w:ascii="Times New Roman" w:hAnsi="Times New Roman"/>
          <w:szCs w:val="24"/>
        </w:rPr>
        <w:t xml:space="preserve"> </w:t>
      </w:r>
      <w:r>
        <w:rPr>
          <w:rFonts w:ascii="Times New Roman" w:hAnsi="Times New Roman"/>
          <w:szCs w:val="24"/>
        </w:rPr>
        <w:t>They</w:t>
      </w:r>
      <w:r w:rsidRPr="00795F1B">
        <w:rPr>
          <w:rFonts w:ascii="Times New Roman" w:hAnsi="Times New Roman"/>
          <w:szCs w:val="24"/>
        </w:rPr>
        <w:t xml:space="preserve"> admitted that the symptoms </w:t>
      </w:r>
      <w:r>
        <w:rPr>
          <w:rFonts w:ascii="Times New Roman" w:hAnsi="Times New Roman"/>
          <w:szCs w:val="24"/>
        </w:rPr>
        <w:t>/</w:t>
      </w:r>
      <w:r w:rsidRPr="00795F1B">
        <w:rPr>
          <w:rFonts w:ascii="Times New Roman" w:hAnsi="Times New Roman"/>
          <w:szCs w:val="24"/>
        </w:rPr>
        <w:t xml:space="preserve">behaviours </w:t>
      </w:r>
      <w:r>
        <w:rPr>
          <w:rFonts w:ascii="Times New Roman" w:hAnsi="Times New Roman"/>
          <w:szCs w:val="24"/>
        </w:rPr>
        <w:t xml:space="preserve">which </w:t>
      </w:r>
      <w:r w:rsidRPr="00795F1B">
        <w:rPr>
          <w:rFonts w:ascii="Times New Roman" w:hAnsi="Times New Roman"/>
          <w:szCs w:val="24"/>
        </w:rPr>
        <w:t>they now regard as dementia w</w:t>
      </w:r>
      <w:r>
        <w:rPr>
          <w:rFonts w:ascii="Times New Roman" w:hAnsi="Times New Roman"/>
          <w:szCs w:val="24"/>
        </w:rPr>
        <w:t>as what they had</w:t>
      </w:r>
      <w:r w:rsidRPr="00795F1B">
        <w:rPr>
          <w:rFonts w:ascii="Times New Roman" w:hAnsi="Times New Roman"/>
          <w:szCs w:val="24"/>
        </w:rPr>
        <w:t xml:space="preserve"> previously a</w:t>
      </w:r>
      <w:r>
        <w:rPr>
          <w:rFonts w:ascii="Times New Roman" w:hAnsi="Times New Roman"/>
          <w:szCs w:val="24"/>
        </w:rPr>
        <w:t xml:space="preserve">ttributed to </w:t>
      </w:r>
      <w:r w:rsidRPr="00795F1B">
        <w:rPr>
          <w:rFonts w:ascii="Times New Roman" w:hAnsi="Times New Roman"/>
          <w:szCs w:val="24"/>
        </w:rPr>
        <w:t>an individual who ha</w:t>
      </w:r>
      <w:r>
        <w:rPr>
          <w:rFonts w:ascii="Times New Roman" w:hAnsi="Times New Roman"/>
          <w:szCs w:val="24"/>
        </w:rPr>
        <w:t>d</w:t>
      </w:r>
      <w:r w:rsidRPr="00795F1B">
        <w:rPr>
          <w:rFonts w:ascii="Times New Roman" w:hAnsi="Times New Roman"/>
          <w:szCs w:val="24"/>
        </w:rPr>
        <w:t xml:space="preserve"> simply ‘grown old’. These participants noted that they held on to this belief until when they were training to be nurses (for those who worked as nurses in Nigeria), or until they began to work as care workers in the UK (for those participants who were not trained nurses before migrating to the UK).  For instance, Morgan, who was a professional microbiologist before coming to the UK (with no prior nurse training), reflecting on comparing dementia occurring early or later in an older adult observed:</w:t>
      </w:r>
    </w:p>
    <w:p w14:paraId="7CFB49F9"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Yea, because , we tend to say, dementia is normal for old people, not for anyone younger</w:t>
      </w:r>
      <w:r w:rsidRPr="00795F1B" w:rsidDel="00A327FE">
        <w:rPr>
          <w:rFonts w:ascii="Times New Roman" w:hAnsi="Times New Roman"/>
          <w:i/>
          <w:iCs/>
          <w:szCs w:val="24"/>
        </w:rPr>
        <w:t xml:space="preserve"> </w:t>
      </w:r>
      <w:r w:rsidRPr="00795F1B">
        <w:rPr>
          <w:rFonts w:ascii="Times New Roman" w:hAnsi="Times New Roman"/>
          <w:i/>
          <w:iCs/>
          <w:szCs w:val="24"/>
        </w:rPr>
        <w:t>… my father had it when he was …76, but he died when he was 86, you know, but if you have it at 60, no, …we don’t consider it as normal</w:t>
      </w:r>
      <w:r w:rsidRPr="00795F1B">
        <w:rPr>
          <w:rFonts w:ascii="Times New Roman" w:hAnsi="Times New Roman"/>
          <w:szCs w:val="24"/>
        </w:rPr>
        <w:t>” (Morgan, HCA) </w:t>
      </w:r>
    </w:p>
    <w:p w14:paraId="4F51C74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In this assertion, Morgan appears to suggest that for people who were younger than 60 years and presenting with the symptoms of dementia would be abnormal. His choice of words, “</w:t>
      </w:r>
      <w:r w:rsidRPr="00795F1B">
        <w:rPr>
          <w:rFonts w:ascii="Times New Roman" w:hAnsi="Times New Roman"/>
          <w:i/>
          <w:iCs/>
          <w:szCs w:val="24"/>
        </w:rPr>
        <w:t>my father had it when he was….76</w:t>
      </w:r>
      <w:r w:rsidRPr="00795F1B">
        <w:rPr>
          <w:rFonts w:ascii="Times New Roman" w:hAnsi="Times New Roman"/>
          <w:szCs w:val="24"/>
        </w:rPr>
        <w:t xml:space="preserve">” also indicates that Morgan saw his father’s </w:t>
      </w:r>
      <w:r w:rsidRPr="00795F1B">
        <w:rPr>
          <w:rFonts w:ascii="Times New Roman" w:hAnsi="Times New Roman"/>
          <w:szCs w:val="24"/>
        </w:rPr>
        <w:lastRenderedPageBreak/>
        <w:t>presentation as expected for a man that age. Similarly, Oscar, an engineer by profession, stated that he cared for his grandfather who had dementia-like symptoms while in Nigeria. He noted that:</w:t>
      </w:r>
    </w:p>
    <w:p w14:paraId="0F569EFA"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then, back home, it was mostly attributed to old age like someone living above certain age 85 and above and getting old you begin to lose memories</w:t>
      </w:r>
      <w:r w:rsidRPr="00795F1B">
        <w:rPr>
          <w:rFonts w:ascii="Times New Roman" w:hAnsi="Times New Roman"/>
          <w:szCs w:val="24"/>
        </w:rPr>
        <w:t>” (Oscar, HCA) </w:t>
      </w:r>
    </w:p>
    <w:p w14:paraId="091D886F"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It is notable that Oscar used the word, ‘</w:t>
      </w:r>
      <w:r w:rsidRPr="00795F1B">
        <w:rPr>
          <w:rFonts w:ascii="Times New Roman" w:hAnsi="Times New Roman"/>
          <w:i/>
          <w:iCs/>
          <w:szCs w:val="24"/>
        </w:rPr>
        <w:t>begin’</w:t>
      </w:r>
      <w:r w:rsidRPr="00795F1B">
        <w:rPr>
          <w:rFonts w:ascii="Times New Roman" w:hAnsi="Times New Roman"/>
          <w:szCs w:val="24"/>
        </w:rPr>
        <w:t xml:space="preserve"> to refer to the process the disease develops, implying that it is an inevitable aspect of ageing</w:t>
      </w:r>
      <w:r>
        <w:rPr>
          <w:rFonts w:ascii="Times New Roman" w:hAnsi="Times New Roman"/>
          <w:szCs w:val="24"/>
        </w:rPr>
        <w:t>,</w:t>
      </w:r>
      <w:r w:rsidRPr="00795F1B">
        <w:rPr>
          <w:rFonts w:ascii="Times New Roman" w:hAnsi="Times New Roman"/>
          <w:szCs w:val="24"/>
        </w:rPr>
        <w:t xml:space="preserve"> and his views were shared by many of the participants (n=14) in this study.  However, this belief associating dementia with normal ageing is not new and research suggests that many people in other cultures also hold this belief (Hinton </w:t>
      </w:r>
      <w:r w:rsidRPr="009533A9">
        <w:rPr>
          <w:rFonts w:ascii="Times New Roman" w:hAnsi="Times New Roman"/>
          <w:i/>
          <w:iCs/>
          <w:szCs w:val="24"/>
        </w:rPr>
        <w:t>et al.</w:t>
      </w:r>
      <w:r w:rsidRPr="00795F1B">
        <w:rPr>
          <w:rFonts w:ascii="Times New Roman" w:hAnsi="Times New Roman"/>
          <w:szCs w:val="24"/>
        </w:rPr>
        <w:t xml:space="preserve">, 2000; Zhan, 2004; Sun, Ong and Burnette, 2012). For example, Lanting </w:t>
      </w:r>
      <w:r w:rsidRPr="009533A9">
        <w:rPr>
          <w:rFonts w:ascii="Times New Roman" w:hAnsi="Times New Roman"/>
          <w:i/>
          <w:iCs/>
          <w:szCs w:val="24"/>
        </w:rPr>
        <w:t>et al.</w:t>
      </w:r>
      <w:r w:rsidRPr="00795F1B">
        <w:rPr>
          <w:rFonts w:ascii="Times New Roman" w:hAnsi="Times New Roman"/>
          <w:szCs w:val="24"/>
        </w:rPr>
        <w:t xml:space="preserve"> (2011) conducted a qualitative study with participants from the Aboriginal community in Canada and observed that they perceived memory loss and behavioural changes in dementia as a usual expectation in the ageing process. Other authors (Zhan, 2004; Sun, Ong and Burnette, 2012) also reported similar findings among Chinese informal care workers living in the USA. Moreover, Suzuki </w:t>
      </w:r>
      <w:r w:rsidRPr="009533A9">
        <w:rPr>
          <w:rFonts w:ascii="Times New Roman" w:hAnsi="Times New Roman"/>
          <w:i/>
          <w:iCs/>
          <w:szCs w:val="24"/>
        </w:rPr>
        <w:t>et al.</w:t>
      </w:r>
      <w:r w:rsidRPr="00795F1B">
        <w:rPr>
          <w:rFonts w:ascii="Times New Roman" w:hAnsi="Times New Roman"/>
          <w:szCs w:val="24"/>
        </w:rPr>
        <w:t xml:space="preserve"> (2015) observed that although there are many multi-ethnic variations in the way that dementia is construed, the belief that ‘dementia is a part of normal ageing’ is reported in different ethnic-minority groups.</w:t>
      </w:r>
    </w:p>
    <w:p w14:paraId="4D07B2DC"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It might be suggested that Oscar’s (and other participants’) description of dementia as being a part of the normal ageing supports the continuum explanation for ageing. It holds that both dementia and normal ageing are two extremes in a continuum, whereas the dis-continuum explanation holds that dementia is a disease that is categorically distinct from normal ageing (Huppert, 1994; Huppert and Brayne, 1994; Buckner, 2004; McKhann </w:t>
      </w:r>
      <w:r w:rsidRPr="009533A9">
        <w:rPr>
          <w:rFonts w:ascii="Times New Roman" w:hAnsi="Times New Roman"/>
          <w:i/>
          <w:iCs/>
          <w:szCs w:val="24"/>
        </w:rPr>
        <w:t>et al.</w:t>
      </w:r>
      <w:r w:rsidRPr="00795F1B">
        <w:rPr>
          <w:rFonts w:ascii="Times New Roman" w:hAnsi="Times New Roman"/>
          <w:szCs w:val="24"/>
        </w:rPr>
        <w:t>, 2011; Khachaturian, 2012). If normal ageing and the development of dementia exist in a continuum, it implies that every person will eventually grow old and develop dementia, as some of my participants seem to suggest.</w:t>
      </w:r>
    </w:p>
    <w:p w14:paraId="3B65860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Unlike Oscar, despite having a background in the life or medical sciences, Morgan appeared to be completely unaware of the true cause of his father’s presentation. </w:t>
      </w:r>
      <w:r w:rsidRPr="00795F1B">
        <w:rPr>
          <w:rFonts w:ascii="Times New Roman" w:hAnsi="Times New Roman"/>
          <w:szCs w:val="24"/>
        </w:rPr>
        <w:lastRenderedPageBreak/>
        <w:t>Moreover, Morgan’s experience of dementia before coming to the UK and his previously held beliefs about dementia are not peculiar. I had a similar lived experience to Morgan in many ways. As I mentioned in section 1.2, despite holding a BSc degree in human physiology, I never related my grandmother’s presentation to any illness. I considered it a natural part of the ageing process. What I knew about dementia at the time was purely theoretical as dementia remained an illness that was not common in our part of the world.</w:t>
      </w:r>
    </w:p>
    <w:p w14:paraId="40D387CB"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My findings indicate that the participants who had no nursing background considered dementia as a normal sign of ageing and only learnt to differentiate it from normal ageing once they undertook care training in the UK. However, it is interesting to note that those who had trained and worked as nurses in Nigeria also considered dementia as part of the ageing process before they trained as nurses, supporting the notion that this is a commonly held belief in Nigeria. Although some of them admitted to having only the basic knowledge of dementia even after their nursing training. For example, Jane (who had many years of experience working as a nurse in Nigeria) shed more light on what she thought dementia was prior to her nursing training.</w:t>
      </w:r>
    </w:p>
    <w:p w14:paraId="0E0D5B0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If I wasn’t a nurse, I wouldn’t really understand it because …, the understanding I had coming into the country [the UK], was the pathophysiology of these old age conditions. But when I got to the care home, I was able to recognise the symptoms… this helped me to have a better understanding of what I have learnt in school</w:t>
      </w:r>
      <w:r w:rsidRPr="00795F1B">
        <w:rPr>
          <w:rFonts w:ascii="Times New Roman" w:hAnsi="Times New Roman"/>
          <w:szCs w:val="24"/>
        </w:rPr>
        <w:t>” (Jane, HCA)</w:t>
      </w:r>
    </w:p>
    <w:p w14:paraId="3168EA3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Although Jane had good theoretical knowledge of dementia, it remained academic until she began to work as HCA in the UK. Like Jane, other Nigerian-trained nurses also described their level of understanding of the disease as basic ‘textbook knowledge’ because they could not relate with the condition due to the different cultural perception and stigma associated with dementia in Nigeria. This is also because only very few cases of people with symptoms resembling dementia were actually coming to seek help in hospitals (Ochayi and Thacher, 2006; Adebiyi </w:t>
      </w:r>
      <w:r w:rsidRPr="009533A9">
        <w:rPr>
          <w:rFonts w:ascii="Times New Roman" w:hAnsi="Times New Roman"/>
          <w:i/>
          <w:iCs/>
          <w:szCs w:val="24"/>
        </w:rPr>
        <w:t>et al.</w:t>
      </w:r>
      <w:r w:rsidRPr="00795F1B">
        <w:rPr>
          <w:rFonts w:ascii="Times New Roman" w:hAnsi="Times New Roman"/>
          <w:szCs w:val="24"/>
        </w:rPr>
        <w:t xml:space="preserve">, 2016). Poor help-seeking behaviour from PLWD and their families has been reported in other studies (Zeng </w:t>
      </w:r>
      <w:r w:rsidRPr="009533A9">
        <w:rPr>
          <w:rFonts w:ascii="Times New Roman" w:hAnsi="Times New Roman"/>
          <w:i/>
          <w:iCs/>
          <w:szCs w:val="24"/>
        </w:rPr>
        <w:t xml:space="preserve">et </w:t>
      </w:r>
      <w:r w:rsidRPr="009533A9">
        <w:rPr>
          <w:rFonts w:ascii="Times New Roman" w:hAnsi="Times New Roman"/>
          <w:i/>
          <w:iCs/>
          <w:szCs w:val="24"/>
        </w:rPr>
        <w:lastRenderedPageBreak/>
        <w:t>al.</w:t>
      </w:r>
      <w:r w:rsidRPr="00795F1B">
        <w:rPr>
          <w:rFonts w:ascii="Times New Roman" w:hAnsi="Times New Roman"/>
          <w:szCs w:val="24"/>
        </w:rPr>
        <w:t xml:space="preserve">, 2015; Zhao </w:t>
      </w:r>
      <w:r w:rsidRPr="009533A9">
        <w:rPr>
          <w:rFonts w:ascii="Times New Roman" w:hAnsi="Times New Roman"/>
          <w:i/>
          <w:iCs/>
          <w:szCs w:val="24"/>
        </w:rPr>
        <w:t>et al.</w:t>
      </w:r>
      <w:r w:rsidRPr="00795F1B">
        <w:rPr>
          <w:rFonts w:ascii="Times New Roman" w:hAnsi="Times New Roman"/>
          <w:szCs w:val="24"/>
        </w:rPr>
        <w:t>, 2015) and it may be attributable to the perception of dementia as part of normal ageing. Consequently, the participants who worked as nurses in Nigeria were still not able to relate with the condition in practical sense until caring for PLWD in the UK, giving a new perspective to their understanding of the condition.</w:t>
      </w:r>
      <w:r w:rsidRPr="00795F1B" w:rsidDel="00FE3451">
        <w:rPr>
          <w:rFonts w:ascii="Times New Roman" w:hAnsi="Times New Roman"/>
          <w:szCs w:val="24"/>
        </w:rPr>
        <w:t xml:space="preserve"> </w:t>
      </w:r>
    </w:p>
    <w:p w14:paraId="20ED0F74"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Another participant, Doris, also noted that the presentation of PLWD to healthcare centres in Nigeria is low, citing it as one of the reasons why she like other nurses, never really related her theoretical knowledge of dementia to a person with the condition. She stated:</w:t>
      </w:r>
    </w:p>
    <w:p w14:paraId="41768AB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…back home we really don't come across most of the demented patients like in care home [in the UK]. I can’t really say that in the course of two years and few months that I worked, if I came across any patients, I won’t say it was up to two patients. So, we don’t really have that experience of dementia.</w:t>
      </w:r>
      <w:r w:rsidRPr="00795F1B">
        <w:rPr>
          <w:rFonts w:ascii="Times New Roman" w:hAnsi="Times New Roman"/>
          <w:szCs w:val="24"/>
        </w:rPr>
        <w:t>” (Doris, HCA)</w:t>
      </w:r>
    </w:p>
    <w:p w14:paraId="7BB46372"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In the above excerpts, Doris compared her experience of caring for PLWD in Nigeria and the UK and raised some critical issues that might have influenced her experience of caring in the two settings. </w:t>
      </w:r>
    </w:p>
    <w:p w14:paraId="52580BDE"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As Doris noted, in Nigeria, there were few cases of PLWD that she cared for. This is not entirely surprising because from the discussion of her work history before migrating to the UK, she worked in a general/non-psychiatric ward/hospital where most patients were admitted primarily because of their physical ailment rather than for a mental illness (</w:t>
      </w:r>
      <w:bookmarkStart w:id="234" w:name="_Hlk50367718"/>
      <w:r w:rsidRPr="00795F1B">
        <w:rPr>
          <w:rFonts w:ascii="Times New Roman" w:hAnsi="Times New Roman"/>
          <w:szCs w:val="24"/>
        </w:rPr>
        <w:t>Uwakwe, 2000</w:t>
      </w:r>
      <w:bookmarkEnd w:id="234"/>
      <w:r w:rsidRPr="00795F1B">
        <w:rPr>
          <w:rFonts w:ascii="Times New Roman" w:hAnsi="Times New Roman"/>
          <w:szCs w:val="24"/>
        </w:rPr>
        <w:t xml:space="preserve">; Bello </w:t>
      </w:r>
      <w:r w:rsidRPr="009533A9">
        <w:rPr>
          <w:rFonts w:ascii="Times New Roman" w:hAnsi="Times New Roman"/>
          <w:i/>
          <w:iCs/>
          <w:szCs w:val="24"/>
        </w:rPr>
        <w:t>et al.</w:t>
      </w:r>
      <w:r w:rsidRPr="00795F1B">
        <w:rPr>
          <w:rFonts w:ascii="Times New Roman" w:hAnsi="Times New Roman"/>
          <w:szCs w:val="24"/>
        </w:rPr>
        <w:t xml:space="preserve">, 2017; Elugbadebo and Baiyewu, 2017). Although other authors, </w:t>
      </w:r>
      <w:bookmarkStart w:id="235" w:name="_Hlk50367737"/>
      <w:r w:rsidRPr="00795F1B">
        <w:rPr>
          <w:rFonts w:ascii="Times" w:hAnsi="Times" w:cs="Times"/>
          <w:szCs w:val="24"/>
        </w:rPr>
        <w:t>Nakasujja</w:t>
      </w:r>
      <w:r w:rsidRPr="00795F1B">
        <w:rPr>
          <w:rFonts w:ascii="Times New Roman" w:hAnsi="Times New Roman"/>
          <w:szCs w:val="24"/>
        </w:rPr>
        <w:t xml:space="preserve"> </w:t>
      </w:r>
      <w:r w:rsidRPr="009533A9">
        <w:rPr>
          <w:rFonts w:ascii="Times New Roman" w:hAnsi="Times New Roman"/>
          <w:i/>
          <w:iCs/>
          <w:szCs w:val="24"/>
        </w:rPr>
        <w:t>et al.</w:t>
      </w:r>
      <w:r w:rsidRPr="00795F1B">
        <w:rPr>
          <w:rFonts w:ascii="Times New Roman" w:hAnsi="Times New Roman"/>
          <w:szCs w:val="24"/>
        </w:rPr>
        <w:t xml:space="preserve"> (2007)</w:t>
      </w:r>
      <w:bookmarkEnd w:id="235"/>
      <w:r w:rsidRPr="00795F1B">
        <w:rPr>
          <w:rFonts w:ascii="Times New Roman" w:hAnsi="Times New Roman"/>
          <w:szCs w:val="24"/>
        </w:rPr>
        <w:t>, have observed that the somatisation of psychological symptoms and/or the attribution of the symptoms to old age often resulted in many older adults being admitted to non-psychiatric wards. The implication is that healthcare professionals working in non-psychiatric settings are often ill-equipped to diagnose and properly care for patients with a mental condition, including dementia (</w:t>
      </w:r>
      <w:bookmarkStart w:id="236" w:name="_Hlk50367751"/>
      <w:r w:rsidRPr="00795F1B">
        <w:rPr>
          <w:rFonts w:ascii="Times" w:hAnsi="Times" w:cs="Times"/>
          <w:szCs w:val="24"/>
        </w:rPr>
        <w:t xml:space="preserve">Sokoya and Baiyewu, 2003; </w:t>
      </w:r>
      <w:r w:rsidRPr="00795F1B">
        <w:rPr>
          <w:rFonts w:ascii="Times" w:hAnsi="Times" w:cs="Times"/>
          <w:szCs w:val="24"/>
          <w:shd w:val="clear" w:color="auto" w:fill="FFFFFF"/>
        </w:rPr>
        <w:t>Mohammed</w:t>
      </w:r>
      <w:r w:rsidRPr="00795F1B">
        <w:rPr>
          <w:rFonts w:ascii="Times New Roman" w:hAnsi="Times New Roman"/>
          <w:szCs w:val="24"/>
        </w:rPr>
        <w:t xml:space="preserve"> </w:t>
      </w:r>
      <w:r w:rsidRPr="009533A9">
        <w:rPr>
          <w:rFonts w:ascii="Times New Roman" w:hAnsi="Times New Roman"/>
          <w:i/>
          <w:iCs/>
          <w:szCs w:val="24"/>
        </w:rPr>
        <w:t>et al.</w:t>
      </w:r>
      <w:r w:rsidRPr="00795F1B">
        <w:rPr>
          <w:rFonts w:ascii="Times New Roman" w:hAnsi="Times New Roman"/>
          <w:szCs w:val="24"/>
        </w:rPr>
        <w:t>, 2014</w:t>
      </w:r>
      <w:bookmarkEnd w:id="236"/>
      <w:r w:rsidRPr="00795F1B">
        <w:rPr>
          <w:rFonts w:ascii="Times New Roman" w:hAnsi="Times New Roman"/>
          <w:szCs w:val="24"/>
        </w:rPr>
        <w:t>). Also, there are not as many care homes or other institutional settings of residential care for older adults in Nigeria as are in most western countries (</w:t>
      </w:r>
      <w:bookmarkStart w:id="237" w:name="_Hlk50369096"/>
      <w:r w:rsidRPr="00795F1B">
        <w:rPr>
          <w:rFonts w:ascii="Times New Roman" w:hAnsi="Times New Roman"/>
          <w:szCs w:val="24"/>
        </w:rPr>
        <w:t>Mokomane, 2011</w:t>
      </w:r>
      <w:bookmarkEnd w:id="237"/>
      <w:r w:rsidRPr="00795F1B">
        <w:rPr>
          <w:rFonts w:ascii="Times New Roman" w:hAnsi="Times New Roman"/>
          <w:szCs w:val="24"/>
        </w:rPr>
        <w:t xml:space="preserve">). This might be due to the </w:t>
      </w:r>
      <w:r w:rsidRPr="00795F1B">
        <w:rPr>
          <w:rFonts w:ascii="Times New Roman" w:hAnsi="Times New Roman"/>
          <w:szCs w:val="24"/>
        </w:rPr>
        <w:lastRenderedPageBreak/>
        <w:t>absence of a system of social support/security and the closely knit collectivist nature of most of the Nigeria society (</w:t>
      </w:r>
      <w:bookmarkStart w:id="238" w:name="_Hlk50369159"/>
      <w:r w:rsidRPr="00795F1B">
        <w:rPr>
          <w:rFonts w:ascii="Times New Roman" w:hAnsi="Times New Roman"/>
          <w:szCs w:val="24"/>
        </w:rPr>
        <w:t xml:space="preserve">Hofstede, 2011; </w:t>
      </w:r>
      <w:r w:rsidRPr="00795F1B">
        <w:rPr>
          <w:rFonts w:ascii="Times" w:hAnsi="Times" w:cs="Times"/>
          <w:szCs w:val="24"/>
        </w:rPr>
        <w:t>Elegbe and Nwachukwu, 2017</w:t>
      </w:r>
      <w:bookmarkEnd w:id="238"/>
      <w:r w:rsidRPr="00795F1B">
        <w:rPr>
          <w:rFonts w:ascii="Times New Roman" w:hAnsi="Times New Roman"/>
          <w:szCs w:val="24"/>
        </w:rPr>
        <w:t>), which for cultural reasons, still favours children and younger family members (usually women) caring for their older parents and relatives (</w:t>
      </w:r>
      <w:bookmarkStart w:id="239" w:name="_Hlk50369187"/>
      <w:r w:rsidRPr="00795F1B">
        <w:rPr>
          <w:rFonts w:ascii="Times New Roman" w:hAnsi="Times New Roman"/>
          <w:szCs w:val="24"/>
        </w:rPr>
        <w:t>Idogo, 2015</w:t>
      </w:r>
      <w:bookmarkEnd w:id="239"/>
      <w:r w:rsidRPr="00795F1B">
        <w:rPr>
          <w:rFonts w:ascii="Times New Roman" w:hAnsi="Times New Roman"/>
          <w:szCs w:val="24"/>
        </w:rPr>
        <w:t>). Placing one’s parents in a care home in Nigeria (as is in many African cultures), is discouraged and frowned at because it is considered as a practice alien to Africa (Mokomane, 2011).</w:t>
      </w:r>
    </w:p>
    <w:p w14:paraId="16CC1C7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In addition, the belief that dementia is a normal aspect of old age, an inevitable state of the human life cycle makes it less likely for carers of older relatives to seek appropriate medical help (</w:t>
      </w:r>
      <w:bookmarkStart w:id="240" w:name="_Hlk50369228"/>
      <w:r w:rsidRPr="00795F1B">
        <w:rPr>
          <w:rFonts w:ascii="Times" w:hAnsi="Times" w:cs="Times"/>
          <w:szCs w:val="24"/>
        </w:rPr>
        <w:t>Gureje, Kola and Afolabi, 2007</w:t>
      </w:r>
      <w:bookmarkEnd w:id="240"/>
      <w:r w:rsidRPr="00795F1B">
        <w:rPr>
          <w:rFonts w:ascii="Times New Roman" w:hAnsi="Times New Roman"/>
          <w:szCs w:val="24"/>
        </w:rPr>
        <w:t>). Doris also reflected on this in the language she used to describe the development of dementia:</w:t>
      </w:r>
    </w:p>
    <w:p w14:paraId="2F6BD7E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w:t>
      </w:r>
      <w:r w:rsidRPr="00795F1B">
        <w:rPr>
          <w:rFonts w:ascii="Times New Roman" w:hAnsi="Times New Roman"/>
          <w:i/>
          <w:szCs w:val="24"/>
        </w:rPr>
        <w:t>Yeah, so they really don’t, we really don’t give it that medical term that this person is demented, this patient is demented, or this individual has dementia. We just say that this woman is really showing signs of old age because of this thing she is doing</w:t>
      </w:r>
      <w:r w:rsidRPr="00795F1B">
        <w:rPr>
          <w:rFonts w:ascii="Times New Roman" w:hAnsi="Times New Roman"/>
          <w:szCs w:val="24"/>
        </w:rPr>
        <w:t>” (Doris, HCA)</w:t>
      </w:r>
    </w:p>
    <w:p w14:paraId="5746328C"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Doris admitted that she had not used the word, ‘</w:t>
      </w:r>
      <w:r w:rsidRPr="00795F1B">
        <w:rPr>
          <w:rFonts w:ascii="Times New Roman" w:hAnsi="Times New Roman"/>
          <w:i/>
          <w:szCs w:val="24"/>
        </w:rPr>
        <w:t>demented’</w:t>
      </w:r>
      <w:r w:rsidRPr="00795F1B">
        <w:rPr>
          <w:rFonts w:ascii="Times New Roman" w:hAnsi="Times New Roman"/>
          <w:szCs w:val="24"/>
        </w:rPr>
        <w:t xml:space="preserve"> or ‘</w:t>
      </w:r>
      <w:r w:rsidRPr="00795F1B">
        <w:rPr>
          <w:rFonts w:ascii="Times New Roman" w:hAnsi="Times New Roman"/>
          <w:i/>
          <w:iCs/>
          <w:szCs w:val="24"/>
        </w:rPr>
        <w:t>dementia’</w:t>
      </w:r>
      <w:r w:rsidRPr="00795F1B">
        <w:rPr>
          <w:rFonts w:ascii="Times New Roman" w:hAnsi="Times New Roman"/>
          <w:szCs w:val="24"/>
        </w:rPr>
        <w:t xml:space="preserve"> in Nigeria to describe signs she now considers to be linked to dementia. She stated that the widely held belief in Nigeria was that old age was characterised by a slow decline in physical and behavioural presentation in the older adult. However, in contrast, Doris appears not to consider the signs that she now recognises as dementia to be a definitive part of the ageing process. Referring to her experiences before working with PLWD in the UK, Doris noted that she used to refer to people who did not show signs of dementia as an ‘exception to the rule’ because of her belief that dementia was a normal part of normal ageing. The rule in this instance was that an older adult is bound to exhibit some signs consistent with old age and dementia is just one of such signs. She observed that:</w:t>
      </w:r>
    </w:p>
    <w:p w14:paraId="3B0E1434" w14:textId="77777777" w:rsidR="007332FB" w:rsidRPr="00795F1B" w:rsidRDefault="007332FB" w:rsidP="006B1E25">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 xml:space="preserve">…there is always an exception to every rule. Just like every old person must not behave this way. Some of the old people are fine, they are old but, … there is no brain degeneration …while some… have brain degeneration. So, it's just like it does not really </w:t>
      </w:r>
      <w:r w:rsidRPr="00795F1B">
        <w:rPr>
          <w:rFonts w:ascii="Times New Roman" w:hAnsi="Times New Roman"/>
          <w:i/>
          <w:szCs w:val="24"/>
        </w:rPr>
        <w:lastRenderedPageBreak/>
        <w:t>necessarily need to affect all old people but these are just signs of old age.</w:t>
      </w:r>
      <w:r w:rsidRPr="00795F1B">
        <w:rPr>
          <w:rFonts w:ascii="Times New Roman" w:hAnsi="Times New Roman"/>
          <w:szCs w:val="24"/>
        </w:rPr>
        <w:t>” (Doris, HCA)</w:t>
      </w:r>
    </w:p>
    <w:p w14:paraId="2629E596" w14:textId="77777777" w:rsidR="007332FB" w:rsidRPr="00795F1B" w:rsidRDefault="007332FB" w:rsidP="006B1E25">
      <w:pPr>
        <w:jc w:val="both"/>
        <w:rPr>
          <w:rFonts w:ascii="Times New Roman" w:hAnsi="Times New Roman"/>
          <w:szCs w:val="24"/>
        </w:rPr>
      </w:pPr>
      <w:r w:rsidRPr="00795F1B">
        <w:rPr>
          <w:rFonts w:ascii="Times New Roman" w:hAnsi="Times New Roman"/>
          <w:szCs w:val="24"/>
        </w:rPr>
        <w:t xml:space="preserve">Despite being a trained nurse in Nigeria, Doris appeared not to distinguish between healthy ageing and the signs of dementia. The apparent confusion of dementia with ageing even by health professionals has previously received some attention in the literature (see for example, Harding and </w:t>
      </w:r>
      <w:bookmarkStart w:id="241" w:name="_Hlk50369249"/>
      <w:r w:rsidRPr="00795F1B">
        <w:rPr>
          <w:rFonts w:ascii="Times New Roman" w:hAnsi="Times New Roman"/>
          <w:szCs w:val="24"/>
        </w:rPr>
        <w:t xml:space="preserve">Palfry, 1997; Ginesi, </w:t>
      </w:r>
      <w:r w:rsidRPr="005A4615">
        <w:rPr>
          <w:rFonts w:ascii="Times New Roman" w:hAnsi="Times New Roman"/>
          <w:szCs w:val="24"/>
        </w:rPr>
        <w:t>Jenkins and Keenan</w:t>
      </w:r>
      <w:r>
        <w:rPr>
          <w:rFonts w:ascii="Times New Roman" w:hAnsi="Times New Roman"/>
          <w:szCs w:val="24"/>
        </w:rPr>
        <w:t xml:space="preserve">, </w:t>
      </w:r>
      <w:r w:rsidRPr="00795F1B">
        <w:rPr>
          <w:rFonts w:ascii="Times New Roman" w:hAnsi="Times New Roman"/>
          <w:szCs w:val="24"/>
        </w:rPr>
        <w:t xml:space="preserve">2016). This may be attributed to a lack of understanding of the process, onset and span of normal ageing (Jansen </w:t>
      </w:r>
      <w:r w:rsidRPr="009533A9">
        <w:rPr>
          <w:rFonts w:ascii="Times New Roman" w:hAnsi="Times New Roman"/>
          <w:i/>
          <w:iCs/>
          <w:szCs w:val="24"/>
        </w:rPr>
        <w:t>et al.</w:t>
      </w:r>
      <w:r w:rsidRPr="00795F1B">
        <w:rPr>
          <w:rFonts w:ascii="Times New Roman" w:hAnsi="Times New Roman"/>
          <w:szCs w:val="24"/>
        </w:rPr>
        <w:t>, 2018)</w:t>
      </w:r>
      <w:bookmarkEnd w:id="241"/>
      <w:r w:rsidRPr="00795F1B">
        <w:rPr>
          <w:rFonts w:ascii="Times New Roman" w:hAnsi="Times New Roman"/>
          <w:szCs w:val="24"/>
        </w:rPr>
        <w:t>, leading to the misconceptions of ageing shown by my participants’ other cultural beliefs about dementia. These beliefs are considered next.</w:t>
      </w:r>
    </w:p>
    <w:p w14:paraId="3059650A" w14:textId="77777777" w:rsidR="007332FB" w:rsidRPr="00795F1B" w:rsidRDefault="007332FB" w:rsidP="006869A3">
      <w:pPr>
        <w:pStyle w:val="Heading3"/>
      </w:pPr>
      <w:bookmarkStart w:id="242" w:name="_Hlk51407089"/>
      <w:bookmarkStart w:id="243" w:name="_Toc86417404"/>
      <w:r w:rsidRPr="00795F1B">
        <w:t>10.2.2. Other cultural beliefs about dementia</w:t>
      </w:r>
      <w:bookmarkEnd w:id="242"/>
      <w:bookmarkEnd w:id="243"/>
    </w:p>
    <w:p w14:paraId="66CAE542" w14:textId="76BBCB9B" w:rsidR="007332FB" w:rsidRDefault="007332FB" w:rsidP="006869A3">
      <w:pPr>
        <w:jc w:val="both"/>
        <w:rPr>
          <w:rFonts w:ascii="Times New Roman" w:hAnsi="Times New Roman"/>
          <w:szCs w:val="24"/>
        </w:rPr>
      </w:pPr>
      <w:r w:rsidRPr="00795F1B">
        <w:rPr>
          <w:rFonts w:ascii="Times New Roman" w:hAnsi="Times New Roman"/>
          <w:szCs w:val="24"/>
        </w:rPr>
        <w:t>In addition to considering dementia part of the ageing process, participants also expressed other previously held beliefs. As shown in Table 10.1 below, although two participants had no previous belief about the condition, many of the other participants (n=9) attributed dementia to insanity and imbecility, witchcraft, spiritual affliction, and punishment of PLWD for past misdeeds. These are presented and discussed further in the following subsection.</w:t>
      </w:r>
    </w:p>
    <w:p w14:paraId="71DC36B8" w14:textId="6564A53A" w:rsidR="007332FB" w:rsidRPr="00795F1B" w:rsidRDefault="007332FB" w:rsidP="007332FB">
      <w:pPr>
        <w:rPr>
          <w:rFonts w:ascii="Times New Roman" w:hAnsi="Times New Roman"/>
          <w:szCs w:val="24"/>
        </w:rPr>
      </w:pPr>
      <w:r w:rsidRPr="00795F1B">
        <w:rPr>
          <w:rFonts w:ascii="Times New Roman" w:hAnsi="Times New Roman"/>
          <w:b/>
          <w:bCs/>
          <w:szCs w:val="24"/>
        </w:rPr>
        <w:t>Table 10.1:</w:t>
      </w:r>
      <w:r w:rsidRPr="00795F1B">
        <w:t xml:space="preserve"> </w:t>
      </w:r>
      <w:r w:rsidR="00AF6415">
        <w:rPr>
          <w:rFonts w:ascii="Times New Roman" w:hAnsi="Times New Roman"/>
          <w:b/>
          <w:bCs/>
          <w:szCs w:val="24"/>
        </w:rPr>
        <w:t>Cultural b</w:t>
      </w:r>
      <w:r w:rsidRPr="00795F1B">
        <w:rPr>
          <w:rFonts w:ascii="Times New Roman" w:hAnsi="Times New Roman"/>
          <w:b/>
          <w:bCs/>
          <w:szCs w:val="24"/>
        </w:rPr>
        <w:t>eliefs concerning dementia held by the participants prior to</w:t>
      </w:r>
      <w:r>
        <w:rPr>
          <w:rFonts w:ascii="Times New Roman" w:hAnsi="Times New Roman"/>
          <w:b/>
          <w:bCs/>
          <w:szCs w:val="24"/>
        </w:rPr>
        <w:t xml:space="preserve"> </w:t>
      </w:r>
      <w:r w:rsidRPr="00795F1B">
        <w:rPr>
          <w:rFonts w:ascii="Times New Roman" w:hAnsi="Times New Roman"/>
          <w:b/>
          <w:bCs/>
          <w:szCs w:val="24"/>
        </w:rPr>
        <w:t xml:space="preserve">training </w:t>
      </w:r>
    </w:p>
    <w:tbl>
      <w:tblPr>
        <w:tblStyle w:val="TableGrid"/>
        <w:tblW w:w="9180" w:type="dxa"/>
        <w:tblLook w:val="04A0" w:firstRow="1" w:lastRow="0" w:firstColumn="1" w:lastColumn="0" w:noHBand="0" w:noVBand="1"/>
      </w:tblPr>
      <w:tblGrid>
        <w:gridCol w:w="710"/>
        <w:gridCol w:w="1584"/>
        <w:gridCol w:w="1075"/>
        <w:gridCol w:w="1275"/>
        <w:gridCol w:w="1418"/>
        <w:gridCol w:w="1701"/>
        <w:gridCol w:w="1417"/>
      </w:tblGrid>
      <w:tr w:rsidR="007332FB" w:rsidRPr="00795F1B" w14:paraId="69103AC5" w14:textId="77777777" w:rsidTr="00110D28">
        <w:trPr>
          <w:trHeight w:hRule="exact" w:val="851"/>
        </w:trPr>
        <w:tc>
          <w:tcPr>
            <w:tcW w:w="710" w:type="dxa"/>
          </w:tcPr>
          <w:p w14:paraId="282C2163" w14:textId="77777777" w:rsidR="007332FB" w:rsidRPr="00795F1B" w:rsidRDefault="007332FB" w:rsidP="00110D28">
            <w:pPr>
              <w:spacing w:line="240" w:lineRule="auto"/>
              <w:rPr>
                <w:rFonts w:ascii="Times" w:hAnsi="Times" w:cs="Times"/>
                <w:b/>
                <w:bCs/>
              </w:rPr>
            </w:pPr>
            <w:r w:rsidRPr="00795F1B">
              <w:rPr>
                <w:rFonts w:ascii="Times" w:hAnsi="Times" w:cs="Times"/>
                <w:b/>
                <w:bCs/>
              </w:rPr>
              <w:t>S/No</w:t>
            </w:r>
          </w:p>
        </w:tc>
        <w:tc>
          <w:tcPr>
            <w:tcW w:w="1584" w:type="dxa"/>
          </w:tcPr>
          <w:p w14:paraId="4009A636" w14:textId="77777777" w:rsidR="007332FB" w:rsidRPr="00795F1B" w:rsidRDefault="007332FB" w:rsidP="00110D28">
            <w:pPr>
              <w:spacing w:line="240" w:lineRule="auto"/>
              <w:rPr>
                <w:rFonts w:ascii="Times" w:hAnsi="Times" w:cs="Times"/>
                <w:b/>
                <w:bCs/>
              </w:rPr>
            </w:pPr>
            <w:r w:rsidRPr="00795F1B">
              <w:rPr>
                <w:rFonts w:ascii="Times" w:hAnsi="Times" w:cs="Times"/>
                <w:b/>
                <w:bCs/>
              </w:rPr>
              <w:t>Participants</w:t>
            </w:r>
          </w:p>
        </w:tc>
        <w:tc>
          <w:tcPr>
            <w:tcW w:w="1075" w:type="dxa"/>
          </w:tcPr>
          <w:p w14:paraId="4D3A37E3" w14:textId="77777777" w:rsidR="007332FB" w:rsidRPr="00795F1B" w:rsidRDefault="007332FB" w:rsidP="00110D28">
            <w:pPr>
              <w:spacing w:line="240" w:lineRule="auto"/>
              <w:jc w:val="center"/>
              <w:rPr>
                <w:rFonts w:ascii="Times" w:hAnsi="Times" w:cs="Times"/>
                <w:b/>
                <w:bCs/>
              </w:rPr>
            </w:pPr>
            <w:r w:rsidRPr="00795F1B">
              <w:rPr>
                <w:rFonts w:ascii="Times" w:hAnsi="Times" w:cs="Times"/>
                <w:b/>
                <w:bCs/>
              </w:rPr>
              <w:t>Old age</w:t>
            </w:r>
          </w:p>
        </w:tc>
        <w:tc>
          <w:tcPr>
            <w:tcW w:w="1275" w:type="dxa"/>
          </w:tcPr>
          <w:p w14:paraId="4D7EEA3D" w14:textId="77777777" w:rsidR="007332FB" w:rsidRPr="00795F1B" w:rsidRDefault="007332FB" w:rsidP="00110D28">
            <w:pPr>
              <w:spacing w:line="240" w:lineRule="auto"/>
              <w:rPr>
                <w:rFonts w:ascii="Times" w:hAnsi="Times" w:cs="Times"/>
                <w:b/>
                <w:bCs/>
              </w:rPr>
            </w:pPr>
            <w:r w:rsidRPr="00795F1B">
              <w:rPr>
                <w:rFonts w:ascii="Times" w:hAnsi="Times" w:cs="Times"/>
                <w:b/>
                <w:bCs/>
              </w:rPr>
              <w:t>Insanity and imbecility</w:t>
            </w:r>
          </w:p>
        </w:tc>
        <w:tc>
          <w:tcPr>
            <w:tcW w:w="1418" w:type="dxa"/>
          </w:tcPr>
          <w:p w14:paraId="18ECF9C8" w14:textId="77777777" w:rsidR="007332FB" w:rsidRPr="00795F1B" w:rsidRDefault="007332FB" w:rsidP="00110D28">
            <w:pPr>
              <w:spacing w:line="240" w:lineRule="auto"/>
              <w:rPr>
                <w:rFonts w:ascii="Times" w:hAnsi="Times" w:cs="Times"/>
                <w:b/>
                <w:bCs/>
              </w:rPr>
            </w:pPr>
            <w:r w:rsidRPr="00795F1B">
              <w:rPr>
                <w:rFonts w:ascii="Times" w:hAnsi="Times" w:cs="Times"/>
                <w:b/>
                <w:bCs/>
              </w:rPr>
              <w:t>Witchcraft/ Demonised</w:t>
            </w:r>
          </w:p>
        </w:tc>
        <w:tc>
          <w:tcPr>
            <w:tcW w:w="1701" w:type="dxa"/>
          </w:tcPr>
          <w:p w14:paraId="56373C68" w14:textId="77777777" w:rsidR="007332FB" w:rsidRPr="00795F1B" w:rsidRDefault="007332FB" w:rsidP="00110D28">
            <w:pPr>
              <w:spacing w:line="240" w:lineRule="auto"/>
              <w:rPr>
                <w:rFonts w:ascii="Times" w:hAnsi="Times" w:cs="Times"/>
                <w:b/>
                <w:bCs/>
              </w:rPr>
            </w:pPr>
            <w:r w:rsidRPr="00795F1B">
              <w:rPr>
                <w:rFonts w:ascii="Times" w:hAnsi="Times" w:cs="Times"/>
                <w:b/>
                <w:bCs/>
              </w:rPr>
              <w:t>Punishment for wrongs</w:t>
            </w:r>
          </w:p>
        </w:tc>
        <w:tc>
          <w:tcPr>
            <w:tcW w:w="1417" w:type="dxa"/>
          </w:tcPr>
          <w:p w14:paraId="201537F3" w14:textId="77777777" w:rsidR="007332FB" w:rsidRPr="00795F1B" w:rsidRDefault="007332FB" w:rsidP="00110D28">
            <w:pPr>
              <w:spacing w:line="240" w:lineRule="auto"/>
              <w:rPr>
                <w:rFonts w:ascii="Times" w:hAnsi="Times" w:cs="Times"/>
                <w:b/>
                <w:bCs/>
              </w:rPr>
            </w:pPr>
            <w:r w:rsidRPr="00795F1B">
              <w:rPr>
                <w:rFonts w:ascii="Times" w:hAnsi="Times" w:cs="Times"/>
                <w:b/>
                <w:bCs/>
              </w:rPr>
              <w:t>No specific beliefs</w:t>
            </w:r>
          </w:p>
        </w:tc>
      </w:tr>
      <w:tr w:rsidR="007332FB" w:rsidRPr="00795F1B" w14:paraId="44E5B62B" w14:textId="77777777" w:rsidTr="00110D28">
        <w:trPr>
          <w:trHeight w:hRule="exact" w:val="397"/>
        </w:trPr>
        <w:tc>
          <w:tcPr>
            <w:tcW w:w="710" w:type="dxa"/>
          </w:tcPr>
          <w:p w14:paraId="2EAB7B13" w14:textId="77777777" w:rsidR="007332FB" w:rsidRPr="00795F1B" w:rsidRDefault="007332FB" w:rsidP="00110D28">
            <w:pPr>
              <w:spacing w:line="240" w:lineRule="auto"/>
              <w:rPr>
                <w:rFonts w:ascii="Times" w:hAnsi="Times" w:cs="Times"/>
              </w:rPr>
            </w:pPr>
            <w:r w:rsidRPr="00795F1B">
              <w:rPr>
                <w:rFonts w:ascii="Times" w:hAnsi="Times" w:cs="Times"/>
              </w:rPr>
              <w:t>1.</w:t>
            </w:r>
          </w:p>
        </w:tc>
        <w:tc>
          <w:tcPr>
            <w:tcW w:w="1584" w:type="dxa"/>
          </w:tcPr>
          <w:p w14:paraId="039D43C6" w14:textId="77777777" w:rsidR="007332FB" w:rsidRPr="00795F1B" w:rsidRDefault="007332FB" w:rsidP="00110D28">
            <w:pPr>
              <w:spacing w:line="240" w:lineRule="auto"/>
              <w:rPr>
                <w:rFonts w:ascii="Times" w:hAnsi="Times" w:cs="Times"/>
              </w:rPr>
            </w:pPr>
            <w:r w:rsidRPr="00795F1B">
              <w:t>Adams</w:t>
            </w:r>
          </w:p>
        </w:tc>
        <w:tc>
          <w:tcPr>
            <w:tcW w:w="1075" w:type="dxa"/>
          </w:tcPr>
          <w:p w14:paraId="433DBB6D"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324C1CCA" w14:textId="77777777" w:rsidR="007332FB" w:rsidRPr="00795F1B" w:rsidRDefault="007332FB" w:rsidP="00110D28">
            <w:pPr>
              <w:spacing w:line="240" w:lineRule="auto"/>
              <w:rPr>
                <w:rFonts w:ascii="Times" w:hAnsi="Times" w:cs="Times"/>
              </w:rPr>
            </w:pPr>
            <w:r w:rsidRPr="00795F1B">
              <w:rPr>
                <w:noProof/>
              </w:rPr>
              <w:drawing>
                <wp:inline distT="0" distB="0" distL="0" distR="0" wp14:anchorId="286AEE57" wp14:editId="29463781">
                  <wp:extent cx="200025" cy="180975"/>
                  <wp:effectExtent l="0" t="0" r="9525" b="9525"/>
                  <wp:docPr id="12" name="Picture 12" descr="P2572C11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P2572C11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18" w:type="dxa"/>
          </w:tcPr>
          <w:p w14:paraId="2CF94335"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71940937"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57326F53"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4F274C2F" w14:textId="77777777" w:rsidTr="00110D28">
        <w:trPr>
          <w:trHeight w:hRule="exact" w:val="397"/>
        </w:trPr>
        <w:tc>
          <w:tcPr>
            <w:tcW w:w="710" w:type="dxa"/>
          </w:tcPr>
          <w:p w14:paraId="3B8A627E" w14:textId="77777777" w:rsidR="007332FB" w:rsidRPr="00795F1B" w:rsidRDefault="007332FB" w:rsidP="00110D28">
            <w:pPr>
              <w:spacing w:line="240" w:lineRule="auto"/>
              <w:rPr>
                <w:rFonts w:ascii="Times" w:hAnsi="Times" w:cs="Times"/>
              </w:rPr>
            </w:pPr>
            <w:r w:rsidRPr="00795F1B">
              <w:rPr>
                <w:rFonts w:ascii="Times" w:hAnsi="Times" w:cs="Times"/>
              </w:rPr>
              <w:t>2.</w:t>
            </w:r>
          </w:p>
        </w:tc>
        <w:tc>
          <w:tcPr>
            <w:tcW w:w="1584" w:type="dxa"/>
          </w:tcPr>
          <w:p w14:paraId="46F15191" w14:textId="77777777" w:rsidR="007332FB" w:rsidRPr="00795F1B" w:rsidRDefault="007332FB" w:rsidP="00110D28">
            <w:pPr>
              <w:spacing w:line="240" w:lineRule="auto"/>
              <w:rPr>
                <w:rFonts w:ascii="Times" w:hAnsi="Times" w:cs="Times"/>
              </w:rPr>
            </w:pPr>
            <w:r w:rsidRPr="00795F1B">
              <w:t>Ademola</w:t>
            </w:r>
          </w:p>
        </w:tc>
        <w:tc>
          <w:tcPr>
            <w:tcW w:w="1075" w:type="dxa"/>
          </w:tcPr>
          <w:p w14:paraId="32D300B1" w14:textId="77777777" w:rsidR="007332FB" w:rsidRPr="00795F1B" w:rsidRDefault="007332FB" w:rsidP="00110D28">
            <w:pPr>
              <w:spacing w:line="240" w:lineRule="auto"/>
              <w:rPr>
                <w:rFonts w:ascii="Times" w:hAnsi="Times" w:cs="Times"/>
              </w:rPr>
            </w:pPr>
            <w:r w:rsidRPr="00795F1B">
              <w:rPr>
                <w:noProof/>
              </w:rPr>
              <w:drawing>
                <wp:inline distT="0" distB="0" distL="0" distR="0" wp14:anchorId="05CC16AD" wp14:editId="018E90EA">
                  <wp:extent cx="200025" cy="180975"/>
                  <wp:effectExtent l="0" t="0" r="9525" b="9525"/>
                  <wp:docPr id="9" name="Picture 9" descr="P2579C17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2579C17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63CE580C"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7E14A4B7"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78FFF0F2"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0DCB667C"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1697AECE" w14:textId="77777777" w:rsidTr="00110D28">
        <w:trPr>
          <w:trHeight w:hRule="exact" w:val="397"/>
        </w:trPr>
        <w:tc>
          <w:tcPr>
            <w:tcW w:w="710" w:type="dxa"/>
          </w:tcPr>
          <w:p w14:paraId="31A27633" w14:textId="77777777" w:rsidR="007332FB" w:rsidRPr="00795F1B" w:rsidRDefault="007332FB" w:rsidP="00110D28">
            <w:pPr>
              <w:spacing w:line="240" w:lineRule="auto"/>
              <w:rPr>
                <w:rFonts w:ascii="Times" w:hAnsi="Times" w:cs="Times"/>
              </w:rPr>
            </w:pPr>
            <w:r w:rsidRPr="00795F1B">
              <w:rPr>
                <w:rFonts w:ascii="Times" w:hAnsi="Times" w:cs="Times"/>
              </w:rPr>
              <w:t>3.</w:t>
            </w:r>
          </w:p>
        </w:tc>
        <w:tc>
          <w:tcPr>
            <w:tcW w:w="1584" w:type="dxa"/>
          </w:tcPr>
          <w:p w14:paraId="409D552C" w14:textId="77777777" w:rsidR="007332FB" w:rsidRPr="00795F1B" w:rsidRDefault="007332FB" w:rsidP="00110D28">
            <w:pPr>
              <w:spacing w:line="240" w:lineRule="auto"/>
              <w:rPr>
                <w:rFonts w:ascii="Times" w:hAnsi="Times" w:cs="Times"/>
              </w:rPr>
            </w:pPr>
            <w:r w:rsidRPr="00795F1B">
              <w:t>Bernard</w:t>
            </w:r>
          </w:p>
        </w:tc>
        <w:tc>
          <w:tcPr>
            <w:tcW w:w="1075" w:type="dxa"/>
          </w:tcPr>
          <w:p w14:paraId="6ED9603C" w14:textId="77777777" w:rsidR="007332FB" w:rsidRPr="00795F1B" w:rsidRDefault="007332FB" w:rsidP="00110D28">
            <w:pPr>
              <w:spacing w:line="240" w:lineRule="auto"/>
              <w:rPr>
                <w:rFonts w:ascii="Times" w:hAnsi="Times" w:cs="Times"/>
              </w:rPr>
            </w:pPr>
            <w:r w:rsidRPr="00795F1B">
              <w:rPr>
                <w:noProof/>
              </w:rPr>
              <w:drawing>
                <wp:inline distT="0" distB="0" distL="0" distR="0" wp14:anchorId="555A1EF9" wp14:editId="7D63189C">
                  <wp:extent cx="200025" cy="180975"/>
                  <wp:effectExtent l="0" t="0" r="9525" b="9525"/>
                  <wp:docPr id="2" name="Picture 2" descr="P2587C24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2587C24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244DC32D"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5645660B"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3F68A5E3"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2CB0D2E7"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7C3B0BF2" w14:textId="77777777" w:rsidTr="00110D28">
        <w:trPr>
          <w:trHeight w:hRule="exact" w:val="397"/>
        </w:trPr>
        <w:tc>
          <w:tcPr>
            <w:tcW w:w="710" w:type="dxa"/>
          </w:tcPr>
          <w:p w14:paraId="5419C1DE" w14:textId="77777777" w:rsidR="007332FB" w:rsidRPr="00795F1B" w:rsidRDefault="007332FB" w:rsidP="00110D28">
            <w:pPr>
              <w:spacing w:line="240" w:lineRule="auto"/>
              <w:rPr>
                <w:rFonts w:ascii="Times" w:hAnsi="Times" w:cs="Times"/>
              </w:rPr>
            </w:pPr>
            <w:r w:rsidRPr="00795F1B">
              <w:rPr>
                <w:rFonts w:ascii="Times" w:hAnsi="Times" w:cs="Times"/>
              </w:rPr>
              <w:t>4.</w:t>
            </w:r>
          </w:p>
        </w:tc>
        <w:tc>
          <w:tcPr>
            <w:tcW w:w="1584" w:type="dxa"/>
          </w:tcPr>
          <w:p w14:paraId="7B2F41DA" w14:textId="77777777" w:rsidR="007332FB" w:rsidRPr="00795F1B" w:rsidRDefault="007332FB" w:rsidP="00110D28">
            <w:pPr>
              <w:spacing w:line="240" w:lineRule="auto"/>
              <w:rPr>
                <w:rFonts w:ascii="Times" w:hAnsi="Times" w:cs="Times"/>
              </w:rPr>
            </w:pPr>
            <w:r w:rsidRPr="00795F1B">
              <w:t>Bosede</w:t>
            </w:r>
          </w:p>
        </w:tc>
        <w:tc>
          <w:tcPr>
            <w:tcW w:w="1075" w:type="dxa"/>
          </w:tcPr>
          <w:p w14:paraId="5EFE5116"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5D79B3CC"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20F38E26"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3AA11701"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50FC5AFA" w14:textId="77777777" w:rsidR="007332FB" w:rsidRPr="00795F1B" w:rsidRDefault="007332FB" w:rsidP="00110D28">
            <w:pPr>
              <w:spacing w:line="240" w:lineRule="auto"/>
              <w:rPr>
                <w:rFonts w:ascii="Times" w:hAnsi="Times" w:cs="Times"/>
              </w:rPr>
            </w:pPr>
            <w:r w:rsidRPr="00795F1B">
              <w:rPr>
                <w:noProof/>
              </w:rPr>
              <w:drawing>
                <wp:inline distT="0" distB="0" distL="0" distR="0" wp14:anchorId="5DB42263" wp14:editId="62982AC5">
                  <wp:extent cx="200025" cy="180975"/>
                  <wp:effectExtent l="0" t="0" r="9525" b="9525"/>
                  <wp:docPr id="10" name="Picture 10" descr="P2599C35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2599C35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7332FB" w:rsidRPr="00795F1B" w14:paraId="78F15ECB" w14:textId="77777777" w:rsidTr="00110D28">
        <w:trPr>
          <w:trHeight w:hRule="exact" w:val="397"/>
        </w:trPr>
        <w:tc>
          <w:tcPr>
            <w:tcW w:w="710" w:type="dxa"/>
          </w:tcPr>
          <w:p w14:paraId="00464F09" w14:textId="77777777" w:rsidR="007332FB" w:rsidRPr="00795F1B" w:rsidRDefault="007332FB" w:rsidP="00110D28">
            <w:pPr>
              <w:spacing w:line="240" w:lineRule="auto"/>
              <w:rPr>
                <w:rFonts w:ascii="Times" w:hAnsi="Times" w:cs="Times"/>
              </w:rPr>
            </w:pPr>
            <w:r w:rsidRPr="00795F1B">
              <w:rPr>
                <w:rFonts w:ascii="Times" w:hAnsi="Times" w:cs="Times"/>
              </w:rPr>
              <w:t>5.</w:t>
            </w:r>
          </w:p>
        </w:tc>
        <w:tc>
          <w:tcPr>
            <w:tcW w:w="1584" w:type="dxa"/>
          </w:tcPr>
          <w:p w14:paraId="2452B329" w14:textId="77777777" w:rsidR="007332FB" w:rsidRPr="00795F1B" w:rsidRDefault="007332FB" w:rsidP="00110D28">
            <w:pPr>
              <w:spacing w:line="240" w:lineRule="auto"/>
              <w:rPr>
                <w:rFonts w:ascii="Times" w:hAnsi="Times" w:cs="Times"/>
              </w:rPr>
            </w:pPr>
            <w:r w:rsidRPr="00795F1B">
              <w:t>Cynthia</w:t>
            </w:r>
          </w:p>
        </w:tc>
        <w:tc>
          <w:tcPr>
            <w:tcW w:w="1075" w:type="dxa"/>
          </w:tcPr>
          <w:p w14:paraId="13AFE9CA" w14:textId="77777777" w:rsidR="007332FB" w:rsidRPr="00795F1B" w:rsidRDefault="007332FB" w:rsidP="00110D28">
            <w:pPr>
              <w:spacing w:line="240" w:lineRule="auto"/>
              <w:rPr>
                <w:rFonts w:ascii="Times" w:hAnsi="Times" w:cs="Times"/>
              </w:rPr>
            </w:pPr>
            <w:r w:rsidRPr="00795F1B">
              <w:rPr>
                <w:noProof/>
              </w:rPr>
              <w:drawing>
                <wp:inline distT="0" distB="0" distL="0" distR="0" wp14:anchorId="02ADBC9C" wp14:editId="5E295582">
                  <wp:extent cx="200025" cy="180975"/>
                  <wp:effectExtent l="0" t="0" r="9525" b="9525"/>
                  <wp:docPr id="22" name="Picture 22" descr="P2603C3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2603C3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5EA8AD98"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08187770"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2DAAC7A6"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0BB9FB7B"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1A95C66B" w14:textId="77777777" w:rsidTr="00110D28">
        <w:trPr>
          <w:trHeight w:hRule="exact" w:val="397"/>
        </w:trPr>
        <w:tc>
          <w:tcPr>
            <w:tcW w:w="710" w:type="dxa"/>
          </w:tcPr>
          <w:p w14:paraId="5ECE8C07" w14:textId="77777777" w:rsidR="007332FB" w:rsidRPr="00795F1B" w:rsidRDefault="007332FB" w:rsidP="00110D28">
            <w:pPr>
              <w:spacing w:line="240" w:lineRule="auto"/>
              <w:rPr>
                <w:rFonts w:ascii="Times" w:hAnsi="Times" w:cs="Times"/>
              </w:rPr>
            </w:pPr>
            <w:r w:rsidRPr="00795F1B">
              <w:rPr>
                <w:rFonts w:ascii="Times" w:hAnsi="Times" w:cs="Times"/>
              </w:rPr>
              <w:t>6.</w:t>
            </w:r>
          </w:p>
        </w:tc>
        <w:tc>
          <w:tcPr>
            <w:tcW w:w="1584" w:type="dxa"/>
          </w:tcPr>
          <w:p w14:paraId="34DED32B" w14:textId="77777777" w:rsidR="007332FB" w:rsidRPr="00795F1B" w:rsidRDefault="007332FB" w:rsidP="00110D28">
            <w:pPr>
              <w:spacing w:line="240" w:lineRule="auto"/>
              <w:rPr>
                <w:rFonts w:ascii="Times" w:hAnsi="Times" w:cs="Times"/>
              </w:rPr>
            </w:pPr>
            <w:r w:rsidRPr="00795F1B">
              <w:t>Dankay***</w:t>
            </w:r>
          </w:p>
        </w:tc>
        <w:tc>
          <w:tcPr>
            <w:tcW w:w="1075" w:type="dxa"/>
          </w:tcPr>
          <w:p w14:paraId="6357DE4D"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3CF82D54"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17EFC4F0" w14:textId="77777777" w:rsidR="007332FB" w:rsidRPr="00795F1B" w:rsidRDefault="007332FB" w:rsidP="00110D28">
            <w:pPr>
              <w:spacing w:line="240" w:lineRule="auto"/>
              <w:rPr>
                <w:rFonts w:ascii="Times" w:hAnsi="Times" w:cs="Times"/>
              </w:rPr>
            </w:pPr>
            <w:r w:rsidRPr="00795F1B">
              <w:rPr>
                <w:noProof/>
              </w:rPr>
              <w:drawing>
                <wp:inline distT="0" distB="0" distL="0" distR="0" wp14:anchorId="72C235D7" wp14:editId="1F98733E">
                  <wp:extent cx="200025" cy="180975"/>
                  <wp:effectExtent l="0" t="0" r="9525" b="9525"/>
                  <wp:docPr id="18" name="Picture 18" descr="P2613C47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2613C47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(1)</w:t>
            </w:r>
          </w:p>
        </w:tc>
        <w:tc>
          <w:tcPr>
            <w:tcW w:w="1701" w:type="dxa"/>
          </w:tcPr>
          <w:p w14:paraId="6462E15C" w14:textId="77777777" w:rsidR="007332FB" w:rsidRPr="00795F1B" w:rsidRDefault="007332FB" w:rsidP="00110D28">
            <w:pPr>
              <w:spacing w:line="240" w:lineRule="auto"/>
              <w:rPr>
                <w:rFonts w:ascii="Times" w:hAnsi="Times" w:cs="Times"/>
              </w:rPr>
            </w:pPr>
            <w:r w:rsidRPr="00795F1B">
              <w:rPr>
                <w:noProof/>
              </w:rPr>
              <w:drawing>
                <wp:inline distT="0" distB="0" distL="0" distR="0" wp14:anchorId="3689C7FF" wp14:editId="5ECA5D7F">
                  <wp:extent cx="200025" cy="180975"/>
                  <wp:effectExtent l="0" t="0" r="9525" b="9525"/>
                  <wp:docPr id="26" name="Picture 26" descr="P2614C4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2614C4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(2)</w:t>
            </w:r>
          </w:p>
        </w:tc>
        <w:tc>
          <w:tcPr>
            <w:tcW w:w="1417" w:type="dxa"/>
          </w:tcPr>
          <w:p w14:paraId="406C6CC6"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691AC3C3" w14:textId="77777777" w:rsidTr="00110D28">
        <w:trPr>
          <w:trHeight w:hRule="exact" w:val="397"/>
        </w:trPr>
        <w:tc>
          <w:tcPr>
            <w:tcW w:w="710" w:type="dxa"/>
          </w:tcPr>
          <w:p w14:paraId="7EE9AC37" w14:textId="77777777" w:rsidR="007332FB" w:rsidRPr="00795F1B" w:rsidRDefault="007332FB" w:rsidP="00110D28">
            <w:pPr>
              <w:spacing w:line="240" w:lineRule="auto"/>
              <w:rPr>
                <w:rFonts w:ascii="Times" w:hAnsi="Times" w:cs="Times"/>
              </w:rPr>
            </w:pPr>
            <w:r w:rsidRPr="00795F1B">
              <w:rPr>
                <w:rFonts w:ascii="Times" w:hAnsi="Times" w:cs="Times"/>
              </w:rPr>
              <w:t>7.</w:t>
            </w:r>
          </w:p>
        </w:tc>
        <w:tc>
          <w:tcPr>
            <w:tcW w:w="1584" w:type="dxa"/>
          </w:tcPr>
          <w:p w14:paraId="6580C6C5" w14:textId="77777777" w:rsidR="007332FB" w:rsidRPr="00795F1B" w:rsidRDefault="007332FB" w:rsidP="00110D28">
            <w:pPr>
              <w:spacing w:line="240" w:lineRule="auto"/>
              <w:rPr>
                <w:rFonts w:ascii="Times" w:hAnsi="Times" w:cs="Times"/>
              </w:rPr>
            </w:pPr>
            <w:r w:rsidRPr="00795F1B">
              <w:t>Doris</w:t>
            </w:r>
          </w:p>
        </w:tc>
        <w:tc>
          <w:tcPr>
            <w:tcW w:w="1075" w:type="dxa"/>
          </w:tcPr>
          <w:p w14:paraId="18565919" w14:textId="77777777" w:rsidR="007332FB" w:rsidRPr="00795F1B" w:rsidRDefault="007332FB" w:rsidP="00110D28">
            <w:pPr>
              <w:spacing w:line="240" w:lineRule="auto"/>
              <w:rPr>
                <w:rFonts w:ascii="Times" w:hAnsi="Times" w:cs="Times"/>
              </w:rPr>
            </w:pPr>
            <w:r w:rsidRPr="00795F1B">
              <w:rPr>
                <w:noProof/>
              </w:rPr>
              <w:drawing>
                <wp:inline distT="0" distB="0" distL="0" distR="0" wp14:anchorId="1471C581" wp14:editId="6BB29CB5">
                  <wp:extent cx="200025" cy="180975"/>
                  <wp:effectExtent l="0" t="0" r="9525" b="9525"/>
                  <wp:docPr id="29" name="Picture 29" descr="P2619C52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2619C52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43A4CC47"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243DA27A" w14:textId="77777777" w:rsidR="007332FB" w:rsidRPr="00795F1B" w:rsidRDefault="007332FB" w:rsidP="00110D28">
            <w:pPr>
              <w:spacing w:line="240" w:lineRule="auto"/>
              <w:rPr>
                <w:rFonts w:ascii="Times" w:hAnsi="Times" w:cs="Times"/>
              </w:rPr>
            </w:pPr>
          </w:p>
        </w:tc>
        <w:tc>
          <w:tcPr>
            <w:tcW w:w="1701" w:type="dxa"/>
          </w:tcPr>
          <w:p w14:paraId="6B8EDE43"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62F1962A"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2ED4FD40" w14:textId="77777777" w:rsidTr="00110D28">
        <w:trPr>
          <w:trHeight w:hRule="exact" w:val="397"/>
        </w:trPr>
        <w:tc>
          <w:tcPr>
            <w:tcW w:w="710" w:type="dxa"/>
          </w:tcPr>
          <w:p w14:paraId="42D50F5E" w14:textId="77777777" w:rsidR="007332FB" w:rsidRPr="00795F1B" w:rsidRDefault="007332FB" w:rsidP="00110D28">
            <w:pPr>
              <w:spacing w:line="240" w:lineRule="auto"/>
              <w:rPr>
                <w:rFonts w:ascii="Times" w:hAnsi="Times" w:cs="Times"/>
              </w:rPr>
            </w:pPr>
            <w:r w:rsidRPr="00795F1B">
              <w:rPr>
                <w:rFonts w:ascii="Times" w:hAnsi="Times" w:cs="Times"/>
              </w:rPr>
              <w:lastRenderedPageBreak/>
              <w:t>8.</w:t>
            </w:r>
          </w:p>
        </w:tc>
        <w:tc>
          <w:tcPr>
            <w:tcW w:w="1584" w:type="dxa"/>
          </w:tcPr>
          <w:p w14:paraId="02BB68D6" w14:textId="77777777" w:rsidR="007332FB" w:rsidRPr="00795F1B" w:rsidRDefault="007332FB" w:rsidP="00110D28">
            <w:pPr>
              <w:spacing w:line="240" w:lineRule="auto"/>
              <w:rPr>
                <w:rFonts w:ascii="Times" w:hAnsi="Times" w:cs="Times"/>
              </w:rPr>
            </w:pPr>
            <w:r w:rsidRPr="00795F1B">
              <w:t>Folashade</w:t>
            </w:r>
          </w:p>
        </w:tc>
        <w:tc>
          <w:tcPr>
            <w:tcW w:w="1075" w:type="dxa"/>
          </w:tcPr>
          <w:p w14:paraId="6AB18B7E"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384151FE"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3CF3595C" w14:textId="77777777" w:rsidR="007332FB" w:rsidRPr="00795F1B" w:rsidRDefault="007332FB" w:rsidP="00110D28">
            <w:pPr>
              <w:spacing w:line="240" w:lineRule="auto"/>
              <w:rPr>
                <w:rFonts w:ascii="Times" w:hAnsi="Times" w:cs="Times"/>
              </w:rPr>
            </w:pPr>
            <w:r w:rsidRPr="00795F1B">
              <w:rPr>
                <w:noProof/>
              </w:rPr>
              <w:drawing>
                <wp:inline distT="0" distB="0" distL="0" distR="0" wp14:anchorId="3E32CA75" wp14:editId="3D8DCA56">
                  <wp:extent cx="200025" cy="180975"/>
                  <wp:effectExtent l="0" t="0" r="9525" b="9525"/>
                  <wp:docPr id="25" name="Picture 25" descr="P2629C61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2629C61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701" w:type="dxa"/>
          </w:tcPr>
          <w:p w14:paraId="5EB80153"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5417C45D"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191332F4" w14:textId="77777777" w:rsidTr="00110D28">
        <w:trPr>
          <w:trHeight w:hRule="exact" w:val="397"/>
        </w:trPr>
        <w:tc>
          <w:tcPr>
            <w:tcW w:w="710" w:type="dxa"/>
          </w:tcPr>
          <w:p w14:paraId="3C045572" w14:textId="77777777" w:rsidR="007332FB" w:rsidRPr="00795F1B" w:rsidRDefault="007332FB" w:rsidP="00110D28">
            <w:pPr>
              <w:spacing w:line="240" w:lineRule="auto"/>
              <w:rPr>
                <w:rFonts w:ascii="Times" w:hAnsi="Times" w:cs="Times"/>
              </w:rPr>
            </w:pPr>
            <w:r w:rsidRPr="00795F1B">
              <w:rPr>
                <w:rFonts w:ascii="Times" w:hAnsi="Times" w:cs="Times"/>
              </w:rPr>
              <w:t>9.</w:t>
            </w:r>
          </w:p>
        </w:tc>
        <w:tc>
          <w:tcPr>
            <w:tcW w:w="1584" w:type="dxa"/>
          </w:tcPr>
          <w:p w14:paraId="0D4EBE0D" w14:textId="77777777" w:rsidR="007332FB" w:rsidRPr="00795F1B" w:rsidRDefault="007332FB" w:rsidP="00110D28">
            <w:pPr>
              <w:spacing w:line="240" w:lineRule="auto"/>
              <w:rPr>
                <w:rFonts w:ascii="Times" w:hAnsi="Times" w:cs="Times"/>
              </w:rPr>
            </w:pPr>
            <w:r w:rsidRPr="00795F1B">
              <w:t>Jackie</w:t>
            </w:r>
          </w:p>
        </w:tc>
        <w:tc>
          <w:tcPr>
            <w:tcW w:w="1075" w:type="dxa"/>
          </w:tcPr>
          <w:p w14:paraId="20DD9EB7" w14:textId="77777777" w:rsidR="007332FB" w:rsidRPr="00795F1B" w:rsidRDefault="007332FB" w:rsidP="00110D28">
            <w:pPr>
              <w:spacing w:line="240" w:lineRule="auto"/>
              <w:rPr>
                <w:rFonts w:ascii="Times" w:hAnsi="Times" w:cs="Times"/>
              </w:rPr>
            </w:pPr>
            <w:r w:rsidRPr="00795F1B">
              <w:rPr>
                <w:noProof/>
              </w:rPr>
              <w:drawing>
                <wp:inline distT="0" distB="0" distL="0" distR="0" wp14:anchorId="03982B4C" wp14:editId="7FC1C538">
                  <wp:extent cx="200025" cy="180975"/>
                  <wp:effectExtent l="0" t="0" r="9525" b="9525"/>
                  <wp:docPr id="249" name="Picture 249" descr="P2635C66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P2635C66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711E897A"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3B8CF399"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296A0C2D"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6461DAC9"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30EF4AF3" w14:textId="77777777" w:rsidTr="00110D28">
        <w:trPr>
          <w:trHeight w:hRule="exact" w:val="397"/>
        </w:trPr>
        <w:tc>
          <w:tcPr>
            <w:tcW w:w="710" w:type="dxa"/>
          </w:tcPr>
          <w:p w14:paraId="10967DA1" w14:textId="77777777" w:rsidR="007332FB" w:rsidRPr="00795F1B" w:rsidRDefault="007332FB" w:rsidP="00110D28">
            <w:pPr>
              <w:spacing w:line="240" w:lineRule="auto"/>
              <w:rPr>
                <w:rFonts w:ascii="Times" w:hAnsi="Times" w:cs="Times"/>
              </w:rPr>
            </w:pPr>
            <w:r w:rsidRPr="00795F1B">
              <w:rPr>
                <w:rFonts w:ascii="Times" w:hAnsi="Times" w:cs="Times"/>
              </w:rPr>
              <w:t>10.</w:t>
            </w:r>
          </w:p>
        </w:tc>
        <w:tc>
          <w:tcPr>
            <w:tcW w:w="1584" w:type="dxa"/>
          </w:tcPr>
          <w:p w14:paraId="785E4BCC" w14:textId="77777777" w:rsidR="007332FB" w:rsidRPr="00795F1B" w:rsidRDefault="007332FB" w:rsidP="00110D28">
            <w:pPr>
              <w:spacing w:line="240" w:lineRule="auto"/>
              <w:rPr>
                <w:rFonts w:ascii="Times" w:hAnsi="Times" w:cs="Times"/>
              </w:rPr>
            </w:pPr>
            <w:r w:rsidRPr="00795F1B">
              <w:t>Jane</w:t>
            </w:r>
          </w:p>
        </w:tc>
        <w:tc>
          <w:tcPr>
            <w:tcW w:w="1075" w:type="dxa"/>
          </w:tcPr>
          <w:p w14:paraId="548EC7CB" w14:textId="77777777" w:rsidR="007332FB" w:rsidRPr="00795F1B" w:rsidRDefault="007332FB" w:rsidP="00110D28">
            <w:pPr>
              <w:spacing w:line="240" w:lineRule="auto"/>
              <w:rPr>
                <w:rFonts w:ascii="Times" w:hAnsi="Times" w:cs="Times"/>
              </w:rPr>
            </w:pPr>
            <w:r w:rsidRPr="00795F1B">
              <w:rPr>
                <w:noProof/>
              </w:rPr>
              <w:drawing>
                <wp:inline distT="0" distB="0" distL="0" distR="0" wp14:anchorId="47B7E18A" wp14:editId="7454500F">
                  <wp:extent cx="200025" cy="180975"/>
                  <wp:effectExtent l="0" t="0" r="9525" b="9525"/>
                  <wp:docPr id="27" name="Picture 27" descr="P2643C73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2643C73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0493AC2A"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30406C93"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3292086A"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27598926"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6CACCBC2" w14:textId="77777777" w:rsidTr="00110D28">
        <w:trPr>
          <w:trHeight w:hRule="exact" w:val="397"/>
        </w:trPr>
        <w:tc>
          <w:tcPr>
            <w:tcW w:w="710" w:type="dxa"/>
          </w:tcPr>
          <w:p w14:paraId="671B2571" w14:textId="77777777" w:rsidR="007332FB" w:rsidRPr="00795F1B" w:rsidRDefault="007332FB" w:rsidP="00110D28">
            <w:pPr>
              <w:spacing w:line="240" w:lineRule="auto"/>
              <w:rPr>
                <w:rFonts w:ascii="Times" w:hAnsi="Times" w:cs="Times"/>
              </w:rPr>
            </w:pPr>
            <w:r w:rsidRPr="00795F1B">
              <w:rPr>
                <w:rFonts w:ascii="Times" w:hAnsi="Times" w:cs="Times"/>
              </w:rPr>
              <w:t>11.</w:t>
            </w:r>
          </w:p>
        </w:tc>
        <w:tc>
          <w:tcPr>
            <w:tcW w:w="1584" w:type="dxa"/>
          </w:tcPr>
          <w:p w14:paraId="17783FBD" w14:textId="77777777" w:rsidR="007332FB" w:rsidRPr="00795F1B" w:rsidRDefault="007332FB" w:rsidP="00110D28">
            <w:pPr>
              <w:spacing w:line="240" w:lineRule="auto"/>
              <w:rPr>
                <w:rFonts w:ascii="Times" w:hAnsi="Times" w:cs="Times"/>
              </w:rPr>
            </w:pPr>
            <w:r w:rsidRPr="00795F1B">
              <w:t>Jeff</w:t>
            </w:r>
          </w:p>
        </w:tc>
        <w:tc>
          <w:tcPr>
            <w:tcW w:w="1075" w:type="dxa"/>
          </w:tcPr>
          <w:p w14:paraId="7B31E769"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4487985C"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20ECECF2"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3C4ACC7E"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1C93C9AE" w14:textId="77777777" w:rsidR="007332FB" w:rsidRPr="00795F1B" w:rsidRDefault="007332FB" w:rsidP="00110D28">
            <w:pPr>
              <w:spacing w:line="240" w:lineRule="auto"/>
              <w:rPr>
                <w:rFonts w:ascii="Times" w:hAnsi="Times" w:cs="Times"/>
              </w:rPr>
            </w:pPr>
            <w:r w:rsidRPr="00795F1B">
              <w:rPr>
                <w:noProof/>
              </w:rPr>
              <w:drawing>
                <wp:inline distT="0" distB="0" distL="0" distR="0" wp14:anchorId="619042FD" wp14:editId="7666C158">
                  <wp:extent cx="200025" cy="180975"/>
                  <wp:effectExtent l="0" t="0" r="9525" b="9525"/>
                  <wp:docPr id="11" name="Picture 11" descr="P2655C84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2655C84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7332FB" w:rsidRPr="00795F1B" w14:paraId="46350410" w14:textId="77777777" w:rsidTr="00110D28">
        <w:trPr>
          <w:trHeight w:hRule="exact" w:val="397"/>
        </w:trPr>
        <w:tc>
          <w:tcPr>
            <w:tcW w:w="710" w:type="dxa"/>
          </w:tcPr>
          <w:p w14:paraId="3C11D07B" w14:textId="77777777" w:rsidR="007332FB" w:rsidRPr="00795F1B" w:rsidRDefault="007332FB" w:rsidP="00110D28">
            <w:pPr>
              <w:spacing w:line="240" w:lineRule="auto"/>
              <w:rPr>
                <w:rFonts w:ascii="Times" w:hAnsi="Times" w:cs="Times"/>
              </w:rPr>
            </w:pPr>
            <w:r w:rsidRPr="00795F1B">
              <w:rPr>
                <w:rFonts w:ascii="Times" w:hAnsi="Times" w:cs="Times"/>
              </w:rPr>
              <w:t>12.</w:t>
            </w:r>
          </w:p>
        </w:tc>
        <w:tc>
          <w:tcPr>
            <w:tcW w:w="1584" w:type="dxa"/>
          </w:tcPr>
          <w:p w14:paraId="1277D408" w14:textId="77777777" w:rsidR="007332FB" w:rsidRPr="00795F1B" w:rsidRDefault="007332FB" w:rsidP="00110D28">
            <w:pPr>
              <w:spacing w:line="240" w:lineRule="auto"/>
              <w:rPr>
                <w:rFonts w:ascii="Times" w:hAnsi="Times" w:cs="Times"/>
              </w:rPr>
            </w:pPr>
            <w:r w:rsidRPr="00795F1B">
              <w:t>John</w:t>
            </w:r>
          </w:p>
        </w:tc>
        <w:tc>
          <w:tcPr>
            <w:tcW w:w="1075" w:type="dxa"/>
          </w:tcPr>
          <w:p w14:paraId="1A0DE61D"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2241AAA6" w14:textId="77777777" w:rsidR="007332FB" w:rsidRPr="00795F1B" w:rsidRDefault="007332FB" w:rsidP="00110D28">
            <w:pPr>
              <w:spacing w:line="240" w:lineRule="auto"/>
              <w:rPr>
                <w:rFonts w:ascii="Times" w:hAnsi="Times" w:cs="Times"/>
              </w:rPr>
            </w:pPr>
            <w:r w:rsidRPr="00795F1B">
              <w:rPr>
                <w:noProof/>
              </w:rPr>
              <w:drawing>
                <wp:inline distT="0" distB="0" distL="0" distR="0" wp14:anchorId="5F143A36" wp14:editId="260A2387">
                  <wp:extent cx="200025" cy="180975"/>
                  <wp:effectExtent l="0" t="0" r="9525" b="9525"/>
                  <wp:docPr id="13" name="Picture 13" descr="P2660C8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2660C8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418" w:type="dxa"/>
          </w:tcPr>
          <w:p w14:paraId="4C3C5A0D"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425783F5"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326E22AD"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0DED56D3" w14:textId="77777777" w:rsidTr="00110D28">
        <w:trPr>
          <w:trHeight w:hRule="exact" w:val="397"/>
        </w:trPr>
        <w:tc>
          <w:tcPr>
            <w:tcW w:w="710" w:type="dxa"/>
          </w:tcPr>
          <w:p w14:paraId="7AE9C302" w14:textId="77777777" w:rsidR="007332FB" w:rsidRPr="00795F1B" w:rsidRDefault="007332FB" w:rsidP="00110D28">
            <w:pPr>
              <w:spacing w:line="240" w:lineRule="auto"/>
              <w:rPr>
                <w:rFonts w:ascii="Times" w:hAnsi="Times" w:cs="Times"/>
              </w:rPr>
            </w:pPr>
            <w:r w:rsidRPr="00795F1B">
              <w:rPr>
                <w:rFonts w:ascii="Times" w:hAnsi="Times" w:cs="Times"/>
              </w:rPr>
              <w:t>13.</w:t>
            </w:r>
          </w:p>
        </w:tc>
        <w:tc>
          <w:tcPr>
            <w:tcW w:w="1584" w:type="dxa"/>
          </w:tcPr>
          <w:p w14:paraId="74EB24D3" w14:textId="77777777" w:rsidR="007332FB" w:rsidRPr="00795F1B" w:rsidRDefault="007332FB" w:rsidP="00110D28">
            <w:pPr>
              <w:spacing w:line="240" w:lineRule="auto"/>
              <w:rPr>
                <w:rFonts w:ascii="Times" w:hAnsi="Times" w:cs="Times"/>
              </w:rPr>
            </w:pPr>
            <w:r w:rsidRPr="00795F1B">
              <w:t>Kate</w:t>
            </w:r>
          </w:p>
        </w:tc>
        <w:tc>
          <w:tcPr>
            <w:tcW w:w="1075" w:type="dxa"/>
          </w:tcPr>
          <w:p w14:paraId="7BF0B1A7"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5BDC4F60"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2DDDEB85" w14:textId="77777777" w:rsidR="007332FB" w:rsidRPr="00795F1B" w:rsidRDefault="007332FB" w:rsidP="00110D28">
            <w:pPr>
              <w:spacing w:line="240" w:lineRule="auto"/>
              <w:rPr>
                <w:rFonts w:ascii="Times" w:hAnsi="Times" w:cs="Times"/>
              </w:rPr>
            </w:pPr>
            <w:r w:rsidRPr="00795F1B">
              <w:rPr>
                <w:noProof/>
              </w:rPr>
              <w:drawing>
                <wp:inline distT="0" distB="0" distL="0" distR="0" wp14:anchorId="6E01B9D2" wp14:editId="5342ADF1">
                  <wp:extent cx="200025" cy="180975"/>
                  <wp:effectExtent l="0" t="0" r="9525" b="9525"/>
                  <wp:docPr id="19" name="Picture 19" descr="P2669C96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P2669C96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701" w:type="dxa"/>
          </w:tcPr>
          <w:p w14:paraId="35A11865"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0031B4AF"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759B0C78" w14:textId="77777777" w:rsidTr="00110D28">
        <w:trPr>
          <w:trHeight w:hRule="exact" w:val="397"/>
        </w:trPr>
        <w:tc>
          <w:tcPr>
            <w:tcW w:w="710" w:type="dxa"/>
          </w:tcPr>
          <w:p w14:paraId="65288770" w14:textId="77777777" w:rsidR="007332FB" w:rsidRPr="00795F1B" w:rsidRDefault="007332FB" w:rsidP="00110D28">
            <w:pPr>
              <w:spacing w:line="240" w:lineRule="auto"/>
              <w:rPr>
                <w:rFonts w:ascii="Times" w:hAnsi="Times" w:cs="Times"/>
              </w:rPr>
            </w:pPr>
            <w:r w:rsidRPr="00795F1B">
              <w:rPr>
                <w:rFonts w:ascii="Times" w:hAnsi="Times" w:cs="Times"/>
              </w:rPr>
              <w:t>14.</w:t>
            </w:r>
          </w:p>
        </w:tc>
        <w:tc>
          <w:tcPr>
            <w:tcW w:w="1584" w:type="dxa"/>
          </w:tcPr>
          <w:p w14:paraId="5EE0B107" w14:textId="77777777" w:rsidR="007332FB" w:rsidRPr="00795F1B" w:rsidRDefault="007332FB" w:rsidP="00110D28">
            <w:pPr>
              <w:spacing w:line="240" w:lineRule="auto"/>
              <w:rPr>
                <w:rFonts w:ascii="Times" w:hAnsi="Times" w:cs="Times"/>
              </w:rPr>
            </w:pPr>
            <w:r w:rsidRPr="00795F1B">
              <w:t>Kemdo***</w:t>
            </w:r>
          </w:p>
        </w:tc>
        <w:tc>
          <w:tcPr>
            <w:tcW w:w="1075" w:type="dxa"/>
          </w:tcPr>
          <w:p w14:paraId="6CF447AF" w14:textId="77777777" w:rsidR="007332FB" w:rsidRPr="00795F1B" w:rsidRDefault="007332FB" w:rsidP="00110D28">
            <w:pPr>
              <w:spacing w:line="240" w:lineRule="auto"/>
              <w:rPr>
                <w:rFonts w:ascii="Times" w:hAnsi="Times" w:cs="Times"/>
              </w:rPr>
            </w:pPr>
            <w:r>
              <w:rPr>
                <w:rFonts w:ascii="Times" w:hAnsi="Times" w:cs="Times"/>
              </w:rPr>
              <w:t>-</w:t>
            </w:r>
          </w:p>
        </w:tc>
        <w:tc>
          <w:tcPr>
            <w:tcW w:w="1275" w:type="dxa"/>
          </w:tcPr>
          <w:p w14:paraId="726F0539" w14:textId="77777777" w:rsidR="007332FB" w:rsidRPr="00795F1B" w:rsidRDefault="007332FB" w:rsidP="00110D28">
            <w:pPr>
              <w:spacing w:line="240" w:lineRule="auto"/>
              <w:rPr>
                <w:rFonts w:ascii="Times" w:hAnsi="Times" w:cs="Times"/>
              </w:rPr>
            </w:pPr>
            <w:r w:rsidRPr="00795F1B">
              <w:rPr>
                <w:noProof/>
              </w:rPr>
              <w:drawing>
                <wp:inline distT="0" distB="0" distL="0" distR="0" wp14:anchorId="4017CBBF" wp14:editId="6BF02604">
                  <wp:extent cx="200025" cy="180975"/>
                  <wp:effectExtent l="0" t="0" r="9525" b="9525"/>
                  <wp:docPr id="14" name="Picture 14" descr="P2676C102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2676C102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(2)</w:t>
            </w:r>
          </w:p>
        </w:tc>
        <w:tc>
          <w:tcPr>
            <w:tcW w:w="1418" w:type="dxa"/>
          </w:tcPr>
          <w:p w14:paraId="28285744" w14:textId="77777777" w:rsidR="007332FB" w:rsidRPr="00795F1B" w:rsidRDefault="007332FB" w:rsidP="00110D28">
            <w:pPr>
              <w:spacing w:line="240" w:lineRule="auto"/>
              <w:rPr>
                <w:rFonts w:ascii="Times" w:hAnsi="Times" w:cs="Times"/>
              </w:rPr>
            </w:pPr>
            <w:r w:rsidRPr="00795F1B">
              <w:rPr>
                <w:noProof/>
              </w:rPr>
              <w:drawing>
                <wp:inline distT="0" distB="0" distL="0" distR="0" wp14:anchorId="76EF5A2A" wp14:editId="5763010E">
                  <wp:extent cx="200025" cy="180975"/>
                  <wp:effectExtent l="0" t="0" r="9525" b="9525"/>
                  <wp:docPr id="23" name="Picture 23" descr="P2677C103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2677C103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(1)</w:t>
            </w:r>
          </w:p>
        </w:tc>
        <w:tc>
          <w:tcPr>
            <w:tcW w:w="1701" w:type="dxa"/>
          </w:tcPr>
          <w:p w14:paraId="2EA89369" w14:textId="77777777" w:rsidR="007332FB" w:rsidRPr="00795F1B" w:rsidRDefault="007332FB" w:rsidP="00110D28">
            <w:pPr>
              <w:spacing w:line="240" w:lineRule="auto"/>
              <w:rPr>
                <w:rFonts w:ascii="Times" w:hAnsi="Times" w:cs="Times"/>
              </w:rPr>
            </w:pPr>
            <w:r w:rsidRPr="00795F1B">
              <w:rPr>
                <w:noProof/>
              </w:rPr>
              <w:drawing>
                <wp:inline distT="0" distB="0" distL="0" distR="0" wp14:anchorId="0C2C6369" wp14:editId="1DEE6726">
                  <wp:extent cx="200025" cy="180975"/>
                  <wp:effectExtent l="0" t="0" r="9525" b="9525"/>
                  <wp:docPr id="28" name="Picture 28" descr="P2678C104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2678C104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(3)</w:t>
            </w:r>
          </w:p>
        </w:tc>
        <w:tc>
          <w:tcPr>
            <w:tcW w:w="1417" w:type="dxa"/>
          </w:tcPr>
          <w:p w14:paraId="142BF678"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24197ED3" w14:textId="77777777" w:rsidTr="00110D28">
        <w:trPr>
          <w:trHeight w:hRule="exact" w:val="397"/>
        </w:trPr>
        <w:tc>
          <w:tcPr>
            <w:tcW w:w="710" w:type="dxa"/>
          </w:tcPr>
          <w:p w14:paraId="583A3E3F" w14:textId="77777777" w:rsidR="007332FB" w:rsidRPr="00795F1B" w:rsidRDefault="007332FB" w:rsidP="00110D28">
            <w:pPr>
              <w:spacing w:line="240" w:lineRule="auto"/>
              <w:rPr>
                <w:rFonts w:ascii="Times" w:hAnsi="Times" w:cs="Times"/>
              </w:rPr>
            </w:pPr>
            <w:r w:rsidRPr="00795F1B">
              <w:rPr>
                <w:rFonts w:ascii="Times" w:hAnsi="Times" w:cs="Times"/>
              </w:rPr>
              <w:t>15.</w:t>
            </w:r>
          </w:p>
        </w:tc>
        <w:tc>
          <w:tcPr>
            <w:tcW w:w="1584" w:type="dxa"/>
          </w:tcPr>
          <w:p w14:paraId="4D72CB08" w14:textId="77777777" w:rsidR="007332FB" w:rsidRPr="00795F1B" w:rsidRDefault="007332FB" w:rsidP="00110D28">
            <w:pPr>
              <w:spacing w:line="240" w:lineRule="auto"/>
              <w:rPr>
                <w:rFonts w:ascii="Times" w:hAnsi="Times" w:cs="Times"/>
              </w:rPr>
            </w:pPr>
            <w:r w:rsidRPr="00795F1B">
              <w:t>Miriam***</w:t>
            </w:r>
          </w:p>
        </w:tc>
        <w:tc>
          <w:tcPr>
            <w:tcW w:w="1075" w:type="dxa"/>
          </w:tcPr>
          <w:p w14:paraId="47E3CB12" w14:textId="77777777" w:rsidR="007332FB" w:rsidRPr="00795F1B" w:rsidRDefault="007332FB" w:rsidP="00110D28">
            <w:pPr>
              <w:spacing w:line="240" w:lineRule="auto"/>
              <w:rPr>
                <w:rFonts w:ascii="Times" w:hAnsi="Times" w:cs="Times"/>
              </w:rPr>
            </w:pPr>
            <w:r w:rsidRPr="00795F1B">
              <w:rPr>
                <w:noProof/>
              </w:rPr>
              <w:drawing>
                <wp:inline distT="0" distB="0" distL="0" distR="0" wp14:anchorId="5DF7D287" wp14:editId="075467F4">
                  <wp:extent cx="200025" cy="180975"/>
                  <wp:effectExtent l="0" t="0" r="9525" b="9525"/>
                  <wp:docPr id="8" name="Picture 8" descr="P2683C10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2683C10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(1)</w:t>
            </w:r>
          </w:p>
        </w:tc>
        <w:tc>
          <w:tcPr>
            <w:tcW w:w="1275" w:type="dxa"/>
          </w:tcPr>
          <w:p w14:paraId="08F2513A"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5322CFD2" w14:textId="77777777" w:rsidR="007332FB" w:rsidRPr="00795F1B" w:rsidRDefault="007332FB" w:rsidP="00110D28">
            <w:pPr>
              <w:spacing w:line="240" w:lineRule="auto"/>
              <w:rPr>
                <w:rFonts w:ascii="Times" w:hAnsi="Times" w:cs="Times"/>
              </w:rPr>
            </w:pPr>
            <w:r w:rsidRPr="00795F1B">
              <w:rPr>
                <w:noProof/>
              </w:rPr>
              <w:drawing>
                <wp:inline distT="0" distB="0" distL="0" distR="0" wp14:anchorId="4C24A620" wp14:editId="3505F317">
                  <wp:extent cx="200025" cy="180975"/>
                  <wp:effectExtent l="0" t="0" r="9525" b="9525"/>
                  <wp:docPr id="20" name="Picture 20" descr="P2685C110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2685C110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(2)</w:t>
            </w:r>
          </w:p>
        </w:tc>
        <w:tc>
          <w:tcPr>
            <w:tcW w:w="1701" w:type="dxa"/>
          </w:tcPr>
          <w:p w14:paraId="798B9C81"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7BFFEC4F"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0151E244" w14:textId="77777777" w:rsidTr="00110D28">
        <w:trPr>
          <w:trHeight w:hRule="exact" w:val="397"/>
        </w:trPr>
        <w:tc>
          <w:tcPr>
            <w:tcW w:w="710" w:type="dxa"/>
          </w:tcPr>
          <w:p w14:paraId="01231C54" w14:textId="77777777" w:rsidR="007332FB" w:rsidRPr="00795F1B" w:rsidRDefault="007332FB" w:rsidP="00110D28">
            <w:pPr>
              <w:spacing w:line="240" w:lineRule="auto"/>
              <w:rPr>
                <w:rFonts w:ascii="Times" w:hAnsi="Times" w:cs="Times"/>
              </w:rPr>
            </w:pPr>
            <w:r w:rsidRPr="00795F1B">
              <w:rPr>
                <w:rFonts w:ascii="Times" w:hAnsi="Times" w:cs="Times"/>
              </w:rPr>
              <w:t>16.</w:t>
            </w:r>
          </w:p>
        </w:tc>
        <w:tc>
          <w:tcPr>
            <w:tcW w:w="1584" w:type="dxa"/>
          </w:tcPr>
          <w:p w14:paraId="3B02746B" w14:textId="77777777" w:rsidR="007332FB" w:rsidRPr="00795F1B" w:rsidRDefault="007332FB" w:rsidP="00110D28">
            <w:pPr>
              <w:spacing w:line="240" w:lineRule="auto"/>
              <w:rPr>
                <w:rFonts w:ascii="Times" w:hAnsi="Times" w:cs="Times"/>
              </w:rPr>
            </w:pPr>
            <w:r w:rsidRPr="00795F1B">
              <w:t>Morgan***</w:t>
            </w:r>
          </w:p>
        </w:tc>
        <w:tc>
          <w:tcPr>
            <w:tcW w:w="1075" w:type="dxa"/>
          </w:tcPr>
          <w:p w14:paraId="683905A9" w14:textId="77777777" w:rsidR="007332FB" w:rsidRPr="00795F1B" w:rsidRDefault="007332FB" w:rsidP="00110D28">
            <w:pPr>
              <w:spacing w:line="240" w:lineRule="auto"/>
              <w:rPr>
                <w:rFonts w:ascii="Times" w:hAnsi="Times" w:cs="Times"/>
              </w:rPr>
            </w:pPr>
            <w:r w:rsidRPr="00795F1B">
              <w:rPr>
                <w:noProof/>
              </w:rPr>
              <w:drawing>
                <wp:inline distT="0" distB="0" distL="0" distR="0" wp14:anchorId="404B8E8D" wp14:editId="2DA87EDB">
                  <wp:extent cx="200025" cy="180975"/>
                  <wp:effectExtent l="0" t="0" r="9525" b="9525"/>
                  <wp:docPr id="3" name="Picture 3" descr="P2691C115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2691C115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(1)</w:t>
            </w:r>
          </w:p>
        </w:tc>
        <w:tc>
          <w:tcPr>
            <w:tcW w:w="1275" w:type="dxa"/>
          </w:tcPr>
          <w:p w14:paraId="6E9B1310" w14:textId="77777777" w:rsidR="007332FB" w:rsidRPr="00795F1B" w:rsidRDefault="007332FB" w:rsidP="00110D28">
            <w:pPr>
              <w:spacing w:line="240" w:lineRule="auto"/>
              <w:rPr>
                <w:rFonts w:ascii="Times" w:hAnsi="Times" w:cs="Times"/>
              </w:rPr>
            </w:pPr>
            <w:r w:rsidRPr="00795F1B">
              <w:rPr>
                <w:noProof/>
              </w:rPr>
              <w:drawing>
                <wp:inline distT="0" distB="0" distL="0" distR="0" wp14:anchorId="341763E9" wp14:editId="0060BF02">
                  <wp:extent cx="200025" cy="180975"/>
                  <wp:effectExtent l="0" t="0" r="9525" b="9525"/>
                  <wp:docPr id="16" name="Picture 16" descr="P2692C116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P2692C116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(2)</w:t>
            </w:r>
          </w:p>
        </w:tc>
        <w:tc>
          <w:tcPr>
            <w:tcW w:w="1418" w:type="dxa"/>
          </w:tcPr>
          <w:p w14:paraId="4E373184" w14:textId="77777777" w:rsidR="007332FB" w:rsidRPr="00795F1B" w:rsidRDefault="007332FB" w:rsidP="00110D28">
            <w:pPr>
              <w:spacing w:line="240" w:lineRule="auto"/>
              <w:rPr>
                <w:rFonts w:ascii="Times" w:hAnsi="Times" w:cs="Times"/>
              </w:rPr>
            </w:pPr>
            <w:r w:rsidRPr="00795F1B">
              <w:rPr>
                <w:noProof/>
              </w:rPr>
              <w:drawing>
                <wp:inline distT="0" distB="0" distL="0" distR="0" wp14:anchorId="1A8C6FA5" wp14:editId="18A3BE19">
                  <wp:extent cx="200025" cy="180975"/>
                  <wp:effectExtent l="0" t="0" r="9525" b="9525"/>
                  <wp:docPr id="24" name="Picture 24" descr="P2693C117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2693C117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(3)</w:t>
            </w:r>
          </w:p>
        </w:tc>
        <w:tc>
          <w:tcPr>
            <w:tcW w:w="1701" w:type="dxa"/>
          </w:tcPr>
          <w:p w14:paraId="36737397" w14:textId="77777777" w:rsidR="007332FB" w:rsidRPr="00795F1B" w:rsidRDefault="007332FB" w:rsidP="00110D28">
            <w:pPr>
              <w:spacing w:line="240" w:lineRule="auto"/>
              <w:rPr>
                <w:rFonts w:ascii="Times" w:hAnsi="Times" w:cs="Times"/>
              </w:rPr>
            </w:pPr>
            <w:r w:rsidRPr="00795F1B">
              <w:rPr>
                <w:noProof/>
              </w:rPr>
              <w:drawing>
                <wp:inline distT="0" distB="0" distL="0" distR="0" wp14:anchorId="5CC08CEB" wp14:editId="61EAFC7A">
                  <wp:extent cx="200025" cy="180975"/>
                  <wp:effectExtent l="0" t="0" r="9525" b="9525"/>
                  <wp:docPr id="31" name="Picture 31" descr="P2694C11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2694C11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(4)</w:t>
            </w:r>
          </w:p>
        </w:tc>
        <w:tc>
          <w:tcPr>
            <w:tcW w:w="1417" w:type="dxa"/>
          </w:tcPr>
          <w:p w14:paraId="06262B25"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458FD1C0" w14:textId="77777777" w:rsidTr="00110D28">
        <w:trPr>
          <w:trHeight w:hRule="exact" w:val="397"/>
        </w:trPr>
        <w:tc>
          <w:tcPr>
            <w:tcW w:w="710" w:type="dxa"/>
          </w:tcPr>
          <w:p w14:paraId="3D620A8B" w14:textId="77777777" w:rsidR="007332FB" w:rsidRPr="00795F1B" w:rsidRDefault="007332FB" w:rsidP="00110D28">
            <w:pPr>
              <w:spacing w:line="240" w:lineRule="auto"/>
              <w:rPr>
                <w:rFonts w:ascii="Times" w:hAnsi="Times" w:cs="Times"/>
              </w:rPr>
            </w:pPr>
            <w:r w:rsidRPr="00795F1B">
              <w:rPr>
                <w:rFonts w:ascii="Times" w:hAnsi="Times" w:cs="Times"/>
              </w:rPr>
              <w:t>17.</w:t>
            </w:r>
          </w:p>
        </w:tc>
        <w:tc>
          <w:tcPr>
            <w:tcW w:w="1584" w:type="dxa"/>
          </w:tcPr>
          <w:p w14:paraId="753B470B" w14:textId="77777777" w:rsidR="007332FB" w:rsidRPr="00795F1B" w:rsidRDefault="007332FB" w:rsidP="00110D28">
            <w:pPr>
              <w:spacing w:line="240" w:lineRule="auto"/>
              <w:rPr>
                <w:rFonts w:ascii="Times" w:hAnsi="Times" w:cs="Times"/>
              </w:rPr>
            </w:pPr>
            <w:r w:rsidRPr="00795F1B">
              <w:t>Omolara</w:t>
            </w:r>
          </w:p>
        </w:tc>
        <w:tc>
          <w:tcPr>
            <w:tcW w:w="1075" w:type="dxa"/>
          </w:tcPr>
          <w:p w14:paraId="7E216069" w14:textId="77777777" w:rsidR="007332FB" w:rsidRPr="00795F1B" w:rsidRDefault="007332FB" w:rsidP="00110D28">
            <w:pPr>
              <w:spacing w:line="240" w:lineRule="auto"/>
              <w:rPr>
                <w:rFonts w:ascii="Times" w:hAnsi="Times" w:cs="Times"/>
              </w:rPr>
            </w:pPr>
            <w:r w:rsidRPr="00795F1B">
              <w:rPr>
                <w:noProof/>
              </w:rPr>
              <w:drawing>
                <wp:inline distT="0" distB="0" distL="0" distR="0" wp14:anchorId="0EE4AFF6" wp14:editId="763F2976">
                  <wp:extent cx="200025" cy="180975"/>
                  <wp:effectExtent l="0" t="0" r="9525" b="9525"/>
                  <wp:docPr id="4" name="Picture 4" descr="P2699C122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2699C122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617CA03E"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051C4D5C"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29D065F1"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3AE385C6"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2FE9A99B" w14:textId="77777777" w:rsidTr="00110D28">
        <w:trPr>
          <w:trHeight w:hRule="exact" w:val="397"/>
        </w:trPr>
        <w:tc>
          <w:tcPr>
            <w:tcW w:w="710" w:type="dxa"/>
          </w:tcPr>
          <w:p w14:paraId="396E7DE7" w14:textId="77777777" w:rsidR="007332FB" w:rsidRPr="00795F1B" w:rsidRDefault="007332FB" w:rsidP="00110D28">
            <w:pPr>
              <w:spacing w:line="240" w:lineRule="auto"/>
              <w:rPr>
                <w:rFonts w:ascii="Times" w:hAnsi="Times" w:cs="Times"/>
              </w:rPr>
            </w:pPr>
            <w:r w:rsidRPr="00795F1B">
              <w:rPr>
                <w:rFonts w:ascii="Times" w:hAnsi="Times" w:cs="Times"/>
              </w:rPr>
              <w:t>18.</w:t>
            </w:r>
          </w:p>
        </w:tc>
        <w:tc>
          <w:tcPr>
            <w:tcW w:w="1584" w:type="dxa"/>
          </w:tcPr>
          <w:p w14:paraId="5EE0E7E0" w14:textId="77777777" w:rsidR="007332FB" w:rsidRPr="00795F1B" w:rsidRDefault="007332FB" w:rsidP="00110D28">
            <w:pPr>
              <w:spacing w:line="240" w:lineRule="auto"/>
              <w:rPr>
                <w:rFonts w:ascii="Times" w:hAnsi="Times" w:cs="Times"/>
              </w:rPr>
            </w:pPr>
            <w:r w:rsidRPr="00795F1B">
              <w:t>Oscar</w:t>
            </w:r>
          </w:p>
        </w:tc>
        <w:tc>
          <w:tcPr>
            <w:tcW w:w="1075" w:type="dxa"/>
          </w:tcPr>
          <w:p w14:paraId="752C57DC" w14:textId="77777777" w:rsidR="007332FB" w:rsidRPr="00795F1B" w:rsidRDefault="007332FB" w:rsidP="00110D28">
            <w:pPr>
              <w:spacing w:line="240" w:lineRule="auto"/>
              <w:rPr>
                <w:rFonts w:ascii="Times" w:hAnsi="Times" w:cs="Times"/>
              </w:rPr>
            </w:pPr>
            <w:r w:rsidRPr="00795F1B">
              <w:rPr>
                <w:noProof/>
              </w:rPr>
              <w:drawing>
                <wp:inline distT="0" distB="0" distL="0" distR="0" wp14:anchorId="70267D70" wp14:editId="0FA72F58">
                  <wp:extent cx="200025" cy="180975"/>
                  <wp:effectExtent l="0" t="0" r="9525" b="9525"/>
                  <wp:docPr id="5" name="Picture 5" descr="P2707C129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2707C129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41338ACF"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7160F2A6"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2F49C723"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3C6954DE"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4A481DB9" w14:textId="77777777" w:rsidTr="00110D28">
        <w:trPr>
          <w:trHeight w:hRule="exact" w:val="397"/>
        </w:trPr>
        <w:tc>
          <w:tcPr>
            <w:tcW w:w="710" w:type="dxa"/>
          </w:tcPr>
          <w:p w14:paraId="321C7ACC" w14:textId="77777777" w:rsidR="007332FB" w:rsidRPr="00795F1B" w:rsidRDefault="007332FB" w:rsidP="00110D28">
            <w:pPr>
              <w:spacing w:line="240" w:lineRule="auto"/>
              <w:rPr>
                <w:rFonts w:ascii="Times" w:hAnsi="Times" w:cs="Times"/>
              </w:rPr>
            </w:pPr>
            <w:r w:rsidRPr="00795F1B">
              <w:rPr>
                <w:rFonts w:ascii="Times" w:hAnsi="Times" w:cs="Times"/>
              </w:rPr>
              <w:t>19.</w:t>
            </w:r>
          </w:p>
        </w:tc>
        <w:tc>
          <w:tcPr>
            <w:tcW w:w="1584" w:type="dxa"/>
          </w:tcPr>
          <w:p w14:paraId="099FB5A3" w14:textId="77777777" w:rsidR="007332FB" w:rsidRPr="00795F1B" w:rsidRDefault="007332FB" w:rsidP="00110D28">
            <w:pPr>
              <w:spacing w:line="240" w:lineRule="auto"/>
              <w:rPr>
                <w:rFonts w:ascii="Times" w:hAnsi="Times" w:cs="Times"/>
              </w:rPr>
            </w:pPr>
            <w:r w:rsidRPr="00795F1B">
              <w:t>Paul</w:t>
            </w:r>
            <w:r w:rsidRPr="00795F1B">
              <w:rPr>
                <w:b/>
                <w:bCs/>
              </w:rPr>
              <w:t>***</w:t>
            </w:r>
          </w:p>
        </w:tc>
        <w:tc>
          <w:tcPr>
            <w:tcW w:w="1075" w:type="dxa"/>
          </w:tcPr>
          <w:p w14:paraId="4F07D34E" w14:textId="77777777" w:rsidR="007332FB" w:rsidRPr="00795F1B" w:rsidRDefault="007332FB" w:rsidP="00110D28">
            <w:pPr>
              <w:spacing w:line="240" w:lineRule="auto"/>
              <w:rPr>
                <w:rFonts w:ascii="Times" w:hAnsi="Times" w:cs="Times"/>
              </w:rPr>
            </w:pPr>
            <w:r w:rsidRPr="00795F1B">
              <w:rPr>
                <w:noProof/>
              </w:rPr>
              <w:drawing>
                <wp:inline distT="0" distB="0" distL="0" distR="0" wp14:anchorId="1BD00DF9" wp14:editId="17B4DC7B">
                  <wp:extent cx="200025" cy="180975"/>
                  <wp:effectExtent l="0" t="0" r="9525" b="9525"/>
                  <wp:docPr id="32" name="Picture 32" descr="P2715C136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2715C136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(2)</w:t>
            </w:r>
          </w:p>
        </w:tc>
        <w:tc>
          <w:tcPr>
            <w:tcW w:w="1275" w:type="dxa"/>
          </w:tcPr>
          <w:p w14:paraId="7A422DCD"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57E402D7" w14:textId="77777777" w:rsidR="007332FB" w:rsidRPr="00795F1B" w:rsidRDefault="007332FB" w:rsidP="00110D28">
            <w:pPr>
              <w:spacing w:line="240" w:lineRule="auto"/>
              <w:rPr>
                <w:rFonts w:ascii="Times" w:hAnsi="Times" w:cs="Times"/>
              </w:rPr>
            </w:pPr>
            <w:r w:rsidRPr="00795F1B">
              <w:rPr>
                <w:noProof/>
              </w:rPr>
              <w:drawing>
                <wp:inline distT="0" distB="0" distL="0" distR="0" wp14:anchorId="107B180E" wp14:editId="5D567B7E">
                  <wp:extent cx="200025" cy="180975"/>
                  <wp:effectExtent l="0" t="0" r="9525" b="9525"/>
                  <wp:docPr id="21" name="Picture 21" descr="P2717C138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2717C138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795F1B">
              <w:rPr>
                <w:rFonts w:ascii="Times" w:hAnsi="Times" w:cs="Times"/>
              </w:rPr>
              <w:t>(1)</w:t>
            </w:r>
          </w:p>
        </w:tc>
        <w:tc>
          <w:tcPr>
            <w:tcW w:w="1701" w:type="dxa"/>
          </w:tcPr>
          <w:p w14:paraId="614DC533"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7F932039"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251B735B" w14:textId="77777777" w:rsidTr="00110D28">
        <w:trPr>
          <w:trHeight w:hRule="exact" w:val="397"/>
        </w:trPr>
        <w:tc>
          <w:tcPr>
            <w:tcW w:w="710" w:type="dxa"/>
          </w:tcPr>
          <w:p w14:paraId="4BA91527" w14:textId="77777777" w:rsidR="007332FB" w:rsidRPr="00795F1B" w:rsidRDefault="007332FB" w:rsidP="00110D28">
            <w:pPr>
              <w:spacing w:line="240" w:lineRule="auto"/>
              <w:rPr>
                <w:rFonts w:ascii="Times" w:hAnsi="Times" w:cs="Times"/>
              </w:rPr>
            </w:pPr>
            <w:r w:rsidRPr="00795F1B">
              <w:rPr>
                <w:rFonts w:ascii="Times" w:hAnsi="Times" w:cs="Times"/>
              </w:rPr>
              <w:t>20.</w:t>
            </w:r>
          </w:p>
        </w:tc>
        <w:tc>
          <w:tcPr>
            <w:tcW w:w="1584" w:type="dxa"/>
          </w:tcPr>
          <w:p w14:paraId="309D55EE" w14:textId="77777777" w:rsidR="007332FB" w:rsidRPr="00795F1B" w:rsidRDefault="007332FB" w:rsidP="00110D28">
            <w:pPr>
              <w:spacing w:line="240" w:lineRule="auto"/>
              <w:rPr>
                <w:rFonts w:ascii="Times" w:hAnsi="Times" w:cs="Times"/>
              </w:rPr>
            </w:pPr>
            <w:r w:rsidRPr="00795F1B">
              <w:t>Robert</w:t>
            </w:r>
          </w:p>
        </w:tc>
        <w:tc>
          <w:tcPr>
            <w:tcW w:w="1075" w:type="dxa"/>
          </w:tcPr>
          <w:p w14:paraId="1EF6605B" w14:textId="77777777" w:rsidR="007332FB" w:rsidRPr="00795F1B" w:rsidRDefault="007332FB" w:rsidP="00110D28">
            <w:pPr>
              <w:spacing w:line="240" w:lineRule="auto"/>
              <w:rPr>
                <w:rFonts w:ascii="Times" w:hAnsi="Times" w:cs="Times"/>
              </w:rPr>
            </w:pPr>
            <w:r w:rsidRPr="00795F1B">
              <w:rPr>
                <w:noProof/>
              </w:rPr>
              <w:drawing>
                <wp:inline distT="0" distB="0" distL="0" distR="0" wp14:anchorId="59CC89A2" wp14:editId="16C8E52B">
                  <wp:extent cx="200025" cy="180975"/>
                  <wp:effectExtent l="0" t="0" r="9525" b="9525"/>
                  <wp:docPr id="6" name="Picture 6" descr="P2723C143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2723C143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6CDB552D"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355FA28C"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30EBB0CC"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5CEA5714" w14:textId="77777777" w:rsidR="007332FB" w:rsidRPr="00795F1B" w:rsidRDefault="007332FB" w:rsidP="00110D28">
            <w:pPr>
              <w:spacing w:line="240" w:lineRule="auto"/>
              <w:rPr>
                <w:rFonts w:ascii="Times" w:hAnsi="Times" w:cs="Times"/>
              </w:rPr>
            </w:pPr>
            <w:r>
              <w:rPr>
                <w:rFonts w:ascii="Times" w:hAnsi="Times" w:cs="Times"/>
              </w:rPr>
              <w:t>-</w:t>
            </w:r>
          </w:p>
        </w:tc>
      </w:tr>
      <w:tr w:rsidR="007332FB" w:rsidRPr="00795F1B" w14:paraId="1D07976E" w14:textId="77777777" w:rsidTr="00110D28">
        <w:trPr>
          <w:trHeight w:hRule="exact" w:val="397"/>
        </w:trPr>
        <w:tc>
          <w:tcPr>
            <w:tcW w:w="710" w:type="dxa"/>
          </w:tcPr>
          <w:p w14:paraId="292542C7" w14:textId="77777777" w:rsidR="007332FB" w:rsidRPr="00795F1B" w:rsidRDefault="007332FB" w:rsidP="00110D28">
            <w:pPr>
              <w:spacing w:line="240" w:lineRule="auto"/>
              <w:rPr>
                <w:rFonts w:ascii="Times" w:hAnsi="Times" w:cs="Times"/>
              </w:rPr>
            </w:pPr>
            <w:r w:rsidRPr="00795F1B">
              <w:rPr>
                <w:rFonts w:ascii="Times" w:hAnsi="Times" w:cs="Times"/>
              </w:rPr>
              <w:t>21.</w:t>
            </w:r>
          </w:p>
        </w:tc>
        <w:tc>
          <w:tcPr>
            <w:tcW w:w="1584" w:type="dxa"/>
          </w:tcPr>
          <w:p w14:paraId="157F822B" w14:textId="77777777" w:rsidR="007332FB" w:rsidRPr="00795F1B" w:rsidRDefault="007332FB" w:rsidP="00110D28">
            <w:pPr>
              <w:spacing w:line="240" w:lineRule="auto"/>
              <w:rPr>
                <w:rFonts w:ascii="Times" w:hAnsi="Times" w:cs="Times"/>
              </w:rPr>
            </w:pPr>
            <w:r w:rsidRPr="00795F1B">
              <w:t>Shapiro</w:t>
            </w:r>
          </w:p>
        </w:tc>
        <w:tc>
          <w:tcPr>
            <w:tcW w:w="1075" w:type="dxa"/>
          </w:tcPr>
          <w:p w14:paraId="57B17619" w14:textId="77777777" w:rsidR="007332FB" w:rsidRPr="00795F1B" w:rsidRDefault="007332FB" w:rsidP="00110D28">
            <w:pPr>
              <w:spacing w:line="240" w:lineRule="auto"/>
              <w:rPr>
                <w:rFonts w:ascii="Times" w:hAnsi="Times" w:cs="Times"/>
              </w:rPr>
            </w:pPr>
            <w:r w:rsidRPr="00795F1B">
              <w:rPr>
                <w:noProof/>
              </w:rPr>
              <w:drawing>
                <wp:inline distT="0" distB="0" distL="0" distR="0" wp14:anchorId="340C69E1" wp14:editId="5B46AC9C">
                  <wp:extent cx="200025" cy="180975"/>
                  <wp:effectExtent l="0" t="0" r="9525" b="9525"/>
                  <wp:docPr id="7" name="Picture 7" descr="P2731C150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P2731C150T8#yIS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275" w:type="dxa"/>
          </w:tcPr>
          <w:p w14:paraId="4E0C8C0D" w14:textId="77777777" w:rsidR="007332FB" w:rsidRPr="00795F1B" w:rsidRDefault="007332FB" w:rsidP="00110D28">
            <w:pPr>
              <w:spacing w:line="240" w:lineRule="auto"/>
              <w:rPr>
                <w:rFonts w:ascii="Times" w:hAnsi="Times" w:cs="Times"/>
              </w:rPr>
            </w:pPr>
            <w:r>
              <w:rPr>
                <w:rFonts w:ascii="Times" w:hAnsi="Times" w:cs="Times"/>
              </w:rPr>
              <w:t>-</w:t>
            </w:r>
          </w:p>
        </w:tc>
        <w:tc>
          <w:tcPr>
            <w:tcW w:w="1418" w:type="dxa"/>
          </w:tcPr>
          <w:p w14:paraId="5265A8EF" w14:textId="77777777" w:rsidR="007332FB" w:rsidRPr="00795F1B" w:rsidRDefault="007332FB" w:rsidP="00110D28">
            <w:pPr>
              <w:spacing w:line="240" w:lineRule="auto"/>
              <w:rPr>
                <w:rFonts w:ascii="Times" w:hAnsi="Times" w:cs="Times"/>
              </w:rPr>
            </w:pPr>
            <w:r>
              <w:rPr>
                <w:rFonts w:ascii="Times" w:hAnsi="Times" w:cs="Times"/>
              </w:rPr>
              <w:t>-</w:t>
            </w:r>
          </w:p>
        </w:tc>
        <w:tc>
          <w:tcPr>
            <w:tcW w:w="1701" w:type="dxa"/>
          </w:tcPr>
          <w:p w14:paraId="210ECD57" w14:textId="77777777" w:rsidR="007332FB" w:rsidRPr="00795F1B" w:rsidRDefault="007332FB" w:rsidP="00110D28">
            <w:pPr>
              <w:spacing w:line="240" w:lineRule="auto"/>
              <w:rPr>
                <w:rFonts w:ascii="Times" w:hAnsi="Times" w:cs="Times"/>
              </w:rPr>
            </w:pPr>
            <w:r>
              <w:rPr>
                <w:rFonts w:ascii="Times" w:hAnsi="Times" w:cs="Times"/>
              </w:rPr>
              <w:t>-</w:t>
            </w:r>
          </w:p>
        </w:tc>
        <w:tc>
          <w:tcPr>
            <w:tcW w:w="1417" w:type="dxa"/>
          </w:tcPr>
          <w:p w14:paraId="4FE84764" w14:textId="77777777" w:rsidR="007332FB" w:rsidRPr="00795F1B" w:rsidRDefault="007332FB" w:rsidP="00110D28">
            <w:pPr>
              <w:spacing w:line="240" w:lineRule="auto"/>
              <w:rPr>
                <w:rFonts w:ascii="Times" w:hAnsi="Times" w:cs="Times"/>
              </w:rPr>
            </w:pPr>
            <w:r>
              <w:rPr>
                <w:rFonts w:ascii="Times" w:hAnsi="Times" w:cs="Times"/>
              </w:rPr>
              <w:t>-</w:t>
            </w:r>
          </w:p>
        </w:tc>
      </w:tr>
    </w:tbl>
    <w:p w14:paraId="61ED324A" w14:textId="56DBD423" w:rsidR="00CB6BBF" w:rsidRPr="00795F1B" w:rsidRDefault="007332FB" w:rsidP="007332FB">
      <w:pPr>
        <w:rPr>
          <w:rFonts w:ascii="Times" w:hAnsi="Times" w:cs="Times"/>
        </w:rPr>
      </w:pPr>
      <w:r w:rsidRPr="00795F1B">
        <w:rPr>
          <w:rFonts w:ascii="Times" w:hAnsi="Times" w:cs="Times"/>
        </w:rPr>
        <w:t>*** The participants, Dankay, Kemdo, Miriam, Morgan and Paul previously held multiple beliefs about dementia the numbers in brackets represent the order in which they held those beliefs.</w:t>
      </w:r>
    </w:p>
    <w:p w14:paraId="592210D9" w14:textId="77777777" w:rsidR="007332FB" w:rsidRPr="00795F1B" w:rsidRDefault="007332FB" w:rsidP="006869A3">
      <w:pPr>
        <w:pStyle w:val="Heading5"/>
      </w:pPr>
      <w:r w:rsidRPr="00795F1B">
        <w:rPr>
          <w:b/>
        </w:rPr>
        <w:t xml:space="preserve">10.2.2.1. </w:t>
      </w:r>
      <w:r w:rsidRPr="00795F1B">
        <w:t>Insanity and imbecility</w:t>
      </w:r>
    </w:p>
    <w:p w14:paraId="0AED3F1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Some of my participants (n=4) believed that dementia was a form of mental illness, and considered older adults living with the condition to be suffering from insanity or imbecility. For instance, John, who was an engineer in Nigeria before migrating to the UK noted:</w:t>
      </w:r>
    </w:p>
    <w:p w14:paraId="4A99D1D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…yes of course even the old person, I just grouped everything as mad…. Then I use to class them as madness because if I see you are talking to yourself on the street and doing some things which are strange, to me, I will classify you as being mad. These are the way I see those people with dementia [in Nigeria].</w:t>
      </w:r>
      <w:r w:rsidRPr="00795F1B">
        <w:rPr>
          <w:rFonts w:ascii="Times New Roman" w:hAnsi="Times New Roman"/>
          <w:szCs w:val="24"/>
        </w:rPr>
        <w:t>” (John, HCA)</w:t>
      </w:r>
    </w:p>
    <w:p w14:paraId="0A13C3FB"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In John’s description of his belief about dementia before working as HCA in the UK, he categorised the condition as madness. In addition, he simply deemed every older adult presenting with a sign of dementia as mad and labelled any behaviour that does </w:t>
      </w:r>
      <w:r w:rsidRPr="00795F1B">
        <w:rPr>
          <w:rFonts w:ascii="Times New Roman" w:hAnsi="Times New Roman"/>
          <w:szCs w:val="24"/>
        </w:rPr>
        <w:lastRenderedPageBreak/>
        <w:t>not concur with his perception of a normal behaviour as strange. Like John, another participant, Adams, used a different term depicting a mental illness/disability to describe PLWD. Adams referred to them as imbeciles, abandoned by their family members. He described the older adult presenting with behaviour he now associates with dementia as ‘</w:t>
      </w:r>
      <w:r w:rsidRPr="00795F1B">
        <w:rPr>
          <w:rFonts w:ascii="Times New Roman" w:hAnsi="Times New Roman"/>
          <w:i/>
          <w:iCs/>
          <w:szCs w:val="24"/>
        </w:rPr>
        <w:t>a neglect</w:t>
      </w:r>
      <w:r w:rsidRPr="00795F1B">
        <w:rPr>
          <w:rFonts w:ascii="Times New Roman" w:hAnsi="Times New Roman"/>
          <w:szCs w:val="24"/>
        </w:rPr>
        <w:t>’ and ‘</w:t>
      </w:r>
      <w:r w:rsidRPr="00795F1B">
        <w:rPr>
          <w:rFonts w:ascii="Times New Roman" w:hAnsi="Times New Roman"/>
          <w:i/>
          <w:iCs/>
          <w:szCs w:val="24"/>
        </w:rPr>
        <w:t>an imbecile’</w:t>
      </w:r>
      <w:r w:rsidRPr="00795F1B">
        <w:rPr>
          <w:rFonts w:ascii="Times New Roman" w:hAnsi="Times New Roman"/>
          <w:szCs w:val="24"/>
        </w:rPr>
        <w:t xml:space="preserve"> and observed:</w:t>
      </w:r>
    </w:p>
    <w:p w14:paraId="3352215E"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That would have been my best definition then, an imbecile. But with this knowledge of today I would say, he is not an imbecile he is struggling with dementia</w:t>
      </w:r>
      <w:r w:rsidRPr="00795F1B">
        <w:rPr>
          <w:rFonts w:ascii="Times New Roman" w:hAnsi="Times New Roman"/>
          <w:szCs w:val="24"/>
        </w:rPr>
        <w:t>” (Adams, HCA)</w:t>
      </w:r>
    </w:p>
    <w:p w14:paraId="70D6DAED"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These examples of Adams’ and John’s prior beliefs appears to have been shaped by their overall lack of understanding of the condition. Although the terms they employed are derogatory and are not commonly used in the UK, the views were held from the standpoint of unfamiliarity with the condition. The terms are also a reflection of foregrounding pathological/behavioural presentation of PLWD at the expense of their person (Gilmour and Brannelly, 2010), but so too is the term, ‘dementia’. Some scholars (Sachdev, 2000</w:t>
      </w:r>
      <w:r>
        <w:rPr>
          <w:rFonts w:ascii="Times New Roman" w:hAnsi="Times New Roman"/>
          <w:szCs w:val="24"/>
        </w:rPr>
        <w:t>;</w:t>
      </w:r>
      <w:r w:rsidRPr="00795F1B">
        <w:rPr>
          <w:rFonts w:ascii="Times New Roman" w:hAnsi="Times New Roman"/>
          <w:szCs w:val="24"/>
        </w:rPr>
        <w:t xml:space="preserve"> Chiu, 2005) have argued that its place in the medical lexicon needs re-examining because the literal Latin meaning is ‘without mind’ (Chiu, 2005, p.S20)</w:t>
      </w:r>
      <w:r>
        <w:rPr>
          <w:rFonts w:ascii="Times New Roman" w:hAnsi="Times New Roman"/>
          <w:szCs w:val="24"/>
        </w:rPr>
        <w:t>.</w:t>
      </w:r>
      <w:r w:rsidRPr="00795F1B">
        <w:rPr>
          <w:rFonts w:ascii="Times New Roman" w:hAnsi="Times New Roman"/>
          <w:szCs w:val="24"/>
        </w:rPr>
        <w:t xml:space="preserve"> </w:t>
      </w:r>
      <w:r>
        <w:rPr>
          <w:rFonts w:ascii="Times New Roman" w:hAnsi="Times New Roman"/>
          <w:szCs w:val="24"/>
        </w:rPr>
        <w:t>This</w:t>
      </w:r>
      <w:r w:rsidRPr="00795F1B">
        <w:rPr>
          <w:rFonts w:ascii="Times New Roman" w:hAnsi="Times New Roman"/>
          <w:szCs w:val="24"/>
        </w:rPr>
        <w:t xml:space="preserve"> is a direct contradiction of the European cultural </w:t>
      </w:r>
      <w:r>
        <w:rPr>
          <w:rFonts w:ascii="Times New Roman" w:hAnsi="Times New Roman"/>
          <w:szCs w:val="24"/>
        </w:rPr>
        <w:t>construction</w:t>
      </w:r>
      <w:r w:rsidRPr="00795F1B">
        <w:rPr>
          <w:rFonts w:ascii="Times New Roman" w:hAnsi="Times New Roman"/>
          <w:szCs w:val="24"/>
        </w:rPr>
        <w:t xml:space="preserve"> of humanity which the philosopher Descartes summarised in the famous statement, </w:t>
      </w:r>
      <w:r>
        <w:rPr>
          <w:rFonts w:ascii="Times New Roman" w:hAnsi="Times New Roman"/>
          <w:szCs w:val="24"/>
        </w:rPr>
        <w:t>“</w:t>
      </w:r>
      <w:r w:rsidRPr="00C16B4B">
        <w:rPr>
          <w:rFonts w:ascii="Times New Roman" w:hAnsi="Times New Roman"/>
          <w:i/>
          <w:iCs/>
          <w:szCs w:val="24"/>
        </w:rPr>
        <w:t xml:space="preserve">Cogito, ergo </w:t>
      </w:r>
      <w:r w:rsidRPr="0042603A">
        <w:rPr>
          <w:rFonts w:ascii="Times New Roman" w:hAnsi="Times New Roman"/>
          <w:i/>
          <w:iCs/>
          <w:szCs w:val="24"/>
        </w:rPr>
        <w:t>sum</w:t>
      </w:r>
      <w:r>
        <w:rPr>
          <w:rFonts w:ascii="Times New Roman" w:hAnsi="Times New Roman"/>
          <w:szCs w:val="24"/>
        </w:rPr>
        <w:t>”</w:t>
      </w:r>
      <w:r w:rsidRPr="00795F1B">
        <w:rPr>
          <w:rFonts w:ascii="Times New Roman" w:hAnsi="Times New Roman"/>
          <w:szCs w:val="24"/>
        </w:rPr>
        <w:t xml:space="preserve"> (I am thinking, therefore I exist; Audi, 1995, p.195) (Audi, 2015). The fact that some of my participants (n=4) held these beliefs about dementia before coming to the UK, further highlights the wider issue of the level of awareness of mental illness and dementia in Nigeria and the way language is used to describe mental illness (Gendron </w:t>
      </w:r>
      <w:r w:rsidRPr="009533A9">
        <w:rPr>
          <w:rFonts w:ascii="Times New Roman" w:hAnsi="Times New Roman"/>
          <w:i/>
          <w:iCs/>
          <w:szCs w:val="24"/>
        </w:rPr>
        <w:t>et al.</w:t>
      </w:r>
      <w:r w:rsidRPr="00795F1B">
        <w:rPr>
          <w:rFonts w:ascii="Times New Roman" w:hAnsi="Times New Roman"/>
          <w:szCs w:val="24"/>
        </w:rPr>
        <w:t>, 2016).</w:t>
      </w:r>
    </w:p>
    <w:p w14:paraId="7D99B6BF"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The last two decades has seen an increase in the awareness of dementia in Nigeria with more studies on the epidemiology and prevalence of the condition in the country (</w:t>
      </w:r>
      <w:bookmarkStart w:id="244" w:name="_Hlk50369323"/>
      <w:r w:rsidRPr="00795F1B">
        <w:rPr>
          <w:rFonts w:ascii="Times New Roman" w:hAnsi="Times New Roman"/>
          <w:szCs w:val="24"/>
        </w:rPr>
        <w:t xml:space="preserve">Ogunniyi </w:t>
      </w:r>
      <w:r w:rsidRPr="009533A9">
        <w:rPr>
          <w:rFonts w:ascii="Times New Roman" w:hAnsi="Times New Roman"/>
          <w:i/>
          <w:iCs/>
          <w:szCs w:val="24"/>
        </w:rPr>
        <w:t>et al.</w:t>
      </w:r>
      <w:r w:rsidRPr="00795F1B">
        <w:rPr>
          <w:rFonts w:ascii="Times New Roman" w:hAnsi="Times New Roman"/>
          <w:szCs w:val="24"/>
        </w:rPr>
        <w:t xml:space="preserve">, 2000; Prince </w:t>
      </w:r>
      <w:r w:rsidRPr="009533A9">
        <w:rPr>
          <w:rFonts w:ascii="Times New Roman" w:hAnsi="Times New Roman"/>
          <w:i/>
          <w:iCs/>
          <w:szCs w:val="24"/>
        </w:rPr>
        <w:t>et al.</w:t>
      </w:r>
      <w:r w:rsidRPr="00795F1B">
        <w:rPr>
          <w:rFonts w:ascii="Times New Roman" w:hAnsi="Times New Roman"/>
          <w:szCs w:val="24"/>
        </w:rPr>
        <w:t xml:space="preserve">, 2003; Olaniyi and Mbuyi, 2014; Adeloye </w:t>
      </w:r>
      <w:r w:rsidRPr="009533A9">
        <w:rPr>
          <w:rFonts w:ascii="Times New Roman" w:hAnsi="Times New Roman"/>
          <w:i/>
          <w:iCs/>
          <w:szCs w:val="24"/>
        </w:rPr>
        <w:t>et al.</w:t>
      </w:r>
      <w:r w:rsidRPr="00795F1B">
        <w:rPr>
          <w:rFonts w:ascii="Times New Roman" w:hAnsi="Times New Roman"/>
          <w:szCs w:val="24"/>
        </w:rPr>
        <w:t>, 2019)</w:t>
      </w:r>
      <w:bookmarkEnd w:id="244"/>
      <w:r w:rsidRPr="00795F1B">
        <w:rPr>
          <w:rFonts w:ascii="Times New Roman" w:hAnsi="Times New Roman"/>
          <w:szCs w:val="24"/>
        </w:rPr>
        <w:t>, but it is yet to gain much media attention like other more physically debilitating diseases (e.g.</w:t>
      </w:r>
      <w:r>
        <w:rPr>
          <w:rFonts w:ascii="Times New Roman" w:hAnsi="Times New Roman"/>
          <w:szCs w:val="24"/>
        </w:rPr>
        <w:t>,</w:t>
      </w:r>
      <w:r w:rsidRPr="00795F1B">
        <w:rPr>
          <w:rFonts w:ascii="Times New Roman" w:hAnsi="Times New Roman"/>
          <w:szCs w:val="24"/>
        </w:rPr>
        <w:t xml:space="preserve"> diabetes, stroke, and other cardiovascular diseases). This lack of media attention is not unconnected with the prevailing cultural perception of the illness. In comparison, it mirrors the UK’s context where mental illness is also a subject of less </w:t>
      </w:r>
      <w:r w:rsidRPr="00795F1B">
        <w:rPr>
          <w:rFonts w:ascii="Times New Roman" w:hAnsi="Times New Roman"/>
          <w:szCs w:val="24"/>
        </w:rPr>
        <w:lastRenderedPageBreak/>
        <w:t xml:space="preserve">attention than physical illness despite the increased awareness over the years (Rhydderch </w:t>
      </w:r>
      <w:r w:rsidRPr="009533A9">
        <w:rPr>
          <w:rFonts w:ascii="Times New Roman" w:hAnsi="Times New Roman"/>
          <w:i/>
          <w:iCs/>
          <w:szCs w:val="24"/>
        </w:rPr>
        <w:t>et al.</w:t>
      </w:r>
      <w:r w:rsidRPr="00795F1B">
        <w:rPr>
          <w:rFonts w:ascii="Times New Roman" w:hAnsi="Times New Roman"/>
          <w:szCs w:val="24"/>
        </w:rPr>
        <w:t xml:space="preserve">, 2016; Chen. and Lawrie 2017; Carmichael </w:t>
      </w:r>
      <w:r w:rsidRPr="009533A9">
        <w:rPr>
          <w:rFonts w:ascii="Times New Roman" w:hAnsi="Times New Roman"/>
          <w:i/>
          <w:iCs/>
          <w:szCs w:val="24"/>
        </w:rPr>
        <w:t>et al.</w:t>
      </w:r>
      <w:r w:rsidRPr="00795F1B">
        <w:rPr>
          <w:rFonts w:ascii="Times New Roman" w:hAnsi="Times New Roman"/>
          <w:szCs w:val="24"/>
        </w:rPr>
        <w:t xml:space="preserve">, 2019). </w:t>
      </w:r>
    </w:p>
    <w:p w14:paraId="0D04B8F2"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As my participants’ description indicates, the use of derogatory terms to describe the condition attests to their lack of awareness of the condition. This may have dire consequences on the willingness for people to report symptoms or seek help due to the inherent stigma associated with mental illness (Benbow and Jolley, 2012; Schomerus </w:t>
      </w:r>
      <w:r w:rsidRPr="009533A9">
        <w:rPr>
          <w:rFonts w:ascii="Times New Roman" w:hAnsi="Times New Roman"/>
          <w:i/>
          <w:iCs/>
          <w:szCs w:val="24"/>
        </w:rPr>
        <w:t>et al.</w:t>
      </w:r>
      <w:r w:rsidRPr="00795F1B">
        <w:rPr>
          <w:rFonts w:ascii="Times New Roman" w:hAnsi="Times New Roman"/>
          <w:szCs w:val="24"/>
        </w:rPr>
        <w:t>, 2015). The effects of the stigma on the nature of caregiving (which is mostly done by family members) is one reason for the general lack of awareness. The stigma and discrimination around mental illness in Nigeria contributes to family members’ unwillingness to disclose the true state of health of their older adults to people outside the immediate family circle (Olagundoye, Akhuemokhan and Alugo, 2017). As Morgan and two other participants who were involved in the care of their older relative pointed out, family members were unwilling to do so because of the shame they may encounter if they did.</w:t>
      </w:r>
    </w:p>
    <w:p w14:paraId="0937E3A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 second reason for the apparent lack of dementia awareness in Nigeria may be attributed to the low life expectancy from birth in the country, which still stands at 55 years for women and 53 years for men (</w:t>
      </w:r>
      <w:bookmarkStart w:id="245" w:name="_Hlk50369390"/>
      <w:r w:rsidRPr="00795F1B">
        <w:rPr>
          <w:rFonts w:ascii="Times New Roman" w:hAnsi="Times New Roman"/>
          <w:szCs w:val="24"/>
        </w:rPr>
        <w:t>World Bank, 2019</w:t>
      </w:r>
      <w:bookmarkEnd w:id="245"/>
      <w:r w:rsidRPr="00795F1B">
        <w:rPr>
          <w:rFonts w:ascii="Times New Roman" w:hAnsi="Times New Roman"/>
          <w:szCs w:val="24"/>
        </w:rPr>
        <w:t>). Apart from early onset dementia which occurs before 60 years old, the risk of most dementias increases with age over 60 years and with the current life expectancy in Nigeria fewer people live long enough to present with symptoms of the disease (Morris, 1999; World Bank, 2019). Those who live long enough to develop dementia symptoms might face not only the negative effects of stigma due to their mental illness and ageism but also stigma resulting from the misconception of dementia with witchcraft, and this is discussed below.</w:t>
      </w:r>
    </w:p>
    <w:p w14:paraId="40241E15" w14:textId="77777777" w:rsidR="007332FB" w:rsidRPr="00795F1B" w:rsidRDefault="007332FB" w:rsidP="006869A3">
      <w:pPr>
        <w:pStyle w:val="Heading5"/>
      </w:pPr>
      <w:r w:rsidRPr="00795F1B">
        <w:rPr>
          <w:b/>
        </w:rPr>
        <w:t>10.2.2.2.</w:t>
      </w:r>
      <w:r w:rsidRPr="00795F1B">
        <w:t xml:space="preserve"> Witchcraft</w:t>
      </w:r>
    </w:p>
    <w:p w14:paraId="44A2E4DE"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Dementia was also associated with the belief that older adults showing signs of dementia were possessed with witchcraft. Witches (or those possessed with witchcraft), are often thought to possess supernatural powers, which they employ to negatively </w:t>
      </w:r>
      <w:r w:rsidRPr="00795F1B">
        <w:rPr>
          <w:rFonts w:ascii="Times New Roman" w:hAnsi="Times New Roman"/>
          <w:szCs w:val="24"/>
        </w:rPr>
        <w:lastRenderedPageBreak/>
        <w:t>affect or cause harm to others (Ashforth, 1998; 2005). Although only four participants in my study held this belief about dementia, their description appears to suggest that older adults who show signs of dementia were ‘perpetuators’ of some wicked acts of witchcraft and were therefore receiving a well-deserved punishment. They pointed out that the expression of bizarre behaviour by older adults was the consequences of the terrible things they had done and still do. For example, Kate observed that:</w:t>
      </w:r>
    </w:p>
    <w:p w14:paraId="3832FF4D"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Actually, the understanding I had of older people living in a bizarre manner is just because… they were all witches. They were trying to do something bad, and they got caught or something happened, and they started misbehaving. A lot of women, older women in the city, they stone them to death</w:t>
      </w:r>
      <w:r w:rsidRPr="00795F1B">
        <w:rPr>
          <w:rFonts w:ascii="Times New Roman" w:hAnsi="Times New Roman"/>
          <w:szCs w:val="24"/>
        </w:rPr>
        <w:t>” (Kate, HCA)</w:t>
      </w:r>
    </w:p>
    <w:p w14:paraId="177900F8"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Those participants who drew a link between dementia and witchcraft appeared to suggest that older adults behaving in a certain way and presenting with certain behaviours were possessed with witchcraft. This finding is consistent with other studies on the beliefs in witchcraft in relation to the perception of dementia and old age and is common in many cultures and countries across Africa (</w:t>
      </w:r>
      <w:bookmarkStart w:id="246" w:name="_Hlk50369431"/>
      <w:r w:rsidRPr="00795F1B">
        <w:rPr>
          <w:rFonts w:ascii="Times New Roman" w:hAnsi="Times New Roman"/>
          <w:szCs w:val="24"/>
        </w:rPr>
        <w:t xml:space="preserve">Hindley </w:t>
      </w:r>
      <w:r w:rsidRPr="009533A9">
        <w:rPr>
          <w:rFonts w:ascii="Times New Roman" w:hAnsi="Times New Roman"/>
          <w:i/>
          <w:iCs/>
          <w:szCs w:val="24"/>
        </w:rPr>
        <w:t>et al.</w:t>
      </w:r>
      <w:r w:rsidRPr="00795F1B">
        <w:rPr>
          <w:rFonts w:ascii="Times New Roman" w:hAnsi="Times New Roman"/>
          <w:szCs w:val="24"/>
        </w:rPr>
        <w:t>, 2016; Mkhonto and Hanssen, 2018; Kehoua, 2019</w:t>
      </w:r>
      <w:bookmarkEnd w:id="246"/>
      <w:r w:rsidRPr="00795F1B">
        <w:rPr>
          <w:rFonts w:ascii="Times New Roman" w:hAnsi="Times New Roman"/>
          <w:szCs w:val="24"/>
        </w:rPr>
        <w:t>). One of my participants, Miriam, reflecting on the general belief about dementia and witchcraft while growing up in Nigeria noted that:</w:t>
      </w:r>
    </w:p>
    <w:p w14:paraId="1826F553" w14:textId="77777777" w:rsidR="007332FB" w:rsidRPr="00795F1B" w:rsidRDefault="007332FB" w:rsidP="007332FB">
      <w:pPr>
        <w:jc w:val="both"/>
        <w:rPr>
          <w:rFonts w:ascii="Times New Roman" w:hAnsi="Times New Roman"/>
          <w:szCs w:val="24"/>
        </w:rPr>
      </w:pPr>
      <w:r w:rsidRPr="00795F1B">
        <w:rPr>
          <w:rFonts w:ascii="Times New Roman" w:hAnsi="Times New Roman"/>
          <w:i/>
          <w:iCs/>
          <w:szCs w:val="24"/>
        </w:rPr>
        <w:t>If you look at the cultural aspect, …witchcraft make people confuse and all that, which, we are not looking at dementia this time, … actually it's witchcraft.</w:t>
      </w:r>
      <w:r w:rsidRPr="00795F1B">
        <w:rPr>
          <w:rFonts w:ascii="Times New Roman" w:hAnsi="Times New Roman"/>
          <w:szCs w:val="24"/>
        </w:rPr>
        <w:t>” (Miriam, HCA)</w:t>
      </w:r>
    </w:p>
    <w:p w14:paraId="299E32B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Hence, older adults accused of witchcraft are often stigmatised and maltreated. In addition, this was a gender issue with only older women labelled as “witches”. As my participant Kate noted, older women who were the accused of witchcraft could be stoned to death. This was reported by </w:t>
      </w:r>
      <w:bookmarkStart w:id="247" w:name="_Hlk50369538"/>
      <w:r w:rsidRPr="00795F1B">
        <w:rPr>
          <w:rFonts w:ascii="Times New Roman" w:hAnsi="Times New Roman"/>
          <w:szCs w:val="24"/>
        </w:rPr>
        <w:t>Samber, Avanger and Abanyam (2014) and Mouton and Southerland (2017)</w:t>
      </w:r>
      <w:bookmarkEnd w:id="247"/>
      <w:r w:rsidRPr="00795F1B">
        <w:rPr>
          <w:rFonts w:ascii="Times New Roman" w:hAnsi="Times New Roman"/>
          <w:szCs w:val="24"/>
        </w:rPr>
        <w:t xml:space="preserve"> suggesting that these older women are not only shunned and stigmatised but are also bullied and beaten. In more extreme situations, they are stoned, burned, or even killed.</w:t>
      </w:r>
    </w:p>
    <w:p w14:paraId="350C6DD9"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One of the implications of the stigma and ill-treatment of older adults accused of witchcraft is the influence on the family carers’ help-seeking behaviours, some of </w:t>
      </w:r>
      <w:r w:rsidRPr="00795F1B">
        <w:rPr>
          <w:rFonts w:ascii="Times New Roman" w:hAnsi="Times New Roman"/>
          <w:szCs w:val="24"/>
        </w:rPr>
        <w:lastRenderedPageBreak/>
        <w:t xml:space="preserve">whom turn to unorthodox sources. For example, </w:t>
      </w:r>
      <w:bookmarkStart w:id="248" w:name="_Hlk50369585"/>
      <w:r w:rsidRPr="00795F1B">
        <w:rPr>
          <w:rFonts w:ascii="Times New Roman" w:hAnsi="Times New Roman"/>
          <w:szCs w:val="24"/>
        </w:rPr>
        <w:t xml:space="preserve">Mushi </w:t>
      </w:r>
      <w:r w:rsidRPr="009533A9">
        <w:rPr>
          <w:rFonts w:ascii="Times New Roman" w:hAnsi="Times New Roman"/>
          <w:i/>
          <w:iCs/>
          <w:szCs w:val="24"/>
        </w:rPr>
        <w:t>et al.</w:t>
      </w:r>
      <w:r w:rsidRPr="00795F1B">
        <w:rPr>
          <w:rFonts w:ascii="Times New Roman" w:hAnsi="Times New Roman"/>
          <w:szCs w:val="24"/>
        </w:rPr>
        <w:t xml:space="preserve"> (2014) conducted qualitative interviews with carers for PLWD in Tanzania and observed that nearly half of those caring for their loved ones with dementia and who associated it with witchcraft also sought help from traditional healers (de Jager</w:t>
      </w:r>
      <w:r>
        <w:rPr>
          <w:rFonts w:ascii="Times New Roman" w:hAnsi="Times New Roman"/>
          <w:szCs w:val="24"/>
        </w:rPr>
        <w:t xml:space="preserve"> </w:t>
      </w:r>
      <w:r w:rsidRPr="00C16B4B">
        <w:rPr>
          <w:rFonts w:ascii="Times New Roman" w:hAnsi="Times New Roman"/>
          <w:i/>
          <w:iCs/>
          <w:szCs w:val="24"/>
        </w:rPr>
        <w:t>et al.</w:t>
      </w:r>
      <w:r w:rsidRPr="00795F1B">
        <w:rPr>
          <w:rFonts w:ascii="Times New Roman" w:hAnsi="Times New Roman"/>
          <w:szCs w:val="24"/>
        </w:rPr>
        <w:t>, 2015)</w:t>
      </w:r>
      <w:bookmarkEnd w:id="248"/>
      <w:r w:rsidRPr="00795F1B">
        <w:rPr>
          <w:rFonts w:ascii="Times New Roman" w:hAnsi="Times New Roman"/>
          <w:szCs w:val="24"/>
        </w:rPr>
        <w:t>.</w:t>
      </w:r>
    </w:p>
    <w:p w14:paraId="38DEEFBB" w14:textId="77777777" w:rsidR="007332FB" w:rsidRPr="00795F1B" w:rsidRDefault="007332FB" w:rsidP="007332FB">
      <w:pPr>
        <w:rPr>
          <w:rFonts w:ascii="Times" w:hAnsi="Times" w:cs="Times"/>
        </w:rPr>
      </w:pPr>
      <w:r w:rsidRPr="00795F1B">
        <w:rPr>
          <w:rFonts w:ascii="Times" w:hAnsi="Times" w:cs="Times"/>
        </w:rPr>
        <w:t>However, there were three participants who considered dementia as a punishment to those living with the disease for wrong deeds done in the past, although they did not link this directly with witchcraft. This formed the basis for the two beliefs earlier examined, holding that people suffer the consequence of what they did earlier in their life’s journey and that what they currently faced is a direct or indirect result of what they have done.</w:t>
      </w:r>
    </w:p>
    <w:p w14:paraId="5B9FA0DD" w14:textId="77777777" w:rsidR="007332FB" w:rsidRPr="00795F1B" w:rsidRDefault="007332FB" w:rsidP="006869A3">
      <w:pPr>
        <w:pStyle w:val="Heading5"/>
        <w:rPr>
          <w:b/>
        </w:rPr>
      </w:pPr>
      <w:r w:rsidRPr="00795F1B">
        <w:rPr>
          <w:b/>
        </w:rPr>
        <w:t xml:space="preserve">10.2.2.3. </w:t>
      </w:r>
      <w:r w:rsidRPr="00795F1B">
        <w:t>Spiritual affliction</w:t>
      </w:r>
    </w:p>
    <w:p w14:paraId="15EB2683"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Four of the participants believed that dementia was caused by a spiritual affliction, inflicted on the sufferer by a sinister force. They considered PLWD to be hapless victims to forces beyond their control. My participant’s description of why people became victims to spiritual affliction seemed to apportion the blame on the individual themselves, depicting them as the cause of their affliction. One of the participants, Folashade noted:</w:t>
      </w:r>
    </w:p>
    <w:p w14:paraId="79313C77" w14:textId="77777777" w:rsidR="007332FB" w:rsidRPr="00795F1B" w:rsidRDefault="007332FB" w:rsidP="007332FB">
      <w:pPr>
        <w:jc w:val="both"/>
        <w:rPr>
          <w:rFonts w:ascii="Times New Roman" w:hAnsi="Times New Roman"/>
          <w:szCs w:val="24"/>
        </w:rPr>
      </w:pPr>
      <w:r w:rsidRPr="00795F1B">
        <w:rPr>
          <w:rFonts w:ascii="Times New Roman" w:hAnsi="Times New Roman"/>
          <w:szCs w:val="24"/>
          <w:lang w:val="en-US"/>
        </w:rPr>
        <w:t>“</w:t>
      </w:r>
      <w:r w:rsidRPr="00795F1B">
        <w:rPr>
          <w:rFonts w:ascii="Times New Roman" w:hAnsi="Times New Roman"/>
          <w:i/>
          <w:iCs/>
          <w:szCs w:val="24"/>
          <w:lang w:val="en-US"/>
        </w:rPr>
        <w:t>I believe is many bad habits people have picked up while growing up that led to…Yea, there were so many causes back home that people could relate but one of them that I believe and I still hold on to is the fact that many of them were demonised</w:t>
      </w:r>
      <w:r w:rsidRPr="00795F1B">
        <w:rPr>
          <w:rFonts w:ascii="Times New Roman" w:hAnsi="Times New Roman"/>
          <w:szCs w:val="24"/>
          <w:lang w:val="en-US"/>
        </w:rPr>
        <w:t>” (Folashade, HCA)</w:t>
      </w:r>
    </w:p>
    <w:p w14:paraId="70E9890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Relating dementia to affliction by demons, Folashade pointed to the role of the PLWD as being passive participants in their own predicament. The four participants’ description of how they came to form this belief about dementia appears to suggest that it might be related to their spiritual beliefs. All my participants self-identified as practicing Christians, but only four attributed the belief that dementia is an affliction to their spiritual beliefs. </w:t>
      </w:r>
    </w:p>
    <w:p w14:paraId="4A39DB3B"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lastRenderedPageBreak/>
        <w:t xml:space="preserve">Some of the care workers expressed spiritual and religious beliefs about dementia, its causes and presentation. For example, Folashade and Paul who were a wife of a pastor and the pastor respectively both held beliefs linked to their spirituality and roles in the church. </w:t>
      </w:r>
      <w:r w:rsidRPr="00795F1B">
        <w:rPr>
          <w:rFonts w:ascii="Times New Roman" w:hAnsi="Times New Roman"/>
          <w:szCs w:val="24"/>
          <w:lang w:val="en-US"/>
        </w:rPr>
        <w:t>Paul talked about the complexity of his spiritual and other beliefs, and he also highlighted how different conditions (including dementia) could impact on family decision making when people are choosing to get married, Paul stated that:</w:t>
      </w:r>
    </w:p>
    <w:p w14:paraId="289C479E" w14:textId="77777777" w:rsidR="007332FB" w:rsidRPr="00795F1B" w:rsidRDefault="007332FB" w:rsidP="007332FB">
      <w:pPr>
        <w:jc w:val="both"/>
        <w:rPr>
          <w:rFonts w:ascii="Times New Roman" w:hAnsi="Times New Roman"/>
          <w:szCs w:val="24"/>
        </w:rPr>
      </w:pPr>
      <w:r w:rsidRPr="00795F1B">
        <w:rPr>
          <w:rFonts w:ascii="Times New Roman" w:hAnsi="Times New Roman"/>
          <w:szCs w:val="24"/>
          <w:lang w:val="en-US"/>
        </w:rPr>
        <w:t>“</w:t>
      </w:r>
      <w:r w:rsidRPr="00795F1B">
        <w:rPr>
          <w:rFonts w:ascii="Times New Roman" w:hAnsi="Times New Roman"/>
          <w:i/>
          <w:iCs/>
          <w:szCs w:val="24"/>
        </w:rPr>
        <w:t>I think … part of my understanding about dementia is that apart from being attributed to or linked with old age, there is also some spiritual undertone to it.</w:t>
      </w:r>
      <w:r w:rsidRPr="00795F1B">
        <w:rPr>
          <w:rFonts w:ascii="Times New Roman" w:hAnsi="Times New Roman"/>
          <w:szCs w:val="24"/>
          <w:lang w:val="en-US"/>
        </w:rPr>
        <w:t>” (Paul, HCA)</w:t>
      </w:r>
      <w:r w:rsidRPr="00795F1B">
        <w:rPr>
          <w:rFonts w:ascii="Times New Roman" w:hAnsi="Times New Roman"/>
          <w:szCs w:val="24"/>
        </w:rPr>
        <w:t> </w:t>
      </w:r>
    </w:p>
    <w:p w14:paraId="0E74426E"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From Paul’s narrative, it is interesting how people’s construction of dementia as a spiritual condition relates to it being some form of insanity. The association of the disease with spiritual causes has existed for centuries across different cultures worldwide (</w:t>
      </w:r>
      <w:bookmarkStart w:id="249" w:name="_Hlk50369683"/>
      <w:r w:rsidRPr="00795F1B">
        <w:rPr>
          <w:rFonts w:ascii="Times New Roman" w:hAnsi="Times New Roman"/>
          <w:bCs/>
          <w:szCs w:val="24"/>
        </w:rPr>
        <w:t xml:space="preserve">Eisenberg </w:t>
      </w:r>
      <w:r w:rsidRPr="009533A9">
        <w:rPr>
          <w:rFonts w:ascii="Times New Roman" w:hAnsi="Times New Roman"/>
          <w:bCs/>
          <w:i/>
          <w:iCs/>
          <w:szCs w:val="24"/>
        </w:rPr>
        <w:t>et al.</w:t>
      </w:r>
      <w:r w:rsidRPr="00795F1B">
        <w:rPr>
          <w:rFonts w:ascii="Times New Roman" w:hAnsi="Times New Roman"/>
          <w:bCs/>
          <w:szCs w:val="24"/>
        </w:rPr>
        <w:t xml:space="preserve">, 2009; </w:t>
      </w:r>
      <w:r w:rsidRPr="00795F1B">
        <w:rPr>
          <w:rFonts w:ascii="Times New Roman" w:hAnsi="Times New Roman"/>
          <w:szCs w:val="24"/>
        </w:rPr>
        <w:t>Frith, 2016</w:t>
      </w:r>
      <w:r w:rsidRPr="00795F1B">
        <w:rPr>
          <w:rFonts w:ascii="Times New Roman" w:hAnsi="Times New Roman"/>
          <w:bCs/>
          <w:szCs w:val="24"/>
        </w:rPr>
        <w:t>), and it is primarily due to the lack of understanding of disease causation (</w:t>
      </w:r>
      <w:r w:rsidRPr="00795F1B">
        <w:rPr>
          <w:rFonts w:ascii="Times New Roman" w:hAnsi="Times New Roman"/>
          <w:szCs w:val="24"/>
        </w:rPr>
        <w:t xml:space="preserve">Rosato </w:t>
      </w:r>
      <w:r w:rsidRPr="009533A9">
        <w:rPr>
          <w:rFonts w:ascii="Times New Roman" w:hAnsi="Times New Roman"/>
          <w:i/>
          <w:iCs/>
          <w:szCs w:val="24"/>
        </w:rPr>
        <w:t>et al.</w:t>
      </w:r>
      <w:r w:rsidRPr="00795F1B">
        <w:rPr>
          <w:rFonts w:ascii="Times New Roman" w:hAnsi="Times New Roman"/>
          <w:szCs w:val="24"/>
        </w:rPr>
        <w:t>, 2019</w:t>
      </w:r>
      <w:r w:rsidRPr="00795F1B">
        <w:rPr>
          <w:rFonts w:ascii="Times New Roman" w:hAnsi="Times New Roman"/>
          <w:bCs/>
          <w:szCs w:val="24"/>
        </w:rPr>
        <w:t>). Paul’s description of people’s understanding of dementia and some other conditions that are hereditary further highlights the issue of mental health and stigma in Nigeria. As discussed in the literature review (see section 4.7.4.), stigmatising those with dementia or their families has also been reported in Asian cultures (Henderson and Traphagan, 2005</w:t>
      </w:r>
      <w:r w:rsidRPr="00795F1B">
        <w:rPr>
          <w:rFonts w:ascii="Times New Roman" w:hAnsi="Times New Roman"/>
          <w:szCs w:val="24"/>
        </w:rPr>
        <w:t>; Woo and Mehta, 2017</w:t>
      </w:r>
      <w:r w:rsidRPr="00795F1B">
        <w:rPr>
          <w:rFonts w:ascii="Times New Roman" w:hAnsi="Times New Roman"/>
          <w:bCs/>
          <w:szCs w:val="24"/>
        </w:rPr>
        <w:t>) and it extends to mental health illnesses in general (</w:t>
      </w:r>
      <w:r w:rsidRPr="00795F1B">
        <w:rPr>
          <w:rFonts w:ascii="Times New Roman" w:hAnsi="Times New Roman"/>
          <w:szCs w:val="24"/>
        </w:rPr>
        <w:t>Jang, Chiriboga and Okazaki, 2009; Zheng and Woo, 2016</w:t>
      </w:r>
      <w:r w:rsidRPr="00795F1B">
        <w:rPr>
          <w:rFonts w:ascii="Times New Roman" w:hAnsi="Times New Roman"/>
          <w:bCs/>
          <w:szCs w:val="24"/>
        </w:rPr>
        <w:t>)</w:t>
      </w:r>
      <w:bookmarkEnd w:id="249"/>
      <w:r w:rsidRPr="00795F1B">
        <w:rPr>
          <w:rFonts w:ascii="Times New Roman" w:hAnsi="Times New Roman"/>
          <w:bCs/>
          <w:szCs w:val="24"/>
        </w:rPr>
        <w:t>.</w:t>
      </w:r>
    </w:p>
    <w:p w14:paraId="1D253B1F" w14:textId="77777777" w:rsidR="007332FB" w:rsidRPr="00795F1B" w:rsidRDefault="007332FB" w:rsidP="006869A3">
      <w:pPr>
        <w:pStyle w:val="Heading5"/>
        <w:rPr>
          <w:b/>
        </w:rPr>
      </w:pPr>
      <w:r w:rsidRPr="00795F1B">
        <w:rPr>
          <w:b/>
        </w:rPr>
        <w:t xml:space="preserve">10.2.2.4. </w:t>
      </w:r>
      <w:r w:rsidRPr="00795F1B">
        <w:t>No specific belief about dementia</w:t>
      </w:r>
    </w:p>
    <w:p w14:paraId="3859E0D7" w14:textId="77777777" w:rsidR="007332FB" w:rsidRPr="00795F1B" w:rsidRDefault="007332FB" w:rsidP="007332FB">
      <w:pPr>
        <w:jc w:val="both"/>
        <w:rPr>
          <w:rFonts w:ascii="Times" w:hAnsi="Times" w:cs="Times"/>
        </w:rPr>
      </w:pPr>
      <w:r w:rsidRPr="00795F1B">
        <w:rPr>
          <w:rFonts w:ascii="Times" w:hAnsi="Times" w:cs="Times"/>
        </w:rPr>
        <w:t>Two participants in this study, Bosede and Jeff, did not hold any specific beliefs about dementia before migrating to the UK. They attributed it to not meeting any person with symptoms similar to dementia. For example, Bosede described her lack of awareness of dementia, stating that:</w:t>
      </w:r>
    </w:p>
    <w:p w14:paraId="6B136401" w14:textId="77777777" w:rsidR="007332FB" w:rsidRPr="00795F1B" w:rsidRDefault="007332FB" w:rsidP="007332FB">
      <w:pPr>
        <w:spacing w:after="0"/>
        <w:jc w:val="both"/>
        <w:rPr>
          <w:rFonts w:ascii="Times" w:hAnsi="Times" w:cs="Times"/>
        </w:rPr>
      </w:pPr>
      <w:r w:rsidRPr="00795F1B">
        <w:rPr>
          <w:rFonts w:ascii="Times" w:hAnsi="Times" w:cs="Times"/>
        </w:rPr>
        <w:t>“</w:t>
      </w:r>
      <w:r w:rsidRPr="00795F1B">
        <w:rPr>
          <w:rFonts w:ascii="Times New Roman" w:hAnsi="Times New Roman"/>
          <w:i/>
          <w:iCs/>
          <w:szCs w:val="24"/>
        </w:rPr>
        <w:t>I have never heard of that name [dementia] before… and when I came… I started as a carer, I was wondering could people [with dementia] be living like this because before I left Nigeria nobody ever thought of dementia</w:t>
      </w:r>
      <w:r w:rsidRPr="00795F1B">
        <w:rPr>
          <w:rFonts w:ascii="Times" w:hAnsi="Times" w:cs="Times"/>
        </w:rPr>
        <w:t>” (Bosede, RMN)</w:t>
      </w:r>
    </w:p>
    <w:p w14:paraId="61F07AA4" w14:textId="77777777" w:rsidR="007332FB" w:rsidRPr="00795F1B" w:rsidRDefault="007332FB" w:rsidP="007332FB">
      <w:pPr>
        <w:spacing w:after="0"/>
        <w:jc w:val="both"/>
        <w:rPr>
          <w:rFonts w:ascii="Times New Roman" w:hAnsi="Times New Roman"/>
          <w:szCs w:val="24"/>
        </w:rPr>
      </w:pPr>
    </w:p>
    <w:p w14:paraId="619DBE37" w14:textId="55AA65DF" w:rsidR="007332FB" w:rsidRPr="00795F1B" w:rsidRDefault="007332FB" w:rsidP="007332FB">
      <w:pPr>
        <w:jc w:val="both"/>
        <w:rPr>
          <w:rFonts w:ascii="Times New Roman" w:hAnsi="Times New Roman"/>
          <w:szCs w:val="24"/>
        </w:rPr>
      </w:pPr>
      <w:r w:rsidRPr="00795F1B">
        <w:rPr>
          <w:rFonts w:ascii="Times" w:hAnsi="Times" w:cs="Times"/>
        </w:rPr>
        <w:lastRenderedPageBreak/>
        <w:t xml:space="preserve">These two participants, Jeff and Bosede had no characteristics that make them different from the other participants. </w:t>
      </w:r>
      <w:r w:rsidRPr="00795F1B">
        <w:rPr>
          <w:rFonts w:ascii="Times New Roman" w:hAnsi="Times New Roman"/>
          <w:szCs w:val="24"/>
        </w:rPr>
        <w:t xml:space="preserve">Bosede only knew about the word ‘dementia’ and the associated symptoms when she began to work as a care worker in the UK. Like Jeff, she never met any person with the condition in Nigeria but unlike the other participants they both had no belief about the cause of the illness. Since they both had similar lived experiences to the other participants, it is likely that they had no beliefs about dementia because of the general lack of awareness of the disease in the country. The lack of adequate awareness on dementia and the inherent stigma attached to mental illness has contributed to entrenching misconceptions and lack of understanding of dementia in Nigeria (Shah </w:t>
      </w:r>
      <w:r w:rsidRPr="009533A9">
        <w:rPr>
          <w:rFonts w:ascii="Times New Roman" w:hAnsi="Times New Roman"/>
          <w:i/>
          <w:iCs/>
          <w:szCs w:val="24"/>
        </w:rPr>
        <w:t>et al.</w:t>
      </w:r>
      <w:r w:rsidRPr="00795F1B">
        <w:rPr>
          <w:rFonts w:ascii="Times New Roman" w:hAnsi="Times New Roman"/>
          <w:szCs w:val="24"/>
        </w:rPr>
        <w:t>, 2016; WHO, 2017</w:t>
      </w:r>
      <w:r w:rsidR="009E7389">
        <w:rPr>
          <w:rFonts w:ascii="Times New Roman" w:hAnsi="Times New Roman"/>
          <w:szCs w:val="24"/>
        </w:rPr>
        <w:t>c</w:t>
      </w:r>
      <w:r w:rsidRPr="00795F1B">
        <w:rPr>
          <w:rFonts w:ascii="Times New Roman" w:hAnsi="Times New Roman"/>
          <w:szCs w:val="24"/>
        </w:rPr>
        <w:t>; Chertkow, 2018).</w:t>
      </w:r>
    </w:p>
    <w:p w14:paraId="7B973F9C" w14:textId="77777777" w:rsidR="007332FB" w:rsidRPr="00795F1B" w:rsidRDefault="007332FB" w:rsidP="007332FB">
      <w:pPr>
        <w:rPr>
          <w:rFonts w:ascii="Times New Roman" w:hAnsi="Times New Roman"/>
          <w:szCs w:val="24"/>
        </w:rPr>
      </w:pPr>
      <w:r w:rsidRPr="00795F1B">
        <w:rPr>
          <w:rFonts w:ascii="Times New Roman" w:hAnsi="Times New Roman"/>
          <w:szCs w:val="24"/>
        </w:rPr>
        <w:t>Despite my participants’ varying past beliefs, there was a consistency in their current understanding of dementia, and this discussed below.</w:t>
      </w:r>
    </w:p>
    <w:p w14:paraId="747038A2" w14:textId="77777777" w:rsidR="007332FB" w:rsidRPr="00795F1B" w:rsidRDefault="007332FB" w:rsidP="006869A3">
      <w:pPr>
        <w:pStyle w:val="Heading2"/>
      </w:pPr>
      <w:bookmarkStart w:id="250" w:name="_Hlk51407653"/>
      <w:bookmarkStart w:id="251" w:name="_Toc86417405"/>
      <w:r w:rsidRPr="00795F1B">
        <w:t>10.3. Current understanding of dementia</w:t>
      </w:r>
      <w:bookmarkEnd w:id="250"/>
      <w:bookmarkEnd w:id="251"/>
    </w:p>
    <w:p w14:paraId="10398D8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All my 21 participants stated that they had benefitted from the training they received before they began to work in care, with most of them (n=19) stating the training was helpful in changing their previously held beliefs about the condition. When asked to describe their current understanding of the condition, all the participants discussed dementia in terms of the biomedical model of dementia (</w:t>
      </w:r>
      <w:bookmarkStart w:id="252" w:name="_Hlk50369765"/>
      <w:r w:rsidRPr="00795F1B">
        <w:rPr>
          <w:rFonts w:ascii="Times New Roman" w:hAnsi="Times New Roman"/>
          <w:szCs w:val="24"/>
        </w:rPr>
        <w:t>WHO, 1992; Ostaszkiewicz, Dunning and Streat, 2018</w:t>
      </w:r>
      <w:bookmarkEnd w:id="252"/>
      <w:r w:rsidRPr="00795F1B">
        <w:rPr>
          <w:rFonts w:ascii="Times New Roman" w:hAnsi="Times New Roman"/>
          <w:szCs w:val="24"/>
        </w:rPr>
        <w:t>) describing the decline in cognitive function, changes in memory as well as physical, behavioural and social changes in the person with dementia.  Jackie, a participant, explained dementia thus: </w:t>
      </w:r>
    </w:p>
    <w:p w14:paraId="0AF70C19"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Dementia in my own understanding is the problem of the brain and when the brain is malfunctioning, and basically, they don’t know what causes it.</w:t>
      </w:r>
      <w:r w:rsidRPr="00795F1B">
        <w:rPr>
          <w:rFonts w:ascii="Times New Roman" w:hAnsi="Times New Roman"/>
          <w:szCs w:val="24"/>
        </w:rPr>
        <w:t>” (Jackie, HCA)</w:t>
      </w:r>
    </w:p>
    <w:p w14:paraId="4297DA52"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Jackie understood dementia to be associated with a malfunction in the brain, alluding to the biomedical model. Although this model of dementia has been challenged (</w:t>
      </w:r>
      <w:bookmarkStart w:id="253" w:name="_Hlk50369801"/>
      <w:r w:rsidRPr="00795F1B">
        <w:rPr>
          <w:rFonts w:ascii="Times New Roman" w:hAnsi="Times New Roman"/>
          <w:szCs w:val="24"/>
        </w:rPr>
        <w:t>Engel, 1977; Wade and Halligan, 2017), it remains a dominant model in the understanding of dementia with an emphasis on the aetiology of the condition and its pathological and physical symptoms (White, 2013)</w:t>
      </w:r>
      <w:bookmarkEnd w:id="253"/>
      <w:r w:rsidRPr="00795F1B">
        <w:rPr>
          <w:rFonts w:ascii="Times New Roman" w:hAnsi="Times New Roman"/>
          <w:szCs w:val="24"/>
        </w:rPr>
        <w:t>.</w:t>
      </w:r>
    </w:p>
    <w:p w14:paraId="569F615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lastRenderedPageBreak/>
        <w:t>The biomedical model has been criticised for being deficit-centred with the condition only attributed to neurologic decline while ignoring the psychological and social worlds of PLWD (</w:t>
      </w:r>
      <w:bookmarkStart w:id="254" w:name="_Hlk50369870"/>
      <w:r w:rsidRPr="00795F1B">
        <w:rPr>
          <w:rFonts w:ascii="Times New Roman" w:hAnsi="Times New Roman"/>
          <w:szCs w:val="24"/>
        </w:rPr>
        <w:t xml:space="preserve">McGovern, 2011). But other approaches are starting to gain recognition. For example, Kitwood (1997) seminal work advocated for the person-centred model of dementia, which attempts to shift the focus of dementia from the disease model, that is how it can be managed and potentially cured, to the person-centred model that is concerned with how people can live better with the disease (Cuijpers and Van Lente, 2015; </w:t>
      </w:r>
      <w:r w:rsidRPr="00795F1B">
        <w:rPr>
          <w:rFonts w:ascii="Times" w:hAnsi="Times" w:cs="Times"/>
          <w:szCs w:val="24"/>
        </w:rPr>
        <w:t>Vernooij-Dassen and Moniz-Cook, 2017</w:t>
      </w:r>
      <w:r w:rsidRPr="00795F1B">
        <w:rPr>
          <w:rFonts w:ascii="Times New Roman" w:hAnsi="Times New Roman"/>
          <w:szCs w:val="24"/>
        </w:rPr>
        <w:t xml:space="preserve">). </w:t>
      </w:r>
      <w:bookmarkEnd w:id="254"/>
      <w:r w:rsidRPr="00795F1B">
        <w:rPr>
          <w:rFonts w:ascii="Times New Roman" w:hAnsi="Times New Roman"/>
          <w:szCs w:val="24"/>
        </w:rPr>
        <w:t>Five participants gave less clinical descriptions of dementia that seems to embody a combination of approaches. For example, Adams described it as:</w:t>
      </w:r>
    </w:p>
    <w:p w14:paraId="3B653EFC"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It’s an unfortunate illness that affects the human brain whereby you just simply forget who you are, you cannot remember anything, … your ability to do certain things begin to fail, you lose sight of, you can’t even remember the people you loved […..]</w:t>
      </w:r>
      <w:r w:rsidRPr="00795F1B">
        <w:rPr>
          <w:rFonts w:ascii="Times New Roman" w:hAnsi="Times New Roman"/>
          <w:szCs w:val="24"/>
        </w:rPr>
        <w:t>” (Adams, HCA)</w:t>
      </w:r>
    </w:p>
    <w:p w14:paraId="362E2C3A"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Adams’ understanding and description of dementia encompasses the biomedical and person-centred approaches to understanding the condition and highlighted the focus on the person with dementia by his repeated use of the pronoun ‘</w:t>
      </w:r>
      <w:r w:rsidRPr="00795F1B">
        <w:rPr>
          <w:rFonts w:ascii="Times New Roman" w:hAnsi="Times New Roman"/>
          <w:i/>
          <w:iCs/>
          <w:szCs w:val="24"/>
        </w:rPr>
        <w:t>you</w:t>
      </w:r>
      <w:r w:rsidRPr="00795F1B">
        <w:rPr>
          <w:rFonts w:ascii="Times New Roman" w:hAnsi="Times New Roman"/>
          <w:szCs w:val="24"/>
        </w:rPr>
        <w:t>’ to address the focus of the condition. Echoing Adam, other participants also combined the approaches to underpin their understanding of dementia. This was noted in care workers such as Morgan, who further explained the impact of the disease on personhood:</w:t>
      </w:r>
    </w:p>
    <w:p w14:paraId="24638F6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 as a neurodegenerative disease… it has to do with the brain…, characterised by a lot of a combination of symptoms like memory loss… and forgetting the immediate events […..] become incontinent, of urine, of faeces, … they strip, they remove their clothes in public, they are not ashamed…, they are not aware of their surrounding</w:t>
      </w:r>
      <w:r w:rsidRPr="00795F1B">
        <w:rPr>
          <w:rFonts w:ascii="Times New Roman" w:hAnsi="Times New Roman"/>
          <w:szCs w:val="24"/>
        </w:rPr>
        <w:t>” (Morgan, HCA) </w:t>
      </w:r>
    </w:p>
    <w:p w14:paraId="1A803BB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Morgan described dementia as neurodegenerative with reference to his biomedical understanding of the condition (a decline in brain function, memory loss and behavioural changes). However, Morgan, Adam and many of the other participants also </w:t>
      </w:r>
      <w:r w:rsidRPr="00795F1B">
        <w:rPr>
          <w:rFonts w:ascii="Times New Roman" w:hAnsi="Times New Roman"/>
          <w:szCs w:val="24"/>
        </w:rPr>
        <w:lastRenderedPageBreak/>
        <w:t>recognised the loss of personhood associated with the different behaviours exhibited by PLWD (</w:t>
      </w:r>
      <w:bookmarkStart w:id="255" w:name="_Hlk50369948"/>
      <w:r w:rsidRPr="00795F1B">
        <w:rPr>
          <w:rFonts w:ascii="Times New Roman" w:hAnsi="Times New Roman"/>
          <w:szCs w:val="24"/>
        </w:rPr>
        <w:t>Higgs and Gilleard, 2015; 2016</w:t>
      </w:r>
      <w:bookmarkEnd w:id="255"/>
      <w:r w:rsidRPr="00795F1B">
        <w:rPr>
          <w:rFonts w:ascii="Times New Roman" w:hAnsi="Times New Roman"/>
          <w:szCs w:val="24"/>
        </w:rPr>
        <w:t>). Those participants who had worked as nurses in Nigeria also described dementia using similar biomedical terms used by those with no nurse training. For example, Jane, who is a Nigerian-trained nurse but works as HCA, compared her past and current understanding of dementia:</w:t>
      </w:r>
    </w:p>
    <w:p w14:paraId="447F3C7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 dementia is a progressive neurological disease which affects multiple brain functions including memory. But back at home [in Nigeria] when you talk of dementia, … we’ll just be thinking, oh this old woman is running mad, this old man is becoming insane.</w:t>
      </w:r>
      <w:r w:rsidRPr="00795F1B">
        <w:rPr>
          <w:rFonts w:ascii="Times New Roman" w:hAnsi="Times New Roman"/>
          <w:szCs w:val="24"/>
        </w:rPr>
        <w:t>” (Jane, HCA)</w:t>
      </w:r>
    </w:p>
    <w:p w14:paraId="603F4D1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Care workers who were currently working as nurses in the UK also expressed a good knowledge of dementia, describing it in similar ways to Jane and the other nurses who trained in Nigeria. For instance, Bosede who only became a nurse in the UK described dementia as:</w:t>
      </w:r>
    </w:p>
    <w:p w14:paraId="777C429D"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Dementia is a sickness of the brain and it is progressive. There is no cure for it. The only medication available at the moment for dementia is to ehm reduce the progression rate</w:t>
      </w:r>
      <w:r w:rsidRPr="00795F1B">
        <w:rPr>
          <w:rFonts w:ascii="Times New Roman" w:hAnsi="Times New Roman"/>
          <w:szCs w:val="24"/>
        </w:rPr>
        <w:t>” (Bosede, RMN)</w:t>
      </w:r>
    </w:p>
    <w:p w14:paraId="75147F23"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As noted in the previous section, apart from care workers who had trained as nurses in Nigeria and had some theoretical knowledge of dementia in Nigeria, every other participant in this study experienced a shift in their pre-migratory beliefs about dementia, and this is explored further in the next section.</w:t>
      </w:r>
    </w:p>
    <w:p w14:paraId="2E5E5688" w14:textId="77777777" w:rsidR="007332FB" w:rsidRPr="00795F1B" w:rsidRDefault="007332FB" w:rsidP="006869A3">
      <w:pPr>
        <w:pStyle w:val="Heading2"/>
      </w:pPr>
      <w:bookmarkStart w:id="256" w:name="_Hlk51407714"/>
      <w:bookmarkStart w:id="257" w:name="_Toc86417406"/>
      <w:r w:rsidRPr="00795F1B">
        <w:t>10.4. Shift in beliefs</w:t>
      </w:r>
      <w:bookmarkEnd w:id="256"/>
      <w:bookmarkEnd w:id="257"/>
    </w:p>
    <w:p w14:paraId="742A59C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As my findings suggest, the current knowledge my participants hold about dementia were mainly acquired in the UK and is largely different to the knowledge they previously held about dementia. The shift from the general Nigerian folk beliefs and knowledge about dementia to the accepted Western biomedical approach emerged as a major theme in this study of the lived experience of paid Nigerian migrant care workers. </w:t>
      </w:r>
      <w:r w:rsidRPr="00795F1B">
        <w:rPr>
          <w:rFonts w:ascii="Times New Roman" w:hAnsi="Times New Roman"/>
          <w:szCs w:val="24"/>
        </w:rPr>
        <w:lastRenderedPageBreak/>
        <w:t>All participants mainly attributed this change in beliefs to the training they received before they began to work as care workers.</w:t>
      </w:r>
    </w:p>
    <w:p w14:paraId="17C2EDE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In the following section, I present the findings on the importance of training in the shift in cultural beliefs about dementia and the role of the ageing simulation suit in the change of cultural beliefs about dementia. </w:t>
      </w:r>
    </w:p>
    <w:p w14:paraId="2C2C8869" w14:textId="77777777" w:rsidR="007332FB" w:rsidRPr="00795F1B" w:rsidRDefault="007332FB" w:rsidP="006869A3">
      <w:pPr>
        <w:pStyle w:val="Heading3"/>
        <w:rPr>
          <w:bCs/>
        </w:rPr>
      </w:pPr>
      <w:bookmarkStart w:id="258" w:name="_Toc86417407"/>
      <w:r w:rsidRPr="00795F1B">
        <w:rPr>
          <w:bCs/>
        </w:rPr>
        <w:t xml:space="preserve">10.4.1. </w:t>
      </w:r>
      <w:r w:rsidRPr="00795F1B">
        <w:t>The role of NHS training in changing beliefs</w:t>
      </w:r>
      <w:bookmarkEnd w:id="258"/>
    </w:p>
    <w:p w14:paraId="4379FC69"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Training is an essential requirement to work with PLWD particularly for individuals new to care work (</w:t>
      </w:r>
      <w:bookmarkStart w:id="259" w:name="_Hlk50369989"/>
      <w:r w:rsidRPr="00795F1B">
        <w:rPr>
          <w:rFonts w:ascii="Times New Roman" w:hAnsi="Times New Roman"/>
          <w:szCs w:val="24"/>
        </w:rPr>
        <w:t xml:space="preserve">Gandesha </w:t>
      </w:r>
      <w:r w:rsidRPr="009533A9">
        <w:rPr>
          <w:rFonts w:ascii="Times New Roman" w:hAnsi="Times New Roman"/>
          <w:i/>
          <w:iCs/>
          <w:szCs w:val="24"/>
        </w:rPr>
        <w:t>et al.</w:t>
      </w:r>
      <w:r w:rsidRPr="00795F1B">
        <w:rPr>
          <w:rFonts w:ascii="Times New Roman" w:hAnsi="Times New Roman"/>
          <w:szCs w:val="24"/>
        </w:rPr>
        <w:t xml:space="preserve">, 2012; Surr </w:t>
      </w:r>
      <w:r w:rsidRPr="009533A9">
        <w:rPr>
          <w:rFonts w:ascii="Times New Roman" w:hAnsi="Times New Roman"/>
          <w:i/>
          <w:iCs/>
          <w:szCs w:val="24"/>
        </w:rPr>
        <w:t>et al.</w:t>
      </w:r>
      <w:r w:rsidRPr="00795F1B">
        <w:rPr>
          <w:rFonts w:ascii="Times New Roman" w:hAnsi="Times New Roman"/>
          <w:szCs w:val="24"/>
        </w:rPr>
        <w:t>, 2017</w:t>
      </w:r>
      <w:bookmarkEnd w:id="259"/>
      <w:r w:rsidRPr="00795F1B">
        <w:rPr>
          <w:rFonts w:ascii="Times New Roman" w:hAnsi="Times New Roman"/>
          <w:szCs w:val="24"/>
        </w:rPr>
        <w:t>). Most of my participants stated that they found the training offered by the NHS helpful and this may have been especially important as most of them came from employment outside of care work.</w:t>
      </w:r>
    </w:p>
    <w:p w14:paraId="39D520EF"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As was discussed in chapter 7, an exploration of their previous work background revealed that most of the participants, except for those who worked as nurses in Nigeria, had no experience working in health or social care environments. Hence, the decision to work in care presented a significant career shift for most participants whose previous profession include engineers, administrators, microbiologists, marketers, etc. Once they decided to become paid care workers, they undertook some days of training in the critical aspects of care, which include manual handling and other essential skills before they began to work in care. The essence of such training is to educate staff about dementia and how they should care for PLWD (</w:t>
      </w:r>
      <w:bookmarkStart w:id="260" w:name="_Hlk50370063"/>
      <w:r w:rsidRPr="00795F1B">
        <w:rPr>
          <w:rFonts w:ascii="Times New Roman" w:hAnsi="Times New Roman"/>
          <w:szCs w:val="24"/>
        </w:rPr>
        <w:t xml:space="preserve">Kaiser </w:t>
      </w:r>
      <w:r w:rsidRPr="009533A9">
        <w:rPr>
          <w:rFonts w:ascii="Times New Roman" w:hAnsi="Times New Roman"/>
          <w:i/>
          <w:iCs/>
          <w:szCs w:val="24"/>
        </w:rPr>
        <w:t>et al.</w:t>
      </w:r>
      <w:r w:rsidRPr="00795F1B">
        <w:rPr>
          <w:rFonts w:ascii="Times New Roman" w:hAnsi="Times New Roman"/>
          <w:szCs w:val="24"/>
        </w:rPr>
        <w:t>, 2000; Royal College of Nursing, 2002; Jootun and Pryde, 2013; Sturman-Floyd, 2013).</w:t>
      </w:r>
    </w:p>
    <w:p w14:paraId="405D5408"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My findings suggest that all my participants found the training effective in changing their perception of dementia and how to care for people with the condition, which is consistent with Burgio </w:t>
      </w:r>
      <w:r w:rsidRPr="009533A9">
        <w:rPr>
          <w:rFonts w:ascii="Times New Roman" w:hAnsi="Times New Roman"/>
          <w:i/>
          <w:iCs/>
          <w:szCs w:val="24"/>
        </w:rPr>
        <w:t>et al.</w:t>
      </w:r>
      <w:r w:rsidRPr="00795F1B">
        <w:rPr>
          <w:rFonts w:ascii="Times New Roman" w:hAnsi="Times New Roman"/>
          <w:szCs w:val="24"/>
        </w:rPr>
        <w:t xml:space="preserve"> (2002)</w:t>
      </w:r>
      <w:bookmarkEnd w:id="260"/>
      <w:r w:rsidRPr="00795F1B">
        <w:rPr>
          <w:rFonts w:ascii="Times New Roman" w:hAnsi="Times New Roman"/>
          <w:szCs w:val="24"/>
        </w:rPr>
        <w:t xml:space="preserve"> who showed the effectiveness of training for care workers working with PLWD. For example, Jackie, explained why she found the training useful:</w:t>
      </w:r>
    </w:p>
    <w:p w14:paraId="576D7D43"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 xml:space="preserve">The training really helped me because … I did not really understand the mind of the person living with dementia.  You can’t really care for them because they are so </w:t>
      </w:r>
      <w:r w:rsidRPr="00795F1B">
        <w:rPr>
          <w:rFonts w:ascii="Times New Roman" w:hAnsi="Times New Roman"/>
          <w:i/>
          <w:iCs/>
          <w:szCs w:val="24"/>
        </w:rPr>
        <w:lastRenderedPageBreak/>
        <w:t>vulnerable and in so many ways you have to understand some things about them, so it’s until you get that understanding that is when you can really take care of them</w:t>
      </w:r>
      <w:r w:rsidRPr="00795F1B">
        <w:rPr>
          <w:rFonts w:ascii="Times New Roman" w:hAnsi="Times New Roman"/>
          <w:szCs w:val="24"/>
        </w:rPr>
        <w:t>” (Jackie, HCA)</w:t>
      </w:r>
    </w:p>
    <w:p w14:paraId="1E6B62B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Both those who had no unpaid care experience (n=10) before coming to the UK (e.g.</w:t>
      </w:r>
      <w:r>
        <w:rPr>
          <w:rFonts w:ascii="Times New Roman" w:hAnsi="Times New Roman"/>
          <w:szCs w:val="24"/>
        </w:rPr>
        <w:t>,</w:t>
      </w:r>
      <w:r w:rsidRPr="00795F1B">
        <w:rPr>
          <w:rFonts w:ascii="Times New Roman" w:hAnsi="Times New Roman"/>
          <w:szCs w:val="24"/>
        </w:rPr>
        <w:t xml:space="preserve"> Jeff, see Table 8.1) and those who had unpaid care experience (n=8) (e.g. Morgan) found training helpful and considered it the main instrument that led to their change in previously held beliefs about the condition. Although Morgan had already expressed his lack of understanding of dementia when he was in Nigeria, he stated that: </w:t>
      </w:r>
    </w:p>
    <w:p w14:paraId="18B5AA4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No, my knowledge of dementia now is just on the job training I had from the agency I worked for…Yea I did that training before I started working in care…. it was very helpful […..] and it has informed my current knowledge of dementia and … care for people with it</w:t>
      </w:r>
      <w:r w:rsidRPr="00795F1B">
        <w:rPr>
          <w:rFonts w:ascii="Times New Roman" w:hAnsi="Times New Roman"/>
          <w:szCs w:val="24"/>
        </w:rPr>
        <w:t>” (Morgan, HCA) </w:t>
      </w:r>
    </w:p>
    <w:p w14:paraId="0C51D29D"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Morgan also pointed to the role of training in helping to cope with the demands of the role. Despite having offered unpaid care previously, he found caring for people who were not members of his family to be particularly challenging, although he noted that the training has helped him to cope with the challenges. For instance, he stated that the training prepared and equipped him for the role, but he felt the training currently being provided does not encourage care workers to form an interpersonal relationship with their care recipients. Morgan, who was training to be a nurse at the time of the interview compared his previous experience of caring for his adopted father with his current experience of paid care work and offered some advice for better training. He observed that the challenging behaviours in PLWD was due to the lack of interpersonal relationship between care workers and care recipients. He therefore pointed to the need for additional training on how to improve interpersonal relationship between care workers and their care recipients.</w:t>
      </w:r>
    </w:p>
    <w:p w14:paraId="3A0997B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However, while the training was beneficial to care workers with no previous care experience in Nigeria, it is notable that even the Nigerian-trained nurses also found it </w:t>
      </w:r>
      <w:r w:rsidRPr="00795F1B">
        <w:rPr>
          <w:rFonts w:ascii="Times New Roman" w:hAnsi="Times New Roman"/>
          <w:szCs w:val="24"/>
        </w:rPr>
        <w:lastRenderedPageBreak/>
        <w:t>helpful. Miriam describes her experience of the training in comparison to the training she received in Nigeria.</w:t>
      </w:r>
    </w:p>
    <w:p w14:paraId="1D0D4628"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iCs/>
          <w:szCs w:val="24"/>
        </w:rPr>
        <w:t>When I started, I was new to everything so we had a training, [in] which they explained dementia, the types of dementia… they talked a lot about it and what you should be expecting […..],in Nigeria [it] was just basic but here … the training was very in-depth which really helped so</w:t>
      </w:r>
      <w:r w:rsidRPr="00795F1B">
        <w:rPr>
          <w:rFonts w:ascii="Times New Roman" w:hAnsi="Times New Roman"/>
          <w:szCs w:val="24"/>
        </w:rPr>
        <w:t>”(Miriam, HCA)</w:t>
      </w:r>
    </w:p>
    <w:p w14:paraId="214932BE"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This research therefore suggests that training is vital in dementia care regardless of professional background as it served to enlighten paid Nigerian migrant care workers about dementia. Each participant mentioned several types of training that they found helpful. The ones mostly identified includes manual handling (moving and handling), feeding, hoisting, infection control, effective communication, cardiopulmonary resuscitation (CPR), safeguarding of older adults and the mental health act (MHA) trainings. The effectiveness of these trainings has been reported in the literature (Somerville, 2006; Hughes </w:t>
      </w:r>
      <w:r w:rsidRPr="009533A9">
        <w:rPr>
          <w:rFonts w:ascii="Times New Roman" w:hAnsi="Times New Roman"/>
          <w:i/>
          <w:iCs/>
          <w:szCs w:val="24"/>
        </w:rPr>
        <w:t>et al.</w:t>
      </w:r>
      <w:r w:rsidRPr="00795F1B">
        <w:rPr>
          <w:rFonts w:ascii="Times New Roman" w:hAnsi="Times New Roman"/>
          <w:szCs w:val="24"/>
        </w:rPr>
        <w:t>, 2008; Palesy and Billett, 2017). As the effectiveness of the specific types of training identified by my participants was not the focus of my study, it was not explored further. However, a point worth noting is their unanimous conclusion that the training they received was instrumental to changing their misconceptions about dementia.</w:t>
      </w:r>
    </w:p>
    <w:p w14:paraId="102C5E12" w14:textId="77777777" w:rsidR="007332FB" w:rsidRPr="00795F1B" w:rsidRDefault="007332FB" w:rsidP="006869A3">
      <w:pPr>
        <w:pStyle w:val="Heading3"/>
      </w:pPr>
      <w:bookmarkStart w:id="261" w:name="_Hlk51407832"/>
      <w:bookmarkStart w:id="262" w:name="_Toc86417408"/>
      <w:r w:rsidRPr="00795F1B">
        <w:rPr>
          <w:bCs/>
        </w:rPr>
        <w:t xml:space="preserve">10.4.2. </w:t>
      </w:r>
      <w:r w:rsidRPr="00795F1B">
        <w:t>Benefits of training with the age simulation suit</w:t>
      </w:r>
      <w:bookmarkEnd w:id="261"/>
      <w:bookmarkEnd w:id="262"/>
    </w:p>
    <w:p w14:paraId="1121911D"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Apart from the benefits of training every participant received at the time of entering care work and the yearly refresher course, three participants found the use of age simulation suit beneficial. The suit allows individuals who use it (care workers or students) to experience some of the biological challenges of an ageing body by adding weights (to limit mobility), as well as the use of special gadgets to limit vision and sounds etc. (Kullman, 2016). Recent dementia training involves the use of the age simulation suit which aims to create an artificial sense of ageing and to show the physical limitations that many older adults face (Perot </w:t>
      </w:r>
      <w:r w:rsidRPr="009533A9">
        <w:rPr>
          <w:rFonts w:ascii="Times New Roman" w:hAnsi="Times New Roman"/>
          <w:i/>
          <w:iCs/>
          <w:szCs w:val="24"/>
        </w:rPr>
        <w:t>et al.</w:t>
      </w:r>
      <w:r w:rsidRPr="00795F1B">
        <w:rPr>
          <w:rFonts w:ascii="Times New Roman" w:hAnsi="Times New Roman"/>
          <w:szCs w:val="24"/>
        </w:rPr>
        <w:t xml:space="preserve">, 2020). The aim of using the suit is to elicit empathy and better understanding of what it feels like to be old </w:t>
      </w:r>
      <w:r w:rsidRPr="00795F1B">
        <w:rPr>
          <w:rFonts w:ascii="Times New Roman" w:hAnsi="Times New Roman"/>
          <w:szCs w:val="24"/>
        </w:rPr>
        <w:lastRenderedPageBreak/>
        <w:t>(</w:t>
      </w:r>
      <w:bookmarkStart w:id="263" w:name="_Hlk50370126"/>
      <w:r w:rsidRPr="00795F1B">
        <w:rPr>
          <w:rFonts w:ascii="Times New Roman" w:hAnsi="Times New Roman"/>
          <w:szCs w:val="24"/>
        </w:rPr>
        <w:t>Eymard, Crawford and Keller, 2010</w:t>
      </w:r>
      <w:bookmarkEnd w:id="263"/>
      <w:r w:rsidRPr="00795F1B">
        <w:rPr>
          <w:rFonts w:ascii="Times New Roman" w:hAnsi="Times New Roman"/>
          <w:szCs w:val="24"/>
        </w:rPr>
        <w:t>) which is consistent with the person-centred model of dementia caregiving (Kitwood, 1997).</w:t>
      </w:r>
    </w:p>
    <w:p w14:paraId="4FC8BE5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Although the age simulation suit does not simulate the experience of dementia, the technology was designed with the premise that old age is characterised by diminished vision (due to diseases such as glaucoma and diabetic retinopathy), cognitive impairment and problems with gait and posture (</w:t>
      </w:r>
      <w:bookmarkStart w:id="264" w:name="_Hlk50370154"/>
      <w:r w:rsidRPr="00795F1B">
        <w:rPr>
          <w:rFonts w:ascii="Times New Roman" w:hAnsi="Times New Roman"/>
        </w:rPr>
        <w:t xml:space="preserve">Chou </w:t>
      </w:r>
      <w:r w:rsidRPr="009533A9">
        <w:rPr>
          <w:rFonts w:ascii="Times New Roman" w:hAnsi="Times New Roman"/>
          <w:i/>
          <w:iCs/>
        </w:rPr>
        <w:t>et al.</w:t>
      </w:r>
      <w:r w:rsidRPr="00795F1B">
        <w:rPr>
          <w:rFonts w:ascii="Times New Roman" w:hAnsi="Times New Roman"/>
        </w:rPr>
        <w:t xml:space="preserve">, 2013; Mitoku </w:t>
      </w:r>
      <w:r w:rsidRPr="009533A9">
        <w:rPr>
          <w:rFonts w:ascii="Times New Roman" w:hAnsi="Times New Roman"/>
          <w:i/>
          <w:iCs/>
        </w:rPr>
        <w:t>et al.</w:t>
      </w:r>
      <w:r w:rsidRPr="00795F1B">
        <w:rPr>
          <w:rFonts w:ascii="Times New Roman" w:hAnsi="Times New Roman"/>
        </w:rPr>
        <w:t>, 2016</w:t>
      </w:r>
      <w:bookmarkEnd w:id="264"/>
      <w:r w:rsidRPr="00795F1B">
        <w:rPr>
          <w:rFonts w:ascii="Times New Roman" w:hAnsi="Times New Roman"/>
          <w:szCs w:val="24"/>
        </w:rPr>
        <w:t>). Hence, the suit tries to replicate the features of a decline in health. In my study, three participants shared their experiences of using the suit and stated that it changed their perception of PLWD</w:t>
      </w:r>
      <w:r>
        <w:rPr>
          <w:rFonts w:ascii="Times New Roman" w:hAnsi="Times New Roman"/>
          <w:szCs w:val="24"/>
        </w:rPr>
        <w:t>,</w:t>
      </w:r>
      <w:r w:rsidRPr="00795F1B">
        <w:rPr>
          <w:rFonts w:ascii="Times New Roman" w:hAnsi="Times New Roman"/>
          <w:szCs w:val="24"/>
        </w:rPr>
        <w:t xml:space="preserve"> and it helped them develop empathy to become more sympathetic to the plight of people in their care. Two participants, Jackie and Sharpiro described what it felt like to use the suit:</w:t>
      </w:r>
      <w:r>
        <w:rPr>
          <w:rFonts w:ascii="Times New Roman" w:hAnsi="Times New Roman"/>
          <w:szCs w:val="24"/>
        </w:rPr>
        <w:t xml:space="preserve"> </w:t>
      </w:r>
      <w:r w:rsidRPr="00795F1B">
        <w:rPr>
          <w:rFonts w:ascii="Times New Roman" w:hAnsi="Times New Roman"/>
          <w:szCs w:val="24"/>
        </w:rPr>
        <w:t>“</w:t>
      </w:r>
      <w:r w:rsidRPr="00795F1B">
        <w:rPr>
          <w:rFonts w:ascii="Times New Roman" w:hAnsi="Times New Roman"/>
          <w:i/>
          <w:szCs w:val="24"/>
        </w:rPr>
        <w:t>[….] it is then [after using the suit] you will have that understanding that sometimes when you give them something, they can’t grip it because their fingers are so heavy [….]</w:t>
      </w:r>
      <w:r w:rsidRPr="00795F1B">
        <w:rPr>
          <w:rFonts w:ascii="Times New Roman" w:hAnsi="Times New Roman"/>
          <w:szCs w:val="24"/>
        </w:rPr>
        <w:t>” (Jackie, HCA)</w:t>
      </w:r>
    </w:p>
    <w:p w14:paraId="633A9094"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 there is a saying that, “He who wears the shoe knows where it pinches” [….]</w:t>
      </w:r>
      <w:r>
        <w:rPr>
          <w:rFonts w:ascii="Times New Roman" w:hAnsi="Times New Roman"/>
          <w:i/>
          <w:szCs w:val="24"/>
        </w:rPr>
        <w:t xml:space="preserve"> </w:t>
      </w:r>
      <w:r w:rsidRPr="00795F1B">
        <w:rPr>
          <w:rFonts w:ascii="Times New Roman" w:hAnsi="Times New Roman"/>
          <w:i/>
          <w:szCs w:val="24"/>
        </w:rPr>
        <w:t>I had the experience of wearing a gadget [age simulation suit], […..] that is when it dawned on me how it was like, these people [PLWD] feel</w:t>
      </w:r>
      <w:r w:rsidRPr="00795F1B">
        <w:rPr>
          <w:rFonts w:ascii="Times New Roman" w:hAnsi="Times New Roman"/>
          <w:szCs w:val="24"/>
        </w:rPr>
        <w:t>” (Sharpiro, HCA)</w:t>
      </w:r>
    </w:p>
    <w:p w14:paraId="58C9657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Sharpiro (and Jackie) explained how the simulation suit felt, drawing a comparison between the world as he saw it and the world of older people and that seemed to help to gain more insight into PLWD experience with the limitations of ageing. These findings support the evidence from literature that suggests that the experience of wearing a simulation suit does help to change attitudes to older people (see for example, studies by </w:t>
      </w:r>
      <w:bookmarkStart w:id="265" w:name="_Hlk50370251"/>
      <w:r w:rsidRPr="00795F1B">
        <w:rPr>
          <w:rFonts w:ascii="Times New Roman" w:hAnsi="Times New Roman"/>
          <w:szCs w:val="24"/>
        </w:rPr>
        <w:t xml:space="preserve">Lauenroth </w:t>
      </w:r>
      <w:r w:rsidRPr="009533A9">
        <w:rPr>
          <w:rFonts w:ascii="Times New Roman" w:hAnsi="Times New Roman"/>
          <w:i/>
          <w:iCs/>
          <w:szCs w:val="24"/>
        </w:rPr>
        <w:t>et al.</w:t>
      </w:r>
      <w:r w:rsidRPr="00795F1B">
        <w:rPr>
          <w:rFonts w:ascii="Times New Roman" w:hAnsi="Times New Roman"/>
          <w:szCs w:val="24"/>
        </w:rPr>
        <w:t>, 2017; Eymard, Crawford and Keller, 2010</w:t>
      </w:r>
      <w:r>
        <w:rPr>
          <w:rFonts w:ascii="Times New Roman" w:hAnsi="Times New Roman"/>
          <w:szCs w:val="24"/>
        </w:rPr>
        <w:t>;</w:t>
      </w:r>
      <w:r w:rsidRPr="00795F1B">
        <w:rPr>
          <w:rFonts w:ascii="Times New Roman" w:hAnsi="Times New Roman"/>
          <w:szCs w:val="24"/>
        </w:rPr>
        <w:t xml:space="preserve"> Farmer and Bruce, 2010 and Lavallière </w:t>
      </w:r>
      <w:r w:rsidRPr="009533A9">
        <w:rPr>
          <w:rFonts w:ascii="Times New Roman" w:hAnsi="Times New Roman"/>
          <w:i/>
          <w:iCs/>
          <w:szCs w:val="24"/>
        </w:rPr>
        <w:t>et al.</w:t>
      </w:r>
      <w:r w:rsidRPr="00795F1B">
        <w:rPr>
          <w:rFonts w:ascii="Times New Roman" w:hAnsi="Times New Roman"/>
          <w:szCs w:val="24"/>
        </w:rPr>
        <w:t xml:space="preserve"> 2016)</w:t>
      </w:r>
      <w:bookmarkEnd w:id="265"/>
      <w:r w:rsidRPr="00795F1B">
        <w:rPr>
          <w:rFonts w:ascii="Times New Roman" w:hAnsi="Times New Roman"/>
          <w:szCs w:val="24"/>
        </w:rPr>
        <w:t>.</w:t>
      </w:r>
    </w:p>
    <w:p w14:paraId="41466F0E" w14:textId="77777777" w:rsidR="007332FB" w:rsidRPr="00F31A22" w:rsidRDefault="007332FB" w:rsidP="007332FB">
      <w:pPr>
        <w:jc w:val="both"/>
        <w:rPr>
          <w:rFonts w:ascii="Times New Roman" w:hAnsi="Times New Roman"/>
          <w:szCs w:val="24"/>
        </w:rPr>
      </w:pPr>
      <w:r w:rsidRPr="00795F1B">
        <w:rPr>
          <w:rFonts w:ascii="Times New Roman" w:hAnsi="Times New Roman"/>
          <w:szCs w:val="24"/>
        </w:rPr>
        <w:t xml:space="preserve">In my study, only the three participants who have used the suit found it beneficial and the other participants did not mention using it. This is because it is not presently mandatory to use the suit as part of the dementia training, however, its growing use and the impact it has on empathy might see this changed (Henry, Douglass and Kostiwa, </w:t>
      </w:r>
      <w:r w:rsidRPr="00795F1B">
        <w:rPr>
          <w:rFonts w:ascii="Times New Roman" w:hAnsi="Times New Roman"/>
          <w:szCs w:val="24"/>
        </w:rPr>
        <w:lastRenderedPageBreak/>
        <w:t>2007; Tremayne, Burdett and Utecht, 2011; Ford, 2016). In the next section, I discuss the influence of cultural beliefs and values on caring.</w:t>
      </w:r>
    </w:p>
    <w:p w14:paraId="461F4A58" w14:textId="77777777" w:rsidR="007332FB" w:rsidRPr="00795F1B" w:rsidRDefault="007332FB" w:rsidP="006869A3">
      <w:pPr>
        <w:pStyle w:val="Heading2"/>
      </w:pPr>
      <w:bookmarkStart w:id="266" w:name="_Hlk51407860"/>
      <w:bookmarkStart w:id="267" w:name="_Toc86417409"/>
      <w:r w:rsidRPr="00795F1B">
        <w:t>10.5. Influence of cultural beliefs and values on care work</w:t>
      </w:r>
      <w:bookmarkEnd w:id="266"/>
      <w:bookmarkEnd w:id="267"/>
      <w:r w:rsidRPr="00795F1B">
        <w:t> </w:t>
      </w:r>
    </w:p>
    <w:p w14:paraId="3973FF24" w14:textId="77777777" w:rsidR="007332FB" w:rsidRPr="00795F1B" w:rsidRDefault="007332FB" w:rsidP="007332FB">
      <w:pPr>
        <w:jc w:val="both"/>
        <w:rPr>
          <w:rFonts w:ascii="Times New Roman" w:hAnsi="Times New Roman"/>
          <w:bCs/>
          <w:szCs w:val="24"/>
        </w:rPr>
      </w:pPr>
      <w:r w:rsidRPr="00795F1B">
        <w:rPr>
          <w:rFonts w:ascii="Times New Roman" w:hAnsi="Times New Roman"/>
          <w:szCs w:val="24"/>
        </w:rPr>
        <w:t>In the last two sections, I discussed the cultural beliefs held by my participants before and after they migrated to the UK to engage in care work. In this section, I examine the influences of their past and present understanding of dementia on their current experience of care work in the NHS.</w:t>
      </w:r>
    </w:p>
    <w:p w14:paraId="320FD482" w14:textId="77777777" w:rsidR="007332FB" w:rsidRPr="00795F1B" w:rsidRDefault="007332FB" w:rsidP="006869A3">
      <w:pPr>
        <w:pStyle w:val="Heading3"/>
      </w:pPr>
      <w:bookmarkStart w:id="268" w:name="_Hlk51407960"/>
      <w:bookmarkStart w:id="269" w:name="_Toc86417410"/>
      <w:r w:rsidRPr="00795F1B">
        <w:t>10.5.1. Influence of previous beliefs and understanding of dementia on care work</w:t>
      </w:r>
      <w:bookmarkEnd w:id="268"/>
      <w:bookmarkEnd w:id="269"/>
    </w:p>
    <w:p w14:paraId="24583D32"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When asked to discuss how their previous cultural beliefs and knowledge of dementia influenced how they cared for PLWD, all my participants stated that it had no influence on the way they cared because the training they received had given them a better understanding of dementia. Even two participants, Paul and Folashade, who admitted that they continue to hold their pre-training beliefs and perception of dementia also stated that holding those beliefs did not influence how they cared for PLWD. For example, Folashade’s approach to caring for her care recipients was one which focused on what she was taught in training. She noted:</w:t>
      </w:r>
    </w:p>
    <w:p w14:paraId="683062F4" w14:textId="77777777" w:rsidR="007332FB" w:rsidRPr="00795F1B" w:rsidRDefault="007332FB" w:rsidP="007332FB">
      <w:pPr>
        <w:jc w:val="both"/>
        <w:rPr>
          <w:rFonts w:ascii="Times New Roman" w:hAnsi="Times New Roman"/>
          <w:szCs w:val="24"/>
          <w:lang w:val="en-US"/>
        </w:rPr>
      </w:pPr>
      <w:r w:rsidRPr="00795F1B">
        <w:rPr>
          <w:rFonts w:ascii="Times New Roman" w:hAnsi="Times New Roman"/>
          <w:szCs w:val="24"/>
          <w:lang w:val="en-US"/>
        </w:rPr>
        <w:t>“</w:t>
      </w:r>
      <w:r w:rsidRPr="00795F1B">
        <w:rPr>
          <w:rFonts w:ascii="Times New Roman" w:hAnsi="Times New Roman"/>
          <w:i/>
          <w:szCs w:val="24"/>
          <w:lang w:val="en-US"/>
        </w:rPr>
        <w:t>My knowledge about dementia has been added to, not changed as it were. Yes, now I now see it more in an academic scientific point of view. I think what we had before was just a purely spiritual point of view, coupled with culture… as a Nigerian [….]</w:t>
      </w:r>
      <w:r w:rsidRPr="00795F1B">
        <w:rPr>
          <w:rFonts w:ascii="Times New Roman" w:hAnsi="Times New Roman"/>
          <w:szCs w:val="24"/>
          <w:lang w:val="en-US"/>
        </w:rPr>
        <w:t>” (Folashade, HCA)</w:t>
      </w:r>
    </w:p>
    <w:p w14:paraId="235128E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Folashade considered the views about dementia gained in training to be just one aspect of her view of dementia. Folashade explained that caring for PLWD went beyond her personal beliefs about dementia because her focus remains her patient who needs care.</w:t>
      </w:r>
    </w:p>
    <w:p w14:paraId="7B9AB58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It might be argued that the reason why my participants’ cultural beliefs appeared to have no influence on how they cared for their care recipients, is a result of acculturation, as well as the influence of their organisational (workplace) policy that promotes treating care recipients with dignity and respect (</w:t>
      </w:r>
      <w:bookmarkStart w:id="270" w:name="_Hlk50370724"/>
      <w:r w:rsidRPr="00795F1B">
        <w:rPr>
          <w:rFonts w:ascii="Times New Roman" w:hAnsi="Times New Roman"/>
          <w:szCs w:val="24"/>
        </w:rPr>
        <w:t>Department of Health, 2009</w:t>
      </w:r>
      <w:bookmarkEnd w:id="270"/>
      <w:r w:rsidRPr="00795F1B">
        <w:rPr>
          <w:rFonts w:ascii="Times New Roman" w:hAnsi="Times New Roman"/>
          <w:szCs w:val="24"/>
        </w:rPr>
        <w:t xml:space="preserve">; Ho and Chiang, </w:t>
      </w:r>
      <w:r w:rsidRPr="00795F1B">
        <w:rPr>
          <w:rFonts w:ascii="Times New Roman" w:hAnsi="Times New Roman"/>
          <w:szCs w:val="24"/>
        </w:rPr>
        <w:lastRenderedPageBreak/>
        <w:t xml:space="preserve">2015; Yong and Manthorpe, 2016). This is consistent with Brooke </w:t>
      </w:r>
      <w:r w:rsidRPr="009533A9">
        <w:rPr>
          <w:rFonts w:ascii="Times New Roman" w:hAnsi="Times New Roman"/>
          <w:i/>
          <w:iCs/>
          <w:szCs w:val="24"/>
        </w:rPr>
        <w:t>et al.</w:t>
      </w:r>
      <w:r w:rsidRPr="00795F1B">
        <w:rPr>
          <w:rFonts w:ascii="Times New Roman" w:hAnsi="Times New Roman"/>
          <w:szCs w:val="24"/>
        </w:rPr>
        <w:t xml:space="preserve"> (2019) which showed that despite their cultural beliefs about dementia, migrant student nurses caring for PLWD care and support for their patients was informed by their clinical experiences and education.</w:t>
      </w:r>
    </w:p>
    <w:p w14:paraId="7931E74F"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Another point worth noting is that two of the participants’ religious beliefs might have also played a role in them holding firmly to their beliefs about dementia. This is because although all my participants were Christians, Folashade and Paul were quick to state that they were ministers in the church which might suggest the reason for their strongly held views. </w:t>
      </w:r>
      <w:bookmarkStart w:id="271" w:name="_Hlk50371026"/>
      <w:r w:rsidRPr="00795F1B">
        <w:rPr>
          <w:rFonts w:ascii="Times New Roman" w:hAnsi="Times New Roman"/>
          <w:szCs w:val="24"/>
        </w:rPr>
        <w:t>Cook (1997)</w:t>
      </w:r>
      <w:bookmarkEnd w:id="271"/>
      <w:r w:rsidRPr="00795F1B">
        <w:rPr>
          <w:rFonts w:ascii="Times New Roman" w:hAnsi="Times New Roman"/>
          <w:szCs w:val="24"/>
        </w:rPr>
        <w:t xml:space="preserve"> made a case for Christians holding views that would be considered contrary to the medical view about an illness, particularly mental illness. Despite holding different beliefs about dementia, both felt that it did not influence the way they cared. Folashade further noted that:</w:t>
      </w:r>
    </w:p>
    <w:p w14:paraId="0A83ACA0" w14:textId="77777777" w:rsidR="007332FB" w:rsidRPr="00795F1B" w:rsidRDefault="007332FB" w:rsidP="007332FB">
      <w:pPr>
        <w:jc w:val="both"/>
        <w:rPr>
          <w:rFonts w:ascii="Times New Roman" w:hAnsi="Times New Roman"/>
          <w:szCs w:val="24"/>
        </w:rPr>
      </w:pPr>
      <w:r w:rsidRPr="00795F1B">
        <w:rPr>
          <w:rFonts w:ascii="Times New Roman" w:hAnsi="Times New Roman"/>
          <w:szCs w:val="24"/>
          <w:lang w:val="en-US"/>
        </w:rPr>
        <w:t>“[</w:t>
      </w:r>
      <w:r w:rsidRPr="00795F1B">
        <w:rPr>
          <w:rFonts w:ascii="Times New Roman" w:hAnsi="Times New Roman"/>
          <w:i/>
          <w:szCs w:val="24"/>
          <w:lang w:val="en-US"/>
        </w:rPr>
        <w:t>…..] I had to let this [own culture of caring] go …and just learn how you do it [cultural adaptation]. And for me I think basically, that is, if you are coming to the United Kingdom to work …with your Nigerian point of view, it’s not going to work</w:t>
      </w:r>
      <w:r w:rsidRPr="00795F1B">
        <w:rPr>
          <w:rFonts w:ascii="Times New Roman" w:hAnsi="Times New Roman"/>
          <w:szCs w:val="24"/>
          <w:lang w:val="en-US"/>
        </w:rPr>
        <w:t>” (Folashade, HCA)</w:t>
      </w:r>
    </w:p>
    <w:p w14:paraId="78823164" w14:textId="77777777" w:rsidR="007332FB" w:rsidRPr="00795F1B" w:rsidRDefault="007332FB" w:rsidP="007332FB">
      <w:pPr>
        <w:jc w:val="both"/>
        <w:rPr>
          <w:rFonts w:ascii="Times New Roman" w:hAnsi="Times New Roman"/>
          <w:bCs/>
          <w:szCs w:val="24"/>
        </w:rPr>
      </w:pPr>
      <w:r w:rsidRPr="00795F1B">
        <w:rPr>
          <w:rFonts w:ascii="Times New Roman" w:hAnsi="Times New Roman"/>
          <w:szCs w:val="24"/>
        </w:rPr>
        <w:t>It is however surprising that Folashade believed that her multiple view about dementia had no influence on how she cared for her patients. Her comment about having to let go her ‘Nigerian point of view’ whilst working in the UK seem to suggest that she took a utilitarian strategy to working which helped her care for PLWD, despite holding beliefs contrary to the biomedical explanation for the causes of dementia. Thus, paid Nigerian care workers appeared to set aside their pre-training beliefs when they cared for PLWD because of the training they received.</w:t>
      </w:r>
    </w:p>
    <w:p w14:paraId="35ADBD2B" w14:textId="77777777" w:rsidR="007332FB" w:rsidRPr="00795F1B" w:rsidRDefault="007332FB" w:rsidP="006869A3">
      <w:pPr>
        <w:pStyle w:val="Heading3"/>
      </w:pPr>
      <w:bookmarkStart w:id="272" w:name="_Hlk51408052"/>
      <w:bookmarkStart w:id="273" w:name="_Toc86417411"/>
      <w:r w:rsidRPr="00795F1B">
        <w:t>10.5.2. Influence of current understanding of dementia on care work</w:t>
      </w:r>
      <w:bookmarkEnd w:id="272"/>
      <w:bookmarkEnd w:id="273"/>
    </w:p>
    <w:p w14:paraId="653EED9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The paid Nigerian care workers also spoke of the empathy they felt towards their care recipients after they had a better understanding of dementia. A typical example is Adams who had engaged in previous community work in Nigeria as a Community Liaison Officer and had some engagements with families of PLWD during the time as </w:t>
      </w:r>
      <w:r w:rsidRPr="00795F1B">
        <w:rPr>
          <w:rFonts w:ascii="Times New Roman" w:hAnsi="Times New Roman"/>
          <w:szCs w:val="24"/>
        </w:rPr>
        <w:lastRenderedPageBreak/>
        <w:t>part of his role. He stated that he previously referred to PLWD as ‘imbeciles’ because of his lack of understanding of the condition. However, he now felt that:</w:t>
      </w:r>
    </w:p>
    <w:p w14:paraId="3A2CB07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With the knowledge now and my previous knowledge then, if they are matched together there is so much empathy in me, so much compassion in me... back then I didn’t know what it was, now I’ve been educated, now I have the knowledge, now I know what it is, you know, sometimes it just breaks my heart</w:t>
      </w:r>
      <w:r w:rsidRPr="00795F1B">
        <w:rPr>
          <w:rFonts w:ascii="Times New Roman" w:hAnsi="Times New Roman"/>
          <w:szCs w:val="24"/>
        </w:rPr>
        <w:t>” (Adams, HCA)</w:t>
      </w:r>
    </w:p>
    <w:p w14:paraId="5F798D94"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 xml:space="preserve"> Adams described how he developed the empathy to care, through his new understanding of dementia as opposed to the tendency of blaming the care recipient for their condition or treating them like ‘empty-shells’ of their former self, and devoid of any personality (Moore </w:t>
      </w:r>
      <w:r w:rsidRPr="009533A9">
        <w:rPr>
          <w:rFonts w:ascii="Times New Roman" w:hAnsi="Times New Roman"/>
          <w:bCs/>
          <w:i/>
          <w:iCs/>
          <w:szCs w:val="24"/>
        </w:rPr>
        <w:t>et al.</w:t>
      </w:r>
      <w:r w:rsidRPr="00795F1B">
        <w:rPr>
          <w:rFonts w:ascii="Times New Roman" w:hAnsi="Times New Roman"/>
          <w:bCs/>
          <w:szCs w:val="24"/>
        </w:rPr>
        <w:t>, 2003, p.5). This phenomenon of the loss of personhood is a common perception of what remains of the person with dementia (</w:t>
      </w:r>
      <w:bookmarkStart w:id="274" w:name="_Hlk50371053"/>
      <w:r w:rsidRPr="00795F1B">
        <w:rPr>
          <w:rFonts w:ascii="Times New Roman" w:hAnsi="Times New Roman"/>
          <w:bCs/>
          <w:szCs w:val="24"/>
        </w:rPr>
        <w:t>Buron, 2008). The lack of understanding of dementia has often led to the unfortunate use of labels to describe PLWD to be existing as ‘fragments of humanity’ (Keane, 1994, p.151)</w:t>
      </w:r>
      <w:r>
        <w:rPr>
          <w:rFonts w:ascii="Times New Roman" w:hAnsi="Times New Roman"/>
          <w:bCs/>
          <w:szCs w:val="24"/>
        </w:rPr>
        <w:t>.</w:t>
      </w:r>
      <w:r w:rsidRPr="00795F1B">
        <w:rPr>
          <w:rFonts w:ascii="Times New Roman" w:hAnsi="Times New Roman"/>
          <w:bCs/>
          <w:szCs w:val="24"/>
        </w:rPr>
        <w:t xml:space="preserve"> This further entrenches the notion that they are incapable of forming relationship and should therefore be treated ‘as other’ rather than ‘as individual’ (Malloy and Hadjistavropoulos, 2004).</w:t>
      </w:r>
    </w:p>
    <w:p w14:paraId="55395F40"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 xml:space="preserve">Griffiths </w:t>
      </w:r>
      <w:r w:rsidRPr="009533A9">
        <w:rPr>
          <w:rFonts w:ascii="Times New Roman" w:hAnsi="Times New Roman"/>
          <w:bCs/>
          <w:i/>
          <w:iCs/>
          <w:szCs w:val="24"/>
        </w:rPr>
        <w:t>et al.</w:t>
      </w:r>
      <w:r w:rsidRPr="00795F1B">
        <w:rPr>
          <w:rFonts w:ascii="Times New Roman" w:hAnsi="Times New Roman"/>
          <w:bCs/>
          <w:szCs w:val="24"/>
        </w:rPr>
        <w:t xml:space="preserve"> (2012)</w:t>
      </w:r>
      <w:bookmarkEnd w:id="274"/>
      <w:r w:rsidRPr="00795F1B">
        <w:rPr>
          <w:rFonts w:ascii="Times New Roman" w:hAnsi="Times New Roman"/>
          <w:bCs/>
          <w:szCs w:val="24"/>
        </w:rPr>
        <w:t xml:space="preserve"> suggested that empathy is necessary for care workers to understand the patients they care for and the findings from this study supports this perspective with participants reporting they had become more empathetic when they understood the condition better. Empathy, which is often considered to be one of the key qualities required to deliver person-centred care entails understanding and sharing in an individual’s pain or circumstances (</w:t>
      </w:r>
      <w:bookmarkStart w:id="275" w:name="_Hlk50371520"/>
      <w:r w:rsidRPr="00795F1B">
        <w:rPr>
          <w:rFonts w:ascii="Times New Roman" w:hAnsi="Times New Roman"/>
          <w:bCs/>
          <w:szCs w:val="24"/>
        </w:rPr>
        <w:t xml:space="preserve">Cunico </w:t>
      </w:r>
      <w:r w:rsidRPr="009533A9">
        <w:rPr>
          <w:rFonts w:ascii="Times New Roman" w:hAnsi="Times New Roman"/>
          <w:bCs/>
          <w:i/>
          <w:iCs/>
          <w:szCs w:val="24"/>
        </w:rPr>
        <w:t>et al.</w:t>
      </w:r>
      <w:r w:rsidRPr="00795F1B">
        <w:rPr>
          <w:rFonts w:ascii="Times New Roman" w:hAnsi="Times New Roman"/>
          <w:bCs/>
          <w:szCs w:val="24"/>
        </w:rPr>
        <w:t>, 2012</w:t>
      </w:r>
      <w:bookmarkEnd w:id="275"/>
      <w:r w:rsidRPr="00795F1B">
        <w:rPr>
          <w:rFonts w:ascii="Times New Roman" w:hAnsi="Times New Roman"/>
          <w:bCs/>
          <w:szCs w:val="24"/>
        </w:rPr>
        <w:t>). It is considered essential for a favourable caring relationship between a care worker and the care recipient (</w:t>
      </w:r>
      <w:bookmarkStart w:id="276" w:name="_Hlk50371568"/>
      <w:r w:rsidRPr="00795F1B">
        <w:rPr>
          <w:rFonts w:ascii="Times New Roman" w:hAnsi="Times New Roman"/>
          <w:bCs/>
          <w:szCs w:val="24"/>
        </w:rPr>
        <w:t>Mercer and Reynolds, 2002</w:t>
      </w:r>
      <w:bookmarkEnd w:id="276"/>
      <w:r w:rsidRPr="00795F1B">
        <w:rPr>
          <w:rFonts w:ascii="Times New Roman" w:hAnsi="Times New Roman"/>
          <w:bCs/>
          <w:szCs w:val="24"/>
        </w:rPr>
        <w:t xml:space="preserve">). It was clear from my findings that most of the Nigerian care workers felt that their understanding of dementia changed with the training, and for a few participants, the additional training using the age simulation suit made them feel more empathetic and this finding resonates with </w:t>
      </w:r>
      <w:bookmarkStart w:id="277" w:name="_Hlk50371639"/>
      <w:r w:rsidRPr="00795F1B">
        <w:rPr>
          <w:rFonts w:ascii="Times New Roman" w:hAnsi="Times New Roman"/>
          <w:bCs/>
          <w:szCs w:val="24"/>
        </w:rPr>
        <w:t xml:space="preserve">the work of </w:t>
      </w:r>
      <w:r w:rsidRPr="00795F1B">
        <w:rPr>
          <w:rFonts w:ascii="Times New Roman" w:hAnsi="Times New Roman"/>
          <w:szCs w:val="24"/>
        </w:rPr>
        <w:t>Jütten, Mark and Sitskoorn (2018)</w:t>
      </w:r>
      <w:bookmarkEnd w:id="277"/>
      <w:r w:rsidRPr="00795F1B">
        <w:rPr>
          <w:rFonts w:ascii="Times New Roman" w:hAnsi="Times New Roman"/>
          <w:szCs w:val="24"/>
        </w:rPr>
        <w:t>.</w:t>
      </w:r>
      <w:r w:rsidRPr="00795F1B">
        <w:rPr>
          <w:rFonts w:ascii="Times New Roman" w:hAnsi="Times New Roman"/>
          <w:bCs/>
          <w:szCs w:val="24"/>
        </w:rPr>
        <w:t xml:space="preserve"> However, although empathy was cited as one of the benefits of the </w:t>
      </w:r>
      <w:r w:rsidRPr="00795F1B">
        <w:rPr>
          <w:rFonts w:ascii="Times New Roman" w:hAnsi="Times New Roman"/>
          <w:bCs/>
          <w:szCs w:val="24"/>
        </w:rPr>
        <w:lastRenderedPageBreak/>
        <w:t>training in changing beliefs about dementia, some of my participants suggest that empathy was a result of the influence of their culture on their caregiving practices.</w:t>
      </w:r>
    </w:p>
    <w:p w14:paraId="1507F717" w14:textId="77777777" w:rsidR="007332FB" w:rsidRPr="00795F1B" w:rsidRDefault="007332FB" w:rsidP="006869A3">
      <w:pPr>
        <w:pStyle w:val="Heading3"/>
        <w:rPr>
          <w:bCs/>
        </w:rPr>
      </w:pPr>
      <w:bookmarkStart w:id="278" w:name="_Hlk51408083"/>
      <w:bookmarkStart w:id="279" w:name="_Toc86417412"/>
      <w:r w:rsidRPr="00795F1B">
        <w:t>10.5.3. Influence of cultural values on care work</w:t>
      </w:r>
      <w:bookmarkEnd w:id="278"/>
      <w:bookmarkEnd w:id="279"/>
    </w:p>
    <w:p w14:paraId="6D9EE2DA"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Nearly all my participants indicated that their cultural values influenced how they cared for PWLD noting that they drew on the cultural values of respect for older adults, reciprocity, familism, filial piety and their spirituality/religious values in their care for PLWD. For example, Folashade described what it meant to respect an older adult in her culture:</w:t>
      </w:r>
    </w:p>
    <w:p w14:paraId="0371B990" w14:textId="77777777" w:rsidR="007332FB" w:rsidRPr="00795F1B" w:rsidRDefault="007332FB" w:rsidP="007332FB">
      <w:pPr>
        <w:jc w:val="both"/>
        <w:rPr>
          <w:rFonts w:ascii="Times New Roman" w:hAnsi="Times New Roman"/>
          <w:bCs/>
          <w:szCs w:val="24"/>
          <w:lang w:val="en-US"/>
        </w:rPr>
      </w:pPr>
      <w:r w:rsidRPr="00795F1B">
        <w:rPr>
          <w:rFonts w:ascii="Times New Roman" w:hAnsi="Times New Roman"/>
          <w:bCs/>
          <w:szCs w:val="24"/>
          <w:lang w:val="en-US"/>
        </w:rPr>
        <w:t>“</w:t>
      </w:r>
      <w:r w:rsidRPr="00795F1B">
        <w:rPr>
          <w:rFonts w:ascii="Times New Roman" w:hAnsi="Times New Roman"/>
          <w:bCs/>
          <w:i/>
          <w:szCs w:val="24"/>
          <w:lang w:val="en-US"/>
        </w:rPr>
        <w:t>… where I come from in Nigeria, parents are set to be gods. So, you more like, worship them..., you think of all they’ve done for you, you respect them... you adore them, yea, you don’t, you don’t trample on your parents. I think it applies to every parent (biological and non-biological) … it’s more like a cultural thing [….]</w:t>
      </w:r>
      <w:r w:rsidRPr="00795F1B">
        <w:rPr>
          <w:rFonts w:ascii="Times New Roman" w:hAnsi="Times New Roman"/>
          <w:bCs/>
          <w:szCs w:val="24"/>
          <w:lang w:val="en-US"/>
        </w:rPr>
        <w:t>”</w:t>
      </w:r>
      <w:r w:rsidRPr="00795F1B">
        <w:rPr>
          <w:rFonts w:ascii="Times New Roman" w:hAnsi="Times New Roman"/>
          <w:bCs/>
          <w:szCs w:val="24"/>
        </w:rPr>
        <w:t xml:space="preserve"> (Folashade, HCA)</w:t>
      </w:r>
    </w:p>
    <w:p w14:paraId="3CE8803C"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Folashade is from the Yoruba-speaking ethnic group in the south-western part of Nigeria (see Table 7.2), which is noted for their rich culture of respect for older adults and the public show of obeisance (</w:t>
      </w:r>
      <w:r w:rsidRPr="00795F1B">
        <w:rPr>
          <w:rFonts w:ascii="Times New Roman" w:hAnsi="Times New Roman"/>
          <w:szCs w:val="24"/>
        </w:rPr>
        <w:t>Szilagyi, 2013; Olanipekun, 2017</w:t>
      </w:r>
      <w:r w:rsidRPr="00795F1B">
        <w:rPr>
          <w:rFonts w:ascii="Times New Roman" w:hAnsi="Times New Roman"/>
          <w:bCs/>
          <w:szCs w:val="24"/>
        </w:rPr>
        <w:t>). It is therefore not surprising that she spoke of the culture of treating older adults with high regard as if they were semi-gods. Folashade, like all the other participants seemed to be of the view that these cultural values were ingrained in them through their early socialisation and therefore informed their attitudes towards those they cared for. Furthermore, the cultural value of reciprocity was also highlighted. Conceptualised within the context of informal caregiving, reciprocity of care is the practice of giving back to one’s parent or relatives for the previous act of affection shown (</w:t>
      </w:r>
      <w:bookmarkStart w:id="280" w:name="_Hlk50388208"/>
      <w:r w:rsidRPr="00795F1B">
        <w:rPr>
          <w:rFonts w:ascii="Times New Roman" w:hAnsi="Times New Roman"/>
          <w:bCs/>
          <w:szCs w:val="24"/>
        </w:rPr>
        <w:t xml:space="preserve">Jervis, Boland and Fickenscher, 2010; Peacock </w:t>
      </w:r>
      <w:r w:rsidRPr="009533A9">
        <w:rPr>
          <w:rFonts w:ascii="Times New Roman" w:hAnsi="Times New Roman"/>
          <w:bCs/>
          <w:i/>
          <w:iCs/>
          <w:szCs w:val="24"/>
        </w:rPr>
        <w:t>et al.</w:t>
      </w:r>
      <w:r w:rsidRPr="00795F1B">
        <w:rPr>
          <w:rFonts w:ascii="Times New Roman" w:hAnsi="Times New Roman"/>
          <w:bCs/>
          <w:szCs w:val="24"/>
        </w:rPr>
        <w:t>, 2010</w:t>
      </w:r>
      <w:bookmarkEnd w:id="280"/>
      <w:r w:rsidRPr="00795F1B">
        <w:rPr>
          <w:rFonts w:ascii="Times New Roman" w:hAnsi="Times New Roman"/>
          <w:bCs/>
          <w:szCs w:val="24"/>
        </w:rPr>
        <w:t xml:space="preserve">). However, my findings suggest that even though they were not related to those they cared for in the NHS setting, my participants held the cultural value of reciprocity highly, attributing it to the cultural practices of treating every elderly person like their own parent. This is the concept referred to by </w:t>
      </w:r>
      <w:r w:rsidRPr="00795F1B">
        <w:rPr>
          <w:rFonts w:ascii="Times New Roman" w:hAnsi="Times New Roman"/>
          <w:szCs w:val="24"/>
          <w:bdr w:val="none" w:sz="0" w:space="0" w:color="auto" w:frame="1"/>
        </w:rPr>
        <w:t xml:space="preserve">Adams and Sharp (2013) as professional reciprocity. Beside seeing care work as a way of giving back and </w:t>
      </w:r>
      <w:r w:rsidRPr="00795F1B">
        <w:rPr>
          <w:rFonts w:ascii="Times New Roman" w:hAnsi="Times New Roman"/>
          <w:szCs w:val="24"/>
          <w:bdr w:val="none" w:sz="0" w:space="0" w:color="auto" w:frame="1"/>
        </w:rPr>
        <w:lastRenderedPageBreak/>
        <w:t xml:space="preserve">reciprocating the ‘parental love’, my participants also appeared to consider care work and </w:t>
      </w:r>
      <w:r w:rsidRPr="00795F1B">
        <w:rPr>
          <w:rFonts w:ascii="Times New Roman" w:hAnsi="Times New Roman"/>
          <w:bCs/>
          <w:szCs w:val="24"/>
        </w:rPr>
        <w:t>every act of care rendered as a form of ‘investment’ or ‘capital’ made in advance to be received in kind in the future when they become older and require care. This is captured in their description, for instance, Morgan observed that:</w:t>
      </w:r>
    </w:p>
    <w:p w14:paraId="3E8C5D1B"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w:t>
      </w:r>
      <w:r w:rsidRPr="00795F1B">
        <w:rPr>
          <w:rFonts w:ascii="Times New Roman" w:hAnsi="Times New Roman"/>
          <w:i/>
          <w:szCs w:val="24"/>
        </w:rPr>
        <w:t>It's what you’re sowing, that you will reap, and I want to grow up to rightful old age and am looking at this [care work] as what am doing, am sowing for my future... what I’m doing to people now, when am old, people will do it to me. As am doing it well, people will do it well to me. If I do it badly, I will be badly treated when I am old</w:t>
      </w:r>
      <w:r w:rsidRPr="00795F1B">
        <w:rPr>
          <w:rFonts w:ascii="Times New Roman" w:hAnsi="Times New Roman"/>
          <w:bCs/>
          <w:szCs w:val="24"/>
        </w:rPr>
        <w:t>” (Morgan, HCA)</w:t>
      </w:r>
    </w:p>
    <w:p w14:paraId="29DCB073" w14:textId="77777777" w:rsidR="007332FB" w:rsidRPr="00795F1B" w:rsidRDefault="007332FB" w:rsidP="007332FB">
      <w:pPr>
        <w:jc w:val="both"/>
        <w:rPr>
          <w:rFonts w:ascii="Times New Roman" w:hAnsi="Times New Roman"/>
          <w:bCs/>
          <w:szCs w:val="24"/>
        </w:rPr>
      </w:pPr>
      <w:r w:rsidRPr="00795F1B">
        <w:rPr>
          <w:rFonts w:ascii="Times New Roman" w:hAnsi="Times New Roman"/>
          <w:bCs/>
          <w:szCs w:val="24"/>
        </w:rPr>
        <w:t>The value of reciprocity that Morgan and others showed as care workers was viewed as a strategy used as an intangible incentive to provide quality care, in anticipation that they would receive good care when they grow old as well. Although my participants attributed the idea of receiving the intangible rewards of long life and the hope to receive better care to their culture, it bears close semblance to the doctrine of sowing and reaping taught in the bible, implying that it might be due to the influence of their religious beliefs and practices. This is because they frequently drew on their spirituality in their narratives of their experience of caring for PLWD. In the next section, I consider some of the ways my participants negotiated their roles as care workers.</w:t>
      </w:r>
    </w:p>
    <w:p w14:paraId="1269E4E0" w14:textId="77777777" w:rsidR="007332FB" w:rsidRPr="00795F1B" w:rsidRDefault="007332FB" w:rsidP="006869A3">
      <w:pPr>
        <w:pStyle w:val="Heading3"/>
        <w:rPr>
          <w:bCs/>
        </w:rPr>
      </w:pPr>
      <w:bookmarkStart w:id="281" w:name="_Toc86417413"/>
      <w:r w:rsidRPr="00795F1B">
        <w:rPr>
          <w:bCs/>
        </w:rPr>
        <w:t xml:space="preserve">10.5.4. </w:t>
      </w:r>
      <w:r w:rsidRPr="00795F1B">
        <w:t>Cultural attitude to body work taboos</w:t>
      </w:r>
      <w:bookmarkEnd w:id="281"/>
    </w:p>
    <w:p w14:paraId="037E2897"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‘Body work’ in the form of personal care is an essential part of caring for PLWD and it entails the non-medical tasks (i.e., care activities)</w:t>
      </w:r>
      <w:r w:rsidRPr="00795F1B">
        <w:rPr>
          <w:rFonts w:ascii="Times New Roman" w:hAnsi="Times New Roman"/>
          <w:color w:val="FF0000"/>
          <w:szCs w:val="24"/>
        </w:rPr>
        <w:t xml:space="preserve"> </w:t>
      </w:r>
      <w:r w:rsidRPr="00795F1B">
        <w:rPr>
          <w:rFonts w:ascii="Times New Roman" w:hAnsi="Times New Roman"/>
          <w:szCs w:val="24"/>
        </w:rPr>
        <w:t>conducted</w:t>
      </w:r>
      <w:r w:rsidRPr="00795F1B">
        <w:rPr>
          <w:rFonts w:ascii="Times New Roman" w:hAnsi="Times New Roman"/>
          <w:color w:val="FF0000"/>
          <w:szCs w:val="24"/>
        </w:rPr>
        <w:t xml:space="preserve"> </w:t>
      </w:r>
      <w:r w:rsidRPr="00795F1B">
        <w:rPr>
          <w:rFonts w:ascii="Times New Roman" w:hAnsi="Times New Roman"/>
          <w:szCs w:val="24"/>
        </w:rPr>
        <w:t>by care workers (</w:t>
      </w:r>
      <w:bookmarkStart w:id="282" w:name="_Hlk50388275"/>
      <w:r w:rsidRPr="00795F1B">
        <w:rPr>
          <w:rFonts w:ascii="Times New Roman" w:hAnsi="Times New Roman"/>
          <w:szCs w:val="24"/>
        </w:rPr>
        <w:t xml:space="preserve">Twigg, 2000a; 2000b; Twigg </w:t>
      </w:r>
      <w:r w:rsidRPr="009533A9">
        <w:rPr>
          <w:rFonts w:ascii="Times New Roman" w:hAnsi="Times New Roman"/>
          <w:i/>
          <w:iCs/>
          <w:szCs w:val="24"/>
        </w:rPr>
        <w:t>et al.</w:t>
      </w:r>
      <w:r w:rsidRPr="00795F1B">
        <w:rPr>
          <w:rFonts w:ascii="Times New Roman" w:hAnsi="Times New Roman"/>
          <w:szCs w:val="24"/>
        </w:rPr>
        <w:t>, 2011</w:t>
      </w:r>
      <w:bookmarkEnd w:id="282"/>
      <w:r w:rsidRPr="00795F1B">
        <w:rPr>
          <w:rFonts w:ascii="Times New Roman" w:hAnsi="Times New Roman"/>
          <w:szCs w:val="24"/>
        </w:rPr>
        <w:t>). Body work includes washing, bathing, personal grooming, and assistance with dressing (</w:t>
      </w:r>
      <w:bookmarkStart w:id="283" w:name="_Hlk50388343"/>
      <w:r w:rsidRPr="00795F1B">
        <w:rPr>
          <w:rFonts w:ascii="Times New Roman" w:hAnsi="Times New Roman"/>
          <w:szCs w:val="24"/>
        </w:rPr>
        <w:t>Campbell, 2012</w:t>
      </w:r>
      <w:bookmarkEnd w:id="283"/>
      <w:r w:rsidRPr="00795F1B">
        <w:rPr>
          <w:rFonts w:ascii="Times New Roman" w:hAnsi="Times New Roman"/>
          <w:szCs w:val="24"/>
        </w:rPr>
        <w:t xml:space="preserve">). Discussions with my participants reveal that five of them (all male HCAs) attempted to negotiate the concept of body work from their cultural standpoint of what care should entail, their ideal cultural expression of masculinity as well as the societal (Nigerian) expectations for what a man can or cannot do. They expressed their struggles with giving personal care </w:t>
      </w:r>
      <w:r w:rsidRPr="00795F1B">
        <w:rPr>
          <w:rFonts w:ascii="Times New Roman" w:hAnsi="Times New Roman"/>
          <w:szCs w:val="24"/>
        </w:rPr>
        <w:lastRenderedPageBreak/>
        <w:t>to PLWD, particularly female patients. For instance, John described his reluctance to assist a female patient with personal care:</w:t>
      </w:r>
    </w:p>
    <w:p w14:paraId="19E7D9B6"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 It’s not really proper, so what I do then is, if you [the care recipient] call me that you need help, what I will do, if you are a woman, I will say, ‘okay, just hold on let me get a female member of the staff to assist you with what you need.</w:t>
      </w:r>
      <w:r w:rsidRPr="00795F1B">
        <w:rPr>
          <w:rFonts w:ascii="Times New Roman" w:hAnsi="Times New Roman"/>
          <w:szCs w:val="24"/>
        </w:rPr>
        <w:t>’” (John, HCA)</w:t>
      </w:r>
    </w:p>
    <w:p w14:paraId="6E97DF13"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John attributed his reluctance to undertake personal care to his cultural beliefs and the Nigerian societal expectation of roles men can undertake. While he acknowledged that personal care was part of care work, John spoke about how difficult it was for him to give personal care to female patients. It is interesting to note that </w:t>
      </w:r>
      <w:r>
        <w:rPr>
          <w:rFonts w:ascii="Times New Roman" w:hAnsi="Times New Roman"/>
          <w:szCs w:val="24"/>
        </w:rPr>
        <w:t>everyone</w:t>
      </w:r>
      <w:r w:rsidRPr="00795F1B">
        <w:rPr>
          <w:rFonts w:ascii="Times New Roman" w:hAnsi="Times New Roman"/>
          <w:szCs w:val="24"/>
        </w:rPr>
        <w:t xml:space="preserve"> who held this belief were men</w:t>
      </w:r>
      <w:r>
        <w:rPr>
          <w:rFonts w:ascii="Times New Roman" w:hAnsi="Times New Roman"/>
          <w:szCs w:val="24"/>
        </w:rPr>
        <w:t>.</w:t>
      </w:r>
      <w:r w:rsidRPr="00795F1B">
        <w:rPr>
          <w:rFonts w:ascii="Times New Roman" w:hAnsi="Times New Roman"/>
          <w:szCs w:val="24"/>
        </w:rPr>
        <w:t xml:space="preserve"> </w:t>
      </w:r>
      <w:r>
        <w:rPr>
          <w:rFonts w:ascii="Times New Roman" w:hAnsi="Times New Roman"/>
          <w:szCs w:val="24"/>
        </w:rPr>
        <w:t xml:space="preserve">This </w:t>
      </w:r>
      <w:r w:rsidRPr="00795F1B">
        <w:rPr>
          <w:rFonts w:ascii="Times New Roman" w:hAnsi="Times New Roman"/>
          <w:szCs w:val="24"/>
        </w:rPr>
        <w:t>point</w:t>
      </w:r>
      <w:r>
        <w:rPr>
          <w:rFonts w:ascii="Times New Roman" w:hAnsi="Times New Roman"/>
          <w:szCs w:val="24"/>
        </w:rPr>
        <w:t>s</w:t>
      </w:r>
      <w:r w:rsidRPr="00795F1B">
        <w:rPr>
          <w:rFonts w:ascii="Times New Roman" w:hAnsi="Times New Roman"/>
          <w:szCs w:val="24"/>
        </w:rPr>
        <w:t xml:space="preserve"> to their unfamiliarity with the bodily work that goes with care (Cohen and Wolkowitz, 2017). However, about half of the male participants did not have any difficulty giving personal care to their patients, suggesting that there might be other reasons some participants found it challenging. A possible explanation might be the length of time they have spent working as care workers in the UK because the five participants admitted to gradually getting used to giving personal care to their patients after struggling for a long time. John and the others four participants communicated their experience of doing personal care with strong emotions. For example, Oscar spoke with heightened emotions about his initial distress in having to conduct personal bodily care for PLWD, he explained:</w:t>
      </w:r>
    </w:p>
    <w:p w14:paraId="5355D27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w:t>
      </w:r>
      <w:r w:rsidRPr="00795F1B">
        <w:rPr>
          <w:rFonts w:ascii="Times New Roman" w:hAnsi="Times New Roman"/>
          <w:i/>
          <w:szCs w:val="24"/>
        </w:rPr>
        <w:t>it was very challenging because of my background and where I am coming from as a Nigerian.… when it comes to our culture, … it not actually what I was used to, from back home.…. it was very, very difficult because I have this belief as an African…, we tend not to see older people, so, like [seeing] the nakedness of older people, it’s more like a sacrilege</w:t>
      </w:r>
      <w:r w:rsidRPr="00795F1B">
        <w:rPr>
          <w:rFonts w:ascii="Times New Roman" w:hAnsi="Times New Roman"/>
          <w:szCs w:val="24"/>
        </w:rPr>
        <w:t>” (Oscar, HCA)</w:t>
      </w:r>
    </w:p>
    <w:p w14:paraId="1E76FA51"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Oscar and John both described their struggles with caring for older naked bodies, a practice that was not only new to them but was also against their cultural beliefs and values based on their respect for older adults, although as HCAs, bodywork is integral to their role. Oscar also referred to the act of seeing the nakedness of an older person as </w:t>
      </w:r>
      <w:r w:rsidRPr="00795F1B">
        <w:rPr>
          <w:rFonts w:ascii="Times New Roman" w:hAnsi="Times New Roman"/>
          <w:szCs w:val="24"/>
        </w:rPr>
        <w:lastRenderedPageBreak/>
        <w:t>a taboo. Th</w:t>
      </w:r>
      <w:r>
        <w:rPr>
          <w:rFonts w:ascii="Times New Roman" w:hAnsi="Times New Roman"/>
          <w:szCs w:val="24"/>
        </w:rPr>
        <w:t>e</w:t>
      </w:r>
      <w:r w:rsidRPr="00795F1B">
        <w:rPr>
          <w:rFonts w:ascii="Times New Roman" w:hAnsi="Times New Roman"/>
          <w:szCs w:val="24"/>
        </w:rPr>
        <w:t xml:space="preserve"> idea of bodies as a subject of taboo is found in the religious text</w:t>
      </w:r>
      <w:r>
        <w:rPr>
          <w:rFonts w:ascii="Times New Roman" w:hAnsi="Times New Roman"/>
          <w:szCs w:val="24"/>
        </w:rPr>
        <w:t>.</w:t>
      </w:r>
      <w:r w:rsidRPr="00795F1B">
        <w:rPr>
          <w:rFonts w:ascii="Times New Roman" w:hAnsi="Times New Roman"/>
          <w:szCs w:val="24"/>
        </w:rPr>
        <w:t xml:space="preserve"> </w:t>
      </w:r>
      <w:r>
        <w:rPr>
          <w:rFonts w:ascii="Times New Roman" w:hAnsi="Times New Roman"/>
          <w:szCs w:val="24"/>
        </w:rPr>
        <w:t>F</w:t>
      </w:r>
      <w:r w:rsidRPr="00795F1B">
        <w:rPr>
          <w:rFonts w:ascii="Times New Roman" w:hAnsi="Times New Roman"/>
          <w:szCs w:val="24"/>
        </w:rPr>
        <w:t>or example</w:t>
      </w:r>
      <w:r>
        <w:rPr>
          <w:rFonts w:ascii="Times New Roman" w:hAnsi="Times New Roman"/>
          <w:szCs w:val="24"/>
        </w:rPr>
        <w:t>,</w:t>
      </w:r>
      <w:r w:rsidRPr="00795F1B">
        <w:rPr>
          <w:rFonts w:ascii="Times New Roman" w:hAnsi="Times New Roman"/>
          <w:szCs w:val="24"/>
        </w:rPr>
        <w:t xml:space="preserve"> in the Holy Bible (</w:t>
      </w:r>
      <w:bookmarkStart w:id="284" w:name="_Hlk50388418"/>
      <w:r>
        <w:rPr>
          <w:rFonts w:ascii="Times New Roman" w:hAnsi="Times New Roman"/>
          <w:szCs w:val="24"/>
        </w:rPr>
        <w:t xml:space="preserve">1983, </w:t>
      </w:r>
      <w:r w:rsidRPr="00795F1B">
        <w:rPr>
          <w:rFonts w:ascii="Times New Roman" w:hAnsi="Times New Roman"/>
          <w:szCs w:val="24"/>
        </w:rPr>
        <w:t xml:space="preserve">Genesis 9:20-27), </w:t>
      </w:r>
      <w:r>
        <w:rPr>
          <w:rFonts w:ascii="Times New Roman" w:hAnsi="Times New Roman"/>
          <w:szCs w:val="24"/>
        </w:rPr>
        <w:t xml:space="preserve">it is recorded that Noah cursed </w:t>
      </w:r>
      <w:r w:rsidRPr="00795F1B">
        <w:rPr>
          <w:rFonts w:ascii="Times New Roman" w:hAnsi="Times New Roman"/>
          <w:szCs w:val="24"/>
        </w:rPr>
        <w:t xml:space="preserve">Ham, one of </w:t>
      </w:r>
      <w:r>
        <w:rPr>
          <w:rFonts w:ascii="Times New Roman" w:hAnsi="Times New Roman"/>
          <w:szCs w:val="24"/>
        </w:rPr>
        <w:t>his</w:t>
      </w:r>
      <w:r w:rsidRPr="00795F1B">
        <w:rPr>
          <w:rFonts w:ascii="Times New Roman" w:hAnsi="Times New Roman"/>
          <w:szCs w:val="24"/>
        </w:rPr>
        <w:t xml:space="preserve"> three sons </w:t>
      </w:r>
      <w:r>
        <w:rPr>
          <w:rFonts w:ascii="Times New Roman" w:hAnsi="Times New Roman"/>
          <w:szCs w:val="24"/>
        </w:rPr>
        <w:t>because Ham saw his</w:t>
      </w:r>
      <w:r w:rsidRPr="00795F1B">
        <w:rPr>
          <w:rFonts w:ascii="Times New Roman" w:hAnsi="Times New Roman"/>
          <w:szCs w:val="24"/>
        </w:rPr>
        <w:t xml:space="preserve"> nakedness when he was drunk (Bergsma and Hahn, 2005)</w:t>
      </w:r>
      <w:bookmarkEnd w:id="284"/>
      <w:r w:rsidRPr="00795F1B">
        <w:rPr>
          <w:rFonts w:ascii="Times New Roman" w:hAnsi="Times New Roman"/>
          <w:szCs w:val="24"/>
        </w:rPr>
        <w:t>. Although this does not apply directly to the context of caregiving, it demonstrates a long-held taboo associated with nakedness.</w:t>
      </w:r>
    </w:p>
    <w:p w14:paraId="556DB0EB"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Other researchers have also discussed the taboos surrounding bodily work in caregiving (Twigg, 2000</w:t>
      </w:r>
      <w:r>
        <w:rPr>
          <w:rFonts w:ascii="Times New Roman" w:hAnsi="Times New Roman"/>
          <w:szCs w:val="24"/>
        </w:rPr>
        <w:t>b</w:t>
      </w:r>
      <w:r w:rsidRPr="00795F1B">
        <w:rPr>
          <w:rFonts w:ascii="Times New Roman" w:hAnsi="Times New Roman"/>
          <w:szCs w:val="24"/>
        </w:rPr>
        <w:t xml:space="preserve">; </w:t>
      </w:r>
      <w:r>
        <w:rPr>
          <w:rFonts w:ascii="Times New Roman" w:hAnsi="Times New Roman"/>
          <w:szCs w:val="24"/>
        </w:rPr>
        <w:t xml:space="preserve">Twigg </w:t>
      </w:r>
      <w:r w:rsidRPr="00D86195">
        <w:rPr>
          <w:rFonts w:ascii="Times New Roman" w:hAnsi="Times New Roman"/>
          <w:i/>
          <w:iCs/>
          <w:szCs w:val="24"/>
        </w:rPr>
        <w:t>et al</w:t>
      </w:r>
      <w:r>
        <w:rPr>
          <w:rFonts w:ascii="Times New Roman" w:hAnsi="Times New Roman"/>
          <w:szCs w:val="24"/>
        </w:rPr>
        <w:t xml:space="preserve">., </w:t>
      </w:r>
      <w:r w:rsidRPr="00795F1B">
        <w:rPr>
          <w:rFonts w:ascii="Times New Roman" w:hAnsi="Times New Roman"/>
          <w:szCs w:val="24"/>
        </w:rPr>
        <w:t>2011). For example, bodily care is often punctuated by a sense of taboo, particularly nakedness and contact with people’s private parts and the concept of body taboo is observed to be much more common among male care workers and nurses (</w:t>
      </w:r>
      <w:bookmarkStart w:id="285" w:name="pmed.1001473-Andersson1"/>
      <w:bookmarkEnd w:id="285"/>
      <w:r w:rsidRPr="00795F1B">
        <w:rPr>
          <w:rFonts w:ascii="Times New Roman" w:hAnsi="Times New Roman"/>
          <w:szCs w:val="24"/>
        </w:rPr>
        <w:t>Malmsten, 1999; Andersson and Hansebo, 2009). Although some of my participants attributed their attitude towards giving personal care to their cultural beliefs, other studies on the perception of work done on the body’s private parts indicates that the views are widely held (</w:t>
      </w:r>
      <w:r w:rsidRPr="00391025">
        <w:rPr>
          <w:rFonts w:ascii="Times New Roman" w:hAnsi="Times New Roman"/>
          <w:szCs w:val="24"/>
        </w:rPr>
        <w:t>Holmes, Lauzon and Gagnon, 201</w:t>
      </w:r>
      <w:r>
        <w:rPr>
          <w:rFonts w:ascii="Times New Roman" w:hAnsi="Times New Roman"/>
          <w:szCs w:val="24"/>
        </w:rPr>
        <w:t>0</w:t>
      </w:r>
      <w:r w:rsidRPr="00795F1B">
        <w:rPr>
          <w:rFonts w:ascii="Times New Roman" w:hAnsi="Times New Roman"/>
          <w:szCs w:val="24"/>
        </w:rPr>
        <w:t>; Ward, Campbell and Keady, 2016). The implication of their attitude towards giving personal care to a female patient means the likelihood of not providing the needed care to PLWD because of their perceived cultural objection to doing so.</w:t>
      </w:r>
    </w:p>
    <w:p w14:paraId="6C2909C0" w14:textId="77777777" w:rsidR="007332FB" w:rsidRPr="00795F1B" w:rsidRDefault="007332FB" w:rsidP="006869A3">
      <w:pPr>
        <w:pStyle w:val="Heading2"/>
      </w:pPr>
      <w:bookmarkStart w:id="286" w:name="_Toc86417414"/>
      <w:r w:rsidRPr="00795F1B">
        <w:t>10.6. Discussion</w:t>
      </w:r>
      <w:bookmarkEnd w:id="286"/>
    </w:p>
    <w:p w14:paraId="7D67F78B"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As a public health issue, the influence of dementia on the ‘global care chain’ has seen increasing numbers of care workers and health care professionals recruited from around the world to meet the health care shortage in developed countries (Hussein, Stevens and Manthorpe, 2011; Aleshkovski, 2016). However, the literature suggests that globally, there are several cultural perspectives on dementia (Dilworth-Anderson and Gibson, 2002; </w:t>
      </w:r>
      <w:r w:rsidRPr="00795F1B">
        <w:rPr>
          <w:rFonts w:ascii="Times" w:hAnsi="Times" w:cs="Times"/>
        </w:rPr>
        <w:t xml:space="preserve">Xiao, Habel and De Bellis, 2015; Brooke </w:t>
      </w:r>
      <w:r w:rsidRPr="009533A9">
        <w:rPr>
          <w:rFonts w:ascii="Times" w:hAnsi="Times" w:cs="Times"/>
          <w:i/>
          <w:iCs/>
        </w:rPr>
        <w:t>et al.</w:t>
      </w:r>
      <w:r w:rsidRPr="00795F1B">
        <w:rPr>
          <w:rFonts w:ascii="Times" w:hAnsi="Times" w:cs="Times"/>
        </w:rPr>
        <w:t>, 2018</w:t>
      </w:r>
      <w:r w:rsidRPr="00795F1B">
        <w:rPr>
          <w:rFonts w:ascii="Times New Roman" w:hAnsi="Times New Roman"/>
          <w:szCs w:val="24"/>
        </w:rPr>
        <w:t>) which has contributed to stigmatisation against PLWD. In the present study, my findings indicate that Nigerian migrant care workers also held a variety of cultural beliefs about dementia before migrating to the UK.</w:t>
      </w:r>
    </w:p>
    <w:p w14:paraId="189085D0"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The cultural beliefs identified were consistent with the lay understanding of dementia and indicates the lack of awareness about dementia in Nigeria (Prince </w:t>
      </w:r>
      <w:r w:rsidRPr="009533A9">
        <w:rPr>
          <w:rFonts w:ascii="Times New Roman" w:hAnsi="Times New Roman"/>
          <w:i/>
          <w:iCs/>
          <w:szCs w:val="24"/>
        </w:rPr>
        <w:t>et al.</w:t>
      </w:r>
      <w:r w:rsidRPr="00795F1B">
        <w:rPr>
          <w:rFonts w:ascii="Times New Roman" w:hAnsi="Times New Roman"/>
          <w:szCs w:val="24"/>
        </w:rPr>
        <w:t xml:space="preserve">, 2003; </w:t>
      </w:r>
      <w:r w:rsidRPr="00795F1B">
        <w:rPr>
          <w:rFonts w:ascii="Times New Roman" w:hAnsi="Times New Roman"/>
          <w:szCs w:val="24"/>
        </w:rPr>
        <w:lastRenderedPageBreak/>
        <w:t xml:space="preserve">Adeloye </w:t>
      </w:r>
      <w:r w:rsidRPr="009533A9">
        <w:rPr>
          <w:rFonts w:ascii="Times New Roman" w:hAnsi="Times New Roman"/>
          <w:i/>
          <w:iCs/>
          <w:szCs w:val="24"/>
        </w:rPr>
        <w:t>et al.</w:t>
      </w:r>
      <w:r w:rsidRPr="00795F1B">
        <w:rPr>
          <w:rFonts w:ascii="Times New Roman" w:hAnsi="Times New Roman"/>
          <w:szCs w:val="24"/>
        </w:rPr>
        <w:t>, 2019). As suggested in the conceptual framework for this study (see section 4.10), dementia training was instrumental to changing cultural beliefs about dementia (see Figure 10.1).</w:t>
      </w:r>
    </w:p>
    <w:p w14:paraId="7B6A28D8" w14:textId="77777777" w:rsidR="007332FB" w:rsidRPr="00795F1B" w:rsidRDefault="007332FB" w:rsidP="007332FB">
      <w:pPr>
        <w:jc w:val="both"/>
        <w:rPr>
          <w:rFonts w:ascii="Times New Roman" w:hAnsi="Times New Roman"/>
          <w:szCs w:val="24"/>
        </w:rPr>
        <w:sectPr w:rsidR="007332FB" w:rsidRPr="00795F1B" w:rsidSect="00B470B5">
          <w:footerReference w:type="default" r:id="rId29"/>
          <w:pgSz w:w="11906" w:h="16838"/>
          <w:pgMar w:top="1134" w:right="1797" w:bottom="1440" w:left="1797" w:header="709" w:footer="709" w:gutter="0"/>
          <w:cols w:space="708"/>
          <w:docGrid w:linePitch="360"/>
        </w:sectPr>
      </w:pPr>
    </w:p>
    <w:p w14:paraId="32ADCDB9" w14:textId="77777777" w:rsidR="007332FB" w:rsidRPr="00795F1B" w:rsidRDefault="007332FB" w:rsidP="007332FB">
      <w:pPr>
        <w:jc w:val="both"/>
        <w:rPr>
          <w:rFonts w:ascii="Times New Roman" w:hAnsi="Times New Roman"/>
          <w:b/>
          <w:bCs/>
          <w:szCs w:val="24"/>
        </w:rPr>
      </w:pPr>
      <w:r w:rsidRPr="00795F1B">
        <w:rPr>
          <w:rFonts w:ascii="Times New Roman" w:hAnsi="Times New Roman"/>
          <w:b/>
          <w:bCs/>
          <w:szCs w:val="24"/>
        </w:rPr>
        <w:lastRenderedPageBreak/>
        <w:t>Figure 10.1: Framework showing the influence of training on cultural beliefs about dementia</w:t>
      </w:r>
    </w:p>
    <w:p w14:paraId="50B9F15F" w14:textId="0ADD5FF9" w:rsidR="007332FB" w:rsidRPr="00795F1B" w:rsidRDefault="00D210D9" w:rsidP="007332FB">
      <w:pPr>
        <w:jc w:val="both"/>
        <w:rPr>
          <w:rFonts w:ascii="Times New Roman" w:hAnsi="Times New Roman"/>
          <w:szCs w:val="24"/>
        </w:rPr>
      </w:pPr>
      <w:r>
        <w:rPr>
          <w:noProof/>
        </w:rPr>
        <mc:AlternateContent>
          <mc:Choice Requires="wps">
            <w:drawing>
              <wp:anchor distT="0" distB="0" distL="114300" distR="114300" simplePos="0" relativeHeight="251803648" behindDoc="0" locked="0" layoutInCell="1" allowOverlap="1" wp14:anchorId="6A235772" wp14:editId="1B5946CC">
                <wp:simplePos x="0" y="0"/>
                <wp:positionH relativeFrom="column">
                  <wp:posOffset>5267325</wp:posOffset>
                </wp:positionH>
                <wp:positionV relativeFrom="paragraph">
                  <wp:posOffset>234315</wp:posOffset>
                </wp:positionV>
                <wp:extent cx="1247775" cy="600075"/>
                <wp:effectExtent l="9525" t="9525" r="9525" b="9525"/>
                <wp:wrapNone/>
                <wp:docPr id="83" name="Rectangle: Rounded Corners 238" descr="P2834TB14#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600075"/>
                        </a:xfrm>
                        <a:prstGeom prst="roundRect">
                          <a:avLst>
                            <a:gd name="adj" fmla="val 1666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1F5229B4" w14:textId="77777777" w:rsidR="007332FB" w:rsidRPr="005A4DF3" w:rsidRDefault="007332FB" w:rsidP="007332FB">
                            <w:pPr>
                              <w:jc w:val="center"/>
                              <w:rPr>
                                <w:rFonts w:ascii="Times New Roman" w:hAnsi="Times New Roman"/>
                                <w:b/>
                                <w:bCs/>
                                <w:color w:val="000000" w:themeColor="text1"/>
                              </w:rPr>
                            </w:pPr>
                            <w:r w:rsidRPr="005A4DF3">
                              <w:rPr>
                                <w:rFonts w:ascii="Times New Roman" w:hAnsi="Times New Roman"/>
                                <w:b/>
                                <w:bCs/>
                                <w:color w:val="000000" w:themeColor="text1"/>
                              </w:rPr>
                              <w:t>Cultural values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6A235772" id="Rectangle: Rounded Corners 238" o:spid="_x0000_s1056" alt="P2834TB14#y1" style="position:absolute;left:0;text-align:left;margin-left:414.75pt;margin-top:18.45pt;width:98.25pt;height:47.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9flXgIAAIMEAAAOAAAAZHJzL2Uyb0RvYy54bWysVNtuEzEQfUfiHyzzTPfSNAmrbqqSEoRU&#10;oGrLBzi2N2vwepaxk034esbO9gZviBdrZsc+PnOOZ88v9p1lO43egKt5cZJzpp0EZdym5t/uV2/n&#10;nPkgnBIWnK75QXt+sXj96nzoK11CC1ZpZATifDX0NW9D6Kss87LVnfAn0GtHxQawE4FS3GQKxUDo&#10;nc3KPJ9mA6DqEaT2nr5eHYt8kfCbRsvwtWm8DszWnLiFtGJa13HNFuei2qDoWyNHGuIfWHTCOLr0&#10;EepKBMG2aP6C6oxE8NCEEwldBk1jpE49UDdF/kc3d63odeqFxPH9o0z+/8HKL7sbZEbVfH7KmRMd&#10;eXRLqgm3sbpit7B1Siu2BHRkMitPyU+lvSQJb8r56eT+fTF5cyiijkPvK4K7628wKuH7a5A/PHOw&#10;bAlNXyLC0GqhiH3an704EBNPR9l6+AyKWIhtgCTpvsEuApJYbJ+cOzw6p/eBSfpYlJPZbHbGmaTa&#10;NM9ziolSJqqH0z368FFDx2JQc4yNxUbTFWJ37UOyT40aCPWds6az9Bh2wrJiOp3ORsRxM2E/YMaT&#10;DlbG2vScrGNDpDTL84TuwRoVq0kW3KyXFhmh1rxcnZXz1Yj7YltnAs2FNR0ZQ+0QUoKO+n1wKsVB&#10;GHuMiYp11O2Dhkcvwn69T84WiXksrkEdSGKE4xzQ3FLQAv7ibKAZqLn/uRWoObOfHNn0rphM4tCk&#10;ZHI2KynB55X184pwkqBqLgNydkyW4Thq2x7NpqW7iiSIg0sytzEhWvTEa0zopSfnxqmMo/Q8T7ue&#10;/h2L3wAAAP//AwBQSwMEFAAGAAgAAAAhAGL+D4ffAAAACwEAAA8AAABkcnMvZG93bnJldi54bWxM&#10;j8FOwzAMhu9IvENkJC6IJetGt5am04TUCycYiHPWeG1F41RNupW3xzvBzZY//f7+Yje7XpxxDJ0n&#10;DcuFAoFUe9tRo+Hzo3rcggjRkDW9J9TwgwF25e1NYXLrL/SO50NsBIdQyI2GNsYhlzLULToTFn5A&#10;4tvJj85EXsdG2tFcONz1MlEqlc50xB9aM+BLi/X3YXIawuv0VW1OoU42c6Zk9bBf++RN6/u7ef8M&#10;IuIc/2C46rM6lOx09BPZIHoN2yR7YlTDKs1AXAGVpNzuyNNquQZZFvJ/h/IXAAD//wMAUEsBAi0A&#10;FAAGAAgAAAAhALaDOJL+AAAA4QEAABMAAAAAAAAAAAAAAAAAAAAAAFtDb250ZW50X1R5cGVzXS54&#10;bWxQSwECLQAUAAYACAAAACEAOP0h/9YAAACUAQAACwAAAAAAAAAAAAAAAAAvAQAAX3JlbHMvLnJl&#10;bHNQSwECLQAUAAYACAAAACEAqa/X5V4CAACDBAAADgAAAAAAAAAAAAAAAAAuAgAAZHJzL2Uyb0Rv&#10;Yy54bWxQSwECLQAUAAYACAAAACEAYv4Ph98AAAALAQAADwAAAAAAAAAAAAAAAAC4BAAAZHJzL2Rv&#10;d25yZXYueG1sUEsFBgAAAAAEAAQA8wAAAMQFAAAAAA==&#10;" filled="f" strokecolor="#2f528f" strokeweight="1pt">
                <v:stroke joinstyle="miter"/>
                <v:textbox>
                  <w:txbxContent>
                    <w:p w14:paraId="1F5229B4" w14:textId="77777777" w:rsidR="007332FB" w:rsidRPr="005A4DF3" w:rsidRDefault="007332FB" w:rsidP="007332FB">
                      <w:pPr>
                        <w:jc w:val="center"/>
                        <w:rPr>
                          <w:rFonts w:ascii="Times New Roman" w:hAnsi="Times New Roman"/>
                          <w:b/>
                          <w:bCs/>
                          <w:color w:val="000000" w:themeColor="text1"/>
                        </w:rPr>
                      </w:pPr>
                      <w:r w:rsidRPr="005A4DF3">
                        <w:rPr>
                          <w:rFonts w:ascii="Times New Roman" w:hAnsi="Times New Roman"/>
                          <w:b/>
                          <w:bCs/>
                          <w:color w:val="000000" w:themeColor="text1"/>
                        </w:rPr>
                        <w:t>Cultural values</w:t>
                      </w:r>
                    </w:p>
                  </w:txbxContent>
                </v:textbox>
              </v:roundrect>
            </w:pict>
          </mc:Fallback>
        </mc:AlternateContent>
      </w:r>
      <w:r>
        <w:rPr>
          <w:noProof/>
        </w:rPr>
        <mc:AlternateContent>
          <mc:Choice Requires="wps">
            <w:drawing>
              <wp:anchor distT="0" distB="0" distL="114300" distR="114300" simplePos="0" relativeHeight="251802624" behindDoc="0" locked="0" layoutInCell="1" allowOverlap="1" wp14:anchorId="1F87ECC4" wp14:editId="4AFDC618">
                <wp:simplePos x="0" y="0"/>
                <wp:positionH relativeFrom="column">
                  <wp:posOffset>2952750</wp:posOffset>
                </wp:positionH>
                <wp:positionV relativeFrom="paragraph">
                  <wp:posOffset>196215</wp:posOffset>
                </wp:positionV>
                <wp:extent cx="1247775" cy="600075"/>
                <wp:effectExtent l="9525" t="9525" r="9525" b="9525"/>
                <wp:wrapNone/>
                <wp:docPr id="82" name="Rectangle: Rounded Corners 237" descr="P2834TB13#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600075"/>
                        </a:xfrm>
                        <a:prstGeom prst="roundRect">
                          <a:avLst>
                            <a:gd name="adj" fmla="val 1666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2B636623" w14:textId="77777777" w:rsidR="007332FB" w:rsidRPr="005A4DF3" w:rsidRDefault="007332FB" w:rsidP="005A4DF3">
                            <w:pPr>
                              <w:spacing w:after="0"/>
                              <w:jc w:val="center"/>
                              <w:rPr>
                                <w:rFonts w:ascii="Times New Roman" w:hAnsi="Times New Roman"/>
                                <w:b/>
                                <w:bCs/>
                                <w:color w:val="000000" w:themeColor="text1"/>
                              </w:rPr>
                            </w:pPr>
                            <w:r w:rsidRPr="005A4DF3">
                              <w:rPr>
                                <w:rFonts w:ascii="Times New Roman" w:hAnsi="Times New Roman"/>
                                <w:b/>
                                <w:bCs/>
                                <w:color w:val="000000" w:themeColor="text1"/>
                              </w:rPr>
                              <w:t>Dementia training</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F87ECC4" id="Rectangle: Rounded Corners 237" o:spid="_x0000_s1057" alt="P2834TB13#y1" style="position:absolute;left:0;text-align:left;margin-left:232.5pt;margin-top:15.45pt;width:98.25pt;height:47.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6U6YQIAAIMEAAAOAAAAZHJzL2Uyb0RvYy54bWysVNty0zAQfWeGf9CIZ+pL0zh46nRKShhm&#10;CnTa8gGKJMcCSWskJU769axkt7TwxvCi2fVKR2fP0fr84mA02UvnFdiGFic5JdJyEMpuG/rtfv12&#10;QYkPzAqmwcqGHqWnF8vXr86HvpYldKCFdARBrK+HvqFdCH2dZZ530jB/Ar20WGzBGRYwddtMODYg&#10;utFZmefzbAAnegdceo9fr8YiXSb8tpU8fG1bLwPRDUVuIa0urZu4ZstzVm8d6zvFJxrsH1gYpixe&#10;+gR1xQIjO6f+gjKKO/DQhhMOJoO2VVymHrCbIv+jm7uO9TL1guL4/kkm//9g+Zf9jSNKNHRRUmKZ&#10;QY9uUTVmt1rW5BZ2VkhBVuAsmkzK04oSIT1HCW/Kxens/n1x+uZYRB2H3tcId9ffuKiE76+B//DE&#10;wqpDNHnpHAydZALZp/3ZiwMx8XiUbIbPIJAF2wVIkh5aZyIgikUOybnjk3PyEAjHj0U5q6rqjBKO&#10;tXme5xgjpYzVj6d758NHCYbEoKEuNhYbTVew/bUPyT4xacDEd0pao/Ex7JkmxXw+rybEaTNiP2LG&#10;kxbWSuv0nLQlQ6RU5XlC96CViNUki9tuVtoRRG1ouT4rF+sJ98U2owLOhVYGjcF2EClBR/0+WJHi&#10;wJQeY6SiLXb7qOHoRThsDsnZYhEPx+IGxBEldjDOAc4tBh24B0oGnIGG+p875iQl+pNFm94Vs1kc&#10;mpTMzqoSE/e8snleYZYjVEN5cJSMySqMo7brndp2eFeRBLFwiea2KiCtRHrkNSX40pNz01TGUXqe&#10;p12//x3LXwAAAP//AwBQSwMEFAAGAAgAAAAhAHogPsrfAAAACgEAAA8AAABkcnMvZG93bnJldi54&#10;bWxMj8FOwzAQRO9I/IO1SFwQtRuSlIY4VYWUCycoiLMbb5OIeB3FThv+nuUEx9U+zbwpd4sbxBmn&#10;0HvSsF4pEEiNtz21Gj7e6/tHECEasmbwhBq+McCuur4qTWH9hd7wfIit4BAKhdHQxTgWUoamQ2fC&#10;yo9I/Dv5yZnI59RKO5kLh7tBJkrl0pmeuKEzIz532HwdZqchvMyf9eYUmmSzbJWs7/apT161vr1Z&#10;9k8gIi7xD4ZffVaHip2OfiYbxKAhzTPeEjU8qC0IBvJ8nYE4MplkKciqlP8nVD8AAAD//wMAUEsB&#10;Ai0AFAAGAAgAAAAhALaDOJL+AAAA4QEAABMAAAAAAAAAAAAAAAAAAAAAAFtDb250ZW50X1R5cGVz&#10;XS54bWxQSwECLQAUAAYACAAAACEAOP0h/9YAAACUAQAACwAAAAAAAAAAAAAAAAAvAQAAX3JlbHMv&#10;LnJlbHNQSwECLQAUAAYACAAAACEAeu+lOmECAACDBAAADgAAAAAAAAAAAAAAAAAuAgAAZHJzL2Uy&#10;b0RvYy54bWxQSwECLQAUAAYACAAAACEAeiA+yt8AAAAKAQAADwAAAAAAAAAAAAAAAAC7BAAAZHJz&#10;L2Rvd25yZXYueG1sUEsFBgAAAAAEAAQA8wAAAMcFAAAAAA==&#10;" filled="f" strokecolor="#2f528f" strokeweight="1pt">
                <v:stroke joinstyle="miter"/>
                <v:textbox>
                  <w:txbxContent>
                    <w:p w14:paraId="2B636623" w14:textId="77777777" w:rsidR="007332FB" w:rsidRPr="005A4DF3" w:rsidRDefault="007332FB" w:rsidP="005A4DF3">
                      <w:pPr>
                        <w:spacing w:after="0"/>
                        <w:jc w:val="center"/>
                        <w:rPr>
                          <w:rFonts w:ascii="Times New Roman" w:hAnsi="Times New Roman"/>
                          <w:b/>
                          <w:bCs/>
                          <w:color w:val="000000" w:themeColor="text1"/>
                        </w:rPr>
                      </w:pPr>
                      <w:r w:rsidRPr="005A4DF3">
                        <w:rPr>
                          <w:rFonts w:ascii="Times New Roman" w:hAnsi="Times New Roman"/>
                          <w:b/>
                          <w:bCs/>
                          <w:color w:val="000000" w:themeColor="text1"/>
                        </w:rPr>
                        <w:t>Dementia training</w:t>
                      </w:r>
                    </w:p>
                  </w:txbxContent>
                </v:textbox>
              </v:roundrect>
            </w:pict>
          </mc:Fallback>
        </mc:AlternateContent>
      </w:r>
    </w:p>
    <w:p w14:paraId="086DA813" w14:textId="1EC244EC"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08768" behindDoc="0" locked="0" layoutInCell="1" allowOverlap="1" wp14:anchorId="67404581" wp14:editId="04A55339">
                <wp:simplePos x="0" y="0"/>
                <wp:positionH relativeFrom="column">
                  <wp:posOffset>334010</wp:posOffset>
                </wp:positionH>
                <wp:positionV relativeFrom="paragraph">
                  <wp:posOffset>333375</wp:posOffset>
                </wp:positionV>
                <wp:extent cx="1094740" cy="628650"/>
                <wp:effectExtent l="10160" t="9525" r="9525" b="9525"/>
                <wp:wrapNone/>
                <wp:docPr id="81" name="Rectangle 243" descr="P2835TB1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4740" cy="628650"/>
                        </a:xfrm>
                        <a:prstGeom prst="rect">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354B07C6" w14:textId="77777777" w:rsidR="007332FB" w:rsidRPr="00C0367E" w:rsidRDefault="007332FB" w:rsidP="005A4DF3">
                            <w:pPr>
                              <w:spacing w:after="0"/>
                              <w:jc w:val="center"/>
                              <w:rPr>
                                <w:rFonts w:ascii="Times New Roman" w:hAnsi="Times New Roman"/>
                                <w:b/>
                                <w:bCs/>
                                <w:color w:val="000000" w:themeColor="text1"/>
                              </w:rPr>
                            </w:pPr>
                            <w:r w:rsidRPr="00C0367E">
                              <w:rPr>
                                <w:rFonts w:ascii="Times New Roman" w:hAnsi="Times New Roman"/>
                                <w:b/>
                                <w:bCs/>
                                <w:color w:val="000000" w:themeColor="text1"/>
                              </w:rPr>
                              <w:t>Lack of awareness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7404581" id="Rectangle 243" o:spid="_x0000_s1058" alt="P2835TB19#y1" style="position:absolute;left:0;text-align:left;margin-left:26.3pt;margin-top:26.25pt;width:86.2pt;height:49.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KnuPQIAAEEEAAAOAAAAZHJzL2Uyb0RvYy54bWysU21vEzEM/o7Ef4jCZ3Yva9cX7TqNjSKk&#10;ARUbPyDN5XoRuTg4aa/l1+Pk2rLBN0Q+RHFsP7Yf29c3+86wnUKvwVa8uMg5U1ZCre2m4t+elm+n&#10;nPkgbC0MWFXxg/L8ZvH61XXv5qqEFkytkBGI9fPeVbwNwc2zzMtWdcJfgFOWlA1gJwKJuMlqFD2h&#10;dyYr8/wq6wFrhyCV9/R7Pyj5IuE3jZLhS9N4FZipOOUW0o3pXsc7W1yL+QaFa7U8piH+IYtOaEtB&#10;z1D3Igi2Rf0XVKclgocmXEjoMmgaLVWqgaop8j+qeWyFU6kWIse7M03+/8HKz7sVMl1XfFpwZkVH&#10;PfpKrAm7MYqVo0vOauUlMbYqp5fjp3fF7M2hiLT1zs/J+9GtMBbu3QPI755ZuGvJWd0iQt8qUVOy&#10;yT574RAFT65s3X+CmoKKbYDE4L7BLgISN2yfGnU4N0rtA5P0WeSz0WRE/ZSkuyqnV+PUyUzMT94O&#10;ffigoGPxUXGkkhK62D34QNmT6ckkBrOw1MakYTCW9RShnOR58vBgdB21qUrcrO8Msp2geSqX43K6&#10;jFwQ2guzTgeaaqM7ojWPZ5izSMd7W6cwQWgzvMnZWMI4UTJQG/brfepLMTuxvYb6QIwhDFNMW0eP&#10;FvAnZz1NcMX9j61AxZn5aIn1WTGKFIUkjMaTkgR8rlk/1wgrCariMiBng3AXhkXZOtSblmIViRAL&#10;t9SrRicaY9JDXscKaE4TH8ediovwXE5Wvzd/8QsAAP//AwBQSwMEFAAGAAgAAAAhADVcFnrfAAAA&#10;CQEAAA8AAABkcnMvZG93bnJldi54bWxMj8FOwzAQRO9I/IO1SFwQdWJwVaVxKkRBwA1KpV7d2I0D&#10;8TqKnTb8PdsTnFajeZqdKVeT79jRDrENqCCfZcAs1sG02CjYfj7fLoDFpNHoLqBV8GMjrKrLi1IX&#10;Jpzwwx43qWEUgrHQClxKfcF5rJ31Os5Cb5G8Qxi8TiSHhptBnyjcd1xk2Zx73SJ9cLq3j87W35vR&#10;K3jB9W59d7gZ3dvX7v79KRdb8eqVur6aHpbAkp3SHwzn+lQdKuq0DyOayDoFUsyJPF8JjHwhJG3b&#10;EyhzCbwq+f8F1S8AAAD//wMAUEsBAi0AFAAGAAgAAAAhALaDOJL+AAAA4QEAABMAAAAAAAAAAAAA&#10;AAAAAAAAAFtDb250ZW50X1R5cGVzXS54bWxQSwECLQAUAAYACAAAACEAOP0h/9YAAACUAQAACwAA&#10;AAAAAAAAAAAAAAAvAQAAX3JlbHMvLnJlbHNQSwECLQAUAAYACAAAACEAlQSp7j0CAABBBAAADgAA&#10;AAAAAAAAAAAAAAAuAgAAZHJzL2Uyb0RvYy54bWxQSwECLQAUAAYACAAAACEANVwWet8AAAAJAQAA&#10;DwAAAAAAAAAAAAAAAACXBAAAZHJzL2Rvd25yZXYueG1sUEsFBgAAAAAEAAQA8wAAAKMFAAAAAA==&#10;" filled="f" strokecolor="#2f528f" strokeweight="1pt">
                <v:textbox>
                  <w:txbxContent>
                    <w:p w14:paraId="354B07C6" w14:textId="77777777" w:rsidR="007332FB" w:rsidRPr="00C0367E" w:rsidRDefault="007332FB" w:rsidP="005A4DF3">
                      <w:pPr>
                        <w:spacing w:after="0"/>
                        <w:jc w:val="center"/>
                        <w:rPr>
                          <w:rFonts w:ascii="Times New Roman" w:hAnsi="Times New Roman"/>
                          <w:b/>
                          <w:bCs/>
                          <w:color w:val="000000" w:themeColor="text1"/>
                        </w:rPr>
                      </w:pPr>
                      <w:r w:rsidRPr="00C0367E">
                        <w:rPr>
                          <w:rFonts w:ascii="Times New Roman" w:hAnsi="Times New Roman"/>
                          <w:b/>
                          <w:bCs/>
                          <w:color w:val="000000" w:themeColor="text1"/>
                        </w:rPr>
                        <w:t>Lack of awareness</w:t>
                      </w:r>
                    </w:p>
                  </w:txbxContent>
                </v:textbox>
              </v:rect>
            </w:pict>
          </mc:Fallback>
        </mc:AlternateContent>
      </w:r>
      <w:r>
        <w:rPr>
          <w:rFonts w:ascii="Times New Roman" w:hAnsi="Times New Roman"/>
          <w:noProof/>
          <w:szCs w:val="24"/>
        </w:rPr>
        <mc:AlternateContent>
          <mc:Choice Requires="wps">
            <w:drawing>
              <wp:anchor distT="0" distB="0" distL="114300" distR="114300" simplePos="0" relativeHeight="251807744" behindDoc="0" locked="0" layoutInCell="1" allowOverlap="1" wp14:anchorId="6FBF69E6" wp14:editId="4F068FFD">
                <wp:simplePos x="0" y="0"/>
                <wp:positionH relativeFrom="column">
                  <wp:posOffset>3524250</wp:posOffset>
                </wp:positionH>
                <wp:positionV relativeFrom="paragraph">
                  <wp:posOffset>419100</wp:posOffset>
                </wp:positionV>
                <wp:extent cx="123825" cy="933450"/>
                <wp:effectExtent l="28575" t="9525" r="28575" b="19050"/>
                <wp:wrapNone/>
                <wp:docPr id="80" name="Arrow: Down 242" descr="P283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933450"/>
                        </a:xfrm>
                        <a:prstGeom prst="downArrow">
                          <a:avLst>
                            <a:gd name="adj1" fmla="val 50000"/>
                            <a:gd name="adj2" fmla="val 50012"/>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D319C5E" id="Arrow: Down 242" o:spid="_x0000_s1026" type="#_x0000_t67" alt="P2841#y1" style="position:absolute;margin-left:277.5pt;margin-top:33pt;width:9.75pt;height:73.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lgTgIAAIEEAAAOAAAAZHJzL2Uyb0RvYy54bWysVFFv0zAQfkfiP1jmmaVJW9ZFTadpowhp&#10;wKTBD3BtpzHYPmO7Tcuv5+xkXQdviDxYPt/5u+++82V5fTCa7KUPCmxDy4sJJdJyEMpuG/rt6/rt&#10;gpIQmRVMg5UNPcpAr1evXy17V8sKOtBCeoIgNtS9a2gXo6uLIvBOGhYuwEmLzha8YRFNvy2EZz2i&#10;G11Uk8m7ogcvnAcuQ8DTu8FJVxm/bSWPX9o2yEh0Q5FbzKvP6yatxWrJ6q1nrlN8pMH+gYVhymLS&#10;E9Qdi4zsvPoLyijuIUAbLziYAtpWcZlrwGrKyR/VPHbMyVwLihPcSabw/2D55/2DJ0o0dIHyWGaw&#10;RzfeQ1+TO+gtqWYVJUIGjpo9VItZ+eZYJtF6F2q8++gefCo7uHvgPwKxcNsxu5UZopNMINUcX7y4&#10;kIyAV8mm/wQCU7JdhKzfofUmAaIy5JDbdDy1SR4i4XhYVtNFNaeEo+tqOp3NcxsLVj9ddj7EDxIM&#10;SZuGCiwkE8oZ2P4+xNwqMdbLxPeSktZo7PyeaTKf4De+jLMYFOJFTFmlGEw7IuLuKXGCt7BWWuf3&#10;pS3pE+1LhM1qgVYiebPht5tb7Qlmbmi1nleL9YgbzsOMijgoWpnUqWeCSeP3VuQ0kSk97JGKtsjt&#10;SeehXxsQR9TcwzAFOLW46cD/oqTHCWho+LljXlKiP1rs21U5m6WRycZsflmh4c89m3MPsxyhGsqj&#10;p2QwbuMwaDvn1bbDXGWu3sINdrtVMamXGA68RgPfeRZ1nMk0SOd2jnr+c6x+AwAA//8DAFBLAwQU&#10;AAYACAAAACEA6dasneAAAAAKAQAADwAAAGRycy9kb3ducmV2LnhtbEyPwU7DMBBE70j8g7VI3KiT&#10;EIcqxKkAqUicEIVDuTnxEgfsdRS7bfh7zAlOo9WMZt80m8VZdsQ5jJ4k5KsMGFLv9UiDhLfX7dUa&#10;WIiKtLKeUMI3Bti052eNqrU/0Qsed3FgqYRCrSSYGKea89AbdCqs/ISUvA8/OxXTOQ9cz+qUyp3l&#10;RZZV3KmR0gejJnww2H/tDk7CIxXlungec783nX3/3Jb7+6dSysuL5e4WWMQl/oXhFz+hQ5uYOn8g&#10;HZiVIIRIW6KEqkqaAuKmFMA6CUV+nQFvG/5/QvsDAAD//wMAUEsBAi0AFAAGAAgAAAAhALaDOJL+&#10;AAAA4QEAABMAAAAAAAAAAAAAAAAAAAAAAFtDb250ZW50X1R5cGVzXS54bWxQSwECLQAUAAYACAAA&#10;ACEAOP0h/9YAAACUAQAACwAAAAAAAAAAAAAAAAAvAQAAX3JlbHMvLnJlbHNQSwECLQAUAAYACAAA&#10;ACEARs1JYE4CAACBBAAADgAAAAAAAAAAAAAAAAAuAgAAZHJzL2Uyb0RvYy54bWxQSwECLQAUAAYA&#10;CAAAACEA6dasneAAAAAKAQAADwAAAAAAAAAAAAAAAACoBAAAZHJzL2Rvd25yZXYueG1sUEsFBgAA&#10;AAAEAAQA8wAAALUFAAAAAA==&#10;" adj="20167" filled="f" strokecolor="#2f528f" strokeweight="1pt"/>
            </w:pict>
          </mc:Fallback>
        </mc:AlternateContent>
      </w:r>
    </w:p>
    <w:p w14:paraId="71D59D38" w14:textId="14B06E11"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06720" behindDoc="0" locked="0" layoutInCell="1" allowOverlap="1" wp14:anchorId="2B89E89C" wp14:editId="49CEB04E">
                <wp:simplePos x="0" y="0"/>
                <wp:positionH relativeFrom="column">
                  <wp:posOffset>5829300</wp:posOffset>
                </wp:positionH>
                <wp:positionV relativeFrom="paragraph">
                  <wp:posOffset>41910</wp:posOffset>
                </wp:positionV>
                <wp:extent cx="123825" cy="895350"/>
                <wp:effectExtent l="28575" t="9525" r="28575" b="19050"/>
                <wp:wrapNone/>
                <wp:docPr id="79" name="Arrow: Down 241" descr="P2836#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895350"/>
                        </a:xfrm>
                        <a:prstGeom prst="downArrow">
                          <a:avLst>
                            <a:gd name="adj1" fmla="val 50000"/>
                            <a:gd name="adj2" fmla="val 50013"/>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A1EEA5" id="Arrow: Down 241" o:spid="_x0000_s1026" type="#_x0000_t67" alt="P2842#y1" style="position:absolute;margin-left:459pt;margin-top:3.3pt;width:9.75pt;height:70.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o5qTwIAAIEEAAAOAAAAZHJzL2Uyb0RvYy54bWysVFFv0zAQfkfiP1jmmaXJWtpFTadpowhp&#10;wKTBD3BtpzHYPmO7Tbtfz9nJShlviDxYPt/5u+++82V5fTCa7KUPCmxDy4sJJdJyEMpuG/rt6/rt&#10;gpIQmRVMg5UNPcpAr1evXy17V8sKOtBCeoIgNtS9a2gXo6uLIvBOGhYuwEmLzha8YRFNvy2EZz2i&#10;G11Uk8m7ogcvnAcuQ8DTu8FJVxm/bSWPX9o2yEh0Q5FbzKvP6yatxWrJ6q1nrlN8pMH+gYVhymLS&#10;E9Qdi4zsvPoLyijuIUAbLziYAtpWcZlrwGrKyYtqHjvmZK4FxQnuJFP4f7D88/7BEyUaOr+ixDKD&#10;PbrxHvqa3EFvSTUtKREycNTsoVpMqzfHMonWu1Dj3Uf34FPZwd0D/xGIhduO2a3MEJ1kAqnm+OKP&#10;C8kIeJVs+k8gMCXbRcj6HVpvEiAqQw65TcdTm+QhEo6HZXW5qGaUcHQtrmaXs9zGgtXPl50P8YME&#10;Q9KmoQILyYRyBra/DzG3Soz1MvEdi2yNxs7vmSazCX7jyziLqV7ElJcpBtOOiLh7TpzgLayV1vl9&#10;aUv6RHuOsFkt0Eokbzb8dnOrPcHMDa3Ws2qxHnHDeZhREQdFK4M1J34jwaTxeytymsiUHvZIRVvk&#10;9qzz0K8NiCNq7mGYApxa3HTgnyjpcQIaGn7umJeU6I8W+3ZVTqdpZLIxnc0rNPy5Z3PuYZYjVEN5&#10;9JQMxm0cBm3nvNp2mKvM1Vu4wW63Kib1EsOB12jgO8+ijjOZBunczlG//xyrXwAAAP//AwBQSwME&#10;FAAGAAgAAAAhAH7qQVDfAAAACQEAAA8AAABkcnMvZG93bnJldi54bWxMj0FPg0AUhO8m/ofNM/Fm&#10;l1pKC2VptNGTp6IxPW7ZVyCybwm7tOiv93mqx8lMZr7Jt5PtxBkH3zpSMJ9FIJAqZ1qqFXy8vz6s&#10;QfigyejOESr4Rg/b4vYm15lxF9rjuQy14BLymVbQhNBnUvqqQav9zPVI7J3cYHVgOdTSDPrC5baT&#10;j1GUSKtb4oVG97hrsPoqR6tALt5i/Wx+lqk7jC/7z8MujtJSqfu76WkDIuAUrmH4w2d0KJjp6EYy&#10;XnQK0vmavwQFSQKC/XSxWoI4cjBeJSCLXP5/UPwCAAD//wMAUEsBAi0AFAAGAAgAAAAhALaDOJL+&#10;AAAA4QEAABMAAAAAAAAAAAAAAAAAAAAAAFtDb250ZW50X1R5cGVzXS54bWxQSwECLQAUAAYACAAA&#10;ACEAOP0h/9YAAACUAQAACwAAAAAAAAAAAAAAAAAvAQAAX3JlbHMvLnJlbHNQSwECLQAUAAYACAAA&#10;ACEAon6Oak8CAACBBAAADgAAAAAAAAAAAAAAAAAuAgAAZHJzL2Uyb0RvYy54bWxQSwECLQAUAAYA&#10;CAAAACEAfupBUN8AAAAJAQAADwAAAAAAAAAAAAAAAACpBAAAZHJzL2Rvd25yZXYueG1sUEsFBgAA&#10;AAAEAAQA8wAAALUFAAAAAA==&#10;" adj="20106" filled="f" strokecolor="#2f528f" strokeweight="1pt"/>
            </w:pict>
          </mc:Fallback>
        </mc:AlternateContent>
      </w:r>
      <w:r>
        <w:rPr>
          <w:rFonts w:ascii="Times New Roman" w:hAnsi="Times New Roman"/>
          <w:noProof/>
          <w:szCs w:val="24"/>
        </w:rPr>
        <mc:AlternateContent>
          <mc:Choice Requires="wps">
            <w:drawing>
              <wp:anchor distT="0" distB="0" distL="114300" distR="114300" simplePos="0" relativeHeight="251799552" behindDoc="0" locked="0" layoutInCell="1" allowOverlap="1" wp14:anchorId="5C09DC1C" wp14:editId="557676A4">
                <wp:simplePos x="0" y="0"/>
                <wp:positionH relativeFrom="column">
                  <wp:posOffset>6162675</wp:posOffset>
                </wp:positionH>
                <wp:positionV relativeFrom="paragraph">
                  <wp:posOffset>241935</wp:posOffset>
                </wp:positionV>
                <wp:extent cx="1466850" cy="1447800"/>
                <wp:effectExtent l="9525" t="9525" r="9525" b="9525"/>
                <wp:wrapNone/>
                <wp:docPr id="78" name="Oval 234" descr="P2836TB1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1447800"/>
                        </a:xfrm>
                        <a:prstGeom prst="ellipse">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0A7AFDB3" w14:textId="77777777" w:rsidR="007332FB" w:rsidRPr="00C0367E" w:rsidRDefault="007332FB" w:rsidP="007332FB">
                            <w:pPr>
                              <w:jc w:val="center"/>
                              <w:rPr>
                                <w:rFonts w:ascii="Times New Roman" w:hAnsi="Times New Roman"/>
                                <w:b/>
                                <w:bCs/>
                                <w:color w:val="0D0D0D" w:themeColor="text1" w:themeTint="F2"/>
                              </w:rPr>
                            </w:pPr>
                            <w:r w:rsidRPr="00C0367E">
                              <w:rPr>
                                <w:rFonts w:ascii="Times New Roman" w:hAnsi="Times New Roman"/>
                                <w:b/>
                                <w:bCs/>
                                <w:color w:val="0D0D0D" w:themeColor="text1" w:themeTint="F2"/>
                              </w:rPr>
                              <w:t>Better empathy</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C09DC1C" id="Oval 234" o:spid="_x0000_s1059" alt="P2836TB10#y1" style="position:absolute;left:0;text-align:left;margin-left:485.25pt;margin-top:19.05pt;width:115.5pt;height:11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VH4PAIAAEAEAAAOAAAAZHJzL2Uyb0RvYy54bWysU81u2zAMvg/YOwjaeXHs5m9GnaJrl2FA&#10;txZo9wCKLMfCZFGjlDjp04+SmzTbbsN0EESR/Eh+JC+v9p1hO4Veg614PhpzpqyEWttNxb8/rd4v&#10;OPNB2FoYsKriB+X51fLtm8velaqAFkytkBGI9WXvKt6G4Mos87JVnfAjcMqSsgHsRCARN1mNoif0&#10;zmTFeDzLesDaIUjlPf3eDkq+TPhNo2S4bxqvAjMVp9xCujHd63hny0tRblC4VsuXNMQ/ZNEJbSno&#10;CepWBMG2qP+C6rRE8NCEkYQug6bRUqUaqJp8/Ec1j61wKtVC5Hh3osn/P1j5bfeATNcVn1OnrOio&#10;R/c7YVhxMeGsVl4SWQ/F4mL29DEfvzvkkbHe+ZIcH90Dxpq9uwP5wzMLN62wG3WNCH2rRE15Jvvs&#10;N4coeHJl6/4r1BRPbAMk8vYNdhGQaGH71KPDqUdqH5ikz3wymy2m1EpJunwymS/GqYuZKI/uDn34&#10;rKBj8VFxZYx2PvIoSrG784EqIOujVfy2sNLGpFkwlvUEXMwJNhUHRtdRmwTcrG8MMiKo4sVqWixW&#10;kQ9C8+dmnQ401EZ3Fafs6AxjFin5ZOsUJghthjc5G0sYR1oGesN+vU9tKZJzVK6hPhBrCMMQ09LR&#10;owV85qynAa64/7kVqDgzXywx/4HIiROfhMl0TkAMzzXrc42wkqAqLgNyNgg3YdiTrUO9aSlWngix&#10;cE39anSi8TWvlwpoTBMfLysV9+BcTlavi7/8BQAA//8DAFBLAwQUAAYACAAAACEAe1+g5uAAAAAL&#10;AQAADwAAAGRycy9kb3ducmV2LnhtbEyPwU7DMAyG70i8Q2QkbixpEWUrTSeYxHFIhCGxW9Z4TUXj&#10;VE22FZ6e7DSOtj/9/v5qObmeHXEMnScJ2UwAQ2q86aiVsPl4vZsDC1GT0b0nlPCDAZb19VWlS+NP&#10;9I5HFVuWQiiUWoKNcSg5D41Fp8PMD0jptvej0zGNY8vNqE8p3PU8F6LgTneUPlg94Mpi860OTsLK&#10;2G6rlHrbb74+h5f1r3Ftv5by9mZ6fgIWcYoXGM76SR3q5LTzBzKB9RIWj+IhoRLu5xmwM5CLLG12&#10;EvKiyIDXFf/fof4DAAD//wMAUEsBAi0AFAAGAAgAAAAhALaDOJL+AAAA4QEAABMAAAAAAAAAAAAA&#10;AAAAAAAAAFtDb250ZW50X1R5cGVzXS54bWxQSwECLQAUAAYACAAAACEAOP0h/9YAAACUAQAACwAA&#10;AAAAAAAAAAAAAAAvAQAAX3JlbHMvLnJlbHNQSwECLQAUAAYACAAAACEAo21R+DwCAABABAAADgAA&#10;AAAAAAAAAAAAAAAuAgAAZHJzL2Uyb0RvYy54bWxQSwECLQAUAAYACAAAACEAe1+g5uAAAAALAQAA&#10;DwAAAAAAAAAAAAAAAACWBAAAZHJzL2Rvd25yZXYueG1sUEsFBgAAAAAEAAQA8wAAAKMFAAAAAA==&#10;" filled="f" strokecolor="#2f528f" strokeweight="1pt">
                <v:stroke joinstyle="miter"/>
                <v:textbox>
                  <w:txbxContent>
                    <w:p w14:paraId="0A7AFDB3" w14:textId="77777777" w:rsidR="007332FB" w:rsidRPr="00C0367E" w:rsidRDefault="007332FB" w:rsidP="007332FB">
                      <w:pPr>
                        <w:jc w:val="center"/>
                        <w:rPr>
                          <w:rFonts w:ascii="Times New Roman" w:hAnsi="Times New Roman"/>
                          <w:b/>
                          <w:bCs/>
                          <w:color w:val="0D0D0D" w:themeColor="text1" w:themeTint="F2"/>
                        </w:rPr>
                      </w:pPr>
                      <w:r w:rsidRPr="00C0367E">
                        <w:rPr>
                          <w:rFonts w:ascii="Times New Roman" w:hAnsi="Times New Roman"/>
                          <w:b/>
                          <w:bCs/>
                          <w:color w:val="0D0D0D" w:themeColor="text1" w:themeTint="F2"/>
                        </w:rPr>
                        <w:t>Better empathy</w:t>
                      </w:r>
                    </w:p>
                  </w:txbxContent>
                </v:textbox>
              </v:oval>
            </w:pict>
          </mc:Fallback>
        </mc:AlternateContent>
      </w:r>
      <w:r>
        <w:rPr>
          <w:rFonts w:ascii="Times New Roman" w:hAnsi="Times New Roman"/>
          <w:noProof/>
          <w:szCs w:val="24"/>
        </w:rPr>
        <mc:AlternateContent>
          <mc:Choice Requires="wps">
            <w:drawing>
              <wp:anchor distT="0" distB="0" distL="114300" distR="114300" simplePos="0" relativeHeight="251798528" behindDoc="0" locked="0" layoutInCell="1" allowOverlap="1" wp14:anchorId="158DE8D4" wp14:editId="3CB24F9D">
                <wp:simplePos x="0" y="0"/>
                <wp:positionH relativeFrom="column">
                  <wp:posOffset>3914775</wp:posOffset>
                </wp:positionH>
                <wp:positionV relativeFrom="paragraph">
                  <wp:posOffset>260985</wp:posOffset>
                </wp:positionV>
                <wp:extent cx="1657350" cy="1476375"/>
                <wp:effectExtent l="9525" t="9525" r="9525" b="9525"/>
                <wp:wrapNone/>
                <wp:docPr id="77" name="Oval 233" descr="P2836TB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1476375"/>
                        </a:xfrm>
                        <a:prstGeom prst="ellipse">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0B3850A8"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Current understanding of dementia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158DE8D4" id="Oval 233" o:spid="_x0000_s1060" alt="P2836TB9#y1" style="position:absolute;left:0;text-align:left;margin-left:308.25pt;margin-top:20.55pt;width:130.5pt;height:116.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sO6PQIAAD8EAAAOAAAAZHJzL2Uyb0RvYy54bWysU9tu2zAMfR+wfxC059WXXJwacYouXYYB&#10;3Rqg3QcoshwLkyWNUuJkXz9KTrJ0exumB0EUyUPykJzfHTpF9gKcNLqi2U1KidDc1FJvK/rtZfV+&#10;RonzTNdMGS0qehSO3i3evpn3thS5aY2qBRAE0a7sbUVb722ZJI63omPuxlihUdkY6JhHEbZJDaxH&#10;9E4leZpOk95AbcFw4Rz+PgxKuoj4TSO4f2oaJzxRFcXcfLwh3ptwJ4s5K7fAbCv5KQ32D1l0TGoM&#10;eoF6YJ6RHci/oDrJwTjT+BtuusQ0jeQi1oDVZOkf1Ty3zIpYC5Lj7IUm9/9g+df9GoisK1oUlGjW&#10;YY+e9kyRfDSipBaOI1nrfDaavny4fXfMAmG9dSX6Pds1hJKdfTT8uyPaLFumt+IewPStYDWmGe2T&#10;Vw5BcOhKNv0XU2M4tvMmcndooAuAyAo5xBYdLy0SB084fmbTSTGaYCc56rJxMR0Vk5BTwsqzuwXn&#10;PwnTkfCoqFBKWhdoZCXbPzo/WJ+twrc2K6lUHAWlSY/AeZGm0cMZJeugjZXCdrNUQJCfiuarST5b&#10;nWK/Muukx5lWsqvoLA1nmLJAyUddxzCeSTW8MXGlMf8zLQO9/rA5xK7kF8Y3pj4ia2CGGcadw0dr&#10;4CclPc5vRd2PHQNBifqskfnbbDwOAx+F8aTIUYBrzeZawzRHqIpyD5QMwtIPa7KzILctxsoiIdrc&#10;Y78aGWkMSQ95nSrAKY29OG1UWINrOVr93vvFLwAAAP//AwBQSwMEFAAGAAgAAAAhAMxnLw3gAAAA&#10;CgEAAA8AAABkcnMvZG93bnJldi54bWxMj8tOwzAQRfdI/IM1SOyokwJJlWZSQSWWRcIUie7c2I0j&#10;/Ihitw18PcOqLGfm6M659Wpylp30GPvgEfJZBkz7Nqjedwjb95e7BbCYpFfSBq8RvnWEVXN9VctK&#10;hbN/0yeROkYhPlYSwaQ0VJzH1mgn4ywM2tPtEEYnE41jx9UozxTuLJ9nWcGd7D19MHLQa6PbL3F0&#10;CGtl+p0Q4vWw/fwYnjc/ynV2g3h7Mz0tgSU9pQsMf/qkDg057cPRq8gsQpEXj4QiPOQ5MAIWZUmL&#10;PcK8vC+ANzX/X6H5BQAA//8DAFBLAQItABQABgAIAAAAIQC2gziS/gAAAOEBAAATAAAAAAAAAAAA&#10;AAAAAAAAAABbQ29udGVudF9UeXBlc10ueG1sUEsBAi0AFAAGAAgAAAAhADj9If/WAAAAlAEAAAsA&#10;AAAAAAAAAAAAAAAALwEAAF9yZWxzLy5yZWxzUEsBAi0AFAAGAAgAAAAhAMpew7o9AgAAPwQAAA4A&#10;AAAAAAAAAAAAAAAALgIAAGRycy9lMm9Eb2MueG1sUEsBAi0AFAAGAAgAAAAhAMxnLw3gAAAACgEA&#10;AA8AAAAAAAAAAAAAAAAAlwQAAGRycy9kb3ducmV2LnhtbFBLBQYAAAAABAAEAPMAAACkBQAAAAA=&#10;" filled="f" strokecolor="#2f528f" strokeweight="1pt">
                <v:stroke joinstyle="miter"/>
                <v:textbox>
                  <w:txbxContent>
                    <w:p w14:paraId="0B3850A8"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Current understanding of dementia</w:t>
                      </w:r>
                    </w:p>
                  </w:txbxContent>
                </v:textbox>
              </v:oval>
            </w:pict>
          </mc:Fallback>
        </mc:AlternateContent>
      </w:r>
      <w:r>
        <w:rPr>
          <w:rFonts w:ascii="Times New Roman" w:hAnsi="Times New Roman"/>
          <w:noProof/>
          <w:szCs w:val="24"/>
        </w:rPr>
        <mc:AlternateContent>
          <mc:Choice Requires="wps">
            <w:drawing>
              <wp:anchor distT="0" distB="0" distL="114300" distR="114300" simplePos="0" relativeHeight="251797504" behindDoc="0" locked="0" layoutInCell="1" allowOverlap="1" wp14:anchorId="7A1D2990" wp14:editId="1FA5124E">
                <wp:simplePos x="0" y="0"/>
                <wp:positionH relativeFrom="column">
                  <wp:posOffset>1428750</wp:posOffset>
                </wp:positionH>
                <wp:positionV relativeFrom="paragraph">
                  <wp:posOffset>80010</wp:posOffset>
                </wp:positionV>
                <wp:extent cx="1857375" cy="1905000"/>
                <wp:effectExtent l="9525" t="9525" r="9525" b="9525"/>
                <wp:wrapNone/>
                <wp:docPr id="76" name="Oval 232" descr="P2836TB8#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7375" cy="1905000"/>
                        </a:xfrm>
                        <a:prstGeom prst="ellipse">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61AB7F1C" w14:textId="77777777" w:rsidR="007332FB" w:rsidRPr="005A4DF3" w:rsidRDefault="007332FB" w:rsidP="007332FB">
                            <w:pPr>
                              <w:jc w:val="center"/>
                              <w:rPr>
                                <w:rFonts w:ascii="Times New Roman" w:hAnsi="Times New Roman"/>
                                <w:b/>
                                <w:bCs/>
                                <w:color w:val="000000" w:themeColor="text1"/>
                              </w:rPr>
                            </w:pPr>
                            <w:r w:rsidRPr="005A4DF3">
                              <w:rPr>
                                <w:rFonts w:ascii="Times New Roman" w:hAnsi="Times New Roman"/>
                                <w:b/>
                                <w:bCs/>
                                <w:color w:val="000000" w:themeColor="text1"/>
                              </w:rPr>
                              <w:t>Previous cultural beliefs and understanding of dementia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A1D2990" id="Oval 232" o:spid="_x0000_s1061" alt="P2836TB8#y1" style="position:absolute;left:0;text-align:left;margin-left:112.5pt;margin-top:6.3pt;width:146.25pt;height:150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bPvPwIAAD8EAAAOAAAAZHJzL2Uyb0RvYy54bWysU9tu2zAMfR+wfxC059WXNE1q1Cm6dBkG&#10;dGuBdh+gyHIsTBY1SomTfv0ouemy7W3YiyCK5BHPIXl1ve8N2yn0GmzNi7OcM2UlNNpuav7tafV+&#10;zpkPwjbCgFU1PyjPrxdv31wNrlIldGAahYxArK8GV/MuBFdlmZed6oU/A6csOVvAXgQycZM1KAZC&#10;701W5vlFNgA2DkEq7+n1dnTyRcJvWyXDfdt6FZipOdUW0onpXMczW1yJaoPCdVq+lCH+oYpeaEuf&#10;vkLdiiDYFvVfUL2WCB7acCahz6BttVSJA7Ep8j/YPHbCqcSFxPHuVSb//2Dl190DMt3UfHbBmRU9&#10;9eh+JwwrJyVnjfKSxHoo55OLpw/zd4ciCjY4X1Heo3vASNm7O5DfPbOw7ITdqBtEGDolGiozxWe/&#10;JUTDUypbD1+goe/ENkDSbt9iHwFJFbZPLTq8tkjtA5P0WMyns8lsypkkX3GZT/M8NTET1THdoQ+f&#10;FPQsXmqujNHORxlFJXZ3PhADij5GxWcLK21MGgVj2UDA5YxgEzkwuoneZOBmvTTISJ+al6tpOV9F&#10;PQjNn4b1OtBMG93XfE7ljQWKKkry0TbpmyC0Ge+UbCxhHGUZ5Q379T51pSyPiq+hOZBqCOMM087R&#10;pQN85myg+a25/7EVqDgzny0pf1mcn8eBT8b5dFaSgaee9alHWElQNZcBORuNZRjXZOtQbzr6q0iC&#10;WLihfrU6yRiLHut6YUBTmvR42ai4Bqd2ivq194ufAAAA//8DAFBLAwQUAAYACAAAACEAgLEVGd8A&#10;AAAKAQAADwAAAGRycy9kb3ducmV2LnhtbEyPwU7DMBBE70j8g7VI3KjToJQqxKmgEsciEYpEb268&#10;jSPsdRS7beDr2Z7guDOj2TfVavJOnHCMfSAF81kGAqkNpqdOwfb95W4JIiZNRrtAqOAbI6zq66tK&#10;lyac6Q1PTeoEl1AstQKb0lBKGVuLXsdZGJDYO4TR68Tn2Ekz6jOXeyfzLFtIr3viD1YPuLbYfjVH&#10;r2BtbL9rmub1sP38GJ43P8Z3bqPU7c309Agi4ZT+wnDBZ3SomWkfjmSicAryvOAtiY18AYIDxfyh&#10;ALFXcH9RZF3J/xPqXwAAAP//AwBQSwECLQAUAAYACAAAACEAtoM4kv4AAADhAQAAEwAAAAAAAAAA&#10;AAAAAAAAAAAAW0NvbnRlbnRfVHlwZXNdLnhtbFBLAQItABQABgAIAAAAIQA4/SH/1gAAAJQBAAAL&#10;AAAAAAAAAAAAAAAAAC8BAABfcmVscy8ucmVsc1BLAQItABQABgAIAAAAIQCxmbPvPwIAAD8EAAAO&#10;AAAAAAAAAAAAAAAAAC4CAABkcnMvZTJvRG9jLnhtbFBLAQItABQABgAIAAAAIQCAsRUZ3wAAAAoB&#10;AAAPAAAAAAAAAAAAAAAAAJkEAABkcnMvZG93bnJldi54bWxQSwUGAAAAAAQABADzAAAApQUAAAAA&#10;" filled="f" strokecolor="#2f528f" strokeweight="1pt">
                <v:stroke joinstyle="miter"/>
                <v:textbox>
                  <w:txbxContent>
                    <w:p w14:paraId="61AB7F1C" w14:textId="77777777" w:rsidR="007332FB" w:rsidRPr="005A4DF3" w:rsidRDefault="007332FB" w:rsidP="007332FB">
                      <w:pPr>
                        <w:jc w:val="center"/>
                        <w:rPr>
                          <w:rFonts w:ascii="Times New Roman" w:hAnsi="Times New Roman"/>
                          <w:b/>
                          <w:bCs/>
                          <w:color w:val="000000" w:themeColor="text1"/>
                        </w:rPr>
                      </w:pPr>
                      <w:r w:rsidRPr="005A4DF3">
                        <w:rPr>
                          <w:rFonts w:ascii="Times New Roman" w:hAnsi="Times New Roman"/>
                          <w:b/>
                          <w:bCs/>
                          <w:color w:val="000000" w:themeColor="text1"/>
                        </w:rPr>
                        <w:t>Previous cultural beliefs and understanding of dementia</w:t>
                      </w:r>
                    </w:p>
                  </w:txbxContent>
                </v:textbox>
              </v:oval>
            </w:pict>
          </mc:Fallback>
        </mc:AlternateContent>
      </w:r>
    </w:p>
    <w:p w14:paraId="2AFD4FA7" w14:textId="42C12B36"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13888" behindDoc="0" locked="0" layoutInCell="1" allowOverlap="1" wp14:anchorId="252F3BAF" wp14:editId="194E808C">
                <wp:simplePos x="0" y="0"/>
                <wp:positionH relativeFrom="column">
                  <wp:posOffset>904875</wp:posOffset>
                </wp:positionH>
                <wp:positionV relativeFrom="paragraph">
                  <wp:posOffset>264795</wp:posOffset>
                </wp:positionV>
                <wp:extent cx="542925" cy="133350"/>
                <wp:effectExtent l="0" t="123825" r="0" b="114300"/>
                <wp:wrapNone/>
                <wp:docPr id="75" name="Arrow: Right 248" descr="P2837#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75332">
                          <a:off x="0" y="0"/>
                          <a:ext cx="542925" cy="133350"/>
                        </a:xfrm>
                        <a:prstGeom prst="rightArrow">
                          <a:avLst>
                            <a:gd name="adj1" fmla="val 50000"/>
                            <a:gd name="adj2" fmla="val 5000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3BD6112" id="Arrow: Right 248" o:spid="_x0000_s1026" type="#_x0000_t13" alt="P2843#y1" style="position:absolute;margin-left:71.25pt;margin-top:20.85pt;width:42.75pt;height:10.5pt;rotation:2048363fd;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pgWQIAAJEEAAAOAAAAZHJzL2Uyb0RvYy54bWysVNuO0zAQfUfiHyzzTNOkDe1GTVerLkVI&#10;C1QsfIBrO4nBN2y3afl6xk62lOUN0Qcr47HPnDnH09XtSUl05M4Lo2ucT6YYcU0NE7qt8dcv29dL&#10;jHwgmhFpNK/xmXt8u375YtXbihemM5JxhwBE+6q3Ne5CsFWWedpxRfzEWK4h2RinSIDQtRlzpAd0&#10;JbNiOn2T9cYx6wzl3sPu/ZDE64TfNJyGT03jeUCyxsAtpNWldR/XbL0iVeuI7QQdaZB/YKGI0FD0&#10;AnVPAkEHJ/6CUoI6400TJtSozDSNoDz1AN3k02fdPHbE8tQLiOPtRSb//2Dpx+POIcFqvCgx0kSB&#10;R3fOmb5Cn0XbBVTMwUHGPQXRdsVyPnt1zqNqvfUVXH60Oxf79vbB0O8eabPpiG55wug4YcA1nc/+&#10;uBADD1fRvv9gGNQkh2CSgKfGKeQMGJUvF+VsVqRdEAqdkmvni2v8FBCFzXJe3BRAnkIqn81mZXI1&#10;I1WEitys8+EdNwrFjxq72Ffil6DJ8cGHZB0b+yfsW45RoyS8hCORqJzCb3wpV2eK52cW8QzUHRHh&#10;66lyhNdmK6RM701q1APXYgGwSTwjBYvZFLh2v5EOQeUaF9uyWG5HXH99TIkAgyOFqvEy8hsJRsnf&#10;apbKBCLk8A1UpAZuT7IP9u0NO4MFSWyYDZhiUKcz7idGPUxEjf2PA3EcI/leg403+XweRygF83JR&#10;QOCuM/vrDNEUoGpMg8NoCDZhGLyDTRbEhzEIcwfmNyJE9SLDgdcYwLtPoo4zGgfrOk6nfv+TrH8B&#10;AAD//wMAUEsDBBQABgAIAAAAIQC+b46M3gAAAAkBAAAPAAAAZHJzL2Rvd25yZXYueG1sTI/LTsMw&#10;EEX3SPyDNUjsqNOoNFUapyI8hGDXgtStGw95EI+j2GnSv2dYwfJqju6cm+1m24kzDr5xpGC5iEAg&#10;lc40VCn4/Hi524DwQZPRnSNUcEEPu/z6KtOpcRPt8XwIleAS8qlWUIfQp1L6skar/cL1SHz7coPV&#10;geNQSTPoicttJ+MoWkurG+IPte7xscby+zBaBaV+L8LbPrkUxx6f26epHV+LVqnbm/lhCyLgHP5g&#10;+NVndcjZ6eRGMl50nFfxPaMKVssEBANxvOFxJwXrOAGZZ/L/gvwHAAD//wMAUEsBAi0AFAAGAAgA&#10;AAAhALaDOJL+AAAA4QEAABMAAAAAAAAAAAAAAAAAAAAAAFtDb250ZW50X1R5cGVzXS54bWxQSwEC&#10;LQAUAAYACAAAACEAOP0h/9YAAACUAQAACwAAAAAAAAAAAAAAAAAvAQAAX3JlbHMvLnJlbHNQSwEC&#10;LQAUAAYACAAAACEAI8QaYFkCAACRBAAADgAAAAAAAAAAAAAAAAAuAgAAZHJzL2Uyb0RvYy54bWxQ&#10;SwECLQAUAAYACAAAACEAvm+OjN4AAAAJAQAADwAAAAAAAAAAAAAAAACzBAAAZHJzL2Rvd25yZXYu&#10;eG1sUEsFBgAAAAAEAAQA8wAAAL4FAAAAAA==&#10;" adj="18947" filled="f" strokecolor="#2f528f" strokeweight="1pt"/>
            </w:pict>
          </mc:Fallback>
        </mc:AlternateContent>
      </w:r>
    </w:p>
    <w:p w14:paraId="52E57922" w14:textId="6C27B116"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05696" behindDoc="0" locked="0" layoutInCell="1" allowOverlap="1" wp14:anchorId="66C4B074" wp14:editId="73A63706">
                <wp:simplePos x="0" y="0"/>
                <wp:positionH relativeFrom="column">
                  <wp:posOffset>5810250</wp:posOffset>
                </wp:positionH>
                <wp:positionV relativeFrom="paragraph">
                  <wp:posOffset>201930</wp:posOffset>
                </wp:positionV>
                <wp:extent cx="123825" cy="914400"/>
                <wp:effectExtent l="28575" t="19050" r="28575" b="9525"/>
                <wp:wrapNone/>
                <wp:docPr id="71" name="Arrow: Up 240" descr="P2838#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914400"/>
                        </a:xfrm>
                        <a:prstGeom prst="upArrow">
                          <a:avLst>
                            <a:gd name="adj1" fmla="val 50000"/>
                            <a:gd name="adj2" fmla="val 5001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7B496A5" id="Arrow: Up 240" o:spid="_x0000_s1026" type="#_x0000_t68" alt="P2844#y3" style="position:absolute;margin-left:457.5pt;margin-top:15.9pt;width:9.75pt;height:1in;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D9VSgIAAH0EAAAOAAAAZHJzL2Uyb0RvYy54bWysVNtuEzEQfUfiHyzzTDa7TUhYdVNVKUFI&#10;BSqVfoBje7MG3xg72YSvZ+zdlrS8IfJgeXbGZ86cmcnl1dFocpAQlLMNLSdTSqTlTii7a+jDt83b&#10;JSUhMiuYdlY29CQDvVq9fnXZ+1pWrnNaSCAIYkPd+4Z2Mfq6KALvpGFh4ry06GwdGBbRhF0hgPWI&#10;bnRRTafvit6B8OC4DAG/3gxOusr4bSt5/Nq2QUaiG4rcYj4hn9t0FqtLVu+A+U7xkQb7BxaGKYtJ&#10;n6BuWGRkD+ovKKM4uODaOOHOFK5tFZe5BqymnL6o5r5jXuZaUJzgn2QK/w+WfzncAVGioYuSEssM&#10;9ugawPU1efCkmqFmQgaOit1Vy9nszekiSdb7UOPLe38Hqejgbx3/EYh1647ZncwAnWQCiZYpvnj2&#10;IBkBn5Jt/9kJTMj20WX1ji2YBIi6kGNu0umpSfIYCcePZXWxrOaUcHS9L2ezaW5iwerHxx5C/Cid&#10;IenS0L3PdDI+O9yGmNskxlqZ+I51t0Zj1w9Mk/kUf+NUnMVUL2LKRS6L1SMipn9Mm+Ct2yit82xp&#10;S/pEeoGwWSunlUjebMBuu9ZAMHNDq828Wm5G3HAeZlTEJdHKNHSZ+I0Ek8IfrMhpIlN6uCMVbUfJ&#10;k8pDt7ZOnFBxcMMG4MbipXPwi5Iep7+h4eeegaREf7LYtSwsrks2ZvNFhXMA557tuYdZjlAN5REo&#10;GYx1HJZs70HtOsxV5uqtu8Zetyo+DsXAa6SLM463Z0t0bueoP/8aq98AAAD//wMAUEsDBBQABgAI&#10;AAAAIQCsdpZf3QAAAAoBAAAPAAAAZHJzL2Rvd25yZXYueG1sTI9BT4NAEIXvJv6HzZh4swulKKUs&#10;jdHotSnW+8JOgcjOEnZL8d87nvQ4mZf3vq/YL3YQM06+d6QgXkUgkBpnemoVnD7eHjIQPmgyenCE&#10;Cr7Rw768vSl0btyVjjhXoRVcQj7XCroQxlxK33RotV+5EYl/ZzdZHficWmkmfeVyO8h1FD1Kq3vi&#10;hU6P+NJh81VdrILDuGmwrd5P0zqtk8/X6JDJalbq/m553oEIuIS/MPziMzqUzFS7CxkvBgXbOGWX&#10;oCCJWYED22STgqg5+ZRmIMtC/lcofwAAAP//AwBQSwECLQAUAAYACAAAACEAtoM4kv4AAADhAQAA&#10;EwAAAAAAAAAAAAAAAAAAAAAAW0NvbnRlbnRfVHlwZXNdLnhtbFBLAQItABQABgAIAAAAIQA4/SH/&#10;1gAAAJQBAAALAAAAAAAAAAAAAAAAAC8BAABfcmVscy8ucmVsc1BLAQItABQABgAIAAAAIQC7ZD9V&#10;SgIAAH0EAAAOAAAAAAAAAAAAAAAAAC4CAABkcnMvZTJvRG9jLnhtbFBLAQItABQABgAIAAAAIQCs&#10;dpZf3QAAAAoBAAAPAAAAAAAAAAAAAAAAAKQEAABkcnMvZG93bnJldi54bWxQSwUGAAAAAAQABADz&#10;AAAArgUAAAAA&#10;" adj="1463" filled="f" strokecolor="#2f528f" strokeweight="1pt"/>
            </w:pict>
          </mc:Fallback>
        </mc:AlternateContent>
      </w:r>
      <w:r>
        <w:rPr>
          <w:rFonts w:ascii="Times New Roman" w:hAnsi="Times New Roman"/>
          <w:noProof/>
          <w:szCs w:val="24"/>
        </w:rPr>
        <mc:AlternateContent>
          <mc:Choice Requires="wps">
            <w:drawing>
              <wp:anchor distT="0" distB="0" distL="114300" distR="114300" simplePos="0" relativeHeight="251801600" behindDoc="0" locked="0" layoutInCell="1" allowOverlap="1" wp14:anchorId="430FA56E" wp14:editId="4A99DBE9">
                <wp:simplePos x="0" y="0"/>
                <wp:positionH relativeFrom="column">
                  <wp:posOffset>3343275</wp:posOffset>
                </wp:positionH>
                <wp:positionV relativeFrom="paragraph">
                  <wp:posOffset>97155</wp:posOffset>
                </wp:positionV>
                <wp:extent cx="542925" cy="133350"/>
                <wp:effectExtent l="9525" t="28575" r="19050" b="28575"/>
                <wp:wrapNone/>
                <wp:docPr id="64" name="Arrow: Right 236" descr="P2838#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33350"/>
                        </a:xfrm>
                        <a:prstGeom prst="rightArrow">
                          <a:avLst>
                            <a:gd name="adj1" fmla="val 50000"/>
                            <a:gd name="adj2" fmla="val 5000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E2269BA" id="Arrow: Right 236" o:spid="_x0000_s1026" type="#_x0000_t13" alt="P2844#y2" style="position:absolute;margin-left:263.25pt;margin-top:7.65pt;width:42.75pt;height:10.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pzYTQIAAIMEAAAOAAAAZHJzL2Uyb0RvYy54bWysVNtuEzEQfUfiHyzzTDfZbNp01U1VtQQh&#10;FagofIBje7MG3xg72YSvZ+zdlLS8IfJgeXbGZ86cmcnV9d5ospMQlLMNnZ5NKJGWO6HspqHfvq7e&#10;LigJkVnBtLOyoQcZ6PXy9aur3teydJ3TQgJBEBvq3je0i9HXRRF4Jw0LZ85Li87WgWERTdgUAliP&#10;6EYX5WRyXvQOhAfHZQj49W5w0mXGb1vJ4+e2DTIS3VDkFvMJ+Vyns1hesXoDzHeKjzTYP7AwTFlM&#10;+gR1xyIjW1B/QRnFwQXXxjPuTOHaVnGZa8BqppMX1Tx2zMtcC4oT/JNM4f/B8k+7ByBKNPS8osQy&#10;gz26AXB9Tb6oTRdJOTunRMjAUbSHclFVbw5lUq33ocbHj/4BUt3B3zv+IxDrbjtmNzJjdJIJ5DpN&#10;8cWzB8kI+JSs+49OYE62jS4LuG/BJECUhuxznw5PfZL7SDh+nFflZTmnhKNrOpvN5rmPBauPjz2E&#10;+F46Q9KloZAqyYxyCra7DzE3S4wVM/F9SklrNPZ+xzSZT/A3zsZJTPky5iJXxuoRERkcMyd461ZK&#10;6zxh2pIeuZYXCJvlclqJ5M0GbNa3Gghmbmi5mpeL1YgbTsOMirgqWpmGLhK/kWAS+Z0VOU1kSg93&#10;pKLtqHoSemjY2okDig5u2APcW7x0Dn5R0uMONDT83DKQlOgPFht3Oa2qtDTZqOYXJRpw6lmfepjl&#10;CNVQHoGSwbiNw6ptfW5BGoVBmBtsd6vicS4GXiNdnHS8PVulUztH/fnvWP4GAAD//wMAUEsDBBQA&#10;BgAIAAAAIQCk/r6C3wAAAAkBAAAPAAAAZHJzL2Rvd25yZXYueG1sTI9NS8NAEIbvgv9hmYI3u/kg&#10;QWI2pYhS0JOtKN422TFJm52N2W0b/fWOJz0O78M7z1uuZjuIE06+d6QgXkYgkBpnemoVvOwerm9A&#10;+KDJ6MERKvhCD6vq8qLUhXFnesbTNrSCS8gXWkEXwlhI6ZsOrfZLNyJx9uEmqwOfUyvNpM9cbgeZ&#10;RFEure6JP3R6xLsOm8P2aBX479bG8hE3r/fv/onqz81ub96UulrM61sQAefwB8OvPqtDxU61O5Lx&#10;YlCQJXnGKAdZCoKBPE54XK0gzVOQVSn/L6h+AAAA//8DAFBLAQItABQABgAIAAAAIQC2gziS/gAA&#10;AOEBAAATAAAAAAAAAAAAAAAAAAAAAABbQ29udGVudF9UeXBlc10ueG1sUEsBAi0AFAAGAAgAAAAh&#10;ADj9If/WAAAAlAEAAAsAAAAAAAAAAAAAAAAALwEAAF9yZWxzLy5yZWxzUEsBAi0AFAAGAAgAAAAh&#10;ALGOnNhNAgAAgwQAAA4AAAAAAAAAAAAAAAAALgIAAGRycy9lMm9Eb2MueG1sUEsBAi0AFAAGAAgA&#10;AAAhAKT+voLfAAAACQEAAA8AAAAAAAAAAAAAAAAApwQAAGRycy9kb3ducmV2LnhtbFBLBQYAAAAA&#10;BAAEAPMAAACzBQAAAAA=&#10;" adj="18947" filled="f" strokecolor="#2f528f" strokeweight="1pt"/>
            </w:pict>
          </mc:Fallback>
        </mc:AlternateContent>
      </w:r>
      <w:r>
        <w:rPr>
          <w:rFonts w:ascii="Times New Roman" w:hAnsi="Times New Roman"/>
          <w:noProof/>
          <w:szCs w:val="24"/>
        </w:rPr>
        <mc:AlternateContent>
          <mc:Choice Requires="wps">
            <w:drawing>
              <wp:anchor distT="0" distB="0" distL="114300" distR="114300" simplePos="0" relativeHeight="251800576" behindDoc="0" locked="0" layoutInCell="1" allowOverlap="1" wp14:anchorId="28417EDD" wp14:editId="0B9667DE">
                <wp:simplePos x="0" y="0"/>
                <wp:positionH relativeFrom="column">
                  <wp:posOffset>5629275</wp:posOffset>
                </wp:positionH>
                <wp:positionV relativeFrom="paragraph">
                  <wp:posOffset>87630</wp:posOffset>
                </wp:positionV>
                <wp:extent cx="514350" cy="133350"/>
                <wp:effectExtent l="9525" t="28575" r="19050" b="28575"/>
                <wp:wrapNone/>
                <wp:docPr id="60" name="Arrow: Right 235" descr="P2838#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133350"/>
                        </a:xfrm>
                        <a:prstGeom prst="rightArrow">
                          <a:avLst>
                            <a:gd name="adj1" fmla="val 50000"/>
                            <a:gd name="adj2" fmla="val 50000"/>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9CB8687" id="Arrow: Right 235" o:spid="_x0000_s1026" type="#_x0000_t13" alt="P2844#y1" style="position:absolute;margin-left:443.25pt;margin-top:6.9pt;width:40.5pt;height:10.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YOVTAIAAIMEAAAOAAAAZHJzL2Uyb0RvYy54bWysVNuO0zAQfUfiHyzzTNOk7W6JNl2tuhQh&#10;LbBi4QNc22kMvjF2m5avZ+xkl3J5QvTB8mTsM2fO8fTq+mg0OUgIytmGlpMpJdJyJ5TdNfTzp83L&#10;JSUhMiuYdlY29CQDvV49f3bV+1pWrnNaSCAIYkPd+4Z2Mfq6KALvpGFh4ry0mGwdGBYxhF0hgPWI&#10;bnRRTacXRe9AeHBchoBfb4ckXWX8tpU8fmjbICPRDUVuMa+Q121ai9UVq3fAfKf4SIP9AwvDlMWi&#10;T1C3LDKyB/UHlFEcXHBtnHBnCte2isvcA3ZTTn/r5qFjXuZeUJzgn2QK/w+Wvz/cA1GioRcoj2UG&#10;PboBcH1NPqpdF0k1W1AiZOAo2n21nM9fnMqkWu9DjZcf/D2kvoO/c/xrINatO2Z3MmN0kgnkms8X&#10;v1xIQcCrZNu/cwJrsn10WcBjCyYBojTkmH06Pfkkj5Fw/Lgo57MF0uWYKmeztEdGBasfL3sI8Y10&#10;hqRNQyF1khnlEuxwF2I2S4wdM/GlpKQ1Gr0/ME0WU/yNb+PsTPXXM1h3RMTdY+UEb91GaZ1fmLak&#10;R67VJcJmuZxWImVzALvtWgPByg2tNotquRn7CefHjIo4KlqZhi4Tv5FgEvm1FblMZEoPe6SiLWry&#10;KPRg2NaJE4oObpgDnFvcdA6+U9LjDDQ0fNszkJTotxaNe1XO52locjBfXFYYwHlme55hliNUQ3kE&#10;SoZgHYdR2/tsQXoKgzA3aHerYnItMRx4jQG+9GzmOJVplM7jfOrnf8fqBwAAAP//AwBQSwMEFAAG&#10;AAgAAAAhAGpkKb3dAAAACQEAAA8AAABkcnMvZG93bnJldi54bWxMj8FOwzAQRO9I/IO1SNyoA4WQ&#10;hjhVVSj3FqTCzY23cSBeh9htzd+znOC4M0+zM9U8uV4ccQydJwXXkwwEUuNNR62C15fVVQEiRE1G&#10;955QwTcGmNfnZ5UujT/RGo+b2AoOoVBqBTbGoZQyNBadDhM/ILG396PTkc+xlWbUJw53vbzJslw6&#10;3RF/sHrApcXmc3NwClJ8XK6et+ktPc0+wsJu11/796TU5UVaPICImOIfDL/1uTrU3GnnD2SC6BUU&#10;RX7HKBtTnsDALL9nYadgeluArCv5f0H9AwAA//8DAFBLAQItABQABgAIAAAAIQC2gziS/gAAAOEB&#10;AAATAAAAAAAAAAAAAAAAAAAAAABbQ29udGVudF9UeXBlc10ueG1sUEsBAi0AFAAGAAgAAAAhADj9&#10;If/WAAAAlAEAAAsAAAAAAAAAAAAAAAAALwEAAF9yZWxzLy5yZWxzUEsBAi0AFAAGAAgAAAAhABch&#10;g5VMAgAAgwQAAA4AAAAAAAAAAAAAAAAALgIAAGRycy9lMm9Eb2MueG1sUEsBAi0AFAAGAAgAAAAh&#10;AGpkKb3dAAAACQEAAA8AAAAAAAAAAAAAAAAApgQAAGRycy9kb3ducmV2LnhtbFBLBQYAAAAABAAE&#10;APMAAACwBQAAAAA=&#10;" adj="18800" filled="f" strokecolor="#2f528f" strokeweight="1pt"/>
            </w:pict>
          </mc:Fallback>
        </mc:AlternateContent>
      </w:r>
    </w:p>
    <w:p w14:paraId="4864E16C" w14:textId="7B3995B0"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11840" behindDoc="0" locked="0" layoutInCell="1" allowOverlap="1" wp14:anchorId="249D5B28" wp14:editId="241B6A8B">
                <wp:simplePos x="0" y="0"/>
                <wp:positionH relativeFrom="column">
                  <wp:posOffset>780415</wp:posOffset>
                </wp:positionH>
                <wp:positionV relativeFrom="paragraph">
                  <wp:posOffset>106680</wp:posOffset>
                </wp:positionV>
                <wp:extent cx="707390" cy="180975"/>
                <wp:effectExtent l="8890" t="120015" r="0" b="118110"/>
                <wp:wrapNone/>
                <wp:docPr id="55" name="Arrow: Right 246" descr="P283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89989">
                          <a:off x="0" y="0"/>
                          <a:ext cx="707390" cy="180975"/>
                        </a:xfrm>
                        <a:prstGeom prst="rightArrow">
                          <a:avLst>
                            <a:gd name="adj1" fmla="val 50000"/>
                            <a:gd name="adj2" fmla="val 50126"/>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4975A85" id="Arrow: Right 246" o:spid="_x0000_s1026" type="#_x0000_t13" alt="P2845#y1" style="position:absolute;margin-left:61.45pt;margin-top:8.4pt;width:55.7pt;height:14.25pt;rotation:-1627465fd;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gCFXAIAAJIEAAAOAAAAZHJzL2Uyb0RvYy54bWysVNtuEzEQfUfiHyzz3O6FbLNZZVNVKUFI&#10;BSoKH+DY3qzBN2wnm/TrGXu3JYU3RB6sHY995sw5niyvj0qiA3deGN3i4jLHiGtqmNC7Fn/7urmo&#10;MfKBaEak0bzFJ+7x9er1q+VgG16a3kjGHQIQ7ZvBtrgPwTZZ5mnPFfGXxnINyc44RQKEbpcxRwZA&#10;VzIr8/wqG4xj1hnKvYfd2zGJVwm/6zgNn7vO84Bki4FbSKtL6zau2WpJmp0jthd0okH+gYUiQkPR&#10;Z6hbEgjaO/EXlBLUGW+6cEmNykzXCcpTD9BNkf/RzUNPLE+9gDjePsvk/x8s/XS4d0iwFlcVRpoo&#10;8OjGOTM06IvY9QGVsyuMGPcURLsv61n15lRE1QbrG7j8YO9d7NvbO0N/eKTNuid6xxNGzwkDrul8&#10;9uJCDDxcRdvho2FQk+yDSQIeO6eQM2DURTGrF4t6kbZBKXRMtp2ebePHgChszvP52wWYSyFV1Pli&#10;XkWCGWkiViRnnQ/vuVEofrTYxcYSwQRNDnc+JO/YJABh3wuMOiXhKRyIRFUOv+mpnJ0pX54pyqup&#10;7oQIDJ4qR3htNkLK9OCkRgNwLecAm9QzUrCYTYHbbdfSIajc4nJTlfVmwvXnx5QIMDlSqBbXkd9E&#10;MGr+TrNUJhAhx2+gIjVo8qT76N/WsBN4kNQG/WCMQZ3euEeMBhiJFvufe+I4RvKDBh8XxWwWZygF&#10;s2peQuDOM9vzDNEUoFpMg8NoDNZhnLy9TRbElzEKcwPudyJE1yLDkdcUwMNPZk5DGifrPE6nfv+V&#10;rH4BAAD//wMAUEsDBBQABgAIAAAAIQD/QI8H3wAAAAkBAAAPAAAAZHJzL2Rvd25yZXYueG1sTI/P&#10;ToNAEMbvJr7DZkx6MXYRaqPI0jStJh7sweIDLOwIKDtL2W1Bn77jSW/zZX75/mSryXbihINvHSm4&#10;nUcgkCpnWqoVvBfPN/cgfNBkdOcIFXyjh1V+eZHp1LiR3vC0D7VgE/KpVtCE0KdS+qpBq/3c9Uj8&#10;+3CD1YHlUEsz6JHNbSfjKFpKq1vihEb3uGmw+tofrYKn8XrzSWV12PWHH//yGhV+ty2Uml1N60cQ&#10;AafwB8Nvfa4OOXcq3ZGMFx3rOH5glI8lT2AgThYJiFLB4i4BmWfy/4L8DAAA//8DAFBLAQItABQA&#10;BgAIAAAAIQC2gziS/gAAAOEBAAATAAAAAAAAAAAAAAAAAAAAAABbQ29udGVudF9UeXBlc10ueG1s&#10;UEsBAi0AFAAGAAgAAAAhADj9If/WAAAAlAEAAAsAAAAAAAAAAAAAAAAALwEAAF9yZWxzLy5yZWxz&#10;UEsBAi0AFAAGAAgAAAAhAIieAIVcAgAAkgQAAA4AAAAAAAAAAAAAAAAALgIAAGRycy9lMm9Eb2Mu&#10;eG1sUEsBAi0AFAAGAAgAAAAhAP9AjwffAAAACQEAAA8AAAAAAAAAAAAAAAAAtgQAAGRycy9kb3du&#10;cmV2LnhtbFBLBQYAAAAABAAEAPMAAADCBQAAAAA=&#10;" adj="18830" filled="f" strokecolor="#2f528f" strokeweight="1pt"/>
            </w:pict>
          </mc:Fallback>
        </mc:AlternateContent>
      </w:r>
      <w:r>
        <w:rPr>
          <w:rFonts w:ascii="Times New Roman" w:hAnsi="Times New Roman"/>
          <w:noProof/>
          <w:szCs w:val="24"/>
        </w:rPr>
        <mc:AlternateContent>
          <mc:Choice Requires="wps">
            <w:drawing>
              <wp:anchor distT="0" distB="0" distL="114300" distR="114300" simplePos="0" relativeHeight="251810816" behindDoc="0" locked="0" layoutInCell="1" allowOverlap="1" wp14:anchorId="0A2AB686" wp14:editId="1ABBECC4">
                <wp:simplePos x="0" y="0"/>
                <wp:positionH relativeFrom="column">
                  <wp:posOffset>-333375</wp:posOffset>
                </wp:positionH>
                <wp:positionV relativeFrom="paragraph">
                  <wp:posOffset>110490</wp:posOffset>
                </wp:positionV>
                <wp:extent cx="1104900" cy="552450"/>
                <wp:effectExtent l="9525" t="9525" r="9525" b="9525"/>
                <wp:wrapNone/>
                <wp:docPr id="52" name="Rectangle 245" descr="P2839TB21#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552450"/>
                        </a:xfrm>
                        <a:prstGeom prst="rect">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3F0C4020"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Informal care experiences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A2AB686" id="Rectangle 245" o:spid="_x0000_s1062" alt="P2839TB21#y1" style="position:absolute;left:0;text-align:left;margin-left:-26.25pt;margin-top:8.7pt;width:87pt;height:43.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6IkPAIAAEEEAAAOAAAAZHJzL2Uyb0RvYy54bWysU19vEzEMf0fiO0Thmd2ftayrdp3GRhHS&#10;gIqND5DL5XoRuTg4aa/l0+Pk2lLgDZGHKI7tn+2f7ZvbXW/YVqHXYCteXOScKSuh0XZd8a/Py9cz&#10;znwQthEGrKr4Xnl+u3j54mZwc1VCB6ZRyAjE+vngKt6F4OZZ5mWneuEvwClLyhawF4FEXGcNioHQ&#10;e5OVef4mGwAbhyCV9/T7MCr5IuG3rZLhc9t6FZipOOUW0o3pruOdLW7EfI3CdVoe0hD/kEUvtKWg&#10;J6gHEQTboP4LqtcSwUMbLiT0GbStlirVQNUU+R/VPHXCqVQLkePdiSb//2Dlp+0KmW4qPi05s6Kn&#10;Hn0h1oRdG8XKyZSzRnlJjK3K2eX189uyeLUvIm2D83PyfnIrjIV79wjym2cW7jtyVneIMHRKNJRs&#10;ss9+c4iCJ1dWDx+hoaBiEyAxuGuxj4DEDdulRu1PjVK7wCR9FkU+uc6pn5J00ymlmTqZifnR26EP&#10;7xX0LD4qjlRSQhfbRx8oezI9msRgFpbamDQMxrKBIpRXhJ8KA6ObqE0Crut7g2wraJ7K5bScLSMX&#10;hObPzXodaKqN7is+y+MZ5yzS8c42KUwQ2oxvcjaWMI6UjNSGXb1LfSkvj2zX0OyJMYRximnr6NEB&#10;/uBsoAmuuP++Eag4Mx8ssX5dTCZx5JMwmV6VJOC5pj7XCCsJquIyIGejcB/GRdk41OuOYhWJEAt3&#10;1KtWJxpj0mNehwpoThMfh52Ki3AuJ6tfm7/4CQAA//8DAFBLAwQUAAYACAAAACEA0z1Gk98AAAAK&#10;AQAADwAAAGRycy9kb3ducmV2LnhtbEyPQU/DMAyF70j8h8hIXNCWtnSAStMJMRBwgzFp16zxmkLj&#10;VE26lX+Pd4Kb7ff0/L1yOblOHHAIrScF6TwBgVR701KjYPP5PLsDEaImoztPqOAHAyyr87NSF8Yf&#10;6QMP69gIDqFQaAU2xr6QMtQWnQ5z3yOxtveD05HXoZFm0EcOd53MkuRGOt0Sf7C6x0eL9fd6dApe&#10;aLVdXe+vRvv2tc3fn9Jsk706pS4vpod7EBGn+GeGEz6jQ8VMOz+SCaJTMFtkC7aycJuDOBmylA87&#10;HpI8B1mV8n+F6hcAAP//AwBQSwECLQAUAAYACAAAACEAtoM4kv4AAADhAQAAEwAAAAAAAAAAAAAA&#10;AAAAAAAAW0NvbnRlbnRfVHlwZXNdLnhtbFBLAQItABQABgAIAAAAIQA4/SH/1gAAAJQBAAALAAAA&#10;AAAAAAAAAAAAAC8BAABfcmVscy8ucmVsc1BLAQItABQABgAIAAAAIQCCv6IkPAIAAEEEAAAOAAAA&#10;AAAAAAAAAAAAAC4CAABkcnMvZTJvRG9jLnhtbFBLAQItABQABgAIAAAAIQDTPUaT3wAAAAoBAAAP&#10;AAAAAAAAAAAAAAAAAJYEAABkcnMvZG93bnJldi54bWxQSwUGAAAAAAQABADzAAAAogUAAAAA&#10;" filled="f" strokecolor="#2f528f" strokeweight="1pt">
                <v:textbox>
                  <w:txbxContent>
                    <w:p w14:paraId="3F0C4020"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Informal care experiences</w:t>
                      </w:r>
                    </w:p>
                  </w:txbxContent>
                </v:textbox>
              </v:rect>
            </w:pict>
          </mc:Fallback>
        </mc:AlternateContent>
      </w:r>
    </w:p>
    <w:p w14:paraId="6128BE6E" w14:textId="5F2B106B"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12864" behindDoc="0" locked="0" layoutInCell="1" allowOverlap="1" wp14:anchorId="0D09E156" wp14:editId="4AD3277E">
                <wp:simplePos x="0" y="0"/>
                <wp:positionH relativeFrom="column">
                  <wp:posOffset>1223010</wp:posOffset>
                </wp:positionH>
                <wp:positionV relativeFrom="paragraph">
                  <wp:posOffset>217805</wp:posOffset>
                </wp:positionV>
                <wp:extent cx="542925" cy="133350"/>
                <wp:effectExtent l="142240" t="0" r="133985" b="0"/>
                <wp:wrapNone/>
                <wp:docPr id="50" name="Arrow: Right 247" descr="P284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40838">
                          <a:off x="0" y="0"/>
                          <a:ext cx="542925" cy="133350"/>
                        </a:xfrm>
                        <a:prstGeom prst="rightArrow">
                          <a:avLst>
                            <a:gd name="adj1" fmla="val 50000"/>
                            <a:gd name="adj2" fmla="val 5000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1379229" id="Arrow: Right 247" o:spid="_x0000_s1026" type="#_x0000_t13" alt="P2846#y1" style="position:absolute;margin-left:96.3pt;margin-top:17.15pt;width:42.75pt;height:10.5pt;rotation:-3430633fd;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SWwIAAJIEAAAOAAAAZHJzL2Uyb0RvYy54bWysVF1v0zAUfUfiP1jmeUuTpmsWNZ2mjiKk&#10;ARWDH+DaTmPwF7bbtPx6rp2slPGG6IOV62ufe+45vl3cHZVEB+68MLrB+fUEI66pYULvGvz1y/qq&#10;wsgHohmRRvMGn7jHd8vXrxa9rXlhOiMZdwhAtK972+AuBFtnmacdV8RfG8s1JFvjFAkQul3GHOkB&#10;XcmsmExust44Zp2h3HvYfRiSeJnw25bT8KltPQ9INhi4hbS6tG7jmi0XpN45YjtBRxrkH1goIjQU&#10;PUM9kEDQ3om/oJSgznjThmtqVGbaVlCeeoBu8smLbp46YnnqBcTx9iyT/3+w9ONh45BgDZ6BPJoo&#10;8OjeOdPX6LPYdQEV5Rwjxj0F0TZFVd68OeVRtd76Gi4/2Y2LfXv7aOh3j7RZdUTveMLoOGHANZ3P&#10;/rgQAw9X0bb/YBjUJPtgkoDH1inkDBh1Nc3LSTWt0jYohY7JttPZNn4MiMLmrCxuixlGFFL5dDqF&#10;ToBgRuqIFclZ58M7bhSKHw12sbFEMEGTw6MPyTs2CkDYtxyjVkl4Cgci0WwCv/GpXJwpXp6Zj3VH&#10;RGDwXDnCa7MWUqYHJzXqgWsxB9iknpGCxWwK3G67kg5B5QYX61lRrUdcf3lMiQCTI4VqcBX5jQSj&#10;5m81S2UCEXL4BipSgybPug/+bQ07gQdJbXAfxhjU6Yz7iVEPI9Fg/2NPHMdIvtfg421elnGGUlDO&#10;5gUE7jKzvcwQTQGqwTQ4jIZgFYbJ29tkQXwZgzD34H4rQnQtMhx4jQE8/GTmOKRxsi7jdOr3X8ny&#10;FwAAAP//AwBQSwMEFAAGAAgAAAAhAHiVr5TcAAAACAEAAA8AAABkcnMvZG93bnJldi54bWxMj81O&#10;wzAQhO9IvIO1SNyog9VCG+JUFahHVFpoz268SSz8E9luG3h6lhPcdjSj2W+q5egsO2NMJngJ95MC&#10;GPomaOM7CR/v67s5sJSV18oGjxK+MMGyvr6qVKnDxW/xvMsdoxKfSiWhz3koOU9Nj06lSRjQk9eG&#10;6FQmGTuuo7pQubNcFMUDd8p4+tCrAZ97bD53Jychhe+NiXazMov2DV/W5vDa7oWUtzfj6glYxjH/&#10;heEXn9ChJqZjOHmdmJUgxHRBUTpoEvliOiN9lDB/nAGvK/5/QP0DAAD//wMAUEsBAi0AFAAGAAgA&#10;AAAhALaDOJL+AAAA4QEAABMAAAAAAAAAAAAAAAAAAAAAAFtDb250ZW50X1R5cGVzXS54bWxQSwEC&#10;LQAUAAYACAAAACEAOP0h/9YAAACUAQAACwAAAAAAAAAAAAAAAAAvAQAAX3JlbHMvLnJlbHNQSwEC&#10;LQAUAAYACAAAACEAzfvuUlsCAACSBAAADgAAAAAAAAAAAAAAAAAuAgAAZHJzL2Uyb0RvYy54bWxQ&#10;SwECLQAUAAYACAAAACEAeJWvlNwAAAAIAQAADwAAAAAAAAAAAAAAAAC1BAAAZHJzL2Rvd25yZXYu&#10;eG1sUEsFBgAAAAAEAAQA8wAAAL4FAAAAAA==&#10;" adj="18947" filled="f" strokecolor="#2f528f" strokeweight="1pt"/>
            </w:pict>
          </mc:Fallback>
        </mc:AlternateContent>
      </w:r>
      <w:r>
        <w:rPr>
          <w:rFonts w:ascii="Times New Roman" w:hAnsi="Times New Roman"/>
          <w:noProof/>
          <w:szCs w:val="24"/>
        </w:rPr>
        <mc:AlternateContent>
          <mc:Choice Requires="wps">
            <w:drawing>
              <wp:anchor distT="0" distB="0" distL="114300" distR="114300" simplePos="0" relativeHeight="251804672" behindDoc="0" locked="0" layoutInCell="1" allowOverlap="1" wp14:anchorId="3F9B0C8F" wp14:editId="3676D80C">
                <wp:simplePos x="0" y="0"/>
                <wp:positionH relativeFrom="column">
                  <wp:posOffset>5286375</wp:posOffset>
                </wp:positionH>
                <wp:positionV relativeFrom="paragraph">
                  <wp:posOffset>314325</wp:posOffset>
                </wp:positionV>
                <wp:extent cx="1247775" cy="600075"/>
                <wp:effectExtent l="9525" t="9525" r="9525" b="9525"/>
                <wp:wrapNone/>
                <wp:docPr id="47" name="Rectangle: Rounded Corners 239" descr="P2840TB1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600075"/>
                        </a:xfrm>
                        <a:prstGeom prst="roundRect">
                          <a:avLst>
                            <a:gd name="adj" fmla="val 16667"/>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2E16A1D4"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Age simulation suit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F9B0C8F" id="Rectangle: Rounded Corners 239" o:spid="_x0000_s1063" alt="P2840TB15#y1" style="position:absolute;left:0;text-align:left;margin-left:416.25pt;margin-top:24.75pt;width:98.25pt;height:47.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rAYYQIAAIMEAAAOAAAAZHJzL2Uyb0RvYy54bWysVNty0zAQfWeGf9CIZ+oLTpx66nRKShhm&#10;CmTa8gGKJMcCWWskJU769axkt7TwxvCi2fVKR2fP0fri8thpcpDWKTA1zc5SSqThIJTZ1fTb/frt&#10;ghLnmRFMg5E1PUlHL5evX10MfSVzaEELaQmCGFcNfU1b7/sqSRxvZcfcGfTSYLEB2zGPqd0lwrIB&#10;0Tud5Gk6TwaworfApXP49Xos0mXEbxrJ/demcdITXVPk5uNq47oNa7K8YNXOsr5VfKLB/oFFx5TB&#10;S5+grplnZG/VX1Cd4hYcNP6MQ5dA0yguYw/YTZb+0c1dy3oZe0FxXP8kk/t/sPzLYWOJEjUtSkoM&#10;69CjW1SNmZ2WFbmFvRFSkBVYgyaT/N05JUI6jhJu8kWR3r/PZm9OWdBx6F2FcHf9xgYlXH8D/Icj&#10;BlYtoskra2FoJRPIPu5PXhwIicOjZDt8BoEs2N5DlPTY2C4AoljkGJ07PTknj55w/JjlRVmWM0o4&#10;1uZpmmKMlBJWPZ7urfMfJXQkBDW1obHQaLyCHW6cj/aJSQMmvlPSdBofw4Fpks3n83JCnDYj9iNm&#10;OGlgrbSOz0kbMgRKZZpGdAdaiVCNstjddqUtQdSa5utZvlhPuC+2dcrjXGjV1XSB7SBShA76fTAi&#10;xp4pPcZIRRvs9lHD0Qt/3B6js3kRDofiFsQJJbYwzgHOLQYt2AdKBpyBmrqfe2YlJfqTQZvOs6II&#10;QxOTYlbmmNjnle3zCjMcoWrKvaVkTFZ+HLV9b9WuxbuyKIiBKzS3UR5pRdIjrynBlx6dm6YyjNLz&#10;PO76/e9Y/gIAAP//AwBQSwMEFAAGAAgAAAAhAB5YWTbfAAAACwEAAA8AAABkcnMvZG93bnJldi54&#10;bWxMj0FPwzAMhe9I/IfISFzQlhAKW0vTaULqhRMbaOes9dqKxqmadCv/Hu8EJ9t6T8/fyzez68UZ&#10;x9B5MvC4VCCQKl931Bj4+iwXaxAhWqpt7wkN/GCATXF7k9us9hfa4XkfG8EhFDJroI1xyKQMVYvO&#10;hqUfkFg7+dHZyOfYyHq0Fw53vdRKvUhnO+IPrR3wrcXqez85A+F9OpSrU6j0ak6VLB+2idcfxtzf&#10;zdtXEBHn+GeGKz6jQ8FMRz9RHURvYP2kn9lqIEl5Xg1Kp9zuyFuSKJBFLv93KH4BAAD//wMAUEsB&#10;Ai0AFAAGAAgAAAAhALaDOJL+AAAA4QEAABMAAAAAAAAAAAAAAAAAAAAAAFtDb250ZW50X1R5cGVz&#10;XS54bWxQSwECLQAUAAYACAAAACEAOP0h/9YAAACUAQAACwAAAAAAAAAAAAAAAAAvAQAAX3JlbHMv&#10;LnJlbHNQSwECLQAUAAYACAAAACEAJ6KwGGECAACDBAAADgAAAAAAAAAAAAAAAAAuAgAAZHJzL2Uy&#10;b0RvYy54bWxQSwECLQAUAAYACAAAACEAHlhZNt8AAAALAQAADwAAAAAAAAAAAAAAAAC7BAAAZHJz&#10;L2Rvd25yZXYueG1sUEsFBgAAAAAEAAQA8wAAAMcFAAAAAA==&#10;" filled="f" strokecolor="#2f528f" strokeweight="1pt">
                <v:stroke joinstyle="miter"/>
                <v:textbox>
                  <w:txbxContent>
                    <w:p w14:paraId="2E16A1D4"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Age simulation suit</w:t>
                      </w:r>
                    </w:p>
                  </w:txbxContent>
                </v:textbox>
              </v:roundrect>
            </w:pict>
          </mc:Fallback>
        </mc:AlternateContent>
      </w:r>
    </w:p>
    <w:p w14:paraId="731E65C3" w14:textId="2D4D7DE0" w:rsidR="007332FB" w:rsidRPr="00795F1B" w:rsidRDefault="00D210D9" w:rsidP="007332FB">
      <w:pPr>
        <w:jc w:val="both"/>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809792" behindDoc="0" locked="0" layoutInCell="1" allowOverlap="1" wp14:anchorId="3E8931BE" wp14:editId="084B0AB9">
                <wp:simplePos x="0" y="0"/>
                <wp:positionH relativeFrom="column">
                  <wp:posOffset>857250</wp:posOffset>
                </wp:positionH>
                <wp:positionV relativeFrom="paragraph">
                  <wp:posOffset>89535</wp:posOffset>
                </wp:positionV>
                <wp:extent cx="1076325" cy="581025"/>
                <wp:effectExtent l="9525" t="9525" r="9525" b="9525"/>
                <wp:wrapNone/>
                <wp:docPr id="1" name="Rectangle 244" descr="P2841TB2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581025"/>
                        </a:xfrm>
                        <a:prstGeom prst="rect">
                          <a:avLst/>
                        </a:prstGeom>
                        <a:noFill/>
                        <a:ln w="12700">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1A7614E4"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Paid care experiences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8931BE" id="Rectangle 244" o:spid="_x0000_s1064" alt="P2841TB20#y1" style="position:absolute;left:0;text-align:left;margin-left:67.5pt;margin-top:7.05pt;width:84.75pt;height:45.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edsOQIAAEAEAAAOAAAAZHJzL2Uyb0RvYy54bWysU9tu2zAMfR+wfxC059WXJU0W1Cm6dhkG&#10;dFuwdh8gy3IsTBY1SomTfv0oOellexvmB4E0yUPykLy43PeG7RR6DbbixVnOmbISGm03Ff9xv3o7&#10;58wHYRthwKqKH5Tnl8vXry4Gt1AldGAahYxArF8MruJdCG6RZV52qhf+DJyyZGwBexFIxU3WoBgI&#10;vTdZmefn2QDYOASpvKe/N6ORLxN+2yoZvrWtV4GZilNtIb2Y3jq+2fJCLDYoXKflsQzxD1X0QltK&#10;+gh1I4JgW9R/QfVaInhow5mEPoO21VKlHqibIv+jm7tOOJV6IXK8e6TJ/z9Y+XW3RqYbmh1nVvQ0&#10;ou9EmrAbo1g5mXDWKC+JsHU5nxT3H8r8zaGIrA3OLyj4zq0x9u3dLcifnlm47ihYXSHC0CnRUK3J&#10;P3sREBVPoawevkBDScU2QCJw32IfAYkatk9zOjzOSe0Dk/SzyGfn78opZ5Js03mRk0wlZWJxinbo&#10;wycFPYtCxZFaSuhid+vD6HpyicksrLQxaReMZQNlKGd5niI8GN1Ea+oSN/W1QbYTtE7lalrOV8fE&#10;L9x6HWipje4rPs/jN65ZpOOjbVKaILQZZaraWCr+RMlIbdjX+zSWsbVorKE5EGMI4xLT0ZHQAT5w&#10;NtACV9z/2gpUnJnPllh/X0wmceOTMpnOSlLwuaV+bhFWElTFZUDORuU6jHeydag3HeUqEiEWrmhW&#10;rU40PtV17IDWNA3ieFLxDp7ryevp8Je/AQAA//8DAFBLAwQUAAYACAAAACEAb4VLleAAAAAKAQAA&#10;DwAAAGRycy9kb3ducmV2LnhtbEyPzU7DMBCE70i8g7VIXBC181ehEKdCFAS9QanUqxu7cSBeR7HT&#10;hrdnOcFtZ3c0+021ml3PTmYMnUcJyUIAM9h43WErYffxfHsHLESFWvUejYRvE2BVX15UqtT+jO/m&#10;tI0toxAMpZJgYxxKzkNjjVNh4QeDdDv60alIcmy5HtWZwl3PUyGW3KkO6YNVg3m0pvnaTk7CC673&#10;6+x4M9nN5z5/e0rSXfrqpLy+mh/ugUUzxz8z/OITOtTEdPAT6sB60llBXSINeQKMDJnIC2AHWohi&#10;Cbyu+P8K9Q8AAAD//wMAUEsBAi0AFAAGAAgAAAAhALaDOJL+AAAA4QEAABMAAAAAAAAAAAAAAAAA&#10;AAAAAFtDb250ZW50X1R5cGVzXS54bWxQSwECLQAUAAYACAAAACEAOP0h/9YAAACUAQAACwAAAAAA&#10;AAAAAAAAAAAvAQAAX3JlbHMvLnJlbHNQSwECLQAUAAYACAAAACEAxr3nbDkCAABABAAADgAAAAAA&#10;AAAAAAAAAAAuAgAAZHJzL2Uyb0RvYy54bWxQSwECLQAUAAYACAAAACEAb4VLleAAAAAKAQAADwAA&#10;AAAAAAAAAAAAAACTBAAAZHJzL2Rvd25yZXYueG1sUEsFBgAAAAAEAAQA8wAAAKAFAAAAAA==&#10;" filled="f" strokecolor="#2f528f" strokeweight="1pt">
                <v:textbox>
                  <w:txbxContent>
                    <w:p w14:paraId="1A7614E4" w14:textId="77777777" w:rsidR="007332FB" w:rsidRPr="00C0367E" w:rsidRDefault="007332FB" w:rsidP="007332FB">
                      <w:pPr>
                        <w:jc w:val="center"/>
                        <w:rPr>
                          <w:rFonts w:ascii="Times New Roman" w:hAnsi="Times New Roman"/>
                          <w:b/>
                          <w:bCs/>
                          <w:color w:val="000000" w:themeColor="text1"/>
                        </w:rPr>
                      </w:pPr>
                      <w:r w:rsidRPr="00C0367E">
                        <w:rPr>
                          <w:rFonts w:ascii="Times New Roman" w:hAnsi="Times New Roman"/>
                          <w:b/>
                          <w:bCs/>
                          <w:color w:val="000000" w:themeColor="text1"/>
                        </w:rPr>
                        <w:t>Paid care experiences</w:t>
                      </w:r>
                    </w:p>
                  </w:txbxContent>
                </v:textbox>
              </v:rect>
            </w:pict>
          </mc:Fallback>
        </mc:AlternateContent>
      </w:r>
    </w:p>
    <w:p w14:paraId="7032E7F1" w14:textId="77777777" w:rsidR="007332FB" w:rsidRPr="00795F1B" w:rsidRDefault="007332FB" w:rsidP="007332FB">
      <w:pPr>
        <w:jc w:val="both"/>
        <w:rPr>
          <w:rFonts w:ascii="Times New Roman" w:hAnsi="Times New Roman"/>
          <w:szCs w:val="24"/>
        </w:rPr>
      </w:pPr>
    </w:p>
    <w:p w14:paraId="6BF8FD5D" w14:textId="77777777" w:rsidR="007332FB" w:rsidRPr="00795F1B" w:rsidRDefault="007332FB" w:rsidP="007332FB">
      <w:pPr>
        <w:jc w:val="both"/>
        <w:rPr>
          <w:rFonts w:ascii="Times New Roman" w:hAnsi="Times New Roman"/>
          <w:szCs w:val="24"/>
        </w:rPr>
      </w:pPr>
    </w:p>
    <w:p w14:paraId="4A1CB984" w14:textId="77777777" w:rsidR="007332FB" w:rsidRPr="00795F1B" w:rsidRDefault="007332FB" w:rsidP="007332FB">
      <w:pPr>
        <w:jc w:val="both"/>
        <w:rPr>
          <w:rFonts w:ascii="Times New Roman" w:hAnsi="Times New Roman"/>
          <w:szCs w:val="24"/>
        </w:rPr>
        <w:sectPr w:rsidR="007332FB" w:rsidRPr="00795F1B" w:rsidSect="00B470B5">
          <w:pgSz w:w="16838" w:h="11906" w:orient="landscape"/>
          <w:pgMar w:top="1797" w:right="1440" w:bottom="1797" w:left="1440" w:header="709" w:footer="709" w:gutter="0"/>
          <w:cols w:space="708"/>
          <w:docGrid w:linePitch="360"/>
        </w:sectPr>
      </w:pPr>
    </w:p>
    <w:p w14:paraId="4B05E9F9"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lastRenderedPageBreak/>
        <w:t xml:space="preserve">My findings indicate that although my participants’ current understanding of dementia was informed by the dementia care trainings they received and they found all components of the training helpful, the first dementia training they attended was key to educating them about dementia.  My findings resonate with the literature in this field (Scerri, Innes and Scerri, 2017; Adebayo </w:t>
      </w:r>
      <w:r w:rsidRPr="009533A9">
        <w:rPr>
          <w:rFonts w:ascii="Times New Roman" w:hAnsi="Times New Roman"/>
          <w:i/>
          <w:iCs/>
          <w:szCs w:val="24"/>
        </w:rPr>
        <w:t>et al.</w:t>
      </w:r>
      <w:r w:rsidRPr="00795F1B">
        <w:rPr>
          <w:rFonts w:ascii="Times New Roman" w:hAnsi="Times New Roman"/>
          <w:szCs w:val="24"/>
        </w:rPr>
        <w:t xml:space="preserve">, 2020; Schneider </w:t>
      </w:r>
      <w:r w:rsidRPr="009533A9">
        <w:rPr>
          <w:rFonts w:ascii="Times New Roman" w:hAnsi="Times New Roman"/>
          <w:i/>
          <w:iCs/>
          <w:szCs w:val="24"/>
        </w:rPr>
        <w:t>et al.</w:t>
      </w:r>
      <w:r w:rsidRPr="00795F1B">
        <w:rPr>
          <w:rFonts w:ascii="Times New Roman" w:hAnsi="Times New Roman"/>
          <w:szCs w:val="24"/>
        </w:rPr>
        <w:t>, 2020). However, whilst my participants’ current understanding of dementia is remarkably different from their previously held cultural beliefs about the condition, my findings further suggest that their cultural values continue to influence the way they care for PLWD and this is reflected in their show of empathy (see Figure 10.2).</w:t>
      </w:r>
    </w:p>
    <w:p w14:paraId="3CEDDA50" w14:textId="77777777" w:rsidR="007332FB" w:rsidRPr="00795F1B" w:rsidRDefault="007332FB" w:rsidP="007332FB">
      <w:pPr>
        <w:jc w:val="both"/>
        <w:rPr>
          <w:rFonts w:ascii="Times New Roman" w:hAnsi="Times New Roman"/>
          <w:b/>
          <w:bCs/>
          <w:szCs w:val="24"/>
        </w:rPr>
      </w:pPr>
      <w:r w:rsidRPr="00795F1B">
        <w:rPr>
          <w:rFonts w:ascii="Times New Roman" w:hAnsi="Times New Roman"/>
          <w:b/>
          <w:bCs/>
          <w:szCs w:val="24"/>
        </w:rPr>
        <w:t xml:space="preserve">Figure 10.2: Influence of cultural values on Nigerian migrant care workers </w:t>
      </w:r>
    </w:p>
    <w:p w14:paraId="0BDCF546" w14:textId="77777777" w:rsidR="007332FB" w:rsidRPr="00795F1B" w:rsidRDefault="007332FB" w:rsidP="007332FB">
      <w:pPr>
        <w:jc w:val="both"/>
        <w:rPr>
          <w:rFonts w:ascii="Times New Roman" w:hAnsi="Times New Roman"/>
          <w:szCs w:val="24"/>
        </w:rPr>
      </w:pPr>
      <w:r w:rsidRPr="00795F1B">
        <w:rPr>
          <w:rFonts w:ascii="Times New Roman" w:hAnsi="Times New Roman"/>
          <w:noProof/>
          <w:szCs w:val="24"/>
        </w:rPr>
        <w:drawing>
          <wp:inline distT="0" distB="0" distL="0" distR="0" wp14:anchorId="1288C187" wp14:editId="35B4585B">
            <wp:extent cx="5278120" cy="3079115"/>
            <wp:effectExtent l="0" t="38100" r="36830" b="26035"/>
            <wp:docPr id="66" name="Diagram 66" descr="P2847#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36BA3979" w14:textId="77777777" w:rsidR="007332FB" w:rsidRPr="00795F1B" w:rsidRDefault="007332FB" w:rsidP="007332FB">
      <w:pPr>
        <w:jc w:val="both"/>
        <w:rPr>
          <w:rFonts w:ascii="Times New Roman" w:hAnsi="Times New Roman"/>
          <w:szCs w:val="24"/>
        </w:rPr>
      </w:pPr>
    </w:p>
    <w:p w14:paraId="213BB5E5" w14:textId="77777777" w:rsidR="007332FB" w:rsidRPr="00795F1B" w:rsidRDefault="007332FB" w:rsidP="007332FB">
      <w:pPr>
        <w:jc w:val="both"/>
        <w:rPr>
          <w:rFonts w:ascii="Times New Roman" w:hAnsi="Times New Roman"/>
          <w:szCs w:val="24"/>
        </w:rPr>
      </w:pPr>
      <w:r w:rsidRPr="00795F1B">
        <w:rPr>
          <w:rFonts w:ascii="Times New Roman" w:hAnsi="Times New Roman"/>
          <w:szCs w:val="24"/>
        </w:rPr>
        <w:t xml:space="preserve">My findings highlight the influence of my participants’ cultural values in the development of empathy. Unlike their cultural beliefs, Nigerian migrant care workers found their ingrained cultural values of respect, familism, filial piety, reciprocity, and their spiritual values relevant to their care of PLWD. The findings resonate with other studies (Tsai, Levenson and McCoy, 2006). The cultural values espoused by my participants stem from their lived experience of living in a largely collectivist society like Nigeria, which is characterised by close-knitted family ties and relationships. In </w:t>
      </w:r>
      <w:r w:rsidRPr="00795F1B">
        <w:rPr>
          <w:rFonts w:ascii="Times New Roman" w:hAnsi="Times New Roman"/>
          <w:szCs w:val="24"/>
        </w:rPr>
        <w:lastRenderedPageBreak/>
        <w:t>addition, their cultural values influenced how they perceived their relationship with PLWD. Despite being in paid care work, the empathy they felt towards their patients encouraged them to care for their patients as if they were caring for their relatives. Empathy is an important aspect of nursing and caring work (Chung and Be</w:t>
      </w:r>
      <w:r>
        <w:rPr>
          <w:rFonts w:ascii="Times New Roman" w:hAnsi="Times New Roman"/>
          <w:szCs w:val="24"/>
        </w:rPr>
        <w:t>m</w:t>
      </w:r>
      <w:r w:rsidRPr="00795F1B">
        <w:rPr>
          <w:rFonts w:ascii="Times New Roman" w:hAnsi="Times New Roman"/>
          <w:szCs w:val="24"/>
        </w:rPr>
        <w:t xml:space="preserve">ak, 2002) and this is the reason it is focal in nursing education. </w:t>
      </w:r>
    </w:p>
    <w:p w14:paraId="0ABDCAFE" w14:textId="77777777" w:rsidR="007332FB" w:rsidRPr="00795F1B" w:rsidRDefault="007332FB" w:rsidP="006869A3">
      <w:pPr>
        <w:pStyle w:val="Heading2"/>
      </w:pPr>
      <w:bookmarkStart w:id="287" w:name="_Toc86417415"/>
      <w:r w:rsidRPr="00795F1B">
        <w:t>10.7. Summary</w:t>
      </w:r>
      <w:bookmarkEnd w:id="287"/>
    </w:p>
    <w:p w14:paraId="1CF3C10B" w14:textId="442D2D04" w:rsidR="00795F1B" w:rsidRPr="006869A3" w:rsidRDefault="007332FB" w:rsidP="006869A3">
      <w:pPr>
        <w:jc w:val="both"/>
        <w:rPr>
          <w:rFonts w:ascii="Times New Roman" w:hAnsi="Times New Roman"/>
          <w:szCs w:val="24"/>
        </w:rPr>
      </w:pPr>
      <w:r w:rsidRPr="00795F1B">
        <w:rPr>
          <w:rFonts w:ascii="Times New Roman" w:hAnsi="Times New Roman"/>
          <w:szCs w:val="24"/>
        </w:rPr>
        <w:t>This chapter presented the findings on the cultural experiences of Nigerian migrant care workers for PLWD in the NHS. Cultural beliefs about dementia varied before they migrated to the UK and mostly consisted of folk beliefs as explanations of the possible cause of dementia. However, upon training, most of the participants changed their beliefs, and their current beliefs and understanding of dementia is consistent with the biomedical model taught in training, although, some of the participants still maintained some beliefs they held before training. Nevertheless, most of the paid Nigerian care workers found their cultural values helpful in caring for PLWD. In the following chapter, I shall discuss the contribution to literature made from my findings and relate them to my research objectives before providing a conclusion to the thesis.</w:t>
      </w:r>
    </w:p>
    <w:p w14:paraId="61C9D5E9" w14:textId="77777777" w:rsidR="006869A3" w:rsidRDefault="006869A3">
      <w:pPr>
        <w:spacing w:after="0" w:line="240" w:lineRule="auto"/>
        <w:rPr>
          <w:rFonts w:ascii="Times New Roman" w:hAnsi="Times New Roman"/>
          <w:b/>
          <w:szCs w:val="24"/>
        </w:rPr>
      </w:pPr>
      <w:r>
        <w:rPr>
          <w:rFonts w:ascii="Times New Roman" w:hAnsi="Times New Roman"/>
          <w:b/>
          <w:szCs w:val="24"/>
        </w:rPr>
        <w:br w:type="page"/>
      </w:r>
    </w:p>
    <w:p w14:paraId="44B120D1" w14:textId="1424C5ED" w:rsidR="0085338E" w:rsidRPr="003811B7" w:rsidRDefault="0085338E" w:rsidP="006869A3">
      <w:pPr>
        <w:pStyle w:val="Heading1"/>
      </w:pPr>
      <w:bookmarkStart w:id="288" w:name="_Toc86417416"/>
      <w:r w:rsidRPr="003811B7">
        <w:lastRenderedPageBreak/>
        <w:t>CHAPTER ELEVEN</w:t>
      </w:r>
      <w:bookmarkEnd w:id="288"/>
    </w:p>
    <w:p w14:paraId="5A44C133" w14:textId="77777777" w:rsidR="0085338E" w:rsidRPr="003811B7" w:rsidRDefault="0085338E" w:rsidP="0085338E">
      <w:pPr>
        <w:jc w:val="center"/>
        <w:rPr>
          <w:rFonts w:ascii="Times New Roman" w:hAnsi="Times New Roman"/>
          <w:b/>
          <w:szCs w:val="24"/>
        </w:rPr>
      </w:pPr>
      <w:r w:rsidRPr="003811B7">
        <w:rPr>
          <w:rFonts w:ascii="Times New Roman" w:hAnsi="Times New Roman"/>
          <w:b/>
          <w:szCs w:val="24"/>
        </w:rPr>
        <w:t>CONTRIBUTION TO KNOWLEDGE AND RECOMMENDATIONS</w:t>
      </w:r>
    </w:p>
    <w:p w14:paraId="1AB4A21D" w14:textId="77777777" w:rsidR="0085338E" w:rsidRPr="003811B7" w:rsidRDefault="0085338E" w:rsidP="006869A3">
      <w:pPr>
        <w:pStyle w:val="Heading2"/>
      </w:pPr>
      <w:bookmarkStart w:id="289" w:name="_Toc86417417"/>
      <w:r w:rsidRPr="003811B7">
        <w:t>11.1. Introduction</w:t>
      </w:r>
      <w:bookmarkEnd w:id="289"/>
    </w:p>
    <w:p w14:paraId="1EBBEB2F" w14:textId="77777777" w:rsidR="0085338E" w:rsidRPr="003811B7" w:rsidRDefault="0085338E" w:rsidP="0085338E">
      <w:pPr>
        <w:jc w:val="both"/>
        <w:rPr>
          <w:rFonts w:ascii="Times New Roman" w:hAnsi="Times New Roman"/>
          <w:b/>
          <w:szCs w:val="24"/>
        </w:rPr>
      </w:pPr>
      <w:r w:rsidRPr="003811B7">
        <w:rPr>
          <w:rFonts w:ascii="Times New Roman" w:hAnsi="Times New Roman"/>
          <w:szCs w:val="24"/>
        </w:rPr>
        <w:t>In last four chapters, I presented and discussed the major findings of this study on the lived experiences of paid Nigerian migrant nurses and health care assistants (HCA) working in the NHS, who are caring for people living with dementia (PLWD). This chapter seeks to clarify how my research contributes to the empirical, conceptual understanding and knowledge concerning Nigerian migrant nurses and HCAs. It begins by reiterating the original aim of the study and discusses both my contribution to knowledge and the limitations of the study. It also includes a section on the implication of this study to the practice of caring for PLWD in the NHS and suggestions for further research. It ends with a conclusion of the chapter and thesis.</w:t>
      </w:r>
    </w:p>
    <w:p w14:paraId="2A3A29D7" w14:textId="77777777" w:rsidR="0085338E" w:rsidRPr="003811B7" w:rsidRDefault="0085338E" w:rsidP="006869A3">
      <w:pPr>
        <w:pStyle w:val="Heading2"/>
      </w:pPr>
      <w:bookmarkStart w:id="290" w:name="_Toc86417418"/>
      <w:r w:rsidRPr="003811B7">
        <w:t>11.2. Aim of the research</w:t>
      </w:r>
      <w:bookmarkEnd w:id="290"/>
    </w:p>
    <w:p w14:paraId="1463E6B0"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The aim of this study was to explore and gain an understanding of the lived experiences of Nigerian migrant HCAs and nurses for PLWD in the UK. Twenty-one participants who were working as HCAs or nurses in two NHS inpatient wards for PLWD, described their experiences through in-depth narrative interviews. My study was largely informed by Gadamer’s (1990) and van Manen’s (1990; 2014) approaches to interpretive phenomenology. This approach provided a guide to my data collection, phenomenological reflection and writing which helped me to examine the life-worlds of the participants’ caring for PLWD and reflect on the influence of culture in their role as care workers (nurses and HCAs).</w:t>
      </w:r>
    </w:p>
    <w:p w14:paraId="5795AFA6" w14:textId="77777777" w:rsidR="0085338E" w:rsidRPr="003811B7" w:rsidRDefault="0085338E" w:rsidP="006869A3">
      <w:pPr>
        <w:pStyle w:val="Heading2"/>
      </w:pPr>
      <w:bookmarkStart w:id="291" w:name="_Toc86417419"/>
      <w:r w:rsidRPr="003811B7">
        <w:t>11.3. Objectives of the research and key contributions to knowledge</w:t>
      </w:r>
      <w:bookmarkEnd w:id="291"/>
    </w:p>
    <w:p w14:paraId="2480589C"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In the following section, I discuss my study’s findings and contributions to knowledge in relation to the research objectives (see section 1.7)</w:t>
      </w:r>
    </w:p>
    <w:p w14:paraId="6AD42253" w14:textId="77777777" w:rsidR="0085338E" w:rsidRPr="003811B7" w:rsidRDefault="0085338E" w:rsidP="006869A3">
      <w:pPr>
        <w:pStyle w:val="Heading3"/>
      </w:pPr>
      <w:bookmarkStart w:id="292" w:name="_Toc86417420"/>
      <w:r w:rsidRPr="003811B7">
        <w:t>(a) Examine what motivates Nigerian migrant nurses and HCA to assume and remain in their role of caring for PLWD.</w:t>
      </w:r>
      <w:bookmarkEnd w:id="292"/>
    </w:p>
    <w:p w14:paraId="6735B932" w14:textId="05C3EE62" w:rsidR="0085338E" w:rsidRPr="003811B7" w:rsidRDefault="0085338E" w:rsidP="0085338E">
      <w:pPr>
        <w:jc w:val="both"/>
      </w:pPr>
      <w:r w:rsidRPr="003811B7">
        <w:rPr>
          <w:rFonts w:ascii="Times New Roman" w:hAnsi="Times New Roman"/>
          <w:szCs w:val="24"/>
        </w:rPr>
        <w:lastRenderedPageBreak/>
        <w:t xml:space="preserve">As suggested in earlier chapters (1 and 2), with the demographic changes that are prevalent in most western nations (Wu </w:t>
      </w:r>
      <w:r w:rsidRPr="00C43E9F">
        <w:rPr>
          <w:rFonts w:ascii="Times New Roman" w:hAnsi="Times New Roman"/>
          <w:i/>
          <w:iCs/>
          <w:szCs w:val="24"/>
        </w:rPr>
        <w:t>et al.</w:t>
      </w:r>
      <w:r w:rsidRPr="003811B7">
        <w:rPr>
          <w:rFonts w:ascii="Times New Roman" w:hAnsi="Times New Roman"/>
          <w:szCs w:val="24"/>
        </w:rPr>
        <w:t xml:space="preserve">, 2016; England and Azzopardi-Muscat, 2017), there has also been a rise in the number of PLWD (Niu </w:t>
      </w:r>
      <w:r w:rsidRPr="00C43E9F">
        <w:rPr>
          <w:rFonts w:ascii="Times New Roman" w:hAnsi="Times New Roman"/>
          <w:i/>
          <w:iCs/>
          <w:szCs w:val="24"/>
        </w:rPr>
        <w:t>et al.</w:t>
      </w:r>
      <w:r w:rsidRPr="003811B7">
        <w:rPr>
          <w:rFonts w:ascii="Times New Roman" w:hAnsi="Times New Roman"/>
          <w:szCs w:val="24"/>
        </w:rPr>
        <w:t xml:space="preserve">, 2017; </w:t>
      </w:r>
      <w:r w:rsidRPr="003811B7">
        <w:rPr>
          <w:rFonts w:ascii="Times New Roman" w:hAnsi="Times New Roman"/>
        </w:rPr>
        <w:t xml:space="preserve">Kosmidis </w:t>
      </w:r>
      <w:r w:rsidRPr="00C43E9F">
        <w:rPr>
          <w:rFonts w:ascii="Times New Roman" w:hAnsi="Times New Roman"/>
          <w:i/>
          <w:iCs/>
        </w:rPr>
        <w:t>et al.</w:t>
      </w:r>
      <w:r w:rsidRPr="003811B7">
        <w:rPr>
          <w:rFonts w:ascii="Times New Roman" w:hAnsi="Times New Roman"/>
        </w:rPr>
        <w:t>, 2018; Ferreira, Brandão and Cardoso, 2020</w:t>
      </w:r>
      <w:r w:rsidRPr="003811B7">
        <w:rPr>
          <w:rFonts w:ascii="Times New Roman" w:hAnsi="Times New Roman"/>
          <w:szCs w:val="24"/>
        </w:rPr>
        <w:t xml:space="preserve">) and this, combined with other local factors has created a demand for migrant care workers (Czaika and de Haas, 2013; Aleshkovski, 2016). Consequently, over the last decade, the global ‘care chain’ has increasingly prioritised the recruitment of migrant workers as a way of addressing the rising shortage of care workers and other healthcare professionals in the social care sector (Department of Health </w:t>
      </w:r>
      <w:r>
        <w:rPr>
          <w:rFonts w:ascii="Times New Roman" w:hAnsi="Times New Roman"/>
          <w:szCs w:val="24"/>
        </w:rPr>
        <w:t xml:space="preserve">(DoH), </w:t>
      </w:r>
      <w:r w:rsidRPr="003811B7">
        <w:rPr>
          <w:rFonts w:ascii="Times New Roman" w:hAnsi="Times New Roman"/>
          <w:szCs w:val="24"/>
        </w:rPr>
        <w:t>2009</w:t>
      </w:r>
      <w:r w:rsidR="00430387">
        <w:rPr>
          <w:rFonts w:ascii="Times New Roman" w:hAnsi="Times New Roman"/>
          <w:szCs w:val="24"/>
        </w:rPr>
        <w:t>b</w:t>
      </w:r>
      <w:r w:rsidRPr="003811B7">
        <w:rPr>
          <w:rFonts w:ascii="Times New Roman" w:hAnsi="Times New Roman"/>
          <w:szCs w:val="24"/>
        </w:rPr>
        <w:t xml:space="preserve">; Hussein, Stevens and Manthorpe, 2011; Aleshkovski, 2016; Van Iersel </w:t>
      </w:r>
      <w:r w:rsidRPr="00C43E9F">
        <w:rPr>
          <w:rFonts w:ascii="Times New Roman" w:hAnsi="Times New Roman"/>
          <w:i/>
          <w:iCs/>
          <w:szCs w:val="24"/>
        </w:rPr>
        <w:t>et al.</w:t>
      </w:r>
      <w:r w:rsidRPr="003811B7">
        <w:rPr>
          <w:rFonts w:ascii="Times New Roman" w:hAnsi="Times New Roman"/>
          <w:szCs w:val="24"/>
        </w:rPr>
        <w:t xml:space="preserve">, 2016). However, employment as a care worker (particularly as HCA) for PLWD is often characterised as being low-skilled work and predominantly these jobs offer low pay (Devins </w:t>
      </w:r>
      <w:r w:rsidRPr="00C43E9F">
        <w:rPr>
          <w:rFonts w:ascii="Times New Roman" w:hAnsi="Times New Roman"/>
          <w:i/>
          <w:iCs/>
          <w:szCs w:val="24"/>
        </w:rPr>
        <w:t>et al.</w:t>
      </w:r>
      <w:r w:rsidRPr="003811B7">
        <w:rPr>
          <w:rFonts w:ascii="Times New Roman" w:hAnsi="Times New Roman"/>
          <w:szCs w:val="24"/>
        </w:rPr>
        <w:t>, 2014;</w:t>
      </w:r>
      <w:r w:rsidRPr="003811B7">
        <w:t xml:space="preserve"> </w:t>
      </w:r>
      <w:r w:rsidRPr="003811B7">
        <w:rPr>
          <w:rFonts w:ascii="Times New Roman" w:hAnsi="Times New Roman"/>
          <w:szCs w:val="24"/>
        </w:rPr>
        <w:t xml:space="preserve">Wright and Clibborn, 2019), even though dementia care work is especially demanding (Chenoweth </w:t>
      </w:r>
      <w:r w:rsidRPr="00C43E9F">
        <w:rPr>
          <w:rFonts w:ascii="Times New Roman" w:hAnsi="Times New Roman"/>
          <w:i/>
          <w:iCs/>
          <w:szCs w:val="24"/>
        </w:rPr>
        <w:t>et al.</w:t>
      </w:r>
      <w:r w:rsidRPr="003811B7">
        <w:rPr>
          <w:rFonts w:ascii="Times New Roman" w:hAnsi="Times New Roman"/>
          <w:szCs w:val="24"/>
        </w:rPr>
        <w:t xml:space="preserve">, 2014; Gao </w:t>
      </w:r>
      <w:r w:rsidRPr="00C43E9F">
        <w:rPr>
          <w:rFonts w:ascii="Times New Roman" w:hAnsi="Times New Roman"/>
          <w:i/>
          <w:iCs/>
          <w:szCs w:val="24"/>
        </w:rPr>
        <w:t>et al.</w:t>
      </w:r>
      <w:r w:rsidRPr="003811B7">
        <w:rPr>
          <w:rFonts w:ascii="Times New Roman" w:hAnsi="Times New Roman"/>
          <w:szCs w:val="24"/>
        </w:rPr>
        <w:t>, 2015). Although as several authors (Van Hooren, 2012; Duffy, Albelda and Hammonds, 2013; Oppert, O'Keeffe and Duong, 2018) have highlighted, caring for older adults living with dementia and other cognitive impairments also has its own challenges, which makes it a less attractive area of employment for many UK-born workers (Duffy, 2011; Van Hooren, 2012; Duffy, Albelda and Hammonds, 2013; Gospel, 2015).</w:t>
      </w:r>
    </w:p>
    <w:p w14:paraId="130E9480"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As explored extensively in chapter 3, the existing literature on the motivation of migrant workers suggest that they do so for a variety of intrinsic (internal) and extrinsic (external) reasons (Brodaty and Donkin, 2009; Hussein and Christensen, 2017). My participants’ motivation to assume and remain in care was in some way influenced by their motivation to migrate and this is discussed next. </w:t>
      </w:r>
    </w:p>
    <w:p w14:paraId="3163A41B"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 xml:space="preserve">Motivation to migrate: </w:t>
      </w:r>
      <w:r w:rsidRPr="003811B7">
        <w:rPr>
          <w:rFonts w:ascii="Times New Roman" w:hAnsi="Times New Roman"/>
          <w:szCs w:val="24"/>
        </w:rPr>
        <w:t>My research evidenced the role of economic, professional (career) and family influences as part of the strategies employed by internationally trained nurses to attain better life opportunities. Furthermore, my research findings indicated that most of the research participants who were not trained nurses, did not migrate with a specific purpose of undertaking care work in the UK and these findings were consistent with earlier studies on migrant care workers</w:t>
      </w:r>
      <w:r w:rsidRPr="003811B7" w:rsidDel="000948B0">
        <w:rPr>
          <w:rFonts w:ascii="Times New Roman" w:hAnsi="Times New Roman"/>
          <w:szCs w:val="24"/>
        </w:rPr>
        <w:t xml:space="preserve"> </w:t>
      </w:r>
      <w:r w:rsidRPr="003811B7">
        <w:rPr>
          <w:rFonts w:ascii="Times New Roman" w:hAnsi="Times New Roman"/>
          <w:szCs w:val="24"/>
        </w:rPr>
        <w:t xml:space="preserve">(Awases </w:t>
      </w:r>
      <w:r w:rsidRPr="00C43E9F">
        <w:rPr>
          <w:rFonts w:ascii="Times New Roman" w:hAnsi="Times New Roman"/>
          <w:i/>
          <w:iCs/>
          <w:szCs w:val="24"/>
        </w:rPr>
        <w:t>et al.</w:t>
      </w:r>
      <w:r w:rsidRPr="003811B7">
        <w:rPr>
          <w:rFonts w:ascii="Times New Roman" w:hAnsi="Times New Roman"/>
          <w:szCs w:val="24"/>
        </w:rPr>
        <w:t xml:space="preserve">, 2004; Larsen </w:t>
      </w:r>
      <w:r w:rsidRPr="00C43E9F">
        <w:rPr>
          <w:rFonts w:ascii="Times New Roman" w:hAnsi="Times New Roman"/>
          <w:i/>
          <w:iCs/>
          <w:szCs w:val="24"/>
        </w:rPr>
        <w:t>et al.</w:t>
      </w:r>
      <w:r w:rsidRPr="003811B7">
        <w:rPr>
          <w:rFonts w:ascii="Times New Roman" w:hAnsi="Times New Roman"/>
          <w:szCs w:val="24"/>
        </w:rPr>
        <w:t>, 2005; Aboderin, 2007).</w:t>
      </w:r>
    </w:p>
    <w:p w14:paraId="569B5CB9"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lastRenderedPageBreak/>
        <w:t xml:space="preserve">This research supports the findings of Larsen </w:t>
      </w:r>
      <w:r w:rsidRPr="00C43E9F">
        <w:rPr>
          <w:rFonts w:ascii="Times New Roman" w:hAnsi="Times New Roman"/>
          <w:i/>
          <w:iCs/>
          <w:szCs w:val="24"/>
        </w:rPr>
        <w:t>et al.</w:t>
      </w:r>
      <w:r w:rsidRPr="003811B7">
        <w:rPr>
          <w:rFonts w:ascii="Times New Roman" w:hAnsi="Times New Roman"/>
          <w:szCs w:val="24"/>
        </w:rPr>
        <w:t xml:space="preserve"> (2005) and Aboderin (2007), who both observed that the primary migratory motives of Nigerian-trained nurses working in the UK were economic and professional, as part of an overarching strategy to seek better opportunities. However, in addition, this study provides a unique insight not only into the migratory motivation of care workers who were themselves trained nurses, but also individuals from other walks of life, with different professional/educational qualifications and experiences. Whereas Aboderin (2007) referred to economic motives as the decisive motivation without which Nigerian oversea nurses would not migrate, my findings suggest that, for my participants, this does not necessarily apply. Rather, the decisive motive for migration, if any, was a professional one which involved migrating for educational reasons. However, it is important to note that while Aboderin’s (2007) participants were Nigerian-trained nurses actively working as UK-registered nurses, the Nigerian-trained nurses in my study were working as HCAs because they were yet to complete the registration process required for them to practice as nurses in the UK. The fact that the Nigeria-trained nurses in my study prioritised their professional advancement in their interviews might relate to meeting their immediate migratory desire to practice as nurses in the UK, compared to the Nigerian-trained nurses in Aboderin (2007) who considered their professional advancement as an ‘added incentive’.</w:t>
      </w:r>
    </w:p>
    <w:p w14:paraId="214118E6"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In addition, my study also highlights the migratory motives of the participant who were originally from educational and professional backgrounds outside of social care.</w:t>
      </w:r>
    </w:p>
    <w:p w14:paraId="5964F46A"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Choosing to work in the care sector in the UK:</w:t>
      </w:r>
      <w:r w:rsidRPr="003811B7">
        <w:rPr>
          <w:rFonts w:ascii="Times New Roman" w:hAnsi="Times New Roman"/>
          <w:szCs w:val="24"/>
        </w:rPr>
        <w:t xml:space="preserve"> The findings from my study provide specific insights into the experiences of Nigerian migrant care workers, with different professional backgrounds who mostly did not anticipate working in the UK care sector. This notion of migrants of diverse professional backgrounds working in the care sector due to the lack of opportunity to work in their pre-migration professions, has also been highlighted by Willott and Stephenson (2013). They attributed the difficulties facing well-educated migrants finding a job in their chosen professions, to the perceived disparity between degrees obtained in the UK and those obtained elsewhere (particularly in the developing countries). However, my findings further suggest that while Nigerian migrants who had previously trained and worked as a nurse in Nigeria </w:t>
      </w:r>
      <w:r w:rsidRPr="003811B7">
        <w:rPr>
          <w:rFonts w:ascii="Times New Roman" w:hAnsi="Times New Roman"/>
          <w:szCs w:val="24"/>
        </w:rPr>
        <w:lastRenderedPageBreak/>
        <w:t>did recognise the reality of not being able to continue to practice as a registered nurse immediately in the UK, they accepted working at a lower level in the care sector as a part of a longer-term strategy to work as a qualified nurse in the future.</w:t>
      </w:r>
    </w:p>
    <w:p w14:paraId="11015D94"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Indeed, my research suggests that most of the participants were very strategic in their choice of employment. Moreover, my findings also suggest that they had a wide range of intersecting motives for working in the care sector, often comprising of moral, financial, career-oriented, and necessity-defined goals. These findings concur with other studies that suggest that migrant workers will often accept different forms of employment as, a means to an end, rather than an end itself (Gray and Johnson, 2009). My findings also echoed the work of McGregor (2007) who analysed data on Zimbabwean asylum seekers employed in care work. However, in contrast to McGregor who suggested that some Zimbabwean care workers felt trapped, my participants seem to indicate that Nigerian migrant care workers considered care work as just part of a longer-term employment strategy.</w:t>
      </w:r>
    </w:p>
    <w:p w14:paraId="7C6FACC9" w14:textId="77777777" w:rsidR="0085338E" w:rsidRPr="003811B7" w:rsidRDefault="0085338E" w:rsidP="0085338E">
      <w:pPr>
        <w:jc w:val="both"/>
        <w:rPr>
          <w:rFonts w:ascii="Times New Roman" w:hAnsi="Times New Roman"/>
          <w:i/>
          <w:szCs w:val="24"/>
        </w:rPr>
      </w:pPr>
      <w:r w:rsidRPr="003811B7">
        <w:rPr>
          <w:rFonts w:ascii="Times New Roman" w:hAnsi="Times New Roman"/>
          <w:szCs w:val="24"/>
        </w:rPr>
        <w:t>As part of my study, I profiled the different professional and care experiences of the participants before becoming care workers in the UK. Three sub-groups were identified regarding their prior experience of caregiving; namely, those with previous unpaid care experience, those without paid or unpaid care experience and those who had worked as nurses in Nigeria. The experiences of each sub-group of care workers were influenced by the nature or level of their previous caregiving experience prior to working in care in the UK. For instance, compared to participants who had no previous caregiving experience, those who had previous experience (whether working as an unpaid carer or as a nurse), expressed more desire to undertake care work in the UK because of their previous experiences of caregiving. However, regardless of the nature of their previous caregiving experiences, except for those who had worked as trained nurses in Nigeria most of the participants came from different professional backgrounds that did not reflect their eventual decision to become care workers in the UK. This finding provides an original contribution to the literature on Nigerian migrant care workers</w:t>
      </w:r>
      <w:r>
        <w:rPr>
          <w:rFonts w:ascii="Times New Roman" w:hAnsi="Times New Roman"/>
          <w:szCs w:val="24"/>
        </w:rPr>
        <w:t>,</w:t>
      </w:r>
      <w:r w:rsidRPr="003811B7">
        <w:rPr>
          <w:rFonts w:ascii="Times New Roman" w:hAnsi="Times New Roman"/>
          <w:szCs w:val="24"/>
        </w:rPr>
        <w:t xml:space="preserve"> and it is the first time that the profile of Nigerian migrant care workers in the UK has been explored in detail within the context of their professional background and previous caregiving experiences.</w:t>
      </w:r>
    </w:p>
    <w:p w14:paraId="634499CC"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lastRenderedPageBreak/>
        <w:t>Motivation to take and remain in care work:</w:t>
      </w:r>
      <w:r w:rsidRPr="003811B7">
        <w:rPr>
          <w:rFonts w:ascii="Times New Roman" w:hAnsi="Times New Roman"/>
          <w:szCs w:val="24"/>
        </w:rPr>
        <w:t xml:space="preserve"> I also consider that my study contributes to extending the understanding of the dynamics involved in Nigerian migrant male workers taking up a job as nurses and HCAs in a traditionally female-dominated sector. My findings resonate with those reported by Hussein and Christensen (2017) who suggested that the entrance of migrant men into the care sector could be theorised into different categories; those who stumbled upon and continued to work in care because of the lack of opportunities in other sectors (also referred to as ‘finders’ by Williams and Villemez, 1993) and those who for pragmatic reasons decide to remain as care workers (described by Simpson, 2005 described as ‘settlers’). Hussein and Christensen (2017) also noted a third category of migrant men in the care sector who faced an invisible ‘</w:t>
      </w:r>
      <w:r w:rsidRPr="003811B7">
        <w:rPr>
          <w:rFonts w:ascii="Times New Roman" w:hAnsi="Times New Roman"/>
          <w:i/>
          <w:iCs/>
          <w:szCs w:val="24"/>
        </w:rPr>
        <w:t>trapdoor’,</w:t>
      </w:r>
      <w:r w:rsidRPr="003811B7">
        <w:rPr>
          <w:rFonts w:ascii="Times New Roman" w:hAnsi="Times New Roman"/>
          <w:szCs w:val="24"/>
        </w:rPr>
        <w:t xml:space="preserve"> where men engaged in care work often experienced barriers to their career progression because of their gender (although, this last category did not feature in my own study). I would suggest that majority of the participants in my own study could be identified as ‘finders’ or ‘settlers’, although over time, some of the male migrants who entered care as ‘finders’ may later become ‘settlers’. My findings indicate that this shift in strategies might be due to pragmatic decisions taken because of their migratory experiences. For instance, one of my participants (Oscar), described the care sector as the UK’s most popular sector to work in as a migrant, because of the relative ease to find a job in this sector. Evidence from the literature review shows that the assertion that it was easy to find work in the care sector maybe correct because of the shortage of workers in both health and social care due to the reasons previously explored (see chapter 2) (Buchan </w:t>
      </w:r>
      <w:r w:rsidRPr="00C43E9F">
        <w:rPr>
          <w:rFonts w:ascii="Times New Roman" w:hAnsi="Times New Roman"/>
          <w:i/>
          <w:iCs/>
          <w:szCs w:val="24"/>
        </w:rPr>
        <w:t>et al.</w:t>
      </w:r>
      <w:r w:rsidRPr="003811B7">
        <w:rPr>
          <w:rFonts w:ascii="Times New Roman" w:hAnsi="Times New Roman"/>
          <w:szCs w:val="24"/>
        </w:rPr>
        <w:t xml:space="preserve">, 2005; Cometto </w:t>
      </w:r>
      <w:r w:rsidRPr="00C43E9F">
        <w:rPr>
          <w:rFonts w:ascii="Times New Roman" w:hAnsi="Times New Roman"/>
          <w:i/>
          <w:iCs/>
          <w:szCs w:val="24"/>
        </w:rPr>
        <w:t>et al.</w:t>
      </w:r>
      <w:r w:rsidRPr="003811B7">
        <w:rPr>
          <w:rFonts w:ascii="Times New Roman" w:hAnsi="Times New Roman"/>
          <w:szCs w:val="24"/>
        </w:rPr>
        <w:t xml:space="preserve">, 2017; </w:t>
      </w:r>
      <w:r w:rsidRPr="003811B7">
        <w:rPr>
          <w:rFonts w:ascii="Times" w:hAnsi="Times" w:cs="Times"/>
        </w:rPr>
        <w:t>Jones-Berry, 2017</w:t>
      </w:r>
      <w:r w:rsidRPr="003811B7">
        <w:rPr>
          <w:rFonts w:ascii="Times New Roman" w:hAnsi="Times New Roman"/>
          <w:szCs w:val="24"/>
        </w:rPr>
        <w:t>).</w:t>
      </w:r>
    </w:p>
    <w:p w14:paraId="59CD0DD6"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 Moreover, my study identified that care workers usually have multiple and intersecting reasons for assuming the role of caregiving. This aspect of my research concurs with the work of Sung, Chang and Tsai (2005) and further contributes to the growing literature on the motivation of migrant workers to assume and continue in the role of caregiving.</w:t>
      </w:r>
    </w:p>
    <w:p w14:paraId="2A98A5B5"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Echoing findings reported by Hussein, Manthorpe and Stevens (2011), my study also found that apart from altruistic and economic motives to undertake care work, not all the participants were willing to continue in the role.  Whilst some nurses wanted to carry on with the role long term, others stated that they would consider working in other </w:t>
      </w:r>
      <w:r w:rsidRPr="003811B7">
        <w:rPr>
          <w:rFonts w:ascii="Times New Roman" w:hAnsi="Times New Roman"/>
          <w:szCs w:val="24"/>
        </w:rPr>
        <w:lastRenderedPageBreak/>
        <w:t>mental health services due to the challenging nature of working with PLWD. My research found that the participants working as HCAs, reported that they were only in the role in a temporary capacity and used intersecting motivating reasons as the basis for continuing to work in care in the meantime. However, when you consider their current employment status, in relation to their educational status and previous professional experience, it is not difficult to see why the HCAs would consider this as temporary employment and did not envisage a long-term future or career in care work. Even those who aspired to work as mental health nurses were clear that they did not want to continue to work on a dementia ward, citing the challenging nature of the role amongst other personal reasons.</w:t>
      </w:r>
    </w:p>
    <w:p w14:paraId="3D19D7DD"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The research findings also indicated that although migrants working in the care sector are often assumed to be poorly educated and motivated to come to the UK for economic reasons, my participants were highly educated and were not always motivated by economic reasons. This finding is consistent with previous studies into migrant care workers, for example, Hussein, Stevens and Manthorpe (2010; 2013). However, my findings also suggested that the migrants mostly came to the UK to further their career, using the student visa as a mechanism for migration, while others came to support a spouse or family member. </w:t>
      </w:r>
    </w:p>
    <w:p w14:paraId="237AFB39"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My research also indicated that my participants derived personal satisfaction from their role, however, their stated motives for caring for PLWD did not appear to affect the care they believed they provided</w:t>
      </w:r>
      <w:r>
        <w:rPr>
          <w:rFonts w:ascii="Times New Roman" w:hAnsi="Times New Roman"/>
          <w:szCs w:val="24"/>
        </w:rPr>
        <w:t>,</w:t>
      </w:r>
      <w:r w:rsidRPr="003811B7">
        <w:rPr>
          <w:rFonts w:ascii="Times New Roman" w:hAnsi="Times New Roman"/>
          <w:szCs w:val="24"/>
        </w:rPr>
        <w:t xml:space="preserve"> and these findings resonate with those found in previous studies (Berg and Frost, 2005; Decker, Harris-Kojetin and Bercovitz, 2009; Rakovski and Price-Glynn, 2010). Although working with PLWD is generally construed as challenging, low-paid, and unattractive, majority of those interviewed in this study did not consider their jobs in these terms. Instead, they suggested that they were satisfied with the very notion of helping older adults, something they would willingly have done for family members living in Nigeria without being paid. These characteristics maybe due to being raised in a culture where the family structure acknowledges and values the role of the extended family (Rozario and Rosetti, 2012; Bień </w:t>
      </w:r>
      <w:r w:rsidRPr="00C43E9F">
        <w:rPr>
          <w:rFonts w:ascii="Times New Roman" w:hAnsi="Times New Roman"/>
          <w:i/>
          <w:iCs/>
          <w:szCs w:val="24"/>
        </w:rPr>
        <w:t>et al.</w:t>
      </w:r>
      <w:r w:rsidRPr="003811B7">
        <w:rPr>
          <w:rFonts w:ascii="Times New Roman" w:hAnsi="Times New Roman"/>
          <w:szCs w:val="24"/>
        </w:rPr>
        <w:t>, 2013). In contrast, it was notable that some of those interviewed suggested that they did not derive any personal satisfaction from the role</w:t>
      </w:r>
      <w:r>
        <w:rPr>
          <w:rFonts w:ascii="Times New Roman" w:hAnsi="Times New Roman"/>
          <w:szCs w:val="24"/>
        </w:rPr>
        <w:t>.</w:t>
      </w:r>
      <w:r w:rsidRPr="003811B7">
        <w:rPr>
          <w:rFonts w:ascii="Times New Roman" w:hAnsi="Times New Roman"/>
          <w:szCs w:val="24"/>
        </w:rPr>
        <w:t xml:space="preserve"> </w:t>
      </w:r>
      <w:r>
        <w:rPr>
          <w:rFonts w:ascii="Times New Roman" w:hAnsi="Times New Roman"/>
          <w:szCs w:val="24"/>
        </w:rPr>
        <w:t>T</w:t>
      </w:r>
      <w:r w:rsidRPr="003811B7">
        <w:rPr>
          <w:rFonts w:ascii="Times New Roman" w:hAnsi="Times New Roman"/>
          <w:szCs w:val="24"/>
        </w:rPr>
        <w:t xml:space="preserve">hey took the role as </w:t>
      </w:r>
      <w:r w:rsidRPr="003811B7">
        <w:rPr>
          <w:rFonts w:ascii="Times New Roman" w:hAnsi="Times New Roman"/>
          <w:szCs w:val="24"/>
        </w:rPr>
        <w:lastRenderedPageBreak/>
        <w:t xml:space="preserve">simply a task to be done for financial remuneration (see chapter 8). It could be argued that this approach to care work </w:t>
      </w:r>
      <w:r>
        <w:rPr>
          <w:rFonts w:ascii="Times New Roman" w:hAnsi="Times New Roman"/>
          <w:szCs w:val="24"/>
        </w:rPr>
        <w:t>is</w:t>
      </w:r>
      <w:r w:rsidRPr="003811B7">
        <w:rPr>
          <w:rFonts w:ascii="Times New Roman" w:hAnsi="Times New Roman"/>
          <w:szCs w:val="24"/>
        </w:rPr>
        <w:t xml:space="preserve"> ‘</w:t>
      </w:r>
      <w:r w:rsidRPr="003811B7">
        <w:rPr>
          <w:rFonts w:ascii="Times New Roman" w:hAnsi="Times New Roman"/>
          <w:i/>
          <w:iCs/>
          <w:szCs w:val="24"/>
        </w:rPr>
        <w:t>mechanical’</w:t>
      </w:r>
      <w:r w:rsidRPr="003811B7">
        <w:rPr>
          <w:rFonts w:ascii="Times New Roman" w:hAnsi="Times New Roman"/>
          <w:szCs w:val="24"/>
        </w:rPr>
        <w:t xml:space="preserve"> or ‘</w:t>
      </w:r>
      <w:r w:rsidRPr="003811B7">
        <w:rPr>
          <w:rFonts w:ascii="Times New Roman" w:hAnsi="Times New Roman"/>
          <w:i/>
          <w:iCs/>
          <w:szCs w:val="24"/>
        </w:rPr>
        <w:t>business-like</w:t>
      </w:r>
      <w:r w:rsidRPr="003811B7">
        <w:rPr>
          <w:rFonts w:ascii="Times New Roman" w:hAnsi="Times New Roman"/>
          <w:szCs w:val="24"/>
        </w:rPr>
        <w:t>’</w:t>
      </w:r>
      <w:r>
        <w:rPr>
          <w:rFonts w:ascii="Times New Roman" w:hAnsi="Times New Roman"/>
          <w:szCs w:val="24"/>
        </w:rPr>
        <w:t>,</w:t>
      </w:r>
      <w:r w:rsidRPr="003811B7">
        <w:rPr>
          <w:rFonts w:ascii="Times New Roman" w:hAnsi="Times New Roman"/>
          <w:szCs w:val="24"/>
        </w:rPr>
        <w:t xml:space="preserve"> contradicting the ideal model proposed by Twigg (2000) and McGreevy (2015) </w:t>
      </w:r>
      <w:r>
        <w:rPr>
          <w:rFonts w:ascii="Times New Roman" w:hAnsi="Times New Roman"/>
          <w:szCs w:val="24"/>
        </w:rPr>
        <w:t>who</w:t>
      </w:r>
      <w:r w:rsidRPr="003811B7">
        <w:rPr>
          <w:rFonts w:ascii="Times New Roman" w:hAnsi="Times New Roman"/>
          <w:szCs w:val="24"/>
        </w:rPr>
        <w:t xml:space="preserve"> advocated </w:t>
      </w:r>
      <w:r>
        <w:rPr>
          <w:rFonts w:ascii="Times New Roman" w:hAnsi="Times New Roman"/>
          <w:szCs w:val="24"/>
        </w:rPr>
        <w:t>for</w:t>
      </w:r>
      <w:r w:rsidRPr="003811B7">
        <w:rPr>
          <w:rFonts w:ascii="Times New Roman" w:hAnsi="Times New Roman"/>
          <w:szCs w:val="24"/>
        </w:rPr>
        <w:t xml:space="preserve"> a person-centred approach to </w:t>
      </w:r>
      <w:r>
        <w:rPr>
          <w:rFonts w:ascii="Times New Roman" w:hAnsi="Times New Roman"/>
          <w:szCs w:val="24"/>
        </w:rPr>
        <w:t xml:space="preserve">caring for </w:t>
      </w:r>
      <w:r w:rsidRPr="003811B7">
        <w:rPr>
          <w:rFonts w:ascii="Times New Roman" w:hAnsi="Times New Roman"/>
          <w:szCs w:val="24"/>
        </w:rPr>
        <w:t>PLWD. However, my findings indicate that those care workers who identified the motivation for working with PWLD as being based on non-altruistic rewards (i.e.</w:t>
      </w:r>
      <w:r>
        <w:rPr>
          <w:rFonts w:ascii="Times New Roman" w:hAnsi="Times New Roman"/>
          <w:szCs w:val="24"/>
        </w:rPr>
        <w:t>,</w:t>
      </w:r>
      <w:r w:rsidRPr="003811B7">
        <w:rPr>
          <w:rFonts w:ascii="Times New Roman" w:hAnsi="Times New Roman"/>
          <w:szCs w:val="24"/>
        </w:rPr>
        <w:t xml:space="preserve"> they were motivated by their earning capacity or other material gain) also suggested that they did derive satisfaction from caring and stated that it was this sort of reward (or the combined factors), that was keeping them in the role. This finding concurs with Folbre and Nelson (2000) who argued that people engaged in caring jobs could both be motivated altruistically and out of self-interest. Therefore, while some people may view care work as an avenue to make money and be motivated to remain in the role solely because of the financial reward they receive, much of the literature is based on the ‘compassionate nature discourse’ of caring and theories surrounding emotional labour of the work (Simpson and Acton, 2013). This aspect of care work leads to the next objective of the study, which is discussed next.</w:t>
      </w:r>
    </w:p>
    <w:p w14:paraId="40048D8D" w14:textId="77777777" w:rsidR="0085338E" w:rsidRPr="003811B7" w:rsidRDefault="0085338E" w:rsidP="00AA6A8F">
      <w:pPr>
        <w:pStyle w:val="Heading3"/>
      </w:pPr>
      <w:bookmarkStart w:id="293" w:name="_Toc86417421"/>
      <w:r w:rsidRPr="003811B7">
        <w:t>(b) Understand how Nigerian migrant HCAs and nurses embrace or adapt to the challenges associated with caring for PLWD and the coping strategies they employ.</w:t>
      </w:r>
      <w:bookmarkEnd w:id="293"/>
    </w:p>
    <w:p w14:paraId="09B73DE2" w14:textId="77777777" w:rsidR="0085338E" w:rsidRPr="003811B7" w:rsidRDefault="0085338E" w:rsidP="0085338E">
      <w:pPr>
        <w:jc w:val="both"/>
        <w:rPr>
          <w:rFonts w:ascii="Times New Roman" w:hAnsi="Times New Roman"/>
          <w:b/>
          <w:szCs w:val="24"/>
        </w:rPr>
      </w:pPr>
      <w:r w:rsidRPr="003811B7">
        <w:rPr>
          <w:rFonts w:ascii="Times New Roman" w:hAnsi="Times New Roman"/>
          <w:szCs w:val="24"/>
        </w:rPr>
        <w:t xml:space="preserve">The challenges of caring for PLWD have been well researched (Gospel, 2015; Kokkonen </w:t>
      </w:r>
      <w:r w:rsidRPr="00C43E9F">
        <w:rPr>
          <w:rFonts w:ascii="Times New Roman" w:hAnsi="Times New Roman"/>
          <w:i/>
          <w:iCs/>
          <w:szCs w:val="24"/>
        </w:rPr>
        <w:t>et al.</w:t>
      </w:r>
      <w:r w:rsidRPr="003811B7">
        <w:rPr>
          <w:rFonts w:ascii="Times New Roman" w:hAnsi="Times New Roman"/>
          <w:szCs w:val="24"/>
        </w:rPr>
        <w:t xml:space="preserve">, 2014) and this contributes to the unattractiveness of care work for UK born workers, giving rise to the increased need for migrant workers to fill the well documented gap in care workforce (Aleshkovski, 2016; Hassan </w:t>
      </w:r>
      <w:r w:rsidRPr="00C43E9F">
        <w:rPr>
          <w:rFonts w:ascii="Times New Roman" w:hAnsi="Times New Roman"/>
          <w:i/>
          <w:iCs/>
          <w:szCs w:val="24"/>
        </w:rPr>
        <w:t>et al.</w:t>
      </w:r>
      <w:r w:rsidRPr="003811B7">
        <w:rPr>
          <w:rFonts w:ascii="Times New Roman" w:hAnsi="Times New Roman"/>
          <w:szCs w:val="24"/>
        </w:rPr>
        <w:t xml:space="preserve">, 2017; </w:t>
      </w:r>
      <w:r w:rsidRPr="003811B7">
        <w:rPr>
          <w:rFonts w:ascii="Times New Roman" w:hAnsi="Times New Roman"/>
        </w:rPr>
        <w:t>Ferreira, Brandão and Cardoso, 2020</w:t>
      </w:r>
      <w:r w:rsidRPr="003811B7">
        <w:rPr>
          <w:rFonts w:ascii="Times New Roman" w:hAnsi="Times New Roman"/>
          <w:szCs w:val="24"/>
        </w:rPr>
        <w:t>). This study examined the challenges that my participants specifically faced in their role as nurses or HCAs and the findings provide some insight to how they coped with the challenges.</w:t>
      </w:r>
    </w:p>
    <w:p w14:paraId="55CDAA8B" w14:textId="77777777" w:rsidR="0085338E" w:rsidRDefault="0085338E" w:rsidP="0085338E">
      <w:pPr>
        <w:jc w:val="both"/>
        <w:rPr>
          <w:rFonts w:ascii="Times New Roman" w:hAnsi="Times New Roman"/>
          <w:szCs w:val="24"/>
        </w:rPr>
      </w:pPr>
      <w:r w:rsidRPr="003811B7">
        <w:rPr>
          <w:rFonts w:ascii="Times New Roman" w:hAnsi="Times New Roman"/>
          <w:i/>
          <w:iCs/>
          <w:szCs w:val="24"/>
        </w:rPr>
        <w:t>Challenges of caring for PLWD</w:t>
      </w:r>
      <w:r w:rsidRPr="003811B7">
        <w:rPr>
          <w:rFonts w:ascii="Times New Roman" w:hAnsi="Times New Roman"/>
          <w:szCs w:val="24"/>
        </w:rPr>
        <w:t xml:space="preserve">: There is a recognition of the need to tackle workforce shortages in the NHS and it has been suggested that this requires a holistic approach that acknowledges the factors exacerbating the growing shortage of workers and how best to address them (Sanford, 2013). In the literature, some of the factors implicated in the high turnover rates among professional care workers for PLWD in different care settings as well as the NHS, include low wages, availability of other job opportunities </w:t>
      </w:r>
      <w:r w:rsidRPr="003811B7">
        <w:rPr>
          <w:rFonts w:ascii="Times New Roman" w:hAnsi="Times New Roman"/>
          <w:szCs w:val="24"/>
        </w:rPr>
        <w:lastRenderedPageBreak/>
        <w:t xml:space="preserve">and the demanding nature of the role (Bahareethan and Shah, 2000; Cocco </w:t>
      </w:r>
      <w:r w:rsidRPr="00C43E9F">
        <w:rPr>
          <w:rFonts w:ascii="Times New Roman" w:hAnsi="Times New Roman"/>
          <w:i/>
          <w:iCs/>
          <w:szCs w:val="24"/>
        </w:rPr>
        <w:t>et al.</w:t>
      </w:r>
      <w:r w:rsidRPr="003811B7">
        <w:rPr>
          <w:rFonts w:ascii="Times New Roman" w:hAnsi="Times New Roman"/>
          <w:szCs w:val="24"/>
        </w:rPr>
        <w:t>, 2003; McVicar, 2003; Glasberg, Eriksson and Norberg, 200</w:t>
      </w:r>
      <w:r>
        <w:rPr>
          <w:rFonts w:ascii="Times New Roman" w:hAnsi="Times New Roman"/>
          <w:szCs w:val="24"/>
        </w:rPr>
        <w:t>8</w:t>
      </w:r>
      <w:r w:rsidRPr="003811B7">
        <w:rPr>
          <w:rFonts w:ascii="Times New Roman" w:hAnsi="Times New Roman"/>
          <w:szCs w:val="24"/>
        </w:rPr>
        <w:t xml:space="preserve">; </w:t>
      </w:r>
      <w:r w:rsidRPr="003811B7">
        <w:rPr>
          <w:rFonts w:ascii="Times New Roman" w:hAnsi="Times New Roman"/>
        </w:rPr>
        <w:t>Glasper, 2016</w:t>
      </w:r>
      <w:r w:rsidRPr="003811B7">
        <w:rPr>
          <w:rFonts w:ascii="Times New Roman" w:hAnsi="Times New Roman"/>
          <w:szCs w:val="24"/>
        </w:rPr>
        <w:t>).</w:t>
      </w:r>
    </w:p>
    <w:p w14:paraId="4E146D1D"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However</w:t>
      </w:r>
      <w:r>
        <w:rPr>
          <w:rFonts w:ascii="Times New Roman" w:hAnsi="Times New Roman"/>
          <w:szCs w:val="24"/>
        </w:rPr>
        <w:t>,</w:t>
      </w:r>
      <w:r w:rsidRPr="003811B7">
        <w:rPr>
          <w:rFonts w:ascii="Times New Roman" w:hAnsi="Times New Roman"/>
          <w:szCs w:val="24"/>
        </w:rPr>
        <w:t xml:space="preserve"> caring for PLWD (as a family or a paid carer) is often characterised as being distinctive and one involving the potential for both positive and negative outcomes (</w:t>
      </w:r>
      <w:r w:rsidRPr="003811B7">
        <w:rPr>
          <w:rFonts w:ascii="Times New Roman" w:hAnsi="Times New Roman"/>
          <w:szCs w:val="24"/>
          <w:lang w:val="en"/>
        </w:rPr>
        <w:t xml:space="preserve">Cohen, Colantonio and Vernich, 2002; </w:t>
      </w:r>
      <w:r w:rsidRPr="003811B7">
        <w:rPr>
          <w:rFonts w:ascii="Times New Roman" w:hAnsi="Times New Roman"/>
          <w:szCs w:val="24"/>
        </w:rPr>
        <w:t xml:space="preserve">Hatton and Emerson, 2003; Blacher, Neece and Paczkowski, 2005; Roth, Fredman and Haley, 2015). Furthermore, research suggests that care workers adopt different strategies to cope (Iavarone </w:t>
      </w:r>
      <w:r w:rsidRPr="00C43E9F">
        <w:rPr>
          <w:rFonts w:ascii="Times New Roman" w:hAnsi="Times New Roman"/>
          <w:i/>
          <w:iCs/>
          <w:szCs w:val="24"/>
        </w:rPr>
        <w:t>et al.</w:t>
      </w:r>
      <w:r w:rsidRPr="003811B7">
        <w:rPr>
          <w:rFonts w:ascii="Times New Roman" w:hAnsi="Times New Roman"/>
          <w:szCs w:val="24"/>
        </w:rPr>
        <w:t xml:space="preserve">, 2014; Kokkonen </w:t>
      </w:r>
      <w:r w:rsidRPr="00C43E9F">
        <w:rPr>
          <w:rFonts w:ascii="Times New Roman" w:hAnsi="Times New Roman"/>
          <w:i/>
          <w:iCs/>
          <w:szCs w:val="24"/>
        </w:rPr>
        <w:t>et al.</w:t>
      </w:r>
      <w:r w:rsidRPr="003811B7">
        <w:rPr>
          <w:rFonts w:ascii="Times New Roman" w:hAnsi="Times New Roman"/>
          <w:szCs w:val="24"/>
        </w:rPr>
        <w:t xml:space="preserve">, 2014) with the challenges (stress and strain) of their role, which may include problem-focused, emotional-focused and avoidance coping strategies depending on their appraisal of the role as difficult or rewarding (McWilliams, Cox and Enns, 2003; Cooper </w:t>
      </w:r>
      <w:r w:rsidRPr="00C43E9F">
        <w:rPr>
          <w:rFonts w:ascii="Times New Roman" w:hAnsi="Times New Roman"/>
          <w:i/>
          <w:iCs/>
          <w:szCs w:val="24"/>
        </w:rPr>
        <w:t>et al.</w:t>
      </w:r>
      <w:r w:rsidRPr="003811B7">
        <w:rPr>
          <w:rFonts w:ascii="Times New Roman" w:hAnsi="Times New Roman"/>
          <w:szCs w:val="24"/>
        </w:rPr>
        <w:t xml:space="preserve">, 2008; Li </w:t>
      </w:r>
      <w:r w:rsidRPr="00C43E9F">
        <w:rPr>
          <w:rFonts w:ascii="Times New Roman" w:hAnsi="Times New Roman"/>
          <w:i/>
          <w:iCs/>
          <w:szCs w:val="24"/>
        </w:rPr>
        <w:t>et al.</w:t>
      </w:r>
      <w:r w:rsidRPr="003811B7">
        <w:rPr>
          <w:rFonts w:ascii="Times New Roman" w:hAnsi="Times New Roman"/>
          <w:szCs w:val="24"/>
        </w:rPr>
        <w:t>, 2012).</w:t>
      </w:r>
    </w:p>
    <w:p w14:paraId="00AACA7B"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Findings from my study support existing literature on professional care workers and indicated that the participants did indeed used a range of strategies to cope with the challenges they identified with caring for PLWD, and this thesis makes these following four contributions to extend knowledge:</w:t>
      </w:r>
    </w:p>
    <w:p w14:paraId="3326751A"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Strategies to cope:</w:t>
      </w:r>
      <w:r w:rsidRPr="003811B7">
        <w:rPr>
          <w:rFonts w:ascii="Times New Roman" w:hAnsi="Times New Roman"/>
          <w:szCs w:val="24"/>
        </w:rPr>
        <w:t xml:space="preserve"> Firstly, my findings suggest that the participants devised a range of strategies to cope with the demands of the role depending on the nature of the stressor. They utilised problem-focused strategies, emotional-focused strategies and avoidance strategies and these findings resonate with earlier research (Todd and Watts, 2005; Chien </w:t>
      </w:r>
      <w:r w:rsidRPr="00C43E9F">
        <w:rPr>
          <w:rFonts w:ascii="Times New Roman" w:hAnsi="Times New Roman"/>
          <w:i/>
          <w:iCs/>
          <w:szCs w:val="24"/>
        </w:rPr>
        <w:t>et al.</w:t>
      </w:r>
      <w:r w:rsidRPr="003811B7">
        <w:rPr>
          <w:rFonts w:ascii="Times New Roman" w:hAnsi="Times New Roman"/>
          <w:szCs w:val="24"/>
        </w:rPr>
        <w:t xml:space="preserve">, 2011; Gilhooly </w:t>
      </w:r>
      <w:r w:rsidRPr="00C43E9F">
        <w:rPr>
          <w:rFonts w:ascii="Times New Roman" w:hAnsi="Times New Roman"/>
          <w:i/>
          <w:iCs/>
          <w:szCs w:val="24"/>
        </w:rPr>
        <w:t>et al.</w:t>
      </w:r>
      <w:r w:rsidRPr="003811B7">
        <w:rPr>
          <w:rFonts w:ascii="Times New Roman" w:hAnsi="Times New Roman"/>
          <w:szCs w:val="24"/>
        </w:rPr>
        <w:t xml:space="preserve">, 2016). For instance, when dealing with problem of behaviour on the wards, interviewees prioritised the importance of knowing the patients, their presentations, and triggers, which they considered essential to managing challenging behaviours. This concept of knowing the patients has been reported in other studies (Rasin and Kautz, 2007; Tadd </w:t>
      </w:r>
      <w:r w:rsidRPr="00C43E9F">
        <w:rPr>
          <w:rFonts w:ascii="Times New Roman" w:hAnsi="Times New Roman"/>
          <w:i/>
          <w:iCs/>
          <w:szCs w:val="24"/>
        </w:rPr>
        <w:t>et al.</w:t>
      </w:r>
      <w:r w:rsidRPr="003811B7">
        <w:rPr>
          <w:rFonts w:ascii="Times New Roman" w:hAnsi="Times New Roman"/>
          <w:szCs w:val="24"/>
        </w:rPr>
        <w:t xml:space="preserve">, 2011; Dewing, 2014; Zahran </w:t>
      </w:r>
      <w:r w:rsidRPr="00C43E9F">
        <w:rPr>
          <w:rFonts w:ascii="Times New Roman" w:hAnsi="Times New Roman"/>
          <w:i/>
          <w:iCs/>
          <w:szCs w:val="24"/>
        </w:rPr>
        <w:t>et al.</w:t>
      </w:r>
      <w:r w:rsidRPr="003811B7">
        <w:rPr>
          <w:rFonts w:ascii="Times New Roman" w:hAnsi="Times New Roman"/>
          <w:szCs w:val="24"/>
        </w:rPr>
        <w:t xml:space="preserve">, 2016), with respect to providing person-centred care. My findings suggest that care workers considered knowing the patients as a way to cope with the behavioural presentations of PLWD, and this fits with the problem-focused approach of coping (Cooper </w:t>
      </w:r>
      <w:r w:rsidRPr="00C43E9F">
        <w:rPr>
          <w:rFonts w:ascii="Times New Roman" w:hAnsi="Times New Roman"/>
          <w:i/>
          <w:iCs/>
          <w:szCs w:val="24"/>
        </w:rPr>
        <w:t>et al.</w:t>
      </w:r>
      <w:r w:rsidRPr="003811B7">
        <w:rPr>
          <w:rFonts w:ascii="Times New Roman" w:hAnsi="Times New Roman"/>
          <w:szCs w:val="24"/>
        </w:rPr>
        <w:t xml:space="preserve">, 2008; Gray-Stanley and Muramatsu, 2011; Perkins and Hewitt, 2016). However, the dilemma of trying to know the patients as an NHS bank staff on a zero-hours contract raises further questions about the complex challenges of providing person-centred care </w:t>
      </w:r>
      <w:r w:rsidRPr="003811B7">
        <w:rPr>
          <w:rFonts w:ascii="Times New Roman" w:hAnsi="Times New Roman"/>
          <w:szCs w:val="24"/>
        </w:rPr>
        <w:lastRenderedPageBreak/>
        <w:t xml:space="preserve">without adequate knowledge of the patients. The rate of turnover of patients in the NHS inpatient older adult unit in comparison to residential homes and other care settings, makes it difficult for staff on zero-hours contract </w:t>
      </w:r>
      <w:bookmarkStart w:id="294" w:name="_Hlk50038372"/>
      <w:r w:rsidRPr="003811B7">
        <w:rPr>
          <w:rFonts w:ascii="Times New Roman" w:hAnsi="Times New Roman"/>
          <w:szCs w:val="24"/>
        </w:rPr>
        <w:t>to get to know the patients so they can better care for them.</w:t>
      </w:r>
      <w:bookmarkEnd w:id="294"/>
    </w:p>
    <w:p w14:paraId="6567248F"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Despite the challenges they faced, most of the participants also used emotional and avoidance/denial coping strategies to cope with the demands of their role. They ‘shrugged it off’ as not challenging enough while others chose to endure the challenges they face. They developed a pre-determined mind-set that the role is inherently difficult and had the belief that once they left their workplace, they left the stress behind. These findings are consistent with those reported in previous studies (Almberg, Grafstrom and Winblad, 1997; Quayhagen and Quayhagen 199</w:t>
      </w:r>
      <w:r>
        <w:rPr>
          <w:rFonts w:ascii="Times New Roman" w:hAnsi="Times New Roman"/>
          <w:szCs w:val="24"/>
        </w:rPr>
        <w:t>6</w:t>
      </w:r>
      <w:r w:rsidRPr="003811B7">
        <w:rPr>
          <w:rFonts w:ascii="Times New Roman" w:hAnsi="Times New Roman"/>
          <w:szCs w:val="24"/>
        </w:rPr>
        <w:t>; Ingebretsen and Solem 2002; Stanton</w:t>
      </w:r>
      <w:r>
        <w:rPr>
          <w:rFonts w:ascii="Times New Roman" w:hAnsi="Times New Roman"/>
          <w:szCs w:val="24"/>
        </w:rPr>
        <w:t xml:space="preserve">, </w:t>
      </w:r>
      <w:r w:rsidRPr="00FD5752">
        <w:rPr>
          <w:rFonts w:ascii="Times New Roman" w:hAnsi="Times New Roman"/>
          <w:szCs w:val="24"/>
        </w:rPr>
        <w:t>Revenson</w:t>
      </w:r>
      <w:r>
        <w:rPr>
          <w:rFonts w:ascii="Times New Roman" w:hAnsi="Times New Roman"/>
          <w:szCs w:val="24"/>
        </w:rPr>
        <w:t xml:space="preserve"> and</w:t>
      </w:r>
      <w:r w:rsidRPr="00FD5752">
        <w:rPr>
          <w:rFonts w:ascii="Times New Roman" w:hAnsi="Times New Roman"/>
          <w:szCs w:val="24"/>
        </w:rPr>
        <w:t xml:space="preserve"> Tennen</w:t>
      </w:r>
      <w:r w:rsidRPr="003811B7">
        <w:rPr>
          <w:rFonts w:ascii="Times New Roman" w:hAnsi="Times New Roman"/>
          <w:szCs w:val="24"/>
        </w:rPr>
        <w:t xml:space="preserve">, 2007; Devereux </w:t>
      </w:r>
      <w:r w:rsidRPr="00C43E9F">
        <w:rPr>
          <w:rFonts w:ascii="Times New Roman" w:hAnsi="Times New Roman"/>
          <w:i/>
          <w:iCs/>
          <w:szCs w:val="24"/>
        </w:rPr>
        <w:t>et al.</w:t>
      </w:r>
      <w:r w:rsidRPr="003811B7">
        <w:rPr>
          <w:rFonts w:ascii="Times New Roman" w:hAnsi="Times New Roman"/>
          <w:szCs w:val="24"/>
        </w:rPr>
        <w:t>, 2009). Their use of these strategies to cope might be attributed to their appraisal of the difficulties they encountered in the role. For instance, most of my participants noted that the nature of the extended family structure in which they were raised in Nigeria made them want to care for older adults because back in Nigeria, it is what they would have done without expecting to be paid. This finding highlights the emotional and cultural connections that my participants drew upon and their normal traditional and communal expectation of care responsibility in Nigeria and this may have influenced their perceptions of their roles as nurses and HCAs, caring for PLWD in the NHS.</w:t>
      </w:r>
    </w:p>
    <w:p w14:paraId="40F27D8B" w14:textId="60F1629E"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It is also worth noting that while this study did not set out to specifically examine the role of gender in the appraisal of caregiving challenges, my analysis suggests that female Nigerian migrant care workers were more open to speak about the physical and psychological challenges they faced in the role compared to their male counterparts. This is congruent with other research on traditional masculine norms in which men experience the cultural expectations placed on them as men (Revenson </w:t>
      </w:r>
      <w:r w:rsidRPr="00C43E9F">
        <w:rPr>
          <w:rFonts w:ascii="Times New Roman" w:hAnsi="Times New Roman"/>
          <w:i/>
          <w:iCs/>
          <w:szCs w:val="24"/>
        </w:rPr>
        <w:t>et al.</w:t>
      </w:r>
      <w:r w:rsidRPr="003811B7">
        <w:rPr>
          <w:rFonts w:ascii="Times New Roman" w:hAnsi="Times New Roman"/>
          <w:szCs w:val="24"/>
        </w:rPr>
        <w:t>, 2016</w:t>
      </w:r>
      <w:r w:rsidR="005D48C9">
        <w:rPr>
          <w:rFonts w:ascii="Times New Roman" w:hAnsi="Times New Roman"/>
          <w:szCs w:val="24"/>
        </w:rPr>
        <w:t>b</w:t>
      </w:r>
      <w:r>
        <w:rPr>
          <w:rFonts w:ascii="Times New Roman" w:hAnsi="Times New Roman"/>
          <w:szCs w:val="24"/>
        </w:rPr>
        <w:t>;</w:t>
      </w:r>
      <w:r w:rsidRPr="003811B7">
        <w:rPr>
          <w:rFonts w:ascii="Times New Roman" w:hAnsi="Times New Roman"/>
          <w:szCs w:val="24"/>
        </w:rPr>
        <w:t xml:space="preserve"> Mincey </w:t>
      </w:r>
      <w:r w:rsidRPr="00C43E9F">
        <w:rPr>
          <w:rFonts w:ascii="Times New Roman" w:hAnsi="Times New Roman"/>
          <w:i/>
          <w:iCs/>
          <w:szCs w:val="24"/>
        </w:rPr>
        <w:t>et al.</w:t>
      </w:r>
      <w:r w:rsidRPr="003811B7">
        <w:rPr>
          <w:rFonts w:ascii="Times New Roman" w:hAnsi="Times New Roman"/>
          <w:szCs w:val="24"/>
        </w:rPr>
        <w:t>, 2015). As some of my participants noted, the belief commonly held in Nigeria that men should not show any sign of weakness might explain why most of my male participants appeared to not acknowledge the impact of caring for PLWD on them.</w:t>
      </w:r>
    </w:p>
    <w:p w14:paraId="31C71BC2" w14:textId="55A962CB" w:rsidR="0085338E" w:rsidRPr="003811B7" w:rsidRDefault="0085338E" w:rsidP="0085338E">
      <w:pPr>
        <w:jc w:val="both"/>
        <w:rPr>
          <w:rFonts w:ascii="Times New Roman" w:hAnsi="Times New Roman"/>
          <w:szCs w:val="24"/>
        </w:rPr>
      </w:pPr>
      <w:r w:rsidRPr="003811B7">
        <w:rPr>
          <w:rFonts w:ascii="Times New Roman" w:hAnsi="Times New Roman"/>
          <w:szCs w:val="24"/>
        </w:rPr>
        <w:lastRenderedPageBreak/>
        <w:t>My findings also showed a further challenge because of the relationship between gender and caregiving</w:t>
      </w:r>
      <w:r>
        <w:rPr>
          <w:rFonts w:ascii="Times New Roman" w:hAnsi="Times New Roman"/>
          <w:szCs w:val="24"/>
        </w:rPr>
        <w:t>,</w:t>
      </w:r>
      <w:r w:rsidRPr="003811B7">
        <w:rPr>
          <w:rFonts w:ascii="Times New Roman" w:hAnsi="Times New Roman"/>
          <w:szCs w:val="24"/>
        </w:rPr>
        <w:t xml:space="preserve"> and it highlighted how the male care workers experienced ‘body work’ (i.e.</w:t>
      </w:r>
      <w:r>
        <w:rPr>
          <w:rFonts w:ascii="Times New Roman" w:hAnsi="Times New Roman"/>
          <w:szCs w:val="24"/>
        </w:rPr>
        <w:t>,</w:t>
      </w:r>
      <w:r w:rsidRPr="003811B7">
        <w:rPr>
          <w:rFonts w:ascii="Times New Roman" w:hAnsi="Times New Roman"/>
          <w:szCs w:val="24"/>
        </w:rPr>
        <w:t xml:space="preserve"> personal care) involved in dementia caregiving. This is consistent with previous research, which attributes this to the challenge men face when they take jobs traditionally </w:t>
      </w:r>
      <w:r>
        <w:rPr>
          <w:rFonts w:ascii="Times New Roman" w:hAnsi="Times New Roman"/>
          <w:szCs w:val="24"/>
        </w:rPr>
        <w:t>reserved for</w:t>
      </w:r>
      <w:r w:rsidRPr="003811B7">
        <w:rPr>
          <w:rFonts w:ascii="Times New Roman" w:hAnsi="Times New Roman"/>
          <w:szCs w:val="24"/>
        </w:rPr>
        <w:t xml:space="preserve"> women in most cultures (Revenson </w:t>
      </w:r>
      <w:r w:rsidRPr="00C43E9F">
        <w:rPr>
          <w:rFonts w:ascii="Times New Roman" w:hAnsi="Times New Roman"/>
          <w:i/>
          <w:iCs/>
          <w:szCs w:val="24"/>
        </w:rPr>
        <w:t>et al.</w:t>
      </w:r>
      <w:r w:rsidRPr="003811B7">
        <w:rPr>
          <w:rFonts w:ascii="Times New Roman" w:hAnsi="Times New Roman"/>
          <w:szCs w:val="24"/>
        </w:rPr>
        <w:t>, 2016</w:t>
      </w:r>
      <w:r w:rsidR="005D48C9">
        <w:rPr>
          <w:rFonts w:ascii="Times New Roman" w:hAnsi="Times New Roman"/>
          <w:szCs w:val="24"/>
        </w:rPr>
        <w:t>b</w:t>
      </w:r>
      <w:r w:rsidRPr="003811B7">
        <w:rPr>
          <w:rFonts w:ascii="Times New Roman" w:hAnsi="Times New Roman"/>
          <w:szCs w:val="24"/>
        </w:rPr>
        <w:t>).  My findings also suggested that while both male and female care workers experience some form of challenges in their role, female care workers seemed to be more open to talk about their challenging experiences, whereas their male counterpart were more likely to downplay the severity of the challenges they face, and this is a unique contribution to knowledge as it points to intersection of gender expectations in care work as well as gender and culture.</w:t>
      </w:r>
    </w:p>
    <w:p w14:paraId="3E80A849"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Coping techniques:</w:t>
      </w:r>
      <w:r w:rsidRPr="003811B7">
        <w:rPr>
          <w:rFonts w:ascii="Times New Roman" w:hAnsi="Times New Roman"/>
          <w:szCs w:val="24"/>
        </w:rPr>
        <w:t xml:space="preserve"> Secondly, my participants reported not using available formal support services but opted to deal with the challenges they encountered while working on the job, using self-help coping techniques. This might be due to the differences in care workers’ appraisal of the challenging nature of caregiving. Although, all the nurses and HCAs cited different challenges they faced in the role, many did not consider their role challenging enough to demand the use of formal support. This resonates with previous research on the appraisal of workplace stress (Abuatiq, 2015; Hazelhof </w:t>
      </w:r>
      <w:r w:rsidRPr="00C43E9F">
        <w:rPr>
          <w:rFonts w:ascii="Times New Roman" w:hAnsi="Times New Roman"/>
          <w:i/>
          <w:iCs/>
          <w:szCs w:val="24"/>
        </w:rPr>
        <w:t>et al.</w:t>
      </w:r>
      <w:r w:rsidRPr="003811B7">
        <w:rPr>
          <w:rFonts w:ascii="Times New Roman" w:hAnsi="Times New Roman"/>
          <w:szCs w:val="24"/>
        </w:rPr>
        <w:t>, 2016).</w:t>
      </w:r>
    </w:p>
    <w:p w14:paraId="68C4C4F2"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Racism in the workplace:</w:t>
      </w:r>
      <w:r w:rsidRPr="003811B7">
        <w:rPr>
          <w:rFonts w:ascii="Times New Roman" w:hAnsi="Times New Roman"/>
          <w:szCs w:val="24"/>
        </w:rPr>
        <w:t xml:space="preserve"> While I did not set out to examine racism in the NHS, my study found that racism and workplace discrimination was the most common cited challenge that my participants faced despite legislation and NHS policy on equality and diversity (West, Dawson and Kaur, 2015). </w:t>
      </w:r>
    </w:p>
    <w:p w14:paraId="5FC45C3E"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There has been a concerted effort against all forms of racism/discrimination in the workplace and the NHS has been at the fore front of this campaign (NHS England, 2020). However, despite the remarkable progress that has been made over the years, more still needs to be done (</w:t>
      </w:r>
      <w:r w:rsidRPr="003811B7">
        <w:rPr>
          <w:rFonts w:ascii="Times New Roman" w:hAnsi="Times New Roman"/>
        </w:rPr>
        <w:t>McKay and Avery, 2015</w:t>
      </w:r>
      <w:r w:rsidRPr="003811B7">
        <w:rPr>
          <w:rFonts w:ascii="Times New Roman" w:hAnsi="Times New Roman"/>
          <w:szCs w:val="24"/>
        </w:rPr>
        <w:t xml:space="preserve">). As my findings highlight, workers still experience racism both overt and covert. In the context of my study, my participants experienced workplace racism and it was interesting to note that regardless </w:t>
      </w:r>
      <w:r w:rsidRPr="003811B7">
        <w:rPr>
          <w:rFonts w:ascii="Times New Roman" w:hAnsi="Times New Roman"/>
          <w:szCs w:val="24"/>
        </w:rPr>
        <w:lastRenderedPageBreak/>
        <w:t xml:space="preserve">of the NHS drive to address this perennial issue, there were evidence that current approach to tackle it is ineffective.  </w:t>
      </w:r>
    </w:p>
    <w:p w14:paraId="0B1398AF" w14:textId="025FCC21" w:rsidR="0085338E" w:rsidRPr="003811B7" w:rsidRDefault="0085338E" w:rsidP="0085338E">
      <w:pPr>
        <w:jc w:val="both"/>
        <w:rPr>
          <w:rFonts w:ascii="Times New Roman" w:hAnsi="Times New Roman"/>
          <w:szCs w:val="24"/>
        </w:rPr>
      </w:pPr>
      <w:r w:rsidRPr="003811B7">
        <w:rPr>
          <w:rFonts w:ascii="Times New Roman" w:hAnsi="Times New Roman"/>
          <w:szCs w:val="24"/>
        </w:rPr>
        <w:t>In broad comparison, my participant reported more experiences of covert than overt forms of racism. Although all forms of racism are bad and illegal (Equality Act, 2010; DoH, 201</w:t>
      </w:r>
      <w:r w:rsidR="00DF6D5B">
        <w:rPr>
          <w:rFonts w:ascii="Times New Roman" w:hAnsi="Times New Roman"/>
          <w:szCs w:val="24"/>
        </w:rPr>
        <w:t>2</w:t>
      </w:r>
      <w:r w:rsidRPr="003811B7">
        <w:rPr>
          <w:rFonts w:ascii="Times New Roman" w:hAnsi="Times New Roman"/>
          <w:szCs w:val="24"/>
        </w:rPr>
        <w:t>; Department of Health and Social Care, 2019), covert forms of racism are more difficult to prove and problematic to tackle (McKay and Avery, 2015). However, my participants experienced overt racism from some of their patients, which they attributed to the patient’s mental state and illness presentation. However, my participants were much more concerned about the covert or subtle forms of racial discriminations that they experienced from fellow colleagues and the family members of care recipients.</w:t>
      </w:r>
    </w:p>
    <w:p w14:paraId="09D5231B"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In relation to their experience of racism, there are a few crucial points to note. First, the likelihood of my participants reporting an experience of racism against them appears to depend on the type of employment contract that they held. Staff on permanent contracts and therefore more secure were more likely to be vocal against perceived discrimination than those on temporary bank contract. Care workers hesitation to report or address racist abuse and discrimination against them might be due to the lack of guaranteed work hours which makes them unwilling to challenge those behaviour for fear of being seen as a troublemaker (Ravalier </w:t>
      </w:r>
      <w:r w:rsidRPr="00C43E9F">
        <w:rPr>
          <w:rFonts w:ascii="Times New Roman" w:hAnsi="Times New Roman"/>
          <w:i/>
          <w:iCs/>
          <w:szCs w:val="24"/>
        </w:rPr>
        <w:t>et al.</w:t>
      </w:r>
      <w:r w:rsidRPr="003811B7">
        <w:rPr>
          <w:rFonts w:ascii="Times New Roman" w:hAnsi="Times New Roman"/>
          <w:szCs w:val="24"/>
        </w:rPr>
        <w:t>, 2017).</w:t>
      </w:r>
    </w:p>
    <w:p w14:paraId="50B078C2"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Most of my participants narrated their experiences and how they handled it. Although previous studies have also reported this as a challenge (Stevens, Hussein and Manthorpe, 2012; Rimmer, 2019), this study makes an original contribution to knowledge as it highlights the attitude of my participants towards racist activities targeted at them. Besides ignoring it, ‘shrugging it off’, as something they have become used to, there was a general lack of willingness by the participants to report the incidence of racism or discrimination, which counters the NHS policy against discrimination. This is consistent with previous findings (Allan </w:t>
      </w:r>
      <w:r w:rsidRPr="00C43E9F">
        <w:rPr>
          <w:rFonts w:ascii="Times New Roman" w:hAnsi="Times New Roman"/>
          <w:i/>
          <w:iCs/>
          <w:szCs w:val="24"/>
        </w:rPr>
        <w:t>et al.</w:t>
      </w:r>
      <w:r w:rsidRPr="003811B7">
        <w:rPr>
          <w:rFonts w:ascii="Times New Roman" w:hAnsi="Times New Roman"/>
          <w:szCs w:val="24"/>
        </w:rPr>
        <w:t>, 2004; Allan, Cowie and Smith, 2009).</w:t>
      </w:r>
    </w:p>
    <w:p w14:paraId="1D157BED"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This study therefore makes a fresh contribution to the discussion around workplace racism and discrimination (Cangiano </w:t>
      </w:r>
      <w:r w:rsidRPr="00C43E9F">
        <w:rPr>
          <w:rFonts w:ascii="Times New Roman" w:hAnsi="Times New Roman"/>
          <w:i/>
          <w:iCs/>
          <w:szCs w:val="24"/>
        </w:rPr>
        <w:t>et al.</w:t>
      </w:r>
      <w:r w:rsidRPr="003811B7">
        <w:rPr>
          <w:rFonts w:ascii="Times New Roman" w:hAnsi="Times New Roman"/>
          <w:szCs w:val="24"/>
        </w:rPr>
        <w:t xml:space="preserve">, 2009; Sahraoui, 2011; Anderson and </w:t>
      </w:r>
      <w:r w:rsidRPr="003811B7">
        <w:rPr>
          <w:rFonts w:ascii="Times New Roman" w:hAnsi="Times New Roman"/>
          <w:szCs w:val="24"/>
        </w:rPr>
        <w:lastRenderedPageBreak/>
        <w:t xml:space="preserve">Shutes, 2014), because it outlines how the Nigerian migrant care workers dealt with the racist and discriminatory behaviours they experienced. Apart from excusing the behaviour, they also expressed indifference and lack of enthusiasm towards addressing it. As the study suggests, they appeared unenthusiastic because they did not want to jeopardise their opportunity to continue to work on the ward, being bank staff and this might have contributed to entrenching this attitude (Stevens, Hussein and Manthorpe, 2012; Moore and Tailby, 2015; Tailby, 2015). This finding has implications for the nature of work employment contracts and the overall commitment of the NHS to tackling workplace racism and discrimination. </w:t>
      </w:r>
    </w:p>
    <w:p w14:paraId="5C3FF795"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Another key point worth noting is the role of the participants’ employment status. Most of the participants in this study were bank staff (not on a permanent work contract), this usually meant that the staff were working on a zero-hours contracts. Sixteen of the twenty-one participants interviewed were bank staff while the other eight were on a permanent contract. Care workers who were bank staff appeared to express unwillingness to report incidence of discrimination compared to those on permanent contract who were more willing to report incidences. This might be due to the unstable nature of zero-hours contracts, where getting a job is not guaranteed and if a member of staff is viewed by others as being problematic, they may not be booked to work on the ward again. The finding might also be related to the care workers’ lack of a sense of belonging and a feeling of being excluded from the NHS ward.</w:t>
      </w:r>
    </w:p>
    <w:p w14:paraId="20580279" w14:textId="4ACC9A17" w:rsidR="0085338E" w:rsidRPr="003811B7" w:rsidRDefault="0085338E" w:rsidP="0085338E">
      <w:pPr>
        <w:jc w:val="both"/>
        <w:rPr>
          <w:rFonts w:ascii="Times New Roman" w:hAnsi="Times New Roman"/>
          <w:szCs w:val="24"/>
        </w:rPr>
      </w:pPr>
      <w:r w:rsidRPr="003811B7">
        <w:rPr>
          <w:rFonts w:ascii="Times New Roman" w:hAnsi="Times New Roman"/>
          <w:szCs w:val="24"/>
        </w:rPr>
        <w:t>In addition, my study suggests that one of the reasons for this may be because the participants saw themselves as ‘</w:t>
      </w:r>
      <w:r w:rsidRPr="003811B7">
        <w:rPr>
          <w:rFonts w:ascii="Times New Roman" w:hAnsi="Times New Roman"/>
          <w:i/>
          <w:iCs/>
          <w:szCs w:val="24"/>
        </w:rPr>
        <w:t>visitors’</w:t>
      </w:r>
      <w:r w:rsidRPr="003811B7">
        <w:rPr>
          <w:rFonts w:ascii="Times New Roman" w:hAnsi="Times New Roman"/>
          <w:szCs w:val="24"/>
        </w:rPr>
        <w:t xml:space="preserve"> in the country and also because of their current visa status, they were unwilling to report incidences of perceived racism and discrimination against them. Nigerian migrant care workers may be unwilling to report incidences of racism because they feel like strangers in the UK and therefore chose to ignore such activities, as one of the participants (Kemdo) puts it, with reference to fellow workers and family members of care recipients showing racist attitude towards him, “…</w:t>
      </w:r>
      <w:r w:rsidRPr="003811B7">
        <w:rPr>
          <w:rFonts w:ascii="Times New Roman" w:hAnsi="Times New Roman"/>
          <w:i/>
          <w:szCs w:val="24"/>
        </w:rPr>
        <w:t>it is their country</w:t>
      </w:r>
      <w:r w:rsidRPr="003811B7">
        <w:rPr>
          <w:rFonts w:ascii="Times New Roman" w:hAnsi="Times New Roman"/>
          <w:szCs w:val="24"/>
        </w:rPr>
        <w:t>…” This also indicates the link between an individual and their migration status and how they dealt with the incidence of racism and discrimination targeted against them.</w:t>
      </w:r>
    </w:p>
    <w:p w14:paraId="6B63B27F" w14:textId="77777777" w:rsidR="0085338E" w:rsidRPr="003811B7" w:rsidRDefault="0085338E" w:rsidP="00AA6A8F">
      <w:pPr>
        <w:pStyle w:val="Heading3"/>
      </w:pPr>
      <w:bookmarkStart w:id="295" w:name="_Toc86417422"/>
      <w:r w:rsidRPr="003811B7">
        <w:lastRenderedPageBreak/>
        <w:t>(c) Identify what common cultural beliefs about dementia are held by Nigerian migrant HCAs and nurses and examine how the identified cultural beliefs influence their care for PLWD.</w:t>
      </w:r>
      <w:bookmarkEnd w:id="295"/>
    </w:p>
    <w:p w14:paraId="6AC3AA78"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The continuous entrance of migrant worker into care within the NHS and other care settings demands an examination of their cultural beliefs because of the potential influence it might have on care for PLWD (see chapter 4). This study examined the cultural views held by Nigerian migrant nurses and HCAs working in an NHS ward. The study findings contribute to extend the understanding of value of dementia training and age-simulation suit in changing beliefs and inspiring empathy in the care for people with dementia. They are examined further below. </w:t>
      </w:r>
    </w:p>
    <w:p w14:paraId="6F6FB301" w14:textId="48577E37" w:rsidR="0085338E" w:rsidRPr="003811B7" w:rsidRDefault="0085338E" w:rsidP="0085338E">
      <w:pPr>
        <w:jc w:val="both"/>
        <w:rPr>
          <w:rFonts w:ascii="Times New Roman" w:hAnsi="Times New Roman"/>
          <w:szCs w:val="24"/>
        </w:rPr>
      </w:pPr>
      <w:r w:rsidRPr="003811B7">
        <w:rPr>
          <w:rFonts w:ascii="Times New Roman" w:hAnsi="Times New Roman"/>
          <w:i/>
          <w:szCs w:val="24"/>
        </w:rPr>
        <w:t>The value of training in changing beliefs about dementia:</w:t>
      </w:r>
      <w:r w:rsidRPr="003811B7">
        <w:rPr>
          <w:rFonts w:ascii="Times New Roman" w:hAnsi="Times New Roman"/>
          <w:szCs w:val="24"/>
        </w:rPr>
        <w:t xml:space="preserve"> Previous studies (Pinquart and Sörensen, 2005; Sun, Ong and Burnette, 2012) have highlighted the range of the ‘folk beliefs’ of dementia commonly held prior to the current biomedical model, which appears to be the dominant explanatory model in many Western countries. Folk beliefs, which pre-date more recent models for explaining dementia, are viewed as outdated and not helpful to understanding the condition because it is often suggested that they emerged from a lack of understanding of the condition (Livingston </w:t>
      </w:r>
      <w:r w:rsidRPr="00C43E9F">
        <w:rPr>
          <w:rFonts w:ascii="Times New Roman" w:hAnsi="Times New Roman"/>
          <w:i/>
          <w:iCs/>
          <w:szCs w:val="24"/>
        </w:rPr>
        <w:t>et al.</w:t>
      </w:r>
      <w:r w:rsidRPr="003811B7">
        <w:rPr>
          <w:rFonts w:ascii="Times New Roman" w:hAnsi="Times New Roman"/>
          <w:szCs w:val="24"/>
        </w:rPr>
        <w:t xml:space="preserve">, 2017) and my own findings also reiterate this perspective. My study provides an emic view of Nigerian migrants’ subjective view of the changes they had in their understanding of dementia upon working as care workers and nurses in the UK. However, this study contributes to knowledge because it highlights the usefulness of ‘dementia training’, in changing the cultural beliefs and perceptions/orientations about dementia originally held by the respondents (although some of the nurses had received training in Nigeria) and most of the participants considered it to be very useful in broadening their understanding of the condition. This finding is consistent with earlier research on the value of training in the understanding of dementia (Prince, Prina and Guerchet, 2013; Smythe </w:t>
      </w:r>
      <w:r w:rsidRPr="00C43E9F">
        <w:rPr>
          <w:rFonts w:ascii="Times New Roman" w:hAnsi="Times New Roman"/>
          <w:i/>
          <w:iCs/>
          <w:szCs w:val="24"/>
        </w:rPr>
        <w:t>et al.</w:t>
      </w:r>
      <w:r w:rsidRPr="003811B7">
        <w:rPr>
          <w:rFonts w:ascii="Times New Roman" w:hAnsi="Times New Roman"/>
          <w:szCs w:val="24"/>
        </w:rPr>
        <w:t>, 201</w:t>
      </w:r>
      <w:r>
        <w:rPr>
          <w:rFonts w:ascii="Times New Roman" w:hAnsi="Times New Roman"/>
          <w:szCs w:val="24"/>
        </w:rPr>
        <w:t>7</w:t>
      </w:r>
      <w:r w:rsidRPr="003811B7">
        <w:rPr>
          <w:rFonts w:ascii="Times New Roman" w:hAnsi="Times New Roman"/>
          <w:szCs w:val="24"/>
        </w:rPr>
        <w:t>). Indeed, the National Dementia Strategy for England highlights the need for improved care for PLWD through staff education about the condition (DoH, 2009</w:t>
      </w:r>
      <w:r w:rsidR="00430387">
        <w:rPr>
          <w:rFonts w:ascii="Times New Roman" w:hAnsi="Times New Roman"/>
          <w:szCs w:val="24"/>
        </w:rPr>
        <w:t>a</w:t>
      </w:r>
      <w:r w:rsidRPr="003811B7">
        <w:rPr>
          <w:rFonts w:ascii="Times New Roman" w:hAnsi="Times New Roman"/>
          <w:szCs w:val="24"/>
        </w:rPr>
        <w:t xml:space="preserve">; Livingston </w:t>
      </w:r>
      <w:r w:rsidRPr="00C43E9F">
        <w:rPr>
          <w:rFonts w:ascii="Times New Roman" w:hAnsi="Times New Roman"/>
          <w:i/>
          <w:iCs/>
          <w:szCs w:val="24"/>
        </w:rPr>
        <w:t>et al.</w:t>
      </w:r>
      <w:r w:rsidRPr="003811B7">
        <w:rPr>
          <w:rFonts w:ascii="Times New Roman" w:hAnsi="Times New Roman"/>
          <w:szCs w:val="24"/>
        </w:rPr>
        <w:t xml:space="preserve">, 2017). Although Smythe </w:t>
      </w:r>
      <w:r w:rsidRPr="00C43E9F">
        <w:rPr>
          <w:rFonts w:ascii="Times New Roman" w:hAnsi="Times New Roman"/>
          <w:i/>
          <w:iCs/>
          <w:szCs w:val="24"/>
        </w:rPr>
        <w:t>et al.</w:t>
      </w:r>
      <w:r w:rsidRPr="003811B7">
        <w:rPr>
          <w:rFonts w:ascii="Times New Roman" w:hAnsi="Times New Roman"/>
          <w:szCs w:val="24"/>
        </w:rPr>
        <w:t xml:space="preserve"> (201</w:t>
      </w:r>
      <w:r>
        <w:rPr>
          <w:rFonts w:ascii="Times New Roman" w:hAnsi="Times New Roman"/>
          <w:szCs w:val="24"/>
        </w:rPr>
        <w:t>7</w:t>
      </w:r>
      <w:r w:rsidRPr="003811B7">
        <w:rPr>
          <w:rFonts w:ascii="Times New Roman" w:hAnsi="Times New Roman"/>
          <w:szCs w:val="24"/>
        </w:rPr>
        <w:t xml:space="preserve">) considered the effectiveness of training in changing practices in the care for PLWD in a different setting (nursing home), my study underscores the importance of training in preparing </w:t>
      </w:r>
      <w:r w:rsidRPr="003811B7">
        <w:rPr>
          <w:rFonts w:ascii="Times New Roman" w:hAnsi="Times New Roman"/>
          <w:szCs w:val="24"/>
        </w:rPr>
        <w:lastRenderedPageBreak/>
        <w:t xml:space="preserve">migrants from other cultures to the realities of working with older adults living with dementia in the NHS. Care within the NHS is mostly administered in a short-term basis, in comparison to other care settings for PLWD. </w:t>
      </w:r>
    </w:p>
    <w:p w14:paraId="2B331F68"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However, not every participant had abandoned their pre-migration beliefs about dementia. My findings suggest that although all the participants acknowledged the place of the biomedical model in understanding the aetiology of dementia, some participants remained -convinced that dementia was not purely a biomedical or pathological condition, maintaining that there is definitely a spiritual dimension to the condition. This points to possibility of my participants holding dual or multiple beliefs about dementia, one that supports the biomedical model and another that does not support it. This could be due to their strongly held religious views. However, the participants seemed to balance these beliefs in their working practices.  </w:t>
      </w:r>
    </w:p>
    <w:p w14:paraId="63489DF0"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The training that incorporated the use of an age simulation suit was found to be most beneficial to training and attitudinal change in caregiving. My participants considered it very useful in their day-to-day care work because it inspired empathy in them, noting that after the training, they knew exactly what it felt like to be old and the physical limitations it puts on the body.</w:t>
      </w:r>
    </w:p>
    <w:p w14:paraId="73DFF320" w14:textId="2640471D" w:rsidR="0085338E" w:rsidRPr="003811B7" w:rsidRDefault="0085338E" w:rsidP="0085338E">
      <w:pPr>
        <w:jc w:val="both"/>
        <w:rPr>
          <w:rFonts w:ascii="Times New Roman" w:hAnsi="Times New Roman"/>
          <w:szCs w:val="24"/>
        </w:rPr>
      </w:pPr>
      <w:r w:rsidRPr="003811B7">
        <w:rPr>
          <w:rFonts w:ascii="Times New Roman" w:hAnsi="Times New Roman"/>
          <w:i/>
          <w:szCs w:val="24"/>
        </w:rPr>
        <w:t>Implications for training in the NHS</w:t>
      </w:r>
      <w:r w:rsidRPr="003811B7">
        <w:rPr>
          <w:rFonts w:ascii="Times New Roman" w:hAnsi="Times New Roman"/>
          <w:szCs w:val="24"/>
        </w:rPr>
        <w:t xml:space="preserve">: Training and education have been identified as important variables in enhancing the psychological well-being of staff, and providing adequate training are likely to have broad-reaching benefits for staff and care recipients (Prince, Prina and Guerchet, 2013). This is significant for two reasons. Firstly, all the participants in this study started out in care in a different care setting to the NHS. Although they worked in the NHS at the time of the interview and spoke of regular training, it appears that with reference to changing their previously held beliefs about dementia, that change occurred before they began to work in the NHS. </w:t>
      </w:r>
    </w:p>
    <w:p w14:paraId="717F04E3"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Secondly, it appears current dementia training within the NHS does not necessarily involve the mandatory use of age-simulation suit. However, a scoping review by </w:t>
      </w:r>
      <w:r w:rsidRPr="003811B7">
        <w:rPr>
          <w:rFonts w:ascii="Times New Roman" w:hAnsi="Times New Roman"/>
        </w:rPr>
        <w:t xml:space="preserve">Coelho </w:t>
      </w:r>
      <w:r w:rsidRPr="00C43E9F">
        <w:rPr>
          <w:rFonts w:ascii="Times New Roman" w:hAnsi="Times New Roman"/>
          <w:i/>
          <w:iCs/>
        </w:rPr>
        <w:t>et al.</w:t>
      </w:r>
      <w:r w:rsidRPr="003811B7">
        <w:rPr>
          <w:rFonts w:ascii="Times New Roman" w:hAnsi="Times New Roman"/>
        </w:rPr>
        <w:t xml:space="preserve"> (2017), </w:t>
      </w:r>
      <w:r w:rsidRPr="003811B7">
        <w:rPr>
          <w:rFonts w:ascii="Times New Roman" w:hAnsi="Times New Roman"/>
          <w:szCs w:val="24"/>
        </w:rPr>
        <w:t xml:space="preserve">suggested that age-simulation suits was beneficial to student nurses, a finding further validated by </w:t>
      </w:r>
      <w:r w:rsidRPr="003811B7">
        <w:rPr>
          <w:rFonts w:ascii="Times New Roman" w:hAnsi="Times New Roman"/>
        </w:rPr>
        <w:t>Rueffert and Bullinger (2020)</w:t>
      </w:r>
      <w:r w:rsidRPr="003811B7">
        <w:rPr>
          <w:rFonts w:ascii="Times New Roman" w:hAnsi="Times New Roman"/>
          <w:szCs w:val="24"/>
        </w:rPr>
        <w:t xml:space="preserve"> who found that the use of </w:t>
      </w:r>
      <w:r w:rsidRPr="003811B7">
        <w:rPr>
          <w:rFonts w:ascii="Times New Roman" w:hAnsi="Times New Roman"/>
          <w:szCs w:val="24"/>
        </w:rPr>
        <w:lastRenderedPageBreak/>
        <w:t>the age-simulation suit helped stimulate the sensitivity of student nurses to old-age related impairment when compared to student nurses who did not use the intervention.</w:t>
      </w:r>
    </w:p>
    <w:p w14:paraId="30EB78D1" w14:textId="77777777" w:rsidR="0085338E" w:rsidRPr="003811B7" w:rsidRDefault="0085338E" w:rsidP="00AA6A8F">
      <w:pPr>
        <w:pStyle w:val="Heading3"/>
      </w:pPr>
      <w:bookmarkStart w:id="296" w:name="_Toc86417423"/>
      <w:r w:rsidRPr="003811B7">
        <w:t>(d) Explore how the participants’ cultural beliefs and values shape their overall experience of dementia caregiving.</w:t>
      </w:r>
      <w:bookmarkEnd w:id="296"/>
    </w:p>
    <w:p w14:paraId="5486C99C" w14:textId="77777777" w:rsidR="0085338E" w:rsidRPr="003811B7" w:rsidRDefault="0085338E" w:rsidP="0085338E">
      <w:pPr>
        <w:jc w:val="both"/>
        <w:rPr>
          <w:rFonts w:ascii="Times" w:hAnsi="Times" w:cs="Times"/>
          <w:bCs/>
          <w:szCs w:val="24"/>
        </w:rPr>
      </w:pPr>
      <w:r w:rsidRPr="003811B7">
        <w:rPr>
          <w:rFonts w:ascii="Times" w:hAnsi="Times" w:cs="Times"/>
          <w:bCs/>
          <w:szCs w:val="24"/>
        </w:rPr>
        <w:t>The experience of migrant care workers and nurses caring in different health and social care settings in the UK has previously been viewed from the standpoint of their working as migrant workers (</w:t>
      </w:r>
      <w:r w:rsidRPr="003811B7">
        <w:rPr>
          <w:rFonts w:ascii="Times" w:hAnsi="Times" w:cs="Times"/>
          <w:szCs w:val="24"/>
        </w:rPr>
        <w:t>Cangiano and Shutes, 2010; Shutes, 2012; Shutes and Chiatti, 2012</w:t>
      </w:r>
      <w:r w:rsidRPr="003811B7">
        <w:rPr>
          <w:rFonts w:ascii="Times" w:hAnsi="Times" w:cs="Times"/>
          <w:bCs/>
          <w:szCs w:val="24"/>
        </w:rPr>
        <w:t>). While most of those previous studies have provided valuable insight into how these migrant workers considered their role, there is little research on the cultural beliefs and values held by the migrant care workers and what influence it might have to the care they provide. In addition, studies that explored cultural beliefs within the context of care often focused on the provision of culturally sensitive care to the patients (Likupe,</w:t>
      </w:r>
      <w:r w:rsidRPr="003811B7">
        <w:rPr>
          <w:rFonts w:ascii="Times" w:hAnsi="Times" w:cs="Times"/>
        </w:rPr>
        <w:t xml:space="preserve"> Baxter and Jogi,</w:t>
      </w:r>
      <w:r w:rsidRPr="003811B7">
        <w:rPr>
          <w:rFonts w:ascii="Times" w:hAnsi="Times" w:cs="Times"/>
          <w:bCs/>
          <w:szCs w:val="24"/>
        </w:rPr>
        <w:t xml:space="preserve"> 2018; </w:t>
      </w:r>
      <w:r w:rsidRPr="003811B7">
        <w:rPr>
          <w:rFonts w:ascii="Times" w:hAnsi="Times" w:cs="Times"/>
        </w:rPr>
        <w:t>Singh, King-Shier and Sinclair, 2020</w:t>
      </w:r>
      <w:r w:rsidRPr="003811B7">
        <w:rPr>
          <w:rFonts w:ascii="Times" w:hAnsi="Times" w:cs="Times"/>
          <w:bCs/>
          <w:szCs w:val="24"/>
        </w:rPr>
        <w:t>) rather than from the perspective of the migrant care workers. The diversity of the workforce within the NHS makes this consideration paramount and there is currently little focus on the cultural perspective of the migrant worker.</w:t>
      </w:r>
    </w:p>
    <w:p w14:paraId="51F13DC9" w14:textId="574862EF" w:rsidR="0085338E" w:rsidRPr="003811B7" w:rsidRDefault="0085338E" w:rsidP="0085338E">
      <w:pPr>
        <w:jc w:val="both"/>
        <w:rPr>
          <w:rFonts w:ascii="Times" w:hAnsi="Times" w:cs="Times"/>
          <w:szCs w:val="24"/>
        </w:rPr>
      </w:pPr>
      <w:r w:rsidRPr="003811B7">
        <w:rPr>
          <w:rFonts w:ascii="Times" w:hAnsi="Times" w:cs="Times"/>
          <w:bCs/>
          <w:szCs w:val="24"/>
        </w:rPr>
        <w:t>In my research, as shown in last chapter, although</w:t>
      </w:r>
      <w:r w:rsidRPr="003811B7">
        <w:rPr>
          <w:rFonts w:ascii="Times" w:hAnsi="Times" w:cs="Times"/>
          <w:szCs w:val="24"/>
        </w:rPr>
        <w:t xml:space="preserve"> most of the participants had abandoned or changed the beliefs they held about dementia pre-migration, for most of them care workers their cultural values continued to be relevant as they believed that those values made them unique as care workers for PLWD. My participants believed that they were able to navigate the workplace by always matching their cultural sensitivities and values despite or whilst complying with? the institutional/workplace policy and procedure. Despite acculturation and learning about the concept of dementia as a biomedical construct, most of my participants also readily employed their cultural values of respect and regard for the elderly in their day-to-day care for PLWD (Dilworth-Anderson and Gibson, 2002) and this is often an unrecognised and positive attribute in their provision of care. As Bhugra and Becker (2005) noted, in acculturation, both the dominant culture and the minority cultures interact in a dynamic and reciprocal way and most of my participants highlighted that they tried to maintain the cultural value of respect for older people in their everyday care work. This is significant because </w:t>
      </w:r>
      <w:r w:rsidRPr="003811B7">
        <w:rPr>
          <w:rFonts w:ascii="Times" w:hAnsi="Times" w:cs="Times"/>
          <w:szCs w:val="24"/>
        </w:rPr>
        <w:lastRenderedPageBreak/>
        <w:t>in collectivist cultures, the concept of respect and reciprocity does not just apply to an individual’s immediate parents or older relatives but also to whoever is considered as an older adult (</w:t>
      </w:r>
      <w:r w:rsidRPr="003811B7">
        <w:rPr>
          <w:rFonts w:ascii="Times" w:hAnsi="Times" w:cs="Times"/>
        </w:rPr>
        <w:t xml:space="preserve">Revenson </w:t>
      </w:r>
      <w:r w:rsidRPr="00C43E9F">
        <w:rPr>
          <w:rFonts w:ascii="Times" w:hAnsi="Times" w:cs="Times"/>
          <w:i/>
          <w:iCs/>
        </w:rPr>
        <w:t>et al.</w:t>
      </w:r>
      <w:r w:rsidRPr="003811B7">
        <w:rPr>
          <w:rFonts w:ascii="Times" w:hAnsi="Times" w:cs="Times"/>
        </w:rPr>
        <w:t>, 2016</w:t>
      </w:r>
      <w:r w:rsidR="005D48C9">
        <w:rPr>
          <w:rFonts w:ascii="Times" w:hAnsi="Times" w:cs="Times"/>
        </w:rPr>
        <w:t>c</w:t>
      </w:r>
      <w:r w:rsidRPr="003811B7">
        <w:rPr>
          <w:rFonts w:ascii="Times" w:hAnsi="Times" w:cs="Times"/>
          <w:szCs w:val="24"/>
        </w:rPr>
        <w:t xml:space="preserve">). This does not imply that my participants were better carers but could suggest that they consider the care they provide for their patients as a continuation of the informal care they provide within the collectivist family circle back in their home country. </w:t>
      </w:r>
    </w:p>
    <w:p w14:paraId="2EDC393D" w14:textId="77777777" w:rsidR="0085338E" w:rsidRPr="003811B7" w:rsidRDefault="0085338E" w:rsidP="0085338E">
      <w:pPr>
        <w:jc w:val="both"/>
        <w:rPr>
          <w:rFonts w:ascii="Times" w:hAnsi="Times" w:cs="Times"/>
          <w:szCs w:val="24"/>
        </w:rPr>
      </w:pPr>
      <w:r w:rsidRPr="003811B7">
        <w:rPr>
          <w:rFonts w:ascii="Times" w:hAnsi="Times" w:cs="Times"/>
          <w:szCs w:val="24"/>
        </w:rPr>
        <w:t>However, some of my participants also highlighted instances where they had to set aside what they considered to be their culturally appropriate values, to follow workplace policy. For example, while it is intuitive for an individual to come to the aid of an older adult in the process of falling, it was noted that they have had to learn not to intervene in a scenario of an older adult falling in the ward, so as not to counter work-place policy. In this example, the work-place policy was put in place to protect both the patient and the carer, who might come to harm while trying to prevent the patient from falling (</w:t>
      </w:r>
      <w:r w:rsidRPr="003811B7">
        <w:rPr>
          <w:rFonts w:ascii="Times" w:hAnsi="Times" w:cs="Times"/>
        </w:rPr>
        <w:t>Ang, O’Brien and Wilson, 2019</w:t>
      </w:r>
      <w:r w:rsidRPr="003811B7">
        <w:rPr>
          <w:rFonts w:ascii="Times" w:hAnsi="Times" w:cs="Times"/>
          <w:szCs w:val="24"/>
        </w:rPr>
        <w:t xml:space="preserve">). </w:t>
      </w:r>
    </w:p>
    <w:p w14:paraId="518C9E3E" w14:textId="77777777" w:rsidR="0085338E" w:rsidRPr="003811B7" w:rsidRDefault="0085338E" w:rsidP="0085338E">
      <w:pPr>
        <w:jc w:val="both"/>
        <w:rPr>
          <w:rFonts w:ascii="Times" w:hAnsi="Times" w:cs="Times"/>
          <w:szCs w:val="24"/>
        </w:rPr>
      </w:pPr>
      <w:r w:rsidRPr="003811B7">
        <w:rPr>
          <w:rFonts w:ascii="Times" w:hAnsi="Times" w:cs="Times"/>
          <w:szCs w:val="24"/>
        </w:rPr>
        <w:t xml:space="preserve">This my research therefore is not claiming that being a </w:t>
      </w:r>
      <w:r w:rsidRPr="003811B7">
        <w:rPr>
          <w:rFonts w:ascii="Times" w:hAnsi="Times" w:cs="Times"/>
          <w:iCs/>
          <w:szCs w:val="24"/>
        </w:rPr>
        <w:t>Nigerian</w:t>
      </w:r>
      <w:r w:rsidRPr="003811B7">
        <w:rPr>
          <w:rFonts w:ascii="Times" w:hAnsi="Times" w:cs="Times"/>
          <w:i/>
          <w:szCs w:val="24"/>
        </w:rPr>
        <w:t xml:space="preserve"> </w:t>
      </w:r>
      <w:r w:rsidRPr="003811B7">
        <w:rPr>
          <w:rFonts w:ascii="Times" w:hAnsi="Times" w:cs="Times"/>
          <w:szCs w:val="24"/>
        </w:rPr>
        <w:t>care worker influences the care given to PWLD but rather that the standard dementia training helped to counter previously held folk beliefs. Moreover, many of my participants perceived that their cultural values enabled them to provide better care than those who do not hold similar values.</w:t>
      </w:r>
    </w:p>
    <w:p w14:paraId="1A9F9C7F" w14:textId="0D8B65FE" w:rsidR="0085338E" w:rsidRDefault="0085338E" w:rsidP="0085338E">
      <w:pPr>
        <w:jc w:val="both"/>
        <w:rPr>
          <w:rFonts w:ascii="Times" w:hAnsi="Times" w:cs="Times"/>
          <w:szCs w:val="24"/>
        </w:rPr>
      </w:pPr>
      <w:r w:rsidRPr="003811B7">
        <w:rPr>
          <w:rFonts w:ascii="Times" w:hAnsi="Times" w:cs="Times"/>
          <w:szCs w:val="24"/>
        </w:rPr>
        <w:t>However, the significance of these finding is the role migrant workers can play in the NHS drive to provide culturally sensitive care for older migrants. It is also essential to consider the notion of respect and that what my participants described in relation to this construct would largely apply to older adults of similar ethnic background, although cultural assimilation might help them apply specific values when caring for older adults from other ethnic groups. As one of the participants noted, the colour of the skin of the care recipient is immaterial when it comes to caring.</w:t>
      </w:r>
    </w:p>
    <w:p w14:paraId="37D4895B" w14:textId="6FA637DB" w:rsidR="00AA6A8F" w:rsidRDefault="00AA6A8F" w:rsidP="0085338E">
      <w:pPr>
        <w:jc w:val="both"/>
        <w:rPr>
          <w:rFonts w:ascii="Times" w:hAnsi="Times" w:cs="Times"/>
          <w:szCs w:val="24"/>
        </w:rPr>
      </w:pPr>
    </w:p>
    <w:p w14:paraId="56B9B78E" w14:textId="2DC3AB1D" w:rsidR="00AA6A8F" w:rsidRDefault="00AA6A8F" w:rsidP="0085338E">
      <w:pPr>
        <w:jc w:val="both"/>
        <w:rPr>
          <w:rFonts w:ascii="Times" w:hAnsi="Times" w:cs="Times"/>
          <w:szCs w:val="24"/>
        </w:rPr>
      </w:pPr>
    </w:p>
    <w:p w14:paraId="468839EC" w14:textId="77777777" w:rsidR="00AA6A8F" w:rsidRPr="003811B7" w:rsidRDefault="00AA6A8F" w:rsidP="0085338E">
      <w:pPr>
        <w:jc w:val="both"/>
        <w:rPr>
          <w:rFonts w:ascii="Times" w:hAnsi="Times" w:cs="Times"/>
          <w:szCs w:val="24"/>
        </w:rPr>
      </w:pPr>
    </w:p>
    <w:p w14:paraId="78438428" w14:textId="77777777" w:rsidR="0085338E" w:rsidRPr="003811B7" w:rsidRDefault="0085338E" w:rsidP="00AA6A8F">
      <w:pPr>
        <w:pStyle w:val="Heading2"/>
      </w:pPr>
      <w:bookmarkStart w:id="297" w:name="_Toc86417424"/>
      <w:r w:rsidRPr="003811B7">
        <w:lastRenderedPageBreak/>
        <w:t>11.4. Summary contribution</w:t>
      </w:r>
      <w:bookmarkEnd w:id="297"/>
    </w:p>
    <w:p w14:paraId="5131F26F"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This study makes a valuable contribution to the literature on migrant workers and their motivations for working in the UK and specifically of caring for people living with dementia in NHS settings.</w:t>
      </w:r>
    </w:p>
    <w:p w14:paraId="042E6891"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My study found that contrary to expectations, the majority of the Nigerian care workers were highly educated when they migrated and moved into dementia care work as part of the longer-term personal or family strategy. </w:t>
      </w:r>
    </w:p>
    <w:p w14:paraId="036E26CC"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In this research, I also examined Nigerian migrant care workers’ construction of dementia when living in Nigeria and the value of training to changes in attitudes. However, as suggested above, not all traditional beliefs were negative and some people believed that their cultural values and spiritual attitudes promoted a good quality of care. </w:t>
      </w:r>
    </w:p>
    <w:p w14:paraId="33D3025A"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My study also highlighted the motivating factors for caregiving and the continuation to stay in care work. Furthermore, it highlighted the influence of masculinity on care workers’ coping strategies, the use of avoidance coping techniques and the general lack of use of formal support services.</w:t>
      </w:r>
    </w:p>
    <w:p w14:paraId="410E10E9"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One of the significant findings in my study was the common experience of racism and discrimination and while the participants ‘accepted’ this behaviour from clients because of their diminished capacity, racism was also ignored when it was generated from NHS staff and relatives of clients and my research indicated this was due concerns around the instability of work contracts (i.e.</w:t>
      </w:r>
      <w:r>
        <w:rPr>
          <w:rFonts w:ascii="Times New Roman" w:hAnsi="Times New Roman"/>
          <w:szCs w:val="24"/>
        </w:rPr>
        <w:t>,</w:t>
      </w:r>
      <w:r w:rsidRPr="003811B7">
        <w:rPr>
          <w:rFonts w:ascii="Times New Roman" w:hAnsi="Times New Roman"/>
          <w:szCs w:val="24"/>
        </w:rPr>
        <w:t xml:space="preserve"> being a member of the bank staff on a zero-hour contract). </w:t>
      </w:r>
    </w:p>
    <w:p w14:paraId="53AB88CB"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Instability of work contracts for those working with PWLD also has wider implications as has recently emerged during the Covid-19 pandemic. Not only has been a devastating impact </w:t>
      </w:r>
      <w:r>
        <w:rPr>
          <w:rFonts w:ascii="Times New Roman" w:hAnsi="Times New Roman"/>
          <w:szCs w:val="24"/>
        </w:rPr>
        <w:t xml:space="preserve">on </w:t>
      </w:r>
      <w:r w:rsidRPr="003811B7">
        <w:rPr>
          <w:rFonts w:ascii="Times New Roman" w:hAnsi="Times New Roman"/>
          <w:szCs w:val="24"/>
        </w:rPr>
        <w:t xml:space="preserve">health there has </w:t>
      </w:r>
      <w:r>
        <w:rPr>
          <w:rFonts w:ascii="Times New Roman" w:hAnsi="Times New Roman"/>
          <w:szCs w:val="24"/>
        </w:rPr>
        <w:t xml:space="preserve">also </w:t>
      </w:r>
      <w:r w:rsidRPr="003811B7">
        <w:rPr>
          <w:rFonts w:ascii="Times New Roman" w:hAnsi="Times New Roman"/>
          <w:szCs w:val="24"/>
        </w:rPr>
        <w:t xml:space="preserve">been direct consequences for people’s jobs and livelihood (Anand, 2020). People with symptoms of coronavirus are required to self-isolate leading to loss income for those on zero-hours contracts (Douglas </w:t>
      </w:r>
      <w:r w:rsidRPr="00C43E9F">
        <w:rPr>
          <w:rFonts w:ascii="Times New Roman" w:hAnsi="Times New Roman"/>
          <w:i/>
          <w:iCs/>
          <w:szCs w:val="24"/>
        </w:rPr>
        <w:t>et al.</w:t>
      </w:r>
      <w:r w:rsidRPr="003811B7">
        <w:rPr>
          <w:rFonts w:ascii="Times New Roman" w:hAnsi="Times New Roman"/>
          <w:szCs w:val="24"/>
        </w:rPr>
        <w:t xml:space="preserve">, 2020). The UK government furlough scheme (Fisher and Harwood, 2020) followed by the job support scheme, has not offered protection for those on zero-hours contracts (Benzeval </w:t>
      </w:r>
      <w:r w:rsidRPr="00C43E9F">
        <w:rPr>
          <w:rFonts w:ascii="Times New Roman" w:hAnsi="Times New Roman"/>
          <w:i/>
          <w:iCs/>
          <w:szCs w:val="24"/>
        </w:rPr>
        <w:lastRenderedPageBreak/>
        <w:t>et al.</w:t>
      </w:r>
      <w:r w:rsidRPr="003811B7">
        <w:rPr>
          <w:rFonts w:ascii="Times New Roman" w:hAnsi="Times New Roman"/>
          <w:szCs w:val="24"/>
        </w:rPr>
        <w:t xml:space="preserve">, 2020). Low paid care workers may lose their income and often lack savings, a consequence of this is that they may choose not to self-isolate when they show symptoms because of the potential loss of income, risking their own health and that of others. </w:t>
      </w:r>
    </w:p>
    <w:p w14:paraId="76ABBEE4" w14:textId="77777777" w:rsidR="0085338E" w:rsidRPr="003811B7" w:rsidRDefault="0085338E" w:rsidP="00AA6A8F">
      <w:pPr>
        <w:pStyle w:val="Heading2"/>
      </w:pPr>
      <w:bookmarkStart w:id="298" w:name="_Toc86417425"/>
      <w:r w:rsidRPr="003811B7">
        <w:t>11.5. Limitations, implications for practice, recommendations, and conclusion</w:t>
      </w:r>
      <w:bookmarkEnd w:id="298"/>
    </w:p>
    <w:p w14:paraId="35C7274A"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This section begins with a discussion </w:t>
      </w:r>
      <w:r>
        <w:rPr>
          <w:rFonts w:ascii="Times New Roman" w:hAnsi="Times New Roman"/>
          <w:szCs w:val="24"/>
        </w:rPr>
        <w:t>of</w:t>
      </w:r>
      <w:r w:rsidRPr="003811B7">
        <w:rPr>
          <w:rFonts w:ascii="Times New Roman" w:hAnsi="Times New Roman"/>
          <w:szCs w:val="24"/>
        </w:rPr>
        <w:t xml:space="preserve"> how the contribution from this study advances the understanding of Nigerian migrant care workers in the NHS. The study’s limitations are discussed, and suggestions made for future research. Finally, the implications of the study for policy and the practice of caregiving for PLWD is highlighted.</w:t>
      </w:r>
    </w:p>
    <w:p w14:paraId="343B2277" w14:textId="77777777" w:rsidR="0085338E" w:rsidRPr="003811B7" w:rsidRDefault="0085338E" w:rsidP="00AA6A8F">
      <w:pPr>
        <w:pStyle w:val="Heading3"/>
      </w:pPr>
      <w:bookmarkStart w:id="299" w:name="_Toc86417426"/>
      <w:r w:rsidRPr="003811B7">
        <w:t>11.5.1. Limitations</w:t>
      </w:r>
      <w:bookmarkEnd w:id="299"/>
    </w:p>
    <w:p w14:paraId="5BA60E3D"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The central goal of this research was to explore, from the Nigerian migrant care workers’ perspective and experiences, what their lives were like, caring for PLWD, coming from a culture different to the United Kingdom. Despite achieving this research aim, it remains that only those who have worked with PLWD will really understand what it is like in the context of their cultural perception of the condition. However, this study does not claim to advance a definitive explanation of the lived experience of every care worker for PLWD. </w:t>
      </w:r>
    </w:p>
    <w:p w14:paraId="0C7D204A"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Familiarity with the participants in the caregiving role:</w:t>
      </w:r>
      <w:r w:rsidRPr="003811B7">
        <w:rPr>
          <w:rFonts w:ascii="Times New Roman" w:hAnsi="Times New Roman"/>
          <w:szCs w:val="24"/>
        </w:rPr>
        <w:t xml:space="preserve"> The study has explored the experiences of Nigerian care workers through pre-reflective and reflective understanding of the phenomenological meaning of paid caregiving activities of Nigerian migrant care workers in the UK (described in Chapter 3). This study embodies the lived experience of Nigerian care workers in the NHS who were interviewed. However, I cannot claim that it represents the views and experiences of all Nigerian care workers. As with other studies, where the researcher and the research participants are known to each other previously, there were potential internal conflicts between my role as a researcher and my role as a care worker working in the same study location as my participants. In part, these tensions arise from the dominance of the positivist discourse that implies that research should be objective. However, within the phenomenological paradigms it is recognised that the researchers are situated within </w:t>
      </w:r>
      <w:r w:rsidRPr="003811B7">
        <w:rPr>
          <w:rFonts w:ascii="Times New Roman" w:hAnsi="Times New Roman"/>
          <w:szCs w:val="24"/>
        </w:rPr>
        <w:lastRenderedPageBreak/>
        <w:t>the study especially as they are usually the main data collection tool (i.e.</w:t>
      </w:r>
      <w:r>
        <w:rPr>
          <w:rFonts w:ascii="Times New Roman" w:hAnsi="Times New Roman"/>
          <w:szCs w:val="24"/>
        </w:rPr>
        <w:t>,</w:t>
      </w:r>
      <w:r w:rsidRPr="003811B7">
        <w:rPr>
          <w:rFonts w:ascii="Times New Roman" w:hAnsi="Times New Roman"/>
          <w:szCs w:val="24"/>
        </w:rPr>
        <w:t xml:space="preserve"> they collect the data in the context of personal relationship). As I suggested in my reflexive statements in Chapter 4, most of the participants I recruited for this study had prior familiarity with me, as a fellow HCA. Also, I had worked with most of the nurses on a shift in the past. To minimise this conflict, I stopped working on the wards in question during the time I was actively collecting data. However, because most of the participants were bank staff (and I was employed as a part-time, temporary HCA), on few occasions, I could not avoid working with some of my participants. Although I tried to avoid working with my participants during the time of the interviews, my familiarity with them in our previous working relationship raised two issues. One, it was important that participants did not feel obliged to participate in the research because they were being invited by a fellow HCA. Therefore, I emphasised on the participant information sheet and written consent form that their participation was completely voluntary, and they were free to withdraw from the study at any time.</w:t>
      </w:r>
    </w:p>
    <w:p w14:paraId="374C8077"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The recruitment Christian participants:</w:t>
      </w:r>
      <w:r w:rsidRPr="003811B7">
        <w:rPr>
          <w:rFonts w:ascii="Times New Roman" w:hAnsi="Times New Roman"/>
          <w:szCs w:val="24"/>
        </w:rPr>
        <w:t xml:space="preserve"> the religious background of my participants was homogeneous, with all of them self-identifying as Christians. This was not intended but excluded the spiritual experience of people of other faiths in the consideration of how their faith helped them cope with the role of caregiving. When most of my participants discussed their spirituality in the context of caring and how they coped, they spoke only from the viewpoint of being a Christian. Hence, the potential drawback is that the perspectives of the other faiths were not considered and a further study on the significance of different religious beliefs on dementia care would be useful.</w:t>
      </w:r>
    </w:p>
    <w:p w14:paraId="0CE916F2"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The construct of ‘Nigerian’ care workers:</w:t>
      </w:r>
      <w:r w:rsidRPr="003811B7">
        <w:rPr>
          <w:rFonts w:ascii="Times New Roman" w:hAnsi="Times New Roman"/>
          <w:szCs w:val="24"/>
        </w:rPr>
        <w:t xml:space="preserve"> The ethnic and cultural makeup of my participants (described in Chapter 5), is another potential limitation of this study. Nigeria is an ethnically and culturally diverse country and care workers of different ethnocultural groups participated in the study. This was necessitated by the limited pool of care workers from the different ethnic group available at the study site. As this study was not designed to consider the lived experience of any ethnic/cultural group in Nigeria, the findings cannot be applied to a particular group. Throughout the research, I considered Nigeria as a geographical entity, rather than as a culturally homogeneous country. However, I attempted to highlight the differences between the participants in </w:t>
      </w:r>
      <w:r w:rsidRPr="003811B7">
        <w:rPr>
          <w:rFonts w:ascii="Times New Roman" w:hAnsi="Times New Roman"/>
          <w:szCs w:val="24"/>
        </w:rPr>
        <w:lastRenderedPageBreak/>
        <w:t>a discussion of their background in Chapter 5 and acknowledge their cultural similarities where they exist.</w:t>
      </w:r>
    </w:p>
    <w:p w14:paraId="652200DA"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Timing of the study:</w:t>
      </w:r>
      <w:r w:rsidRPr="003811B7">
        <w:rPr>
          <w:rFonts w:ascii="Times New Roman" w:hAnsi="Times New Roman"/>
          <w:szCs w:val="24"/>
        </w:rPr>
        <w:t xml:space="preserve"> A final limitation of the study, is that the data presented in this study was gathered in 2017/2018. Due to the fast-moving pace of research within the care literature, this may have implications for the relevance of findings to different audiences. However, at the time of submitting this thesis, no study has been identified that explores the experience of Nigerian care workers in the context and extent explored in this study.</w:t>
      </w:r>
    </w:p>
    <w:p w14:paraId="64879B36" w14:textId="77777777" w:rsidR="0085338E" w:rsidRPr="003811B7" w:rsidRDefault="0085338E" w:rsidP="00AA6A8F">
      <w:pPr>
        <w:pStyle w:val="Heading3"/>
      </w:pPr>
      <w:r w:rsidRPr="003811B7">
        <w:t> </w:t>
      </w:r>
      <w:bookmarkStart w:id="300" w:name="_Toc86417427"/>
      <w:r w:rsidRPr="003811B7">
        <w:t>11.5.2. Implications for practice</w:t>
      </w:r>
      <w:bookmarkEnd w:id="300"/>
    </w:p>
    <w:p w14:paraId="415A55A9"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 xml:space="preserve"> Several issues were highlighted in this research that are important for the recruitment and support of Nigerian migrant care workers for PLWD. Three suggestions are made that may enhance the experience of the care workers and help them provide better care and reduce their level of work-related stress, and potentially reduce high staff turnover in the care sector.</w:t>
      </w:r>
    </w:p>
    <w:p w14:paraId="41951594" w14:textId="77777777" w:rsidR="0085338E" w:rsidRPr="003811B7" w:rsidRDefault="0085338E" w:rsidP="0085338E">
      <w:pPr>
        <w:jc w:val="both"/>
        <w:rPr>
          <w:rFonts w:ascii="Times New Roman" w:hAnsi="Times New Roman"/>
          <w:i/>
          <w:szCs w:val="24"/>
        </w:rPr>
      </w:pPr>
      <w:r w:rsidRPr="003811B7">
        <w:rPr>
          <w:rFonts w:ascii="Times New Roman" w:hAnsi="Times New Roman"/>
          <w:i/>
          <w:szCs w:val="24"/>
        </w:rPr>
        <w:t xml:space="preserve">Incorporating a cultural understanding of dementia into training: </w:t>
      </w:r>
      <w:r w:rsidRPr="003811B7">
        <w:rPr>
          <w:rFonts w:ascii="Times New Roman" w:hAnsi="Times New Roman"/>
          <w:szCs w:val="24"/>
        </w:rPr>
        <w:t>It has been shown from the study that Nigerian migrant care workers have varying beliefs about dementia. While none of the participants who continued to hold on to their beliefs about dementia admitted that it interfered or affected the</w:t>
      </w:r>
      <w:r>
        <w:rPr>
          <w:rFonts w:ascii="Times New Roman" w:hAnsi="Times New Roman"/>
          <w:szCs w:val="24"/>
        </w:rPr>
        <w:t>ir</w:t>
      </w:r>
      <w:r w:rsidRPr="003811B7">
        <w:rPr>
          <w:rFonts w:ascii="Times New Roman" w:hAnsi="Times New Roman"/>
          <w:szCs w:val="24"/>
        </w:rPr>
        <w:t xml:space="preserve"> </w:t>
      </w:r>
      <w:r>
        <w:rPr>
          <w:rFonts w:ascii="Times New Roman" w:hAnsi="Times New Roman"/>
          <w:szCs w:val="24"/>
        </w:rPr>
        <w:t xml:space="preserve">provision of </w:t>
      </w:r>
      <w:r w:rsidRPr="003811B7">
        <w:rPr>
          <w:rFonts w:ascii="Times New Roman" w:hAnsi="Times New Roman"/>
          <w:szCs w:val="24"/>
        </w:rPr>
        <w:t>care to PLWD, it will be beneficial if training sessions for migrant care workers are revised, to include the different range of cultural perceptions of dementia. Doing this will provide an opportunity for such beliefs to be discussed identifying an aspect of value (such as respect for older people) and addresses assumptions.</w:t>
      </w:r>
    </w:p>
    <w:p w14:paraId="0F6998CC" w14:textId="77777777" w:rsidR="0085338E" w:rsidRPr="003811B7" w:rsidRDefault="0085338E" w:rsidP="0085338E">
      <w:pPr>
        <w:jc w:val="both"/>
        <w:rPr>
          <w:rFonts w:ascii="Times New Roman" w:hAnsi="Times New Roman"/>
          <w:iCs/>
          <w:szCs w:val="24"/>
        </w:rPr>
      </w:pPr>
      <w:r w:rsidRPr="003811B7">
        <w:rPr>
          <w:rFonts w:ascii="Times New Roman" w:hAnsi="Times New Roman"/>
          <w:i/>
          <w:szCs w:val="24"/>
        </w:rPr>
        <w:t xml:space="preserve">Increase support for migrant care workers: </w:t>
      </w:r>
      <w:r w:rsidRPr="003811B7">
        <w:rPr>
          <w:rFonts w:ascii="Times New Roman" w:hAnsi="Times New Roman"/>
          <w:szCs w:val="24"/>
        </w:rPr>
        <w:t xml:space="preserve">A common theme in the study was the challenging nature of care work. Nigerian migrant care workers can benefit from additional support to better cope with the challenges of the role. While NHS work settings do have policies in place to deal with incidents of workplace racism and discrimination (West, Dawson and Kaur, 2015), my research indicates that the policies are not necessarily resulting in behaviour change. In addition, care organisations such as the NHS, need to monitor discrimination in the workplace (rather than just depend </w:t>
      </w:r>
      <w:r w:rsidRPr="003811B7">
        <w:rPr>
          <w:rFonts w:ascii="Times New Roman" w:hAnsi="Times New Roman"/>
          <w:szCs w:val="24"/>
        </w:rPr>
        <w:lastRenderedPageBreak/>
        <w:t>on staff report it) and migrant staff should be supported to report any abuse or discrimination regardless of their working contract.</w:t>
      </w:r>
    </w:p>
    <w:p w14:paraId="61178F44" w14:textId="77777777" w:rsidR="0085338E" w:rsidRPr="003811B7" w:rsidRDefault="0085338E" w:rsidP="0085338E">
      <w:pPr>
        <w:jc w:val="both"/>
        <w:rPr>
          <w:rFonts w:ascii="Times New Roman" w:hAnsi="Times New Roman"/>
          <w:szCs w:val="24"/>
        </w:rPr>
      </w:pPr>
      <w:r w:rsidRPr="003811B7">
        <w:rPr>
          <w:rFonts w:ascii="Times New Roman" w:hAnsi="Times New Roman"/>
          <w:i/>
          <w:szCs w:val="24"/>
        </w:rPr>
        <w:t xml:space="preserve">Lived experience of care workers: </w:t>
      </w:r>
      <w:r w:rsidRPr="003811B7">
        <w:rPr>
          <w:rFonts w:ascii="Times New Roman" w:hAnsi="Times New Roman"/>
          <w:szCs w:val="24"/>
        </w:rPr>
        <w:t>This study showed that the lived experiences of Nigerian migrant nurses and HCAs in the UK’s NHS is central to their experiences of caring for PLWD. These experiences should form part of the evaluation of the quality of services for PLWD, particularly with respect to the importance of training in changing previously held beliefs about dementia. Recognising and valuing cultural diversity in care work could have an attendant effect on stemming the tide of high turnover rate within the care sector. These recommendations offer a real prospect to enhancing the experience of Nigerian migrant care worker in the UK. However, further research is required to expand existing knowledge of these and other issues.</w:t>
      </w:r>
    </w:p>
    <w:p w14:paraId="5FE016A4" w14:textId="77777777" w:rsidR="0085338E" w:rsidRPr="003811B7" w:rsidRDefault="0085338E" w:rsidP="00AA6A8F">
      <w:pPr>
        <w:pStyle w:val="Heading3"/>
      </w:pPr>
      <w:bookmarkStart w:id="301" w:name="_Toc86417428"/>
      <w:r w:rsidRPr="003811B7">
        <w:t>11.5.3. Recommendations for future research</w:t>
      </w:r>
      <w:bookmarkEnd w:id="301"/>
    </w:p>
    <w:p w14:paraId="32D183D8" w14:textId="77777777" w:rsidR="0085338E" w:rsidRPr="003811B7" w:rsidRDefault="0085338E" w:rsidP="0085338E">
      <w:pPr>
        <w:jc w:val="both"/>
        <w:rPr>
          <w:rFonts w:ascii="Times New Roman" w:hAnsi="Times New Roman"/>
          <w:szCs w:val="24"/>
        </w:rPr>
      </w:pPr>
      <w:r w:rsidRPr="003811B7">
        <w:rPr>
          <w:rFonts w:ascii="Times New Roman" w:hAnsi="Times New Roman"/>
          <w:szCs w:val="24"/>
        </w:rPr>
        <w:t>Conducting this study has revealed new questions. I have identified the following future research areas from this study as having the potential to impact on the experience of Nigerian care workers for PLWD and add to the caregiving literature.</w:t>
      </w:r>
    </w:p>
    <w:p w14:paraId="2ABBCF62" w14:textId="77777777" w:rsidR="0085338E" w:rsidRPr="003811B7" w:rsidRDefault="0085338E" w:rsidP="0085338E">
      <w:pPr>
        <w:numPr>
          <w:ilvl w:val="0"/>
          <w:numId w:val="7"/>
        </w:numPr>
        <w:jc w:val="both"/>
        <w:rPr>
          <w:rFonts w:ascii="Times New Roman" w:hAnsi="Times New Roman"/>
          <w:szCs w:val="24"/>
        </w:rPr>
      </w:pPr>
      <w:r w:rsidRPr="003811B7">
        <w:rPr>
          <w:rFonts w:ascii="Times New Roman" w:hAnsi="Times New Roman"/>
          <w:szCs w:val="24"/>
        </w:rPr>
        <w:t>A study to evaluate the effectiveness of the NHS policy on equality and diversity will provide insight to understanding why victims of discrimination and racism feel unable to report discrimination</w:t>
      </w:r>
      <w:r>
        <w:rPr>
          <w:rFonts w:ascii="Times New Roman" w:hAnsi="Times New Roman"/>
          <w:szCs w:val="24"/>
        </w:rPr>
        <w:t>.</w:t>
      </w:r>
      <w:r w:rsidRPr="003811B7">
        <w:rPr>
          <w:rFonts w:ascii="Times New Roman" w:hAnsi="Times New Roman"/>
          <w:szCs w:val="24"/>
        </w:rPr>
        <w:t xml:space="preserve"> and in particular, to address the reporting of racism in relation to the numbers of minority ethnic staff in the NHS on zero-contract hours.</w:t>
      </w:r>
    </w:p>
    <w:p w14:paraId="7039851E" w14:textId="60F0C861" w:rsidR="008A4376" w:rsidRPr="00AA6A8F" w:rsidRDefault="0085338E" w:rsidP="008A4376">
      <w:pPr>
        <w:numPr>
          <w:ilvl w:val="0"/>
          <w:numId w:val="7"/>
        </w:numPr>
        <w:jc w:val="both"/>
        <w:rPr>
          <w:rFonts w:ascii="Times New Roman" w:hAnsi="Times New Roman"/>
          <w:szCs w:val="24"/>
        </w:rPr>
      </w:pPr>
      <w:r w:rsidRPr="003811B7">
        <w:rPr>
          <w:rFonts w:ascii="Times New Roman" w:hAnsi="Times New Roman"/>
          <w:szCs w:val="24"/>
        </w:rPr>
        <w:t xml:space="preserve">A study </w:t>
      </w:r>
      <w:r>
        <w:rPr>
          <w:rFonts w:ascii="Times New Roman" w:hAnsi="Times New Roman"/>
          <w:szCs w:val="24"/>
        </w:rPr>
        <w:t>which</w:t>
      </w:r>
      <w:r w:rsidRPr="003811B7">
        <w:rPr>
          <w:rFonts w:ascii="Times New Roman" w:hAnsi="Times New Roman"/>
          <w:szCs w:val="24"/>
        </w:rPr>
        <w:t xml:space="preserve"> explore</w:t>
      </w:r>
      <w:r>
        <w:rPr>
          <w:rFonts w:ascii="Times New Roman" w:hAnsi="Times New Roman"/>
          <w:szCs w:val="24"/>
        </w:rPr>
        <w:t>s</w:t>
      </w:r>
      <w:r w:rsidRPr="003811B7">
        <w:rPr>
          <w:rFonts w:ascii="Times New Roman" w:hAnsi="Times New Roman"/>
          <w:szCs w:val="24"/>
        </w:rPr>
        <w:t xml:space="preserve"> the challenges bank staff face when working with PLWD.</w:t>
      </w:r>
    </w:p>
    <w:p w14:paraId="308F0ECB" w14:textId="77777777" w:rsidR="0085338E" w:rsidRPr="003811B7" w:rsidRDefault="0085338E" w:rsidP="00AA6A8F">
      <w:pPr>
        <w:pStyle w:val="Heading3"/>
      </w:pPr>
      <w:bookmarkStart w:id="302" w:name="_Toc86417429"/>
      <w:r w:rsidRPr="003811B7">
        <w:t>11.5.4. Conclusion</w:t>
      </w:r>
      <w:bookmarkEnd w:id="302"/>
    </w:p>
    <w:p w14:paraId="57D15081" w14:textId="13919B82" w:rsidR="008A4376" w:rsidRDefault="0085338E" w:rsidP="00AA6A8F">
      <w:pPr>
        <w:jc w:val="both"/>
        <w:rPr>
          <w:rFonts w:ascii="Times New Roman" w:hAnsi="Times New Roman"/>
          <w:szCs w:val="24"/>
        </w:rPr>
      </w:pPr>
      <w:r w:rsidRPr="003811B7">
        <w:rPr>
          <w:rFonts w:ascii="Times New Roman" w:hAnsi="Times New Roman"/>
          <w:szCs w:val="24"/>
        </w:rPr>
        <w:t xml:space="preserve">The experience of Nigerian care workers for PLWD entails the journey of young Nigerians from Nigeria to the UK with the hope of a better life and career. But upon arrival, were drawn into working as care workers to deal with the reality, when they found that their educational qualification or professional experience could not secure them a choice job. Coming from a country with little awareness about dementia and culture with family structures which are still largely collective/compact, and the use of </w:t>
      </w:r>
      <w:r w:rsidRPr="003811B7">
        <w:rPr>
          <w:rFonts w:ascii="Times New Roman" w:hAnsi="Times New Roman"/>
          <w:szCs w:val="24"/>
        </w:rPr>
        <w:lastRenderedPageBreak/>
        <w:t>institutional care is more or less non-existent, these care workers have over time learnt how to negotiate the world of caregiving. Their experiences are complex and vast; however, it is hoped that these findings will help to further develop the existing knowledge and understanding of the lived experience of care work.</w:t>
      </w:r>
    </w:p>
    <w:p w14:paraId="1CF31878" w14:textId="77777777" w:rsidR="00AA6A8F" w:rsidRDefault="00AA6A8F">
      <w:pPr>
        <w:spacing w:after="0" w:line="240" w:lineRule="auto"/>
        <w:rPr>
          <w:rFonts w:ascii="Times New Roman" w:hAnsi="Times New Roman"/>
          <w:b/>
          <w:bCs/>
          <w:szCs w:val="24"/>
        </w:rPr>
      </w:pPr>
      <w:r>
        <w:rPr>
          <w:rFonts w:ascii="Times New Roman" w:hAnsi="Times New Roman"/>
          <w:b/>
          <w:bCs/>
          <w:szCs w:val="24"/>
        </w:rPr>
        <w:br w:type="page"/>
      </w:r>
    </w:p>
    <w:p w14:paraId="1651DB04" w14:textId="464695F1" w:rsidR="00503349" w:rsidRPr="005E1835" w:rsidRDefault="00503349" w:rsidP="00AA6A8F">
      <w:pPr>
        <w:pStyle w:val="Heading1"/>
      </w:pPr>
      <w:bookmarkStart w:id="303" w:name="_Toc86417430"/>
      <w:r w:rsidRPr="00945DA4">
        <w:lastRenderedPageBreak/>
        <w:t>REFERENCES</w:t>
      </w:r>
      <w:bookmarkEnd w:id="303"/>
    </w:p>
    <w:p w14:paraId="5D4BDF99" w14:textId="77777777" w:rsidR="00503349" w:rsidRDefault="00503349" w:rsidP="00503349">
      <w:pPr>
        <w:rPr>
          <w:rFonts w:ascii="Times New Roman" w:hAnsi="Times New Roman"/>
          <w:szCs w:val="24"/>
        </w:rPr>
      </w:pPr>
      <w:r>
        <w:rPr>
          <w:rFonts w:ascii="Times New Roman" w:hAnsi="Times New Roman"/>
          <w:szCs w:val="24"/>
        </w:rPr>
        <w:t xml:space="preserve">Aarons-Mele, M. 2014. </w:t>
      </w:r>
      <w:r w:rsidRPr="00CF1AE8">
        <w:rPr>
          <w:rFonts w:ascii="Times New Roman" w:hAnsi="Times New Roman"/>
          <w:szCs w:val="24"/>
        </w:rPr>
        <w:t>Unpredictable work hours are</w:t>
      </w:r>
      <w:r>
        <w:rPr>
          <w:rFonts w:ascii="Times New Roman" w:hAnsi="Times New Roman"/>
          <w:szCs w:val="24"/>
        </w:rPr>
        <w:t xml:space="preserve"> stressing too many people out.</w:t>
      </w:r>
      <w:r w:rsidRPr="00CF1AE8">
        <w:rPr>
          <w:rFonts w:ascii="Times New Roman" w:hAnsi="Times New Roman"/>
          <w:szCs w:val="24"/>
        </w:rPr>
        <w:t> </w:t>
      </w:r>
      <w:r w:rsidRPr="00CF1AE8">
        <w:rPr>
          <w:rFonts w:ascii="Times New Roman" w:hAnsi="Times New Roman"/>
          <w:i/>
          <w:iCs/>
          <w:szCs w:val="24"/>
        </w:rPr>
        <w:t>Harvard Business Review</w:t>
      </w:r>
      <w:r>
        <w:rPr>
          <w:rFonts w:ascii="Times New Roman" w:hAnsi="Times New Roman"/>
          <w:iCs/>
          <w:szCs w:val="24"/>
        </w:rPr>
        <w:t>. Available at:&lt;</w:t>
      </w:r>
      <w:r w:rsidRPr="007875C0">
        <w:rPr>
          <w:rFonts w:ascii="Times New Roman" w:hAnsi="Times New Roman"/>
          <w:iCs/>
          <w:szCs w:val="24"/>
        </w:rPr>
        <w:t>https://hbr.org/2014/08/unpredictable-work-hours-are-stressing-too-many-people-out</w:t>
      </w:r>
      <w:r>
        <w:rPr>
          <w:rFonts w:ascii="Times New Roman" w:hAnsi="Times New Roman"/>
          <w:iCs/>
          <w:szCs w:val="24"/>
        </w:rPr>
        <w:t>&gt;[Accessed 12 September 2018]</w:t>
      </w:r>
    </w:p>
    <w:p w14:paraId="42CDE4CC" w14:textId="77777777" w:rsidR="00503349" w:rsidRDefault="00503349" w:rsidP="00503349">
      <w:pPr>
        <w:jc w:val="both"/>
        <w:rPr>
          <w:rFonts w:ascii="Times New Roman" w:hAnsi="Times New Roman"/>
          <w:color w:val="2A2A2A"/>
          <w:szCs w:val="24"/>
        </w:rPr>
      </w:pPr>
      <w:r w:rsidRPr="003811B7">
        <w:rPr>
          <w:rFonts w:ascii="Times New Roman" w:hAnsi="Times New Roman"/>
          <w:szCs w:val="24"/>
          <w:bdr w:val="none" w:sz="0" w:space="0" w:color="auto" w:frame="1"/>
        </w:rPr>
        <w:t xml:space="preserve">Aboderin, I., 2007. Contexts, motives and experiences of Nigerian overseas nurses-understanding links to globalization. </w:t>
      </w:r>
      <w:r w:rsidRPr="003811B7">
        <w:rPr>
          <w:rFonts w:ascii="Times New Roman" w:hAnsi="Times New Roman"/>
          <w:i/>
          <w:szCs w:val="24"/>
          <w:bdr w:val="none" w:sz="0" w:space="0" w:color="auto" w:frame="1"/>
        </w:rPr>
        <w:t>Journal of Clinical Nursing</w:t>
      </w:r>
      <w:r w:rsidRPr="003811B7">
        <w:rPr>
          <w:rFonts w:ascii="Times New Roman" w:hAnsi="Times New Roman"/>
          <w:szCs w:val="24"/>
          <w:bdr w:val="none" w:sz="0" w:space="0" w:color="auto" w:frame="1"/>
        </w:rPr>
        <w:t>, 16, pp. 2237-2245.</w:t>
      </w:r>
    </w:p>
    <w:p w14:paraId="6FCF3562" w14:textId="77777777" w:rsidR="00503349" w:rsidRPr="005862BB" w:rsidRDefault="00503349" w:rsidP="00503349">
      <w:pPr>
        <w:rPr>
          <w:rFonts w:ascii="Times New Roman" w:hAnsi="Times New Roman"/>
          <w:szCs w:val="24"/>
        </w:rPr>
      </w:pPr>
      <w:r w:rsidRPr="00AB40E2">
        <w:rPr>
          <w:rFonts w:ascii="Times New Roman" w:hAnsi="Times New Roman"/>
          <w:szCs w:val="24"/>
        </w:rPr>
        <w:t xml:space="preserve">Abreu, W., Rodrigues, T., Sequeira, C., Pires, R. and Sanhudo, A., 2018. The experience of psychological distress in family caregivers of people with dementia: a cross‐sectional study. </w:t>
      </w:r>
      <w:r w:rsidRPr="00AB40E2">
        <w:rPr>
          <w:rFonts w:ascii="Times New Roman" w:hAnsi="Times New Roman"/>
          <w:i/>
          <w:iCs/>
          <w:szCs w:val="24"/>
        </w:rPr>
        <w:t>Perspectives of Psychiatric Care</w:t>
      </w:r>
      <w:r w:rsidRPr="00AB40E2">
        <w:rPr>
          <w:rFonts w:ascii="Times New Roman" w:hAnsi="Times New Roman"/>
          <w:szCs w:val="24"/>
        </w:rPr>
        <w:t>, 54, pp. 317-323.</w:t>
      </w:r>
    </w:p>
    <w:p w14:paraId="7B3FD12E"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Abuatiq, A., 2015. </w:t>
      </w:r>
      <w:r w:rsidRPr="000A56C6">
        <w:rPr>
          <w:rFonts w:ascii="Times New Roman" w:hAnsi="Times New Roman"/>
          <w:bCs/>
          <w:szCs w:val="24"/>
        </w:rPr>
        <w:t xml:space="preserve">Patients’ and health care providers’ perception of stressors in the intensive care units. </w:t>
      </w:r>
      <w:r w:rsidRPr="000A56C6">
        <w:rPr>
          <w:rFonts w:ascii="Times New Roman" w:hAnsi="Times New Roman"/>
          <w:bCs/>
          <w:i/>
          <w:iCs/>
          <w:szCs w:val="24"/>
        </w:rPr>
        <w:t>Dimensions of Critical Care Nursing</w:t>
      </w:r>
      <w:r w:rsidRPr="000A56C6">
        <w:rPr>
          <w:rFonts w:ascii="Times New Roman" w:hAnsi="Times New Roman"/>
          <w:bCs/>
          <w:szCs w:val="24"/>
        </w:rPr>
        <w:t xml:space="preserve">, </w:t>
      </w:r>
      <w:r w:rsidRPr="000A56C6">
        <w:rPr>
          <w:rFonts w:ascii="Times New Roman" w:hAnsi="Times New Roman"/>
          <w:szCs w:val="24"/>
        </w:rPr>
        <w:t>34, pp. 205-214.</w:t>
      </w:r>
    </w:p>
    <w:p w14:paraId="5A48D728" w14:textId="77777777" w:rsidR="00503349" w:rsidRPr="008E3AE8" w:rsidRDefault="00503349" w:rsidP="00503349">
      <w:pPr>
        <w:jc w:val="both"/>
        <w:rPr>
          <w:rFonts w:ascii="Times New Roman" w:hAnsi="Times New Roman"/>
          <w:szCs w:val="24"/>
          <w:bdr w:val="none" w:sz="0" w:space="0" w:color="auto" w:frame="1"/>
        </w:rPr>
      </w:pPr>
      <w:r w:rsidRPr="008E3AE8">
        <w:rPr>
          <w:rFonts w:ascii="Times New Roman" w:hAnsi="Times New Roman"/>
          <w:szCs w:val="24"/>
          <w:bdr w:val="none" w:sz="0" w:space="0" w:color="auto" w:frame="1"/>
        </w:rPr>
        <w:t>Acevedo, A.J., 2018.</w:t>
      </w:r>
      <w:r w:rsidRPr="008E3AE8">
        <w:rPr>
          <w:rFonts w:ascii="Times New Roman" w:hAnsi="Times New Roman"/>
          <w:szCs w:val="24"/>
          <w:bdr w:val="none" w:sz="0" w:space="0" w:color="auto" w:frame="1"/>
          <w:lang w:val="en"/>
        </w:rPr>
        <w:t xml:space="preserve"> A personalistic appraisal of Maslow’s needs theory of motivation: from “humanistic” psychology to integral humanism. </w:t>
      </w:r>
      <w:r w:rsidRPr="008E3AE8">
        <w:rPr>
          <w:rFonts w:ascii="Times New Roman" w:hAnsi="Times New Roman"/>
          <w:i/>
          <w:szCs w:val="24"/>
          <w:bdr w:val="none" w:sz="0" w:space="0" w:color="auto" w:frame="1"/>
        </w:rPr>
        <w:t>Journal of Business Ethics</w:t>
      </w:r>
      <w:r w:rsidRPr="008E3AE8">
        <w:rPr>
          <w:rFonts w:ascii="Times New Roman" w:hAnsi="Times New Roman"/>
          <w:szCs w:val="24"/>
          <w:bdr w:val="none" w:sz="0" w:space="0" w:color="auto" w:frame="1"/>
        </w:rPr>
        <w:t>, 148(4), pp. 741-763.</w:t>
      </w:r>
    </w:p>
    <w:p w14:paraId="377306B4"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Ackerman, S., 1976. </w:t>
      </w:r>
      <w:r w:rsidRPr="004C4120">
        <w:rPr>
          <w:rFonts w:ascii="Times New Roman" w:hAnsi="Times New Roman"/>
          <w:szCs w:val="24"/>
        </w:rPr>
        <w:t>Theories and methods of migration research</w:t>
      </w:r>
      <w:r w:rsidRPr="00CF1AE8">
        <w:rPr>
          <w:rFonts w:ascii="Times New Roman" w:hAnsi="Times New Roman"/>
          <w:iCs/>
          <w:szCs w:val="24"/>
        </w:rPr>
        <w:t xml:space="preserve">. In H. Runblom and H. Norman (eds.) </w:t>
      </w:r>
      <w:r w:rsidRPr="004C4120">
        <w:rPr>
          <w:rFonts w:ascii="Times New Roman" w:hAnsi="Times New Roman"/>
          <w:i/>
          <w:szCs w:val="24"/>
        </w:rPr>
        <w:t>From Sweden to America</w:t>
      </w:r>
      <w:r w:rsidRPr="00CF1AE8">
        <w:rPr>
          <w:rFonts w:ascii="Times New Roman" w:hAnsi="Times New Roman"/>
          <w:iCs/>
          <w:szCs w:val="24"/>
        </w:rPr>
        <w:t>. Minneapolis: University of Minnesota Press, pp. 19-75.</w:t>
      </w:r>
    </w:p>
    <w:p w14:paraId="52D4F3D1" w14:textId="77777777" w:rsidR="00503349" w:rsidRPr="002B3011" w:rsidRDefault="00503349" w:rsidP="00503349">
      <w:pPr>
        <w:rPr>
          <w:rFonts w:ascii="Times New Roman" w:hAnsi="Times New Roman"/>
          <w:szCs w:val="24"/>
        </w:rPr>
      </w:pPr>
      <w:r w:rsidRPr="002B3011">
        <w:rPr>
          <w:rFonts w:ascii="Times New Roman" w:hAnsi="Times New Roman"/>
          <w:noProof/>
          <w:szCs w:val="24"/>
          <w:bdr w:val="none" w:sz="0" w:space="0" w:color="auto" w:frame="1"/>
        </w:rPr>
        <w:t>Adams</w:t>
      </w:r>
      <w:r w:rsidRPr="002B3011">
        <w:rPr>
          <w:rFonts w:ascii="Times New Roman" w:hAnsi="Times New Roman"/>
          <w:noProof/>
          <w:szCs w:val="24"/>
        </w:rPr>
        <w:t xml:space="preserve">, B., </w:t>
      </w:r>
      <w:r w:rsidRPr="002B3011">
        <w:rPr>
          <w:rFonts w:ascii="Times New Roman" w:hAnsi="Times New Roman"/>
          <w:noProof/>
          <w:szCs w:val="24"/>
          <w:bdr w:val="none" w:sz="0" w:space="0" w:color="auto" w:frame="1"/>
        </w:rPr>
        <w:t>Aranda, M.P., Kemp</w:t>
      </w:r>
      <w:r w:rsidRPr="002B3011">
        <w:rPr>
          <w:rFonts w:ascii="Times New Roman" w:hAnsi="Times New Roman"/>
          <w:noProof/>
          <w:szCs w:val="24"/>
        </w:rPr>
        <w:t xml:space="preserve">, B. and </w:t>
      </w:r>
      <w:r w:rsidRPr="002B3011">
        <w:rPr>
          <w:rFonts w:ascii="Times New Roman" w:hAnsi="Times New Roman"/>
          <w:noProof/>
          <w:szCs w:val="24"/>
          <w:bdr w:val="none" w:sz="0" w:space="0" w:color="auto" w:frame="1"/>
        </w:rPr>
        <w:t xml:space="preserve">Takagi, K., 2002. </w:t>
      </w:r>
      <w:r w:rsidRPr="002B3011">
        <w:rPr>
          <w:rFonts w:ascii="Times New Roman" w:hAnsi="Times New Roman"/>
          <w:noProof/>
          <w:szCs w:val="24"/>
        </w:rPr>
        <w:t xml:space="preserve">Ethnic and gender differences in distress among Anglo American, African American, Japanese American, and Mexican American spousal caregivers of persons with dementia. </w:t>
      </w:r>
      <w:r w:rsidRPr="002B3011">
        <w:rPr>
          <w:rFonts w:ascii="Times New Roman" w:hAnsi="Times New Roman"/>
          <w:i/>
          <w:noProof/>
          <w:szCs w:val="24"/>
          <w:bdr w:val="none" w:sz="0" w:space="0" w:color="auto" w:frame="1"/>
        </w:rPr>
        <w:t>Journal of Clinical</w:t>
      </w:r>
      <w:r w:rsidRPr="002B3011">
        <w:rPr>
          <w:rFonts w:ascii="Times New Roman" w:hAnsi="Times New Roman"/>
          <w:i/>
          <w:szCs w:val="24"/>
          <w:bdr w:val="none" w:sz="0" w:space="0" w:color="auto" w:frame="1"/>
        </w:rPr>
        <w:t xml:space="preserve"> Geropsychology</w:t>
      </w:r>
      <w:r w:rsidRPr="002B3011">
        <w:rPr>
          <w:rFonts w:ascii="Times New Roman" w:hAnsi="Times New Roman"/>
          <w:szCs w:val="24"/>
          <w:bdr w:val="none" w:sz="0" w:space="0" w:color="auto" w:frame="1"/>
        </w:rPr>
        <w:t>, 8</w:t>
      </w:r>
      <w:r w:rsidRPr="002B3011">
        <w:rPr>
          <w:rFonts w:ascii="Times New Roman" w:hAnsi="Times New Roman"/>
          <w:szCs w:val="24"/>
        </w:rPr>
        <w:t>(4), pp. 279-301.</w:t>
      </w:r>
    </w:p>
    <w:p w14:paraId="4E9A7D41"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bCs/>
          <w:szCs w:val="24"/>
        </w:rPr>
        <w:t>Adams, C.</w:t>
      </w:r>
      <w:r w:rsidRPr="008101DD">
        <w:rPr>
          <w:rFonts w:ascii="Times New Roman" w:hAnsi="Times New Roman"/>
          <w:szCs w:val="24"/>
        </w:rPr>
        <w:t xml:space="preserve"> and </w:t>
      </w:r>
      <w:r w:rsidRPr="008101DD">
        <w:rPr>
          <w:rFonts w:ascii="Times New Roman" w:hAnsi="Times New Roman"/>
          <w:bCs/>
          <w:szCs w:val="24"/>
        </w:rPr>
        <w:t>van Manen, M.,</w:t>
      </w:r>
      <w:r w:rsidRPr="008101DD">
        <w:rPr>
          <w:rFonts w:ascii="Times New Roman" w:hAnsi="Times New Roman"/>
          <w:szCs w:val="24"/>
        </w:rPr>
        <w:t xml:space="preserve"> 2008. Phenomenology. In: L. </w:t>
      </w:r>
      <w:r w:rsidRPr="008101DD">
        <w:rPr>
          <w:rFonts w:ascii="Times New Roman" w:hAnsi="Times New Roman"/>
          <w:bCs/>
          <w:szCs w:val="24"/>
        </w:rPr>
        <w:t xml:space="preserve">Given, </w:t>
      </w:r>
      <w:r w:rsidRPr="008101DD">
        <w:rPr>
          <w:rFonts w:ascii="Times New Roman" w:hAnsi="Times New Roman"/>
          <w:szCs w:val="24"/>
        </w:rPr>
        <w:t xml:space="preserve">ed. </w:t>
      </w:r>
      <w:r w:rsidRPr="008101DD">
        <w:rPr>
          <w:rFonts w:ascii="Times New Roman" w:hAnsi="Times New Roman"/>
          <w:i/>
          <w:iCs/>
          <w:szCs w:val="24"/>
        </w:rPr>
        <w:t>The SAGE Encyclopedia of Qualitative Research Methods.</w:t>
      </w:r>
      <w:r w:rsidRPr="008101DD">
        <w:rPr>
          <w:rFonts w:ascii="Times New Roman" w:hAnsi="Times New Roman"/>
          <w:szCs w:val="24"/>
        </w:rPr>
        <w:t xml:space="preserve"> Thousand Oaks: Sage, pp. 614-619.</w:t>
      </w:r>
    </w:p>
    <w:p w14:paraId="4AB3487E" w14:textId="77777777" w:rsidR="005D087C" w:rsidRDefault="00503349" w:rsidP="00503349">
      <w:pPr>
        <w:rPr>
          <w:rFonts w:ascii="Times New Roman" w:eastAsia="Calibri" w:hAnsi="Times New Roman"/>
          <w:szCs w:val="24"/>
        </w:rPr>
      </w:pPr>
      <w:r w:rsidRPr="002B3011">
        <w:rPr>
          <w:rFonts w:ascii="Times New Roman" w:eastAsia="Calibri" w:hAnsi="Times New Roman"/>
          <w:szCs w:val="24"/>
        </w:rPr>
        <w:t xml:space="preserve">Adams, V. and Sharp, R., 2013. Reciprocity in caring </w:t>
      </w:r>
      <w:r w:rsidRPr="002B3011">
        <w:rPr>
          <w:rFonts w:ascii="Times New Roman" w:eastAsia="Calibri" w:hAnsi="Times New Roman"/>
          <w:noProof/>
          <w:szCs w:val="24"/>
        </w:rPr>
        <w:t>labor</w:t>
      </w:r>
      <w:r w:rsidRPr="002B3011">
        <w:rPr>
          <w:rFonts w:ascii="Times New Roman" w:eastAsia="Calibri" w:hAnsi="Times New Roman"/>
          <w:szCs w:val="24"/>
        </w:rPr>
        <w:t>: nurses’ work in residential aged care in Australia. </w:t>
      </w:r>
      <w:r w:rsidRPr="002B3011">
        <w:rPr>
          <w:rFonts w:ascii="Times New Roman" w:eastAsia="Calibri" w:hAnsi="Times New Roman"/>
          <w:i/>
          <w:szCs w:val="24"/>
        </w:rPr>
        <w:t>Feminist Economics</w:t>
      </w:r>
      <w:r w:rsidRPr="002B3011">
        <w:rPr>
          <w:rFonts w:ascii="Times New Roman" w:eastAsia="Calibri" w:hAnsi="Times New Roman"/>
          <w:szCs w:val="24"/>
        </w:rPr>
        <w:t>, 19(2), pp. 100-121.</w:t>
      </w:r>
    </w:p>
    <w:p w14:paraId="17C408C6" w14:textId="469E8724" w:rsidR="00503349" w:rsidRPr="00E844AB" w:rsidRDefault="00503349" w:rsidP="00503349">
      <w:pPr>
        <w:rPr>
          <w:rFonts w:ascii="Times New Roman" w:eastAsia="Calibri" w:hAnsi="Times New Roman"/>
          <w:szCs w:val="24"/>
        </w:rPr>
      </w:pPr>
      <w:r w:rsidRPr="00DA2952">
        <w:rPr>
          <w:rFonts w:ascii="Times New Roman" w:hAnsi="Times New Roman"/>
          <w:szCs w:val="24"/>
        </w:rPr>
        <w:lastRenderedPageBreak/>
        <w:t>Adebayo, B., Nichols, P., Heslop, K. and Brijnath, B., 2020. A scoping review of dementia care experiences in migrant aged care workforce. </w:t>
      </w:r>
      <w:r w:rsidRPr="00DA2952">
        <w:rPr>
          <w:rFonts w:ascii="Times New Roman" w:hAnsi="Times New Roman"/>
          <w:i/>
          <w:iCs/>
          <w:szCs w:val="24"/>
        </w:rPr>
        <w:t>The Gerontologist</w:t>
      </w:r>
      <w:r w:rsidRPr="00DA2952">
        <w:rPr>
          <w:rFonts w:ascii="Times New Roman" w:hAnsi="Times New Roman"/>
          <w:szCs w:val="24"/>
        </w:rPr>
        <w:t>, 60(2), pp. e105-e116.</w:t>
      </w:r>
    </w:p>
    <w:p w14:paraId="56914575" w14:textId="77777777" w:rsidR="00503349" w:rsidRPr="00DA2952" w:rsidRDefault="00503349" w:rsidP="00503349">
      <w:pPr>
        <w:spacing w:line="240" w:lineRule="auto"/>
        <w:rPr>
          <w:rFonts w:ascii="Times New Roman" w:hAnsi="Times New Roman"/>
          <w:szCs w:val="24"/>
        </w:rPr>
      </w:pPr>
      <w:r w:rsidRPr="00DA2952">
        <w:rPr>
          <w:rFonts w:ascii="Times New Roman" w:hAnsi="Times New Roman"/>
          <w:szCs w:val="24"/>
        </w:rPr>
        <w:t xml:space="preserve">Adebiyi, A.O., Fagbola, M.A., Olakehinde, O. and Ogunniyi, A., 2016. Enacted and implied stigma for dementia. </w:t>
      </w:r>
      <w:r w:rsidRPr="00DA2952">
        <w:rPr>
          <w:rFonts w:ascii="Times New Roman" w:hAnsi="Times New Roman"/>
          <w:i/>
          <w:iCs/>
          <w:szCs w:val="24"/>
        </w:rPr>
        <w:t>Psychogeriatrics</w:t>
      </w:r>
      <w:r w:rsidRPr="00DA2952">
        <w:rPr>
          <w:rFonts w:ascii="Times New Roman" w:hAnsi="Times New Roman"/>
          <w:szCs w:val="24"/>
        </w:rPr>
        <w:t>, 16, pp. 268-273. </w:t>
      </w:r>
    </w:p>
    <w:p w14:paraId="1E2275D1" w14:textId="77777777" w:rsidR="00503349" w:rsidRPr="00DA2952" w:rsidRDefault="00503349" w:rsidP="00503349">
      <w:pPr>
        <w:rPr>
          <w:rFonts w:ascii="Times New Roman" w:hAnsi="Times New Roman"/>
          <w:szCs w:val="24"/>
        </w:rPr>
      </w:pPr>
      <w:r w:rsidRPr="00DA2952">
        <w:rPr>
          <w:rFonts w:ascii="Times New Roman" w:hAnsi="Times New Roman"/>
          <w:szCs w:val="24"/>
        </w:rPr>
        <w:t xml:space="preserve">Adeloye, D., Auta, A., Ezejimofor, M., Oyedokun, A., Harhay, M.O., Rudan, I. and Chan, K.Y., 2019. Prevalence of dementia in Nigeria: a systematic review of the evidence. </w:t>
      </w:r>
      <w:r w:rsidRPr="00DA2952">
        <w:rPr>
          <w:rFonts w:ascii="Times New Roman" w:hAnsi="Times New Roman"/>
          <w:i/>
          <w:iCs/>
          <w:szCs w:val="24"/>
        </w:rPr>
        <w:t>Journal of Global Health Reports</w:t>
      </w:r>
      <w:r w:rsidRPr="00DA2952">
        <w:rPr>
          <w:rFonts w:ascii="Times New Roman" w:hAnsi="Times New Roman"/>
          <w:szCs w:val="24"/>
        </w:rPr>
        <w:t>, 3. Available at: &lt;https://www.ncbi.nlm.nih.gov/pmc/articles/PMC6746335/&gt;[Accessed 15 June 2020]10.29392/joghr.3.e2019014, 3.</w:t>
      </w:r>
    </w:p>
    <w:p w14:paraId="2B0EA460" w14:textId="77777777" w:rsidR="00503349" w:rsidRDefault="00503349" w:rsidP="00503349">
      <w:pPr>
        <w:rPr>
          <w:rFonts w:ascii="Times New Roman" w:hAnsi="Times New Roman"/>
          <w:szCs w:val="24"/>
        </w:rPr>
      </w:pPr>
      <w:r w:rsidRPr="001C3F17">
        <w:rPr>
          <w:rFonts w:ascii="Times New Roman" w:hAnsi="Times New Roman"/>
          <w:szCs w:val="24"/>
        </w:rPr>
        <w:t xml:space="preserve">Adhikari, R. and Melia, K.M., 2015. The (mis)management of migrant nurses in the UK: a sociological study. </w:t>
      </w:r>
      <w:r w:rsidRPr="001C3F17">
        <w:rPr>
          <w:rFonts w:ascii="Times New Roman" w:hAnsi="Times New Roman"/>
          <w:i/>
          <w:iCs/>
          <w:szCs w:val="24"/>
        </w:rPr>
        <w:t>Journal of Nursing Management</w:t>
      </w:r>
      <w:r w:rsidRPr="001C3F17">
        <w:rPr>
          <w:rFonts w:ascii="Times New Roman" w:hAnsi="Times New Roman"/>
          <w:szCs w:val="24"/>
        </w:rPr>
        <w:t>, 23, pp. 359-367.</w:t>
      </w:r>
    </w:p>
    <w:p w14:paraId="6BC4BB5B" w14:textId="77777777" w:rsidR="00503349" w:rsidRDefault="00503349" w:rsidP="00503349">
      <w:pPr>
        <w:spacing w:before="240"/>
        <w:jc w:val="both"/>
        <w:rPr>
          <w:rFonts w:ascii="Times New Roman" w:hAnsi="Times New Roman"/>
          <w:strike/>
          <w:szCs w:val="24"/>
        </w:rPr>
      </w:pPr>
      <w:r>
        <w:rPr>
          <w:rFonts w:ascii="Times New Roman" w:hAnsi="Times New Roman"/>
          <w:szCs w:val="24"/>
        </w:rPr>
        <w:t xml:space="preserve">Agbebi, M. and Virtanen, P., 2017. Dependency Theory – A conceptual lens to understand China’s presence in Africa? </w:t>
      </w:r>
      <w:r>
        <w:rPr>
          <w:rFonts w:ascii="Times New Roman" w:hAnsi="Times New Roman"/>
          <w:i/>
          <w:szCs w:val="24"/>
        </w:rPr>
        <w:t>Forum for Development Studies</w:t>
      </w:r>
      <w:r>
        <w:rPr>
          <w:rFonts w:ascii="Times New Roman" w:hAnsi="Times New Roman"/>
          <w:szCs w:val="24"/>
        </w:rPr>
        <w:t>, 44(3), pp. 429–451.</w:t>
      </w:r>
    </w:p>
    <w:p w14:paraId="75549302" w14:textId="77777777" w:rsidR="00503349" w:rsidRDefault="00503349" w:rsidP="00503349">
      <w:pPr>
        <w:jc w:val="both"/>
        <w:rPr>
          <w:rFonts w:ascii="Times New Roman" w:hAnsi="Times New Roman"/>
          <w:iCs/>
          <w:szCs w:val="24"/>
        </w:rPr>
      </w:pPr>
      <w:r w:rsidRPr="00B1168C">
        <w:rPr>
          <w:rFonts w:ascii="Times New Roman" w:hAnsi="Times New Roman"/>
          <w:iCs/>
          <w:szCs w:val="24"/>
        </w:rPr>
        <w:t>Aidelunuoghene, O.S</w:t>
      </w:r>
      <w:r>
        <w:rPr>
          <w:rFonts w:ascii="Times New Roman" w:hAnsi="Times New Roman"/>
          <w:iCs/>
          <w:szCs w:val="24"/>
        </w:rPr>
        <w:t>.,</w:t>
      </w:r>
      <w:r w:rsidRPr="00B1168C">
        <w:rPr>
          <w:rFonts w:ascii="Times New Roman" w:hAnsi="Times New Roman"/>
          <w:iCs/>
          <w:szCs w:val="24"/>
        </w:rPr>
        <w:t xml:space="preserve"> 2014</w:t>
      </w:r>
      <w:r>
        <w:rPr>
          <w:rFonts w:ascii="Times New Roman" w:hAnsi="Times New Roman"/>
          <w:iCs/>
          <w:szCs w:val="24"/>
        </w:rPr>
        <w:t>.</w:t>
      </w:r>
      <w:r w:rsidRPr="00B1168C">
        <w:rPr>
          <w:rFonts w:ascii="Times New Roman" w:hAnsi="Times New Roman"/>
          <w:iCs/>
          <w:szCs w:val="24"/>
        </w:rPr>
        <w:t xml:space="preserve"> ASUU industrial actions: between ASUU and government: is it an issue of rightness. </w:t>
      </w:r>
      <w:r w:rsidRPr="00B1168C">
        <w:rPr>
          <w:rFonts w:ascii="Times New Roman" w:hAnsi="Times New Roman"/>
          <w:i/>
          <w:szCs w:val="24"/>
        </w:rPr>
        <w:t>Journal of Education and Practice</w:t>
      </w:r>
      <w:r w:rsidRPr="00B1168C">
        <w:rPr>
          <w:rFonts w:ascii="Times New Roman" w:hAnsi="Times New Roman"/>
          <w:iCs/>
          <w:szCs w:val="24"/>
        </w:rPr>
        <w:t>, 5</w:t>
      </w:r>
      <w:r>
        <w:rPr>
          <w:rFonts w:ascii="Times New Roman" w:hAnsi="Times New Roman"/>
          <w:iCs/>
          <w:szCs w:val="24"/>
        </w:rPr>
        <w:t>(</w:t>
      </w:r>
      <w:r w:rsidRPr="00B1168C">
        <w:rPr>
          <w:rFonts w:ascii="Times New Roman" w:hAnsi="Times New Roman"/>
          <w:iCs/>
          <w:szCs w:val="24"/>
        </w:rPr>
        <w:t>6</w:t>
      </w:r>
      <w:r>
        <w:rPr>
          <w:rFonts w:ascii="Times New Roman" w:hAnsi="Times New Roman"/>
          <w:iCs/>
          <w:szCs w:val="24"/>
        </w:rPr>
        <w:t>), pp. 7-17.</w:t>
      </w:r>
    </w:p>
    <w:p w14:paraId="4898A4CB" w14:textId="77777777" w:rsidR="00503349" w:rsidRPr="002B3011" w:rsidRDefault="00503349" w:rsidP="00503349">
      <w:pPr>
        <w:jc w:val="both"/>
        <w:rPr>
          <w:rFonts w:ascii="Times New Roman" w:hAnsi="Times New Roman"/>
          <w:bCs/>
          <w:color w:val="000000"/>
          <w:szCs w:val="24"/>
        </w:rPr>
      </w:pPr>
      <w:r w:rsidRPr="002B3011">
        <w:rPr>
          <w:rFonts w:ascii="Times New Roman" w:hAnsi="Times New Roman"/>
          <w:bCs/>
          <w:color w:val="000000"/>
          <w:szCs w:val="24"/>
        </w:rPr>
        <w:t>Aires, M., Mocellin, D., Dal Pizzol, F.L.F., Bierhals, C.C.B.K., Chappell, N.L., de Morais, E.P. and Girardi Paskulin, L.M., 2019. Association between attitudes of filial responsibility and parent caregiving behavior. </w:t>
      </w:r>
      <w:r w:rsidRPr="002B3011">
        <w:rPr>
          <w:rFonts w:ascii="Times New Roman" w:hAnsi="Times New Roman"/>
          <w:bCs/>
          <w:i/>
          <w:iCs/>
          <w:color w:val="000000"/>
          <w:szCs w:val="24"/>
        </w:rPr>
        <w:t>Educational Gerontology</w:t>
      </w:r>
      <w:r w:rsidRPr="002B3011">
        <w:rPr>
          <w:rFonts w:ascii="Times New Roman" w:hAnsi="Times New Roman"/>
          <w:bCs/>
          <w:color w:val="000000"/>
          <w:szCs w:val="24"/>
        </w:rPr>
        <w:t>, 45(3), pp. 191-200.</w:t>
      </w:r>
    </w:p>
    <w:p w14:paraId="22F6DD55"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Albaugh, J., 2003. Keeping nurses in nursing: the profession’s challenge for today. </w:t>
      </w:r>
      <w:r w:rsidRPr="00CF1AE8">
        <w:rPr>
          <w:rFonts w:ascii="Times New Roman" w:hAnsi="Times New Roman"/>
          <w:i/>
          <w:iCs/>
          <w:szCs w:val="24"/>
        </w:rPr>
        <w:t>Urologic Nursing</w:t>
      </w:r>
      <w:r w:rsidRPr="00CF1AE8">
        <w:rPr>
          <w:rFonts w:ascii="Times New Roman" w:hAnsi="Times New Roman"/>
          <w:szCs w:val="24"/>
        </w:rPr>
        <w:t xml:space="preserve">, </w:t>
      </w:r>
      <w:r w:rsidRPr="00CF1AE8">
        <w:rPr>
          <w:rFonts w:ascii="Times New Roman" w:hAnsi="Times New Roman"/>
          <w:bCs/>
          <w:szCs w:val="24"/>
        </w:rPr>
        <w:t>23</w:t>
      </w:r>
      <w:r w:rsidRPr="00CF1AE8">
        <w:rPr>
          <w:rFonts w:ascii="Times New Roman" w:hAnsi="Times New Roman"/>
          <w:szCs w:val="24"/>
        </w:rPr>
        <w:t>, pp. 193–199.</w:t>
      </w:r>
    </w:p>
    <w:p w14:paraId="7395DAB2" w14:textId="77777777" w:rsidR="00503349" w:rsidRDefault="00503349" w:rsidP="00503349">
      <w:pPr>
        <w:spacing w:before="240"/>
        <w:jc w:val="both"/>
        <w:rPr>
          <w:rFonts w:ascii="Times New Roman" w:hAnsi="Times New Roman"/>
          <w:strike/>
          <w:szCs w:val="24"/>
        </w:rPr>
      </w:pPr>
      <w:r>
        <w:rPr>
          <w:rFonts w:ascii="Times New Roman" w:hAnsi="Times New Roman"/>
          <w:szCs w:val="24"/>
        </w:rPr>
        <w:t>Alber, J. and Köhler, U., 2004. Health and care in an enlarged Europe. Luxembourg: Office for Official Publications of the European Communities. Available at: &lt;https://www.eurofound.europa.eu/sites/default/files/ef_publication/field_ef_document/ef03107en_0.pdf&gt;[Accessed 28 December 2018]</w:t>
      </w:r>
    </w:p>
    <w:p w14:paraId="56F3D02E" w14:textId="77777777" w:rsidR="00503349" w:rsidRDefault="00503349" w:rsidP="00503349">
      <w:pPr>
        <w:rPr>
          <w:rFonts w:ascii="Times New Roman" w:hAnsi="Times New Roman"/>
          <w:szCs w:val="24"/>
        </w:rPr>
      </w:pPr>
      <w:r w:rsidRPr="00CF1AE8">
        <w:rPr>
          <w:rFonts w:ascii="Times New Roman" w:hAnsi="Times New Roman"/>
          <w:szCs w:val="24"/>
        </w:rPr>
        <w:lastRenderedPageBreak/>
        <w:t xml:space="preserve">Alcorn, J. and Topping, A.E., 2009. </w:t>
      </w:r>
      <w:r w:rsidRPr="00CF1AE8">
        <w:rPr>
          <w:rFonts w:ascii="Times New Roman" w:hAnsi="Times New Roman"/>
          <w:bCs/>
          <w:szCs w:val="24"/>
        </w:rPr>
        <w:t>Registered nurses' attitudes towards the role of the healthcare assistant</w:t>
      </w:r>
      <w:r w:rsidRPr="00CF1AE8">
        <w:rPr>
          <w:rFonts w:ascii="Times New Roman" w:hAnsi="Times New Roman"/>
          <w:szCs w:val="24"/>
        </w:rPr>
        <w:t xml:space="preserve">. </w:t>
      </w:r>
      <w:r w:rsidRPr="00CF1AE8">
        <w:rPr>
          <w:rFonts w:ascii="Times New Roman" w:hAnsi="Times New Roman"/>
          <w:i/>
          <w:szCs w:val="24"/>
        </w:rPr>
        <w:t>Nursing Standard</w:t>
      </w:r>
      <w:r w:rsidRPr="00CF1AE8">
        <w:rPr>
          <w:rFonts w:ascii="Times New Roman" w:hAnsi="Times New Roman"/>
          <w:szCs w:val="24"/>
        </w:rPr>
        <w:t>, 23(42), pp. 39-45.</w:t>
      </w:r>
    </w:p>
    <w:p w14:paraId="628655BE"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Alegria, M., Atkins, M., Farmer, E., Slaton, E. and Stelk, W., 2010. </w:t>
      </w:r>
      <w:r w:rsidRPr="002B3011">
        <w:rPr>
          <w:rFonts w:ascii="Times New Roman" w:hAnsi="Times New Roman"/>
          <w:noProof/>
          <w:szCs w:val="24"/>
        </w:rPr>
        <w:t>One Size Does Not Fit All: taking diversity, culture and context seriously.</w:t>
      </w:r>
      <w:r w:rsidRPr="002B3011">
        <w:rPr>
          <w:rFonts w:ascii="Times New Roman" w:hAnsi="Times New Roman"/>
          <w:szCs w:val="24"/>
        </w:rPr>
        <w:t xml:space="preserve"> </w:t>
      </w:r>
      <w:r w:rsidRPr="002B3011">
        <w:rPr>
          <w:rFonts w:ascii="Times New Roman" w:hAnsi="Times New Roman"/>
          <w:i/>
          <w:iCs/>
          <w:szCs w:val="24"/>
        </w:rPr>
        <w:t>Administration and Policy in Mental Health</w:t>
      </w:r>
      <w:r w:rsidRPr="002B3011">
        <w:rPr>
          <w:rFonts w:ascii="Times New Roman" w:hAnsi="Times New Roman"/>
          <w:szCs w:val="24"/>
        </w:rPr>
        <w:t>, 37(1-2), 48-60.</w:t>
      </w:r>
    </w:p>
    <w:p w14:paraId="56943C7A" w14:textId="77777777" w:rsidR="00503349" w:rsidRPr="00E844AB" w:rsidRDefault="00503349" w:rsidP="00503349">
      <w:pPr>
        <w:spacing w:before="240"/>
        <w:jc w:val="both"/>
        <w:rPr>
          <w:rFonts w:ascii="Times New Roman" w:hAnsi="Times New Roman"/>
          <w:strike/>
          <w:szCs w:val="24"/>
        </w:rPr>
      </w:pPr>
      <w:r>
        <w:rPr>
          <w:rFonts w:ascii="Times New Roman" w:hAnsi="Times New Roman"/>
          <w:szCs w:val="24"/>
        </w:rPr>
        <w:t xml:space="preserve">Aleshkovski, I., 2016. International migration and globalization: global trends and perspectives. </w:t>
      </w:r>
      <w:r>
        <w:rPr>
          <w:rFonts w:ascii="Times New Roman" w:hAnsi="Times New Roman"/>
          <w:i/>
          <w:szCs w:val="24"/>
        </w:rPr>
        <w:t>Journal of Globalization Studies</w:t>
      </w:r>
      <w:r>
        <w:rPr>
          <w:rFonts w:ascii="Times New Roman" w:hAnsi="Times New Roman"/>
          <w:szCs w:val="24"/>
        </w:rPr>
        <w:t>, 7(2), pp. 32-48.</w:t>
      </w:r>
    </w:p>
    <w:p w14:paraId="0FE10816" w14:textId="77777777" w:rsidR="00503349" w:rsidRDefault="00503349" w:rsidP="00503349">
      <w:pPr>
        <w:jc w:val="both"/>
        <w:rPr>
          <w:rFonts w:ascii="Times New Roman" w:hAnsi="Times New Roman"/>
          <w:szCs w:val="24"/>
        </w:rPr>
      </w:pPr>
      <w:r w:rsidRPr="00CF1AE8">
        <w:rPr>
          <w:rFonts w:ascii="Times New Roman" w:hAnsi="Times New Roman"/>
          <w:szCs w:val="24"/>
        </w:rPr>
        <w:t>Alexander, C. and Haley-Lock, A. 2013. Not enough hours in the day: work hour insecurity and a new approach to wage and hour regulation. </w:t>
      </w:r>
      <w:r w:rsidRPr="00CF1AE8">
        <w:rPr>
          <w:rFonts w:ascii="Times New Roman" w:hAnsi="Times New Roman"/>
          <w:i/>
          <w:iCs/>
          <w:szCs w:val="24"/>
        </w:rPr>
        <w:t>Georgia State University College of Law Legal Studies Research Paper</w:t>
      </w:r>
      <w:r>
        <w:rPr>
          <w:rFonts w:ascii="Times New Roman" w:hAnsi="Times New Roman"/>
          <w:i/>
          <w:iCs/>
          <w:szCs w:val="24"/>
        </w:rPr>
        <w:t xml:space="preserve"> </w:t>
      </w:r>
      <w:r w:rsidRPr="00235EBB">
        <w:rPr>
          <w:rFonts w:ascii="Times New Roman" w:hAnsi="Times New Roman"/>
          <w:szCs w:val="24"/>
        </w:rPr>
        <w:t>No. 2013-24</w:t>
      </w:r>
      <w:r>
        <w:rPr>
          <w:rFonts w:ascii="Times New Roman" w:hAnsi="Times New Roman"/>
          <w:szCs w:val="24"/>
        </w:rPr>
        <w:t>.</w:t>
      </w:r>
      <w:r w:rsidRPr="00235EBB">
        <w:rPr>
          <w:rFonts w:ascii="Times New Roman" w:hAnsi="Times New Roman"/>
          <w:szCs w:val="24"/>
        </w:rPr>
        <w:t xml:space="preserve"> Available at</w:t>
      </w:r>
      <w:r>
        <w:rPr>
          <w:rFonts w:ascii="Times New Roman" w:hAnsi="Times New Roman"/>
          <w:szCs w:val="24"/>
        </w:rPr>
        <w:t>:</w:t>
      </w:r>
      <w:r w:rsidRPr="00235EBB">
        <w:rPr>
          <w:rFonts w:ascii="Times New Roman" w:hAnsi="Times New Roman"/>
          <w:szCs w:val="24"/>
        </w:rPr>
        <w:t xml:space="preserve"> </w:t>
      </w:r>
      <w:r>
        <w:rPr>
          <w:rFonts w:ascii="Times New Roman" w:hAnsi="Times New Roman"/>
          <w:szCs w:val="24"/>
        </w:rPr>
        <w:t>&lt;</w:t>
      </w:r>
      <w:r w:rsidRPr="00237283">
        <w:rPr>
          <w:rFonts w:ascii="Times New Roman" w:hAnsi="Times New Roman"/>
          <w:szCs w:val="24"/>
        </w:rPr>
        <w:t>https://papers.ssrn.com/sol3/papers.cfm?abstract_id=2367070</w:t>
      </w:r>
      <w:r>
        <w:rPr>
          <w:rFonts w:ascii="Times New Roman" w:hAnsi="Times New Roman"/>
          <w:szCs w:val="24"/>
        </w:rPr>
        <w:t>&gt;[Accessed 15 April 2020]</w:t>
      </w:r>
    </w:p>
    <w:p w14:paraId="46FFFFD2" w14:textId="77777777" w:rsidR="00503349" w:rsidRDefault="00503349" w:rsidP="00503349">
      <w:pPr>
        <w:jc w:val="both"/>
        <w:rPr>
          <w:rFonts w:ascii="Times New Roman" w:hAnsi="Times New Roman"/>
          <w:szCs w:val="24"/>
        </w:rPr>
      </w:pPr>
      <w:r w:rsidRPr="00CF1AE8">
        <w:rPr>
          <w:rFonts w:ascii="Times New Roman" w:hAnsi="Times New Roman"/>
          <w:szCs w:val="24"/>
        </w:rPr>
        <w:t>Alexander, C., Haley-Lock, A. and Ruan, N., 2014. Stabilizing low-wage work: legal remedies for unpredictable work hours and income instability</w:t>
      </w:r>
      <w:r w:rsidRPr="00CF1AE8">
        <w:rPr>
          <w:rFonts w:ascii="Times New Roman" w:hAnsi="Times New Roman"/>
          <w:i/>
          <w:iCs/>
          <w:szCs w:val="24"/>
        </w:rPr>
        <w:t>. Harvard Civil Rights-Civil Liberties Law Review (CR-CL), </w:t>
      </w:r>
      <w:r w:rsidRPr="005E450B">
        <w:rPr>
          <w:rFonts w:ascii="Times New Roman" w:hAnsi="Times New Roman"/>
          <w:szCs w:val="24"/>
        </w:rPr>
        <w:t>50</w:t>
      </w:r>
      <w:r>
        <w:rPr>
          <w:rFonts w:ascii="Times New Roman" w:hAnsi="Times New Roman"/>
          <w:i/>
          <w:iCs/>
          <w:szCs w:val="24"/>
        </w:rPr>
        <w:t xml:space="preserve">, </w:t>
      </w:r>
      <w:r w:rsidRPr="00CF1AE8">
        <w:rPr>
          <w:rFonts w:ascii="Times New Roman" w:hAnsi="Times New Roman"/>
          <w:szCs w:val="24"/>
        </w:rPr>
        <w:t>U Denver Legal Studies Research Paper No. 13-43.</w:t>
      </w:r>
      <w:r>
        <w:rPr>
          <w:rFonts w:ascii="Times New Roman" w:hAnsi="Times New Roman"/>
          <w:szCs w:val="24"/>
        </w:rPr>
        <w:t xml:space="preserve"> </w:t>
      </w:r>
      <w:r w:rsidRPr="00235EBB">
        <w:rPr>
          <w:rFonts w:ascii="Times New Roman" w:hAnsi="Times New Roman"/>
          <w:szCs w:val="24"/>
        </w:rPr>
        <w:t>Available at</w:t>
      </w:r>
      <w:r>
        <w:rPr>
          <w:rFonts w:ascii="Times New Roman" w:hAnsi="Times New Roman"/>
          <w:szCs w:val="24"/>
        </w:rPr>
        <w:t>:</w:t>
      </w:r>
      <w:r w:rsidRPr="00235EBB">
        <w:rPr>
          <w:rFonts w:ascii="Times New Roman" w:hAnsi="Times New Roman"/>
          <w:szCs w:val="24"/>
        </w:rPr>
        <w:t xml:space="preserve"> </w:t>
      </w:r>
      <w:r>
        <w:rPr>
          <w:rFonts w:ascii="Times New Roman" w:hAnsi="Times New Roman"/>
          <w:szCs w:val="24"/>
        </w:rPr>
        <w:t>&lt;</w:t>
      </w:r>
      <w:r w:rsidRPr="0018380B">
        <w:t xml:space="preserve"> </w:t>
      </w:r>
      <w:r w:rsidRPr="0018380B">
        <w:rPr>
          <w:rFonts w:ascii="Times New Roman" w:hAnsi="Times New Roman"/>
          <w:szCs w:val="24"/>
        </w:rPr>
        <w:t>https://papers.ssrn.com/sol3/papers.cfm?abstract_id=2327903</w:t>
      </w:r>
      <w:r>
        <w:rPr>
          <w:rFonts w:ascii="Times New Roman" w:hAnsi="Times New Roman"/>
          <w:szCs w:val="24"/>
        </w:rPr>
        <w:t>&gt;[Accessed 15 April 2020]</w:t>
      </w:r>
    </w:p>
    <w:p w14:paraId="6605EE3C" w14:textId="77777777" w:rsidR="00503349" w:rsidRDefault="00503349" w:rsidP="00503349">
      <w:pPr>
        <w:rPr>
          <w:rFonts w:ascii="Times New Roman" w:hAnsi="Times New Roman"/>
          <w:szCs w:val="24"/>
        </w:rPr>
      </w:pPr>
      <w:r w:rsidRPr="00011B81">
        <w:rPr>
          <w:rFonts w:ascii="Times New Roman" w:hAnsi="Times New Roman"/>
          <w:szCs w:val="24"/>
        </w:rPr>
        <w:t>Alexander</w:t>
      </w:r>
      <w:r>
        <w:rPr>
          <w:rFonts w:ascii="Times New Roman" w:hAnsi="Times New Roman"/>
          <w:szCs w:val="24"/>
        </w:rPr>
        <w:t>, M.</w:t>
      </w:r>
      <w:r w:rsidRPr="00011B81">
        <w:rPr>
          <w:rFonts w:ascii="Times New Roman" w:hAnsi="Times New Roman"/>
          <w:szCs w:val="24"/>
        </w:rPr>
        <w:t xml:space="preserve"> </w:t>
      </w:r>
      <w:r>
        <w:rPr>
          <w:rFonts w:ascii="Times New Roman" w:hAnsi="Times New Roman"/>
          <w:szCs w:val="24"/>
        </w:rPr>
        <w:t xml:space="preserve">and </w:t>
      </w:r>
      <w:r w:rsidRPr="00011B81">
        <w:rPr>
          <w:rFonts w:ascii="Times New Roman" w:hAnsi="Times New Roman"/>
          <w:szCs w:val="24"/>
        </w:rPr>
        <w:t>Hegarty</w:t>
      </w:r>
      <w:r>
        <w:rPr>
          <w:rFonts w:ascii="Times New Roman" w:hAnsi="Times New Roman"/>
          <w:szCs w:val="24"/>
        </w:rPr>
        <w:t xml:space="preserve">, </w:t>
      </w:r>
      <w:r w:rsidRPr="00011B81">
        <w:rPr>
          <w:rFonts w:ascii="Times New Roman" w:hAnsi="Times New Roman"/>
          <w:szCs w:val="24"/>
        </w:rPr>
        <w:t>J</w:t>
      </w:r>
      <w:r>
        <w:rPr>
          <w:rFonts w:ascii="Times New Roman" w:hAnsi="Times New Roman"/>
          <w:szCs w:val="24"/>
        </w:rPr>
        <w:t>.</w:t>
      </w:r>
      <w:r w:rsidRPr="00011B81">
        <w:rPr>
          <w:rFonts w:ascii="Times New Roman" w:hAnsi="Times New Roman"/>
          <w:szCs w:val="24"/>
        </w:rPr>
        <w:t>R.</w:t>
      </w:r>
      <w:r>
        <w:rPr>
          <w:rFonts w:ascii="Times New Roman" w:hAnsi="Times New Roman"/>
          <w:szCs w:val="24"/>
        </w:rPr>
        <w:t>,</w:t>
      </w:r>
      <w:r w:rsidRPr="00011B81">
        <w:rPr>
          <w:rFonts w:ascii="Times New Roman" w:hAnsi="Times New Roman"/>
          <w:szCs w:val="24"/>
        </w:rPr>
        <w:t> 2000</w:t>
      </w:r>
      <w:r>
        <w:rPr>
          <w:rFonts w:ascii="Times New Roman" w:hAnsi="Times New Roman"/>
          <w:szCs w:val="24"/>
        </w:rPr>
        <w:t>.</w:t>
      </w:r>
      <w:r w:rsidRPr="00011B81">
        <w:rPr>
          <w:rFonts w:ascii="Times New Roman" w:hAnsi="Times New Roman"/>
          <w:szCs w:val="24"/>
        </w:rPr>
        <w:t> Measuring staff burnout in a community home</w:t>
      </w:r>
      <w:r>
        <w:rPr>
          <w:rFonts w:ascii="Times New Roman" w:hAnsi="Times New Roman"/>
          <w:szCs w:val="24"/>
        </w:rPr>
        <w:t>.</w:t>
      </w:r>
      <w:r w:rsidRPr="00011B81">
        <w:rPr>
          <w:rFonts w:ascii="Times New Roman" w:hAnsi="Times New Roman"/>
          <w:szCs w:val="24"/>
        </w:rPr>
        <w:t> </w:t>
      </w:r>
      <w:r w:rsidRPr="00011B81">
        <w:rPr>
          <w:rFonts w:ascii="Times New Roman" w:hAnsi="Times New Roman"/>
          <w:i/>
          <w:iCs/>
          <w:szCs w:val="24"/>
        </w:rPr>
        <w:t>The British Journal of Development Disabilities</w:t>
      </w:r>
      <w:r w:rsidRPr="00011B81">
        <w:rPr>
          <w:rFonts w:ascii="Times New Roman" w:hAnsi="Times New Roman"/>
          <w:szCs w:val="24"/>
        </w:rPr>
        <w:t>, 46</w:t>
      </w:r>
      <w:r>
        <w:rPr>
          <w:rFonts w:ascii="Times New Roman" w:hAnsi="Times New Roman"/>
          <w:szCs w:val="24"/>
        </w:rPr>
        <w:t>(</w:t>
      </w:r>
      <w:r w:rsidRPr="00011B81">
        <w:rPr>
          <w:rFonts w:ascii="Times New Roman" w:hAnsi="Times New Roman"/>
          <w:szCs w:val="24"/>
        </w:rPr>
        <w:t>90</w:t>
      </w:r>
      <w:r>
        <w:rPr>
          <w:rFonts w:ascii="Times New Roman" w:hAnsi="Times New Roman"/>
          <w:szCs w:val="24"/>
        </w:rPr>
        <w:t>)</w:t>
      </w:r>
      <w:r w:rsidRPr="00011B81">
        <w:rPr>
          <w:rFonts w:ascii="Times New Roman" w:hAnsi="Times New Roman"/>
          <w:szCs w:val="24"/>
        </w:rPr>
        <w:t>, </w:t>
      </w:r>
      <w:r>
        <w:rPr>
          <w:rFonts w:ascii="Times New Roman" w:hAnsi="Times New Roman"/>
          <w:szCs w:val="24"/>
        </w:rPr>
        <w:t xml:space="preserve">pp. </w:t>
      </w:r>
      <w:r w:rsidRPr="00011B81">
        <w:rPr>
          <w:rFonts w:ascii="Times New Roman" w:hAnsi="Times New Roman"/>
          <w:szCs w:val="24"/>
        </w:rPr>
        <w:t>51-62</w:t>
      </w:r>
      <w:r>
        <w:rPr>
          <w:rFonts w:ascii="Times New Roman" w:hAnsi="Times New Roman"/>
          <w:szCs w:val="24"/>
        </w:rPr>
        <w:t>.</w:t>
      </w:r>
      <w:r w:rsidRPr="00011B81">
        <w:rPr>
          <w:rFonts w:ascii="Times New Roman" w:hAnsi="Times New Roman"/>
          <w:szCs w:val="24"/>
        </w:rPr>
        <w:t> </w:t>
      </w:r>
    </w:p>
    <w:p w14:paraId="0C91509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All Party Parliamentary Group on Dementia, 2013. </w:t>
      </w:r>
      <w:r w:rsidRPr="002B3011">
        <w:rPr>
          <w:rFonts w:ascii="Times New Roman" w:hAnsi="Times New Roman"/>
          <w:i/>
          <w:color w:val="000000"/>
          <w:szCs w:val="24"/>
        </w:rPr>
        <w:t>Dementia does not discriminate: the experience of Black Asian and Minority Ethnic communities</w:t>
      </w:r>
      <w:r w:rsidRPr="002B3011">
        <w:rPr>
          <w:rFonts w:ascii="Times New Roman" w:hAnsi="Times New Roman"/>
          <w:color w:val="000000"/>
          <w:szCs w:val="24"/>
        </w:rPr>
        <w:t xml:space="preserve">. London: </w:t>
      </w:r>
      <w:r w:rsidRPr="002B3011">
        <w:rPr>
          <w:rFonts w:ascii="Times New Roman" w:hAnsi="Times New Roman"/>
          <w:iCs/>
          <w:color w:val="000000"/>
          <w:szCs w:val="24"/>
        </w:rPr>
        <w:t>The Stationery Office</w:t>
      </w:r>
      <w:r w:rsidRPr="002B3011">
        <w:rPr>
          <w:rFonts w:ascii="Times New Roman" w:hAnsi="Times New Roman"/>
          <w:color w:val="000000"/>
          <w:szCs w:val="24"/>
        </w:rPr>
        <w:t>.</w:t>
      </w:r>
    </w:p>
    <w:p w14:paraId="3DCC52D8"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Allan, H.T., Cowie, H. and Smith, H., 2009. Overseas nurses’ experiences of discrimination: A case of racist bullying? </w:t>
      </w:r>
      <w:r w:rsidRPr="000A56C6">
        <w:rPr>
          <w:rFonts w:ascii="Times New Roman" w:hAnsi="Times New Roman"/>
          <w:i/>
          <w:szCs w:val="24"/>
        </w:rPr>
        <w:t>Journal of Nursing Management</w:t>
      </w:r>
      <w:r w:rsidRPr="000A56C6">
        <w:rPr>
          <w:rFonts w:ascii="Times New Roman" w:hAnsi="Times New Roman"/>
          <w:szCs w:val="24"/>
        </w:rPr>
        <w:t>, 17, pp. 898-906.</w:t>
      </w:r>
    </w:p>
    <w:p w14:paraId="6292FA97"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lastRenderedPageBreak/>
        <w:t xml:space="preserve">Allan, H.T., Larsen, J.A., Bryan, K. and Smith, P.A., 2004. The social reproduction of institutional racism: internationally recruited nurses’ experiences of the British health services. </w:t>
      </w:r>
      <w:r w:rsidRPr="000A56C6">
        <w:rPr>
          <w:rFonts w:ascii="Times New Roman" w:hAnsi="Times New Roman"/>
          <w:i/>
          <w:szCs w:val="24"/>
        </w:rPr>
        <w:t>Diversity in Health and Social Care</w:t>
      </w:r>
      <w:r w:rsidRPr="000A56C6">
        <w:rPr>
          <w:rFonts w:ascii="Times New Roman" w:hAnsi="Times New Roman"/>
          <w:szCs w:val="24"/>
        </w:rPr>
        <w:t>, 1, pp. 117-126.</w:t>
      </w:r>
    </w:p>
    <w:p w14:paraId="3BA44FB1"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Allison, H.E. and Heath, P.L. eds., 2002. </w:t>
      </w:r>
      <w:r w:rsidRPr="008101DD">
        <w:rPr>
          <w:rFonts w:ascii="Times New Roman" w:hAnsi="Times New Roman"/>
          <w:i/>
          <w:iCs/>
          <w:szCs w:val="24"/>
        </w:rPr>
        <w:t>The Cambridge Edition of the Works of Immanuel Kant: Theoretical Philosophy After 1781</w:t>
      </w:r>
      <w:r w:rsidRPr="008101DD">
        <w:rPr>
          <w:rFonts w:ascii="Times New Roman" w:hAnsi="Times New Roman"/>
          <w:szCs w:val="24"/>
        </w:rPr>
        <w:t>. Cambridge: Cambridge University Press.</w:t>
      </w:r>
    </w:p>
    <w:p w14:paraId="2992152A"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Almberg, B., Grafstrom, M. and Winblad, B., 1997. Major strain and coping strategies as reported by family members who care for aged demented relatives. </w:t>
      </w:r>
      <w:r w:rsidRPr="000A56C6">
        <w:rPr>
          <w:rFonts w:ascii="Times New Roman" w:hAnsi="Times New Roman"/>
          <w:i/>
          <w:iCs/>
          <w:szCs w:val="24"/>
        </w:rPr>
        <w:t>Journal of Advanced Nursing</w:t>
      </w:r>
      <w:r w:rsidRPr="000A56C6">
        <w:rPr>
          <w:rFonts w:ascii="Times New Roman" w:hAnsi="Times New Roman"/>
          <w:szCs w:val="24"/>
        </w:rPr>
        <w:t>, 26, pp. 683-691.</w:t>
      </w:r>
    </w:p>
    <w:p w14:paraId="6442BA42" w14:textId="77777777" w:rsidR="00503349" w:rsidRDefault="00503349" w:rsidP="00503349">
      <w:pPr>
        <w:spacing w:before="240"/>
        <w:jc w:val="both"/>
        <w:rPr>
          <w:rFonts w:ascii="Times New Roman" w:hAnsi="Times New Roman"/>
          <w:strike/>
          <w:szCs w:val="24"/>
        </w:rPr>
      </w:pPr>
      <w:r>
        <w:rPr>
          <w:rFonts w:ascii="Times New Roman" w:hAnsi="Times New Roman"/>
          <w:szCs w:val="24"/>
        </w:rPr>
        <w:t xml:space="preserve">Aluttis, C., Bishaw, T. and Frank, M.W.,2014. The workforce for health in a globalized context – global shortages and international migration. </w:t>
      </w:r>
      <w:r>
        <w:rPr>
          <w:rFonts w:ascii="Times New Roman" w:hAnsi="Times New Roman"/>
          <w:i/>
          <w:szCs w:val="24"/>
        </w:rPr>
        <w:t>Global Health Action</w:t>
      </w:r>
      <w:r>
        <w:rPr>
          <w:rFonts w:ascii="Times New Roman" w:hAnsi="Times New Roman"/>
          <w:szCs w:val="24"/>
        </w:rPr>
        <w:t>, [e-journal] (7). Available at: &lt;https://www.tandfonline.com/doi/full/10.3402/gha.v7.23611&gt;[Accessed 20 January 2019].</w:t>
      </w:r>
    </w:p>
    <w:p w14:paraId="6EF0532F"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 xml:space="preserve">Alzheimer’s Association, 2014. 2014 Alzheimer’s disease facts and figures. </w:t>
      </w:r>
      <w:r w:rsidRPr="00D527D8">
        <w:rPr>
          <w:rFonts w:ascii="Times New Roman" w:hAnsi="Times New Roman"/>
          <w:i/>
          <w:szCs w:val="24"/>
          <w:bdr w:val="none" w:sz="0" w:space="0" w:color="auto" w:frame="1"/>
        </w:rPr>
        <w:t>Alzheimer’s and Dementia</w:t>
      </w:r>
      <w:r w:rsidRPr="00D527D8">
        <w:rPr>
          <w:rFonts w:ascii="Times New Roman" w:hAnsi="Times New Roman"/>
          <w:szCs w:val="24"/>
          <w:bdr w:val="none" w:sz="0" w:space="0" w:color="auto" w:frame="1"/>
        </w:rPr>
        <w:t>, 10(2), pp. e47-e92. Available at: &lt;https://www.sciencedirect.com/science/article/pii/S1552526014000624&gt;[Accessed 20 March 2019]</w:t>
      </w:r>
    </w:p>
    <w:p w14:paraId="14B430C8"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 xml:space="preserve">Alzheimer’s Disease International, 2015. </w:t>
      </w:r>
      <w:r w:rsidRPr="00EC3298">
        <w:rPr>
          <w:rFonts w:ascii="Times New Roman" w:hAnsi="Times New Roman"/>
          <w:i/>
          <w:iCs/>
          <w:szCs w:val="24"/>
          <w:bdr w:val="none" w:sz="0" w:space="0" w:color="auto" w:frame="1"/>
        </w:rPr>
        <w:t>World Alzheimer Report 2015: the global impact of dementia: an analysis of prevalence, incidence, cost and trends.</w:t>
      </w:r>
      <w:r w:rsidRPr="00D527D8">
        <w:rPr>
          <w:rFonts w:ascii="Times New Roman" w:hAnsi="Times New Roman"/>
          <w:szCs w:val="24"/>
          <w:bdr w:val="none" w:sz="0" w:space="0" w:color="auto" w:frame="1"/>
        </w:rPr>
        <w:t xml:space="preserve"> London: Alzheimer’s Disease International. Available at: &lt;https://www.alz.co.uk/research/WorldAlzheimerReport2015.pdf &gt;[Accessed 10 March 2018]</w:t>
      </w:r>
    </w:p>
    <w:p w14:paraId="5FC02220" w14:textId="77777777" w:rsidR="00503349" w:rsidRDefault="00503349" w:rsidP="00503349">
      <w:pPr>
        <w:tabs>
          <w:tab w:val="left" w:pos="5445"/>
        </w:tabs>
        <w:jc w:val="both"/>
        <w:rPr>
          <w:rFonts w:ascii="Times New Roman" w:hAnsi="Times New Roman"/>
          <w:szCs w:val="24"/>
        </w:rPr>
      </w:pPr>
      <w:r w:rsidRPr="00B2780E">
        <w:rPr>
          <w:rFonts w:ascii="Times New Roman" w:hAnsi="Times New Roman"/>
          <w:szCs w:val="24"/>
        </w:rPr>
        <w:t>Alzheimer’s Society</w:t>
      </w:r>
      <w:r>
        <w:rPr>
          <w:rFonts w:ascii="Times New Roman" w:hAnsi="Times New Roman"/>
          <w:szCs w:val="24"/>
        </w:rPr>
        <w:t>,</w:t>
      </w:r>
      <w:r w:rsidRPr="00B2780E">
        <w:rPr>
          <w:rFonts w:ascii="Times New Roman" w:hAnsi="Times New Roman"/>
          <w:szCs w:val="24"/>
        </w:rPr>
        <w:t xml:space="preserve"> 2014</w:t>
      </w:r>
      <w:r>
        <w:rPr>
          <w:rFonts w:ascii="Times New Roman" w:hAnsi="Times New Roman"/>
          <w:szCs w:val="24"/>
        </w:rPr>
        <w:t>.</w:t>
      </w:r>
      <w:r w:rsidRPr="00B2780E">
        <w:rPr>
          <w:rFonts w:ascii="Times New Roman" w:hAnsi="Times New Roman"/>
          <w:szCs w:val="24"/>
        </w:rPr>
        <w:t xml:space="preserve"> Dementia 2014: Opportunity for Change</w:t>
      </w:r>
      <w:r>
        <w:rPr>
          <w:rFonts w:ascii="Times New Roman" w:hAnsi="Times New Roman"/>
          <w:szCs w:val="24"/>
        </w:rPr>
        <w:t>.</w:t>
      </w:r>
      <w:r w:rsidRPr="00B2780E">
        <w:rPr>
          <w:rFonts w:ascii="Times New Roman" w:hAnsi="Times New Roman"/>
          <w:szCs w:val="24"/>
        </w:rPr>
        <w:t xml:space="preserve"> London</w:t>
      </w:r>
      <w:r>
        <w:rPr>
          <w:rFonts w:ascii="Times New Roman" w:hAnsi="Times New Roman"/>
          <w:szCs w:val="24"/>
        </w:rPr>
        <w:t xml:space="preserve">: </w:t>
      </w:r>
      <w:r w:rsidRPr="00B2780E">
        <w:rPr>
          <w:rFonts w:ascii="Times New Roman" w:hAnsi="Times New Roman"/>
          <w:szCs w:val="24"/>
        </w:rPr>
        <w:t>Alzheimer’s Society</w:t>
      </w:r>
      <w:r>
        <w:rPr>
          <w:rFonts w:ascii="Times New Roman" w:hAnsi="Times New Roman"/>
          <w:szCs w:val="24"/>
        </w:rPr>
        <w:t>.</w:t>
      </w:r>
    </w:p>
    <w:p w14:paraId="68EA0BAD" w14:textId="77777777" w:rsidR="00503349" w:rsidRPr="00AB40E2" w:rsidRDefault="00503349" w:rsidP="00503349">
      <w:pPr>
        <w:rPr>
          <w:rFonts w:ascii="Times New Roman" w:hAnsi="Times New Roman"/>
          <w:b/>
          <w:bCs/>
          <w:szCs w:val="24"/>
        </w:rPr>
      </w:pPr>
      <w:r w:rsidRPr="00AB40E2">
        <w:rPr>
          <w:rFonts w:ascii="Times New Roman" w:hAnsi="Times New Roman"/>
          <w:szCs w:val="24"/>
        </w:rPr>
        <w:t xml:space="preserve">Alzheimer's Association, 2013. Alzheimer's Association Report: 2013 Alzheimer's disease facts and figures. </w:t>
      </w:r>
      <w:r w:rsidRPr="00AB40E2">
        <w:rPr>
          <w:rFonts w:ascii="Times New Roman" w:hAnsi="Times New Roman"/>
          <w:i/>
          <w:szCs w:val="24"/>
        </w:rPr>
        <w:t>Alzheimer's &amp; Dementia</w:t>
      </w:r>
      <w:r w:rsidRPr="00AB40E2">
        <w:rPr>
          <w:rFonts w:ascii="Times New Roman" w:hAnsi="Times New Roman"/>
          <w:szCs w:val="24"/>
        </w:rPr>
        <w:t>, 9(2), pp. 208-245.</w:t>
      </w:r>
    </w:p>
    <w:p w14:paraId="75CED4D2" w14:textId="77777777" w:rsidR="00503349" w:rsidRDefault="00503349" w:rsidP="00503349">
      <w:pPr>
        <w:jc w:val="both"/>
        <w:rPr>
          <w:rFonts w:ascii="Times New Roman" w:hAnsi="Times New Roman"/>
          <w:iCs/>
          <w:szCs w:val="24"/>
        </w:rPr>
      </w:pPr>
      <w:r w:rsidRPr="00CF1AE8">
        <w:rPr>
          <w:rFonts w:ascii="Times New Roman" w:hAnsi="Times New Roman"/>
          <w:iCs/>
          <w:szCs w:val="24"/>
        </w:rPr>
        <w:lastRenderedPageBreak/>
        <w:t xml:space="preserve">Amali, I.O.O. and Jekayinfa, A., 2013. Cultural pluralism, reconstructive education and nation building in Nigeria. </w:t>
      </w:r>
      <w:r w:rsidRPr="00CF1AE8">
        <w:rPr>
          <w:rFonts w:ascii="Times New Roman" w:hAnsi="Times New Roman"/>
          <w:i/>
          <w:iCs/>
          <w:szCs w:val="24"/>
        </w:rPr>
        <w:t>International Journal of Sociology and Anthropology</w:t>
      </w:r>
      <w:r w:rsidRPr="00CF1AE8">
        <w:rPr>
          <w:rFonts w:ascii="Times New Roman" w:hAnsi="Times New Roman"/>
          <w:iCs/>
          <w:szCs w:val="24"/>
        </w:rPr>
        <w:t>, 5(5), pp. 140-146.</w:t>
      </w:r>
    </w:p>
    <w:p w14:paraId="1AC7687D"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Aminzadeh, F., Byszewski, A., Molnar, F. J. and Eisner, M., 2007. </w:t>
      </w:r>
      <w:r w:rsidRPr="002B3011">
        <w:rPr>
          <w:rFonts w:ascii="Times New Roman" w:hAnsi="Times New Roman"/>
          <w:noProof/>
          <w:szCs w:val="24"/>
        </w:rPr>
        <w:t>Emotional</w:t>
      </w:r>
      <w:r w:rsidRPr="002B3011">
        <w:rPr>
          <w:rFonts w:ascii="Times New Roman" w:hAnsi="Times New Roman"/>
          <w:szCs w:val="24"/>
        </w:rPr>
        <w:t xml:space="preserve"> impact of dementia diagnosis: exploring persons with dementia and caregivers’ perspectives. </w:t>
      </w:r>
      <w:r w:rsidRPr="002B3011">
        <w:rPr>
          <w:rFonts w:ascii="Times New Roman" w:hAnsi="Times New Roman"/>
          <w:i/>
          <w:szCs w:val="24"/>
        </w:rPr>
        <w:t>Ageing and Mental Health</w:t>
      </w:r>
      <w:r w:rsidRPr="002B3011">
        <w:rPr>
          <w:rFonts w:ascii="Times New Roman" w:hAnsi="Times New Roman"/>
          <w:szCs w:val="24"/>
        </w:rPr>
        <w:t>, 11, pp. 281-290.</w:t>
      </w:r>
    </w:p>
    <w:p w14:paraId="6F0041F9" w14:textId="77777777" w:rsidR="00503349" w:rsidRDefault="00503349" w:rsidP="00503349">
      <w:pPr>
        <w:spacing w:before="240"/>
        <w:jc w:val="both"/>
        <w:rPr>
          <w:rFonts w:ascii="Times New Roman" w:hAnsi="Times New Roman"/>
          <w:strike/>
          <w:szCs w:val="24"/>
        </w:rPr>
      </w:pPr>
      <w:r>
        <w:rPr>
          <w:rFonts w:ascii="Times New Roman" w:hAnsi="Times New Roman"/>
          <w:szCs w:val="24"/>
        </w:rPr>
        <w:t xml:space="preserve">An, N.H., 2018. Variations of individualism and collectivism within individuals: the effects of value orientations towards family, friends and work. </w:t>
      </w:r>
      <w:r>
        <w:rPr>
          <w:rFonts w:ascii="Times New Roman" w:hAnsi="Times New Roman"/>
          <w:i/>
          <w:szCs w:val="24"/>
        </w:rPr>
        <w:t>Journal of Social Sciences and Humanities</w:t>
      </w:r>
      <w:r>
        <w:rPr>
          <w:rFonts w:ascii="Times New Roman" w:hAnsi="Times New Roman"/>
          <w:szCs w:val="24"/>
        </w:rPr>
        <w:t xml:space="preserve">, 4(2), pp. 195-210. </w:t>
      </w:r>
    </w:p>
    <w:p w14:paraId="77EFE0FE" w14:textId="77777777" w:rsidR="00503349" w:rsidRPr="000A56C6" w:rsidRDefault="00503349" w:rsidP="00503349">
      <w:pPr>
        <w:rPr>
          <w:rFonts w:ascii="Times New Roman" w:hAnsi="Times New Roman"/>
          <w:szCs w:val="24"/>
        </w:rPr>
      </w:pPr>
      <w:r w:rsidRPr="000A56C6">
        <w:rPr>
          <w:rFonts w:ascii="Times New Roman" w:hAnsi="Times New Roman"/>
          <w:szCs w:val="24"/>
        </w:rPr>
        <w:t>Anand, P., 2020. Economic Policies for COVID-19. IZA Policy Paper No 156. Available at: &lt;https://www.iza.org/publications/pp/156/economic-policies-for-covid-19&gt;[Accessed 14 April 2019]</w:t>
      </w:r>
    </w:p>
    <w:p w14:paraId="48977412" w14:textId="77777777" w:rsidR="00503349" w:rsidRPr="00E844AB" w:rsidRDefault="00503349" w:rsidP="00503349">
      <w:pPr>
        <w:spacing w:before="240"/>
        <w:jc w:val="both"/>
        <w:rPr>
          <w:rFonts w:ascii="Times New Roman" w:hAnsi="Times New Roman"/>
          <w:strike/>
          <w:szCs w:val="24"/>
        </w:rPr>
      </w:pPr>
      <w:bookmarkStart w:id="304" w:name="B60"/>
      <w:bookmarkStart w:id="305" w:name="_Hlk81609649"/>
      <w:bookmarkEnd w:id="304"/>
      <w:r>
        <w:rPr>
          <w:rFonts w:ascii="Times New Roman" w:hAnsi="Times New Roman"/>
          <w:szCs w:val="24"/>
        </w:rPr>
        <w:t xml:space="preserve">Anderson, B. and Ruhs, M., 2010. Migrant workers: who needs them? A framework for the analysis of staff shortages, immigration, and public policy. In: M. Ruhs and B. Anderson, eds. 2010. </w:t>
      </w:r>
      <w:r>
        <w:rPr>
          <w:rFonts w:ascii="Times New Roman" w:hAnsi="Times New Roman"/>
          <w:i/>
          <w:szCs w:val="24"/>
        </w:rPr>
        <w:t>Who needs migrant workers? Labour shortages, immigration and public policy</w:t>
      </w:r>
      <w:r>
        <w:rPr>
          <w:rFonts w:ascii="Times New Roman" w:hAnsi="Times New Roman"/>
          <w:szCs w:val="24"/>
        </w:rPr>
        <w:t>. Oxford: Oxford University Press.</w:t>
      </w:r>
    </w:p>
    <w:p w14:paraId="754CC3DB" w14:textId="77777777" w:rsidR="00503349" w:rsidRPr="000A56C6" w:rsidRDefault="00503349" w:rsidP="00503349">
      <w:pPr>
        <w:jc w:val="both"/>
        <w:rPr>
          <w:rFonts w:ascii="Times" w:hAnsi="Times" w:cs="Times"/>
        </w:rPr>
      </w:pPr>
      <w:r w:rsidRPr="000A56C6">
        <w:rPr>
          <w:rFonts w:ascii="Times New Roman" w:hAnsi="Times New Roman"/>
          <w:szCs w:val="24"/>
        </w:rPr>
        <w:t xml:space="preserve">Anderson, B. and Shutes, I., 2014. </w:t>
      </w:r>
      <w:r w:rsidRPr="000A56C6">
        <w:rPr>
          <w:rFonts w:ascii="Times New Roman" w:hAnsi="Times New Roman"/>
          <w:i/>
          <w:iCs/>
          <w:szCs w:val="24"/>
        </w:rPr>
        <w:t>Migration and care labour: theory, policy and politics</w:t>
      </w:r>
      <w:r w:rsidRPr="000A56C6">
        <w:rPr>
          <w:rFonts w:ascii="Times New Roman" w:hAnsi="Times New Roman"/>
          <w:szCs w:val="24"/>
        </w:rPr>
        <w:t>. London: Palgrave Macmillan.</w:t>
      </w:r>
    </w:p>
    <w:p w14:paraId="1D02A94A" w14:textId="77777777" w:rsidR="00503349" w:rsidRPr="00DA2952" w:rsidRDefault="00503349" w:rsidP="00503349">
      <w:pPr>
        <w:rPr>
          <w:rFonts w:ascii="Times New Roman" w:hAnsi="Times New Roman"/>
          <w:szCs w:val="24"/>
        </w:rPr>
      </w:pPr>
      <w:r w:rsidRPr="00DA2952">
        <w:rPr>
          <w:rFonts w:ascii="Times New Roman" w:hAnsi="Times New Roman"/>
          <w:szCs w:val="24"/>
        </w:rPr>
        <w:t>Andersson, Å. and Hansebo, G., 2009. Elderly peoples’ experience of nursing care after a stroke: from a gender perspective. </w:t>
      </w:r>
      <w:r w:rsidRPr="00DA2952">
        <w:rPr>
          <w:rFonts w:ascii="Times New Roman" w:hAnsi="Times New Roman"/>
          <w:i/>
          <w:iCs/>
          <w:szCs w:val="24"/>
        </w:rPr>
        <w:t>Journal of Advanced Nursing</w:t>
      </w:r>
      <w:r w:rsidRPr="00DA2952">
        <w:rPr>
          <w:rFonts w:ascii="Times New Roman" w:hAnsi="Times New Roman"/>
          <w:szCs w:val="24"/>
        </w:rPr>
        <w:t>, 65(10), pp. 2038-2045.</w:t>
      </w:r>
    </w:p>
    <w:p w14:paraId="0A2531C3" w14:textId="77777777" w:rsidR="00503349" w:rsidRPr="000A56C6" w:rsidRDefault="00503349" w:rsidP="00503349">
      <w:pPr>
        <w:rPr>
          <w:rFonts w:ascii="Times New Roman" w:hAnsi="Times New Roman"/>
          <w:szCs w:val="24"/>
        </w:rPr>
      </w:pPr>
      <w:r w:rsidRPr="000A56C6">
        <w:rPr>
          <w:rFonts w:ascii="Times New Roman" w:hAnsi="Times New Roman"/>
          <w:szCs w:val="24"/>
        </w:rPr>
        <w:t>Ang, S.G.M., O’Brien, A.P. and Wilson, A., 2019. Understanding carers’ fall concern and their management of fall risk among older people at home. BMC Geriatrics, 19, 144. Available at: &lt;https://bmcgeriatr.biomedcentral.com/articles/10.1186/s12877-019-1162-7&gt;[Accessed 20 April 2019]</w:t>
      </w:r>
    </w:p>
    <w:p w14:paraId="4FF2A9F4" w14:textId="77777777" w:rsidR="00503349" w:rsidRPr="00DA2952" w:rsidRDefault="00503349" w:rsidP="00503349">
      <w:pPr>
        <w:rPr>
          <w:rFonts w:ascii="Times New Roman" w:hAnsi="Times New Roman"/>
          <w:szCs w:val="24"/>
        </w:rPr>
      </w:pPr>
      <w:r w:rsidRPr="00DA2952">
        <w:rPr>
          <w:rFonts w:ascii="Times New Roman" w:hAnsi="Times New Roman"/>
          <w:szCs w:val="24"/>
        </w:rPr>
        <w:t>Antelius, E. and Kiwi, M., 2015. Frankly, none of us know what dementia is: dementia caregiving among Iranian immigrants living in Sweden. </w:t>
      </w:r>
      <w:r w:rsidRPr="00DA2952">
        <w:rPr>
          <w:rFonts w:ascii="Times New Roman" w:hAnsi="Times New Roman"/>
          <w:i/>
          <w:iCs/>
          <w:szCs w:val="24"/>
        </w:rPr>
        <w:t>Care Management Journals</w:t>
      </w:r>
      <w:r w:rsidRPr="00DA2952">
        <w:rPr>
          <w:rFonts w:ascii="Times New Roman" w:hAnsi="Times New Roman"/>
          <w:szCs w:val="24"/>
        </w:rPr>
        <w:t>, 16(2), pp. 79-94.</w:t>
      </w:r>
    </w:p>
    <w:p w14:paraId="2B6EE49C" w14:textId="77777777" w:rsidR="00503349" w:rsidRDefault="00503349" w:rsidP="00503349">
      <w:pPr>
        <w:spacing w:before="240"/>
        <w:jc w:val="both"/>
        <w:rPr>
          <w:rFonts w:ascii="Times New Roman" w:hAnsi="Times New Roman"/>
          <w:bCs/>
          <w:szCs w:val="24"/>
        </w:rPr>
      </w:pPr>
      <w:r>
        <w:rPr>
          <w:rFonts w:ascii="Times New Roman" w:hAnsi="Times New Roman"/>
          <w:color w:val="000000"/>
          <w:szCs w:val="24"/>
        </w:rPr>
        <w:lastRenderedPageBreak/>
        <w:t>Ar, Y. and Karanci, A.N., 2019. Turkish adult children as caregivers of parents with Alzheimer’s disease: Perceptions and caregiving experiences. </w:t>
      </w:r>
      <w:r>
        <w:rPr>
          <w:rFonts w:ascii="Times New Roman" w:hAnsi="Times New Roman"/>
          <w:i/>
          <w:iCs/>
          <w:color w:val="000000"/>
          <w:szCs w:val="24"/>
        </w:rPr>
        <w:t>Dementia</w:t>
      </w:r>
      <w:r>
        <w:rPr>
          <w:rFonts w:ascii="Times New Roman" w:hAnsi="Times New Roman"/>
          <w:color w:val="000000"/>
          <w:szCs w:val="24"/>
        </w:rPr>
        <w:t>, 18(3), pp. 882-902.</w:t>
      </w:r>
    </w:p>
    <w:p w14:paraId="58450EE2" w14:textId="77777777" w:rsidR="00503349" w:rsidRPr="002B3011" w:rsidRDefault="00503349" w:rsidP="00503349">
      <w:pPr>
        <w:textAlignment w:val="baseline"/>
        <w:rPr>
          <w:rFonts w:ascii="Times New Roman" w:hAnsi="Times New Roman"/>
          <w:i/>
          <w:iCs/>
          <w:szCs w:val="24"/>
        </w:rPr>
      </w:pPr>
      <w:r w:rsidRPr="002B3011">
        <w:rPr>
          <w:rFonts w:ascii="Times New Roman" w:hAnsi="Times New Roman"/>
          <w:szCs w:val="24"/>
        </w:rPr>
        <w:t>Aranda, M.P. and Knight, B.G., 1997. The influences of ethnicity and culture on the caregiver stress and coping process: a sociocultural review and analysis.</w:t>
      </w:r>
      <w:r w:rsidRPr="002B3011">
        <w:rPr>
          <w:rFonts w:ascii="Times New Roman" w:hAnsi="Times New Roman"/>
          <w:i/>
          <w:iCs/>
          <w:szCs w:val="24"/>
        </w:rPr>
        <w:t xml:space="preserve"> The Gerontologist</w:t>
      </w:r>
      <w:r w:rsidRPr="002B3011">
        <w:rPr>
          <w:rFonts w:ascii="Times New Roman" w:hAnsi="Times New Roman"/>
          <w:szCs w:val="24"/>
        </w:rPr>
        <w:t>, 37, pp. 342-354.</w:t>
      </w:r>
    </w:p>
    <w:p w14:paraId="6C58E89D" w14:textId="77777777" w:rsidR="00503349" w:rsidRDefault="00503349" w:rsidP="00503349">
      <w:pPr>
        <w:spacing w:before="240"/>
        <w:jc w:val="both"/>
        <w:rPr>
          <w:rFonts w:ascii="Times New Roman" w:hAnsi="Times New Roman"/>
          <w:bCs/>
          <w:szCs w:val="24"/>
        </w:rPr>
      </w:pPr>
      <w:r>
        <w:rPr>
          <w:rFonts w:ascii="Times New Roman" w:hAnsi="Times New Roman"/>
          <w:szCs w:val="24"/>
        </w:rPr>
        <w:t xml:space="preserve">Arango, J., 2000. Explaining migration: a critical view. </w:t>
      </w:r>
      <w:r>
        <w:rPr>
          <w:rFonts w:ascii="Times New Roman" w:hAnsi="Times New Roman"/>
          <w:i/>
          <w:szCs w:val="24"/>
        </w:rPr>
        <w:t>International Social Science Journal</w:t>
      </w:r>
      <w:r>
        <w:rPr>
          <w:rFonts w:ascii="Times New Roman" w:hAnsi="Times New Roman"/>
          <w:szCs w:val="24"/>
        </w:rPr>
        <w:t>, 52(165), pp. 283-296.</w:t>
      </w:r>
    </w:p>
    <w:p w14:paraId="29E0BA2F" w14:textId="77777777" w:rsidR="00503349" w:rsidRDefault="00503349" w:rsidP="00503349">
      <w:pPr>
        <w:jc w:val="both"/>
        <w:rPr>
          <w:rFonts w:ascii="Times New Roman" w:hAnsi="Times New Roman"/>
          <w:szCs w:val="24"/>
        </w:rPr>
      </w:pPr>
      <w:r w:rsidRPr="00CF1AE8">
        <w:rPr>
          <w:rFonts w:ascii="Times New Roman" w:hAnsi="Times New Roman"/>
          <w:szCs w:val="24"/>
        </w:rPr>
        <w:t>Arango, J., 2004. Theories of international migration. In: D. Joly, eds. </w:t>
      </w:r>
      <w:r w:rsidRPr="00CF1AE8">
        <w:rPr>
          <w:rFonts w:ascii="Times New Roman" w:hAnsi="Times New Roman"/>
          <w:i/>
          <w:iCs/>
          <w:szCs w:val="24"/>
        </w:rPr>
        <w:t>International Migration in the New Millennium: Global Movement and Settlement</w:t>
      </w:r>
      <w:r w:rsidRPr="00CF1AE8">
        <w:rPr>
          <w:rFonts w:ascii="Times New Roman" w:hAnsi="Times New Roman"/>
          <w:szCs w:val="24"/>
        </w:rPr>
        <w:t>. Aldershot: Ashgate. pp. 15</w:t>
      </w:r>
      <w:r>
        <w:rPr>
          <w:rFonts w:ascii="Times New Roman" w:hAnsi="Times New Roman"/>
          <w:szCs w:val="24"/>
        </w:rPr>
        <w:t>-</w:t>
      </w:r>
      <w:r w:rsidRPr="00CF1AE8">
        <w:rPr>
          <w:rFonts w:ascii="Times New Roman" w:hAnsi="Times New Roman"/>
          <w:szCs w:val="24"/>
        </w:rPr>
        <w:t>35.</w:t>
      </w:r>
    </w:p>
    <w:p w14:paraId="2D536D53"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Ardila, A., Ostrosky-Solis, F., Rosselli, M. and Gómez, C., 2000. </w:t>
      </w:r>
      <w:r w:rsidRPr="002B3011">
        <w:rPr>
          <w:rFonts w:ascii="Times New Roman" w:hAnsi="Times New Roman"/>
          <w:noProof/>
          <w:szCs w:val="24"/>
        </w:rPr>
        <w:t>Age-related</w:t>
      </w:r>
      <w:r w:rsidRPr="002B3011">
        <w:rPr>
          <w:rFonts w:ascii="Times New Roman" w:hAnsi="Times New Roman"/>
          <w:szCs w:val="24"/>
        </w:rPr>
        <w:t xml:space="preserve"> cognitive decline during normal </w:t>
      </w:r>
      <w:r w:rsidRPr="002B3011">
        <w:rPr>
          <w:rFonts w:ascii="Times New Roman" w:hAnsi="Times New Roman"/>
          <w:noProof/>
          <w:szCs w:val="24"/>
        </w:rPr>
        <w:t>aging</w:t>
      </w:r>
      <w:r w:rsidRPr="002B3011">
        <w:rPr>
          <w:rFonts w:ascii="Times New Roman" w:hAnsi="Times New Roman"/>
          <w:szCs w:val="24"/>
        </w:rPr>
        <w:t xml:space="preserve">: the </w:t>
      </w:r>
      <w:r w:rsidRPr="002B3011">
        <w:rPr>
          <w:rFonts w:ascii="Times New Roman" w:hAnsi="Times New Roman"/>
          <w:noProof/>
          <w:szCs w:val="24"/>
        </w:rPr>
        <w:t>complex</w:t>
      </w:r>
      <w:r w:rsidRPr="002B3011">
        <w:rPr>
          <w:rFonts w:ascii="Times New Roman" w:hAnsi="Times New Roman"/>
          <w:szCs w:val="24"/>
        </w:rPr>
        <w:t xml:space="preserve"> effect of education. </w:t>
      </w:r>
      <w:r w:rsidRPr="002B3011">
        <w:rPr>
          <w:rFonts w:ascii="Times New Roman" w:hAnsi="Times New Roman"/>
          <w:i/>
          <w:szCs w:val="24"/>
        </w:rPr>
        <w:t>Archives of Clinical Neuropsychology</w:t>
      </w:r>
      <w:r w:rsidRPr="002B3011">
        <w:rPr>
          <w:rFonts w:ascii="Times New Roman" w:hAnsi="Times New Roman"/>
          <w:szCs w:val="24"/>
        </w:rPr>
        <w:t>, 15(6), pp. 495-513.</w:t>
      </w:r>
    </w:p>
    <w:p w14:paraId="7495D13B"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Armour, M., Rivaux, S.L. and Bell, H., 2009. Using context to build rigor: application to two hermeneutic phenomenological studies. </w:t>
      </w:r>
      <w:r w:rsidRPr="004E3E8F">
        <w:rPr>
          <w:rFonts w:ascii="Times New Roman" w:hAnsi="Times New Roman"/>
          <w:i/>
          <w:szCs w:val="24"/>
        </w:rPr>
        <w:t>Qualitative Social Work</w:t>
      </w:r>
      <w:r w:rsidRPr="004E3E8F">
        <w:rPr>
          <w:rFonts w:ascii="Times New Roman" w:hAnsi="Times New Roman"/>
          <w:szCs w:val="24"/>
        </w:rPr>
        <w:t>, 8, pp. 101-122.</w:t>
      </w:r>
    </w:p>
    <w:p w14:paraId="3288BA99" w14:textId="77777777" w:rsidR="00503349" w:rsidRPr="003472D7" w:rsidRDefault="00503349" w:rsidP="00503349">
      <w:pPr>
        <w:spacing w:before="240"/>
        <w:jc w:val="both"/>
        <w:rPr>
          <w:rFonts w:ascii="Times New Roman" w:hAnsi="Times New Roman"/>
          <w:bCs/>
          <w:szCs w:val="24"/>
        </w:rPr>
      </w:pPr>
      <w:r>
        <w:rPr>
          <w:rFonts w:ascii="Times New Roman" w:hAnsi="Times New Roman"/>
          <w:szCs w:val="24"/>
        </w:rPr>
        <w:t xml:space="preserve">Ashcroft, J., 2014. Social care employers need to recruit more men. </w:t>
      </w:r>
      <w:r>
        <w:rPr>
          <w:rFonts w:ascii="Times New Roman" w:hAnsi="Times New Roman"/>
          <w:i/>
          <w:iCs/>
          <w:szCs w:val="24"/>
        </w:rPr>
        <w:t xml:space="preserve">The Guardian, </w:t>
      </w:r>
      <w:r>
        <w:rPr>
          <w:rFonts w:ascii="Times New Roman" w:hAnsi="Times New Roman"/>
          <w:szCs w:val="24"/>
        </w:rPr>
        <w:t>[online] (Last updated 8.58 AM on 04th March 2014). Available at: &lt;www.theguardian.com/social-care-network/2014/mar/04/social-care-employers-recruit-more-men&gt;[Accessed February 27, 2019].</w:t>
      </w:r>
    </w:p>
    <w:p w14:paraId="426B444B" w14:textId="77777777" w:rsidR="00503349" w:rsidRPr="00DA2952" w:rsidRDefault="00503349" w:rsidP="00503349">
      <w:pPr>
        <w:jc w:val="both"/>
        <w:rPr>
          <w:rFonts w:ascii="Times New Roman" w:hAnsi="Times New Roman"/>
        </w:rPr>
      </w:pPr>
      <w:r w:rsidRPr="00DA2952">
        <w:rPr>
          <w:rFonts w:ascii="Times New Roman" w:hAnsi="Times New Roman"/>
        </w:rPr>
        <w:t>Ashforth, A., 1998. Witchcraft, Violence, and Democracy in the New South Africa. </w:t>
      </w:r>
      <w:r w:rsidRPr="00DA2952">
        <w:rPr>
          <w:rFonts w:ascii="Times New Roman" w:hAnsi="Times New Roman"/>
          <w:i/>
          <w:iCs/>
        </w:rPr>
        <w:t>Cahiers d'Etudes Africaines</w:t>
      </w:r>
      <w:r w:rsidRPr="00DA2952">
        <w:rPr>
          <w:rFonts w:ascii="Times New Roman" w:hAnsi="Times New Roman"/>
        </w:rPr>
        <w:t>, pp. 505-532.</w:t>
      </w:r>
    </w:p>
    <w:p w14:paraId="2827BA61" w14:textId="77777777" w:rsidR="00503349" w:rsidRPr="00DA2952" w:rsidRDefault="00503349" w:rsidP="00503349">
      <w:pPr>
        <w:jc w:val="both"/>
        <w:rPr>
          <w:rFonts w:ascii="Times New Roman" w:hAnsi="Times New Roman"/>
          <w:szCs w:val="24"/>
        </w:rPr>
      </w:pPr>
      <w:r w:rsidRPr="00DA2952">
        <w:rPr>
          <w:rFonts w:ascii="Times New Roman" w:hAnsi="Times New Roman"/>
        </w:rPr>
        <w:t xml:space="preserve">Ashforth, A., 2005. </w:t>
      </w:r>
      <w:r w:rsidRPr="00DA2952">
        <w:rPr>
          <w:rFonts w:ascii="Times New Roman" w:hAnsi="Times New Roman"/>
          <w:i/>
          <w:iCs/>
        </w:rPr>
        <w:t>Witchcraft, violence and democracy in South Africa</w:t>
      </w:r>
      <w:r w:rsidRPr="00DA2952">
        <w:rPr>
          <w:rFonts w:ascii="Times New Roman" w:hAnsi="Times New Roman"/>
        </w:rPr>
        <w:t>. Chicago: University of Chicago Press.</w:t>
      </w:r>
    </w:p>
    <w:p w14:paraId="1725D982" w14:textId="77777777" w:rsidR="00503349" w:rsidRPr="008101DD" w:rsidRDefault="00503349" w:rsidP="00503349">
      <w:pPr>
        <w:spacing w:before="100" w:beforeAutospacing="1" w:after="100" w:afterAutospacing="1"/>
        <w:jc w:val="both"/>
        <w:rPr>
          <w:rFonts w:ascii="Times New Roman" w:hAnsi="Times New Roman"/>
          <w:szCs w:val="24"/>
        </w:rPr>
      </w:pPr>
      <w:r w:rsidRPr="008101DD">
        <w:rPr>
          <w:rFonts w:ascii="Times New Roman" w:hAnsi="Times New Roman"/>
          <w:szCs w:val="24"/>
        </w:rPr>
        <w:t xml:space="preserve">Athens, L., 2010. Naturalistic inquiry in theory and practice. </w:t>
      </w:r>
      <w:r w:rsidRPr="008101DD">
        <w:rPr>
          <w:rFonts w:ascii="Times New Roman" w:hAnsi="Times New Roman"/>
          <w:i/>
          <w:iCs/>
          <w:szCs w:val="24"/>
        </w:rPr>
        <w:t>Journal of Contemporary Ethnography</w:t>
      </w:r>
      <w:r w:rsidRPr="008101DD">
        <w:rPr>
          <w:rFonts w:ascii="Times New Roman" w:hAnsi="Times New Roman"/>
          <w:szCs w:val="24"/>
        </w:rPr>
        <w:t xml:space="preserve">, </w:t>
      </w:r>
      <w:r w:rsidRPr="008101DD">
        <w:rPr>
          <w:rFonts w:ascii="Times New Roman" w:hAnsi="Times New Roman"/>
          <w:iCs/>
          <w:szCs w:val="24"/>
        </w:rPr>
        <w:t>39</w:t>
      </w:r>
      <w:r w:rsidRPr="008101DD">
        <w:rPr>
          <w:rFonts w:ascii="Times New Roman" w:hAnsi="Times New Roman"/>
          <w:szCs w:val="24"/>
        </w:rPr>
        <w:t>, pp. 87-125.</w:t>
      </w:r>
    </w:p>
    <w:p w14:paraId="22160188" w14:textId="77777777" w:rsidR="00503349" w:rsidRDefault="00503349" w:rsidP="00503349">
      <w:pPr>
        <w:spacing w:before="240"/>
        <w:jc w:val="both"/>
        <w:rPr>
          <w:rFonts w:ascii="Times New Roman" w:hAnsi="Times New Roman"/>
          <w:bCs/>
          <w:szCs w:val="24"/>
        </w:rPr>
      </w:pPr>
      <w:r>
        <w:rPr>
          <w:rFonts w:ascii="Times New Roman" w:hAnsi="Times New Roman"/>
          <w:bCs/>
          <w:szCs w:val="24"/>
        </w:rPr>
        <w:lastRenderedPageBreak/>
        <w:t>Atkins, G.L., Tumlinson, A. and Dawson, W., 2017. Financing for long-term services and supports. </w:t>
      </w:r>
      <w:r>
        <w:rPr>
          <w:rFonts w:ascii="Times New Roman" w:hAnsi="Times New Roman"/>
          <w:bCs/>
          <w:i/>
          <w:iCs/>
          <w:szCs w:val="24"/>
        </w:rPr>
        <w:t>Generations: Journal of the American Society on Aging</w:t>
      </w:r>
      <w:r>
        <w:rPr>
          <w:rFonts w:ascii="Times New Roman" w:hAnsi="Times New Roman"/>
          <w:bCs/>
          <w:szCs w:val="24"/>
        </w:rPr>
        <w:t>, 40(4), pp. 38-44.</w:t>
      </w:r>
    </w:p>
    <w:p w14:paraId="414585D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Atkins, L. and Michie, S., 2013. Changing eating behaviour. </w:t>
      </w:r>
      <w:r w:rsidRPr="00EF189A">
        <w:rPr>
          <w:rFonts w:ascii="Times New Roman" w:hAnsi="Times New Roman"/>
          <w:i/>
          <w:szCs w:val="24"/>
          <w:bdr w:val="none" w:sz="0" w:space="0" w:color="auto" w:frame="1"/>
        </w:rPr>
        <w:t>Nutrition Bulletin</w:t>
      </w:r>
      <w:r w:rsidRPr="00EF189A">
        <w:rPr>
          <w:rFonts w:ascii="Times New Roman" w:hAnsi="Times New Roman"/>
          <w:szCs w:val="24"/>
          <w:bdr w:val="none" w:sz="0" w:space="0" w:color="auto" w:frame="1"/>
        </w:rPr>
        <w:t>, 38, pp. 30-35.</w:t>
      </w:r>
    </w:p>
    <w:p w14:paraId="232B5A6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Atkinson, J.W., 1964. </w:t>
      </w:r>
      <w:r w:rsidRPr="00EF189A">
        <w:rPr>
          <w:rFonts w:ascii="Times New Roman" w:hAnsi="Times New Roman"/>
          <w:i/>
          <w:szCs w:val="24"/>
          <w:bdr w:val="none" w:sz="0" w:space="0" w:color="auto" w:frame="1"/>
        </w:rPr>
        <w:t>An introduction to motivation</w:t>
      </w:r>
      <w:r w:rsidRPr="00EF189A">
        <w:rPr>
          <w:rFonts w:ascii="Times New Roman" w:hAnsi="Times New Roman"/>
          <w:szCs w:val="24"/>
          <w:bdr w:val="none" w:sz="0" w:space="0" w:color="auto" w:frame="1"/>
        </w:rPr>
        <w:t>. London: D Van Nostrand Company.</w:t>
      </w:r>
    </w:p>
    <w:p w14:paraId="5136D83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Audi R., 1995. </w:t>
      </w:r>
      <w:r w:rsidRPr="00DA2952">
        <w:rPr>
          <w:rFonts w:ascii="Times New Roman" w:hAnsi="Times New Roman"/>
          <w:i/>
          <w:iCs/>
          <w:szCs w:val="24"/>
        </w:rPr>
        <w:t>The Cambridge dictionary of philosophy</w:t>
      </w:r>
      <w:r w:rsidRPr="00DA2952">
        <w:rPr>
          <w:rFonts w:ascii="Times New Roman" w:hAnsi="Times New Roman"/>
          <w:szCs w:val="24"/>
        </w:rPr>
        <w:t>. Cambridge, UK: Cambridge University Press.</w:t>
      </w:r>
    </w:p>
    <w:p w14:paraId="40125AF3"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Audi, R., 2015. </w:t>
      </w:r>
      <w:r w:rsidRPr="00DA2952">
        <w:rPr>
          <w:rFonts w:ascii="Times New Roman" w:hAnsi="Times New Roman"/>
          <w:i/>
          <w:iCs/>
          <w:szCs w:val="24"/>
        </w:rPr>
        <w:t>The Cambridge dictionary of philosophy, 3rd edition</w:t>
      </w:r>
      <w:r w:rsidRPr="00DA2952">
        <w:rPr>
          <w:rFonts w:ascii="Times New Roman" w:hAnsi="Times New Roman"/>
          <w:szCs w:val="24"/>
        </w:rPr>
        <w:t>. New York: Cambridge University Press.</w:t>
      </w:r>
    </w:p>
    <w:p w14:paraId="1B37FE5C" w14:textId="77777777" w:rsidR="00503349" w:rsidRDefault="00503349" w:rsidP="00503349">
      <w:pPr>
        <w:rPr>
          <w:rFonts w:ascii="Times New Roman" w:hAnsi="Times New Roman"/>
          <w:szCs w:val="24"/>
        </w:rPr>
      </w:pPr>
      <w:r w:rsidRPr="00CF1AE8">
        <w:rPr>
          <w:rFonts w:ascii="Times New Roman" w:hAnsi="Times New Roman"/>
          <w:szCs w:val="24"/>
        </w:rPr>
        <w:t>Austenfeld, J.L. and Stanton, A.L., 2004. Coping through emotional approach: a new look at emotion, coping, and health-related outcomes. </w:t>
      </w:r>
      <w:r w:rsidRPr="00CF1AE8">
        <w:rPr>
          <w:rFonts w:ascii="Times New Roman" w:hAnsi="Times New Roman"/>
          <w:i/>
          <w:iCs/>
          <w:szCs w:val="24"/>
        </w:rPr>
        <w:t>Journal of Personality</w:t>
      </w:r>
      <w:r w:rsidRPr="00CF1AE8">
        <w:rPr>
          <w:rFonts w:ascii="Times New Roman" w:hAnsi="Times New Roman"/>
          <w:szCs w:val="24"/>
        </w:rPr>
        <w:t>, 72, pp. 1335-1364.</w:t>
      </w:r>
    </w:p>
    <w:p w14:paraId="4E25E058" w14:textId="77777777" w:rsidR="00503349" w:rsidRPr="000A56C6" w:rsidRDefault="00503349" w:rsidP="00503349">
      <w:pPr>
        <w:rPr>
          <w:rFonts w:ascii="Times New Roman" w:hAnsi="Times New Roman"/>
          <w:szCs w:val="24"/>
        </w:rPr>
      </w:pPr>
      <w:r w:rsidRPr="000A56C6">
        <w:rPr>
          <w:rFonts w:ascii="Times New Roman" w:hAnsi="Times New Roman"/>
          <w:szCs w:val="24"/>
        </w:rPr>
        <w:t>Awases, M., Gbary, A., Nyoni, J. and Chatora, R., 2004. Migration of health professionals in six countries: a synthesis report. World Health Organization WHO-AFRO DHS Brazzaville. Available at: &lt; https://afro.who.int/sites/default/files/2017-06/hrh%20migration_en.pdf&gt;[Accessed 20 April 2019]</w:t>
      </w:r>
    </w:p>
    <w:p w14:paraId="1E1C7067" w14:textId="77777777" w:rsidR="00503349" w:rsidRPr="00CF1AE8" w:rsidRDefault="00503349" w:rsidP="00503349">
      <w:pPr>
        <w:rPr>
          <w:rFonts w:ascii="Times New Roman" w:hAnsi="Times New Roman"/>
          <w:szCs w:val="24"/>
        </w:rPr>
      </w:pPr>
      <w:r w:rsidRPr="00CF1AE8">
        <w:rPr>
          <w:rFonts w:ascii="Times New Roman" w:hAnsi="Times New Roman"/>
          <w:szCs w:val="24"/>
        </w:rPr>
        <w:t>Baas, M., 2006. Students of migration: Indian overseas students and the question of permanent residency. </w:t>
      </w:r>
      <w:r w:rsidRPr="00CF1AE8">
        <w:rPr>
          <w:rFonts w:ascii="Times New Roman" w:hAnsi="Times New Roman"/>
          <w:i/>
          <w:szCs w:val="24"/>
        </w:rPr>
        <w:t>People and Place</w:t>
      </w:r>
      <w:r w:rsidRPr="00CF1AE8">
        <w:rPr>
          <w:rFonts w:ascii="Times New Roman" w:hAnsi="Times New Roman"/>
          <w:szCs w:val="24"/>
        </w:rPr>
        <w:t>, 14, pp. 8-23.</w:t>
      </w:r>
    </w:p>
    <w:p w14:paraId="4410F07E" w14:textId="77777777" w:rsidR="00503349" w:rsidRDefault="00503349" w:rsidP="00503349">
      <w:pPr>
        <w:spacing w:before="240"/>
        <w:jc w:val="both"/>
        <w:rPr>
          <w:rFonts w:ascii="Times New Roman" w:hAnsi="Times New Roman"/>
          <w:bCs/>
          <w:szCs w:val="24"/>
        </w:rPr>
      </w:pPr>
      <w:r>
        <w:rPr>
          <w:rFonts w:ascii="Times New Roman" w:hAnsi="Times New Roman"/>
          <w:bCs/>
          <w:szCs w:val="24"/>
        </w:rPr>
        <w:t xml:space="preserve">Babones, S.J., 2006. Conducting global social research. In: C. Chase-Dunn &amp; S. Babones (eds). </w:t>
      </w:r>
      <w:r>
        <w:rPr>
          <w:rFonts w:ascii="Times New Roman" w:hAnsi="Times New Roman"/>
          <w:bCs/>
          <w:i/>
          <w:iCs/>
          <w:szCs w:val="24"/>
        </w:rPr>
        <w:t>Global Social Change: Comparative and Historical Perspectives</w:t>
      </w:r>
      <w:r>
        <w:rPr>
          <w:rFonts w:ascii="Times New Roman" w:hAnsi="Times New Roman"/>
          <w:bCs/>
          <w:szCs w:val="24"/>
        </w:rPr>
        <w:t>. Baltimore: Johns Hopkins University Press, pp. 8-30.</w:t>
      </w:r>
    </w:p>
    <w:p w14:paraId="58E6D9C7" w14:textId="77777777" w:rsidR="00503349" w:rsidRPr="003472D7" w:rsidRDefault="00503349" w:rsidP="00503349">
      <w:pPr>
        <w:spacing w:before="240"/>
        <w:jc w:val="both"/>
        <w:rPr>
          <w:rFonts w:ascii="Times New Roman" w:hAnsi="Times New Roman"/>
          <w:bCs/>
          <w:szCs w:val="24"/>
        </w:rPr>
      </w:pPr>
      <w:r>
        <w:rPr>
          <w:rFonts w:ascii="Times New Roman" w:hAnsi="Times New Roman"/>
          <w:szCs w:val="24"/>
        </w:rPr>
        <w:t xml:space="preserve">Badkar, J. and Manning, R., 2009. Paid caregivers in New Zealand: current supply and future demand. </w:t>
      </w:r>
      <w:r>
        <w:rPr>
          <w:rFonts w:ascii="Times New Roman" w:hAnsi="Times New Roman"/>
          <w:i/>
          <w:szCs w:val="24"/>
        </w:rPr>
        <w:t>New Zealand Population Review</w:t>
      </w:r>
      <w:r>
        <w:rPr>
          <w:rFonts w:ascii="Times New Roman" w:hAnsi="Times New Roman"/>
          <w:szCs w:val="24"/>
        </w:rPr>
        <w:t>, 33, pp. 113-127.</w:t>
      </w:r>
    </w:p>
    <w:p w14:paraId="2B3D967D" w14:textId="77777777" w:rsidR="00503349" w:rsidRDefault="00503349" w:rsidP="00503349">
      <w:pPr>
        <w:tabs>
          <w:tab w:val="left" w:pos="2685"/>
        </w:tabs>
        <w:spacing w:before="240"/>
        <w:rPr>
          <w:rFonts w:ascii="Times New Roman" w:hAnsi="Times New Roman"/>
          <w:szCs w:val="24"/>
        </w:rPr>
      </w:pPr>
      <w:r>
        <w:rPr>
          <w:rFonts w:ascii="Times New Roman" w:hAnsi="Times New Roman"/>
          <w:szCs w:val="24"/>
        </w:rPr>
        <w:lastRenderedPageBreak/>
        <w:t xml:space="preserve">Baert, S., Cockx, B., Gheyle, N. and Vandamme, C., 2013. </w:t>
      </w:r>
      <w:r>
        <w:rPr>
          <w:rFonts w:ascii="Times New Roman" w:hAnsi="Times New Roman"/>
          <w:i/>
          <w:iCs/>
          <w:szCs w:val="24"/>
        </w:rPr>
        <w:t>Do employers discriminate less if vacancies are difficult to fill? Evidence from a field experiment</w:t>
      </w:r>
      <w:r>
        <w:rPr>
          <w:rFonts w:ascii="Times New Roman" w:hAnsi="Times New Roman"/>
          <w:szCs w:val="24"/>
        </w:rPr>
        <w:t>. Center for Economic Studies &amp; Ifo Institute (CESifo) Working Paper, No. 4093. Munich: Center for Economic Studies &amp; Ifo Institute, pp. 1-13. Available at: &lt;https://www.econstor.eu/bitstream/10419/69534/1/735723508.pdf&gt;[Accessed 17 December 2018]</w:t>
      </w:r>
    </w:p>
    <w:p w14:paraId="74C3022A"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Bahareethan, M. and Shah, A., 2000. Aggressive behaviour, staff attitude and staff perception of patients on two continuing care psychogeriatric wards. </w:t>
      </w:r>
      <w:r w:rsidRPr="000A56C6">
        <w:rPr>
          <w:rFonts w:ascii="Times New Roman" w:hAnsi="Times New Roman"/>
          <w:i/>
          <w:szCs w:val="24"/>
        </w:rPr>
        <w:t>Aging &amp; Mental Health</w:t>
      </w:r>
      <w:r w:rsidRPr="000A56C6">
        <w:rPr>
          <w:rFonts w:ascii="Times New Roman" w:hAnsi="Times New Roman"/>
          <w:szCs w:val="24"/>
        </w:rPr>
        <w:t xml:space="preserve">, 4, pp. 66-71. </w:t>
      </w:r>
    </w:p>
    <w:p w14:paraId="7836ED68" w14:textId="77777777" w:rsidR="00503349" w:rsidRDefault="00503349" w:rsidP="00503349">
      <w:pPr>
        <w:rPr>
          <w:rFonts w:ascii="Times New Roman" w:hAnsi="Times New Roman"/>
          <w:szCs w:val="24"/>
        </w:rPr>
      </w:pPr>
      <w:r w:rsidRPr="00587EAB">
        <w:rPr>
          <w:rFonts w:ascii="Times New Roman" w:hAnsi="Times New Roman"/>
          <w:szCs w:val="24"/>
        </w:rPr>
        <w:t>Baird, A., 2019. A reflection on the complexity of the self in severe dementia. </w:t>
      </w:r>
      <w:r w:rsidRPr="00587EAB">
        <w:rPr>
          <w:rFonts w:ascii="Times New Roman" w:hAnsi="Times New Roman"/>
          <w:i/>
          <w:iCs/>
          <w:szCs w:val="24"/>
        </w:rPr>
        <w:t>Cogent Psychology</w:t>
      </w:r>
      <w:r w:rsidRPr="00587EAB">
        <w:rPr>
          <w:rFonts w:ascii="Times New Roman" w:hAnsi="Times New Roman"/>
          <w:szCs w:val="24"/>
        </w:rPr>
        <w:t>, </w:t>
      </w:r>
      <w:r w:rsidRPr="00D518C1">
        <w:rPr>
          <w:rFonts w:ascii="Times New Roman" w:hAnsi="Times New Roman"/>
          <w:szCs w:val="24"/>
        </w:rPr>
        <w:t>6</w:t>
      </w:r>
      <w:r w:rsidRPr="00E50D02">
        <w:rPr>
          <w:rFonts w:ascii="Times New Roman" w:hAnsi="Times New Roman"/>
          <w:szCs w:val="24"/>
        </w:rPr>
        <w:t>(1),</w:t>
      </w:r>
      <w:r w:rsidRPr="00587EAB">
        <w:rPr>
          <w:rFonts w:ascii="Times New Roman" w:hAnsi="Times New Roman"/>
          <w:szCs w:val="24"/>
        </w:rPr>
        <w:t xml:space="preserve"> p.1574055.</w:t>
      </w:r>
      <w:r>
        <w:rPr>
          <w:rFonts w:ascii="Times New Roman" w:hAnsi="Times New Roman"/>
          <w:szCs w:val="24"/>
        </w:rPr>
        <w:t xml:space="preserve"> Available at: &lt;</w:t>
      </w:r>
      <w:r w:rsidRPr="00E50D02">
        <w:rPr>
          <w:rFonts w:ascii="Times New Roman" w:hAnsi="Times New Roman"/>
          <w:szCs w:val="24"/>
        </w:rPr>
        <w:t>https://www.tandfonline.com/doi/full/10.1080/23311908.2019.1574055</w:t>
      </w:r>
      <w:r>
        <w:rPr>
          <w:rFonts w:ascii="Times New Roman" w:hAnsi="Times New Roman"/>
          <w:szCs w:val="24"/>
        </w:rPr>
        <w:t>&gt;[Accessed 18 August 2020]</w:t>
      </w:r>
    </w:p>
    <w:p w14:paraId="6E3E9B33" w14:textId="77777777" w:rsidR="00503349" w:rsidRPr="00AB40E2" w:rsidRDefault="00503349" w:rsidP="00503349">
      <w:pPr>
        <w:spacing w:before="240"/>
        <w:rPr>
          <w:rFonts w:ascii="Times New Roman" w:hAnsi="Times New Roman"/>
          <w:szCs w:val="24"/>
        </w:rPr>
      </w:pPr>
      <w:r w:rsidRPr="004E3E8F">
        <w:rPr>
          <w:rFonts w:ascii="Times New Roman" w:hAnsi="Times New Roman"/>
          <w:szCs w:val="24"/>
        </w:rPr>
        <w:t xml:space="preserve">Baker, T.L., 1994. </w:t>
      </w:r>
      <w:r w:rsidRPr="004E3E8F">
        <w:rPr>
          <w:rFonts w:ascii="Times New Roman" w:hAnsi="Times New Roman"/>
          <w:i/>
          <w:iCs/>
          <w:szCs w:val="24"/>
        </w:rPr>
        <w:t>Doing Social Research</w:t>
      </w:r>
      <w:r w:rsidRPr="004E3E8F">
        <w:rPr>
          <w:rFonts w:ascii="Times New Roman" w:hAnsi="Times New Roman"/>
          <w:iCs/>
          <w:szCs w:val="24"/>
        </w:rPr>
        <w:t>.</w:t>
      </w:r>
      <w:r w:rsidRPr="004E3E8F">
        <w:rPr>
          <w:rFonts w:ascii="Times New Roman" w:hAnsi="Times New Roman"/>
          <w:szCs w:val="24"/>
        </w:rPr>
        <w:t xml:space="preserve"> 2</w:t>
      </w:r>
      <w:r w:rsidRPr="00E844AB">
        <w:rPr>
          <w:rFonts w:ascii="Times New Roman" w:hAnsi="Times New Roman"/>
          <w:szCs w:val="24"/>
          <w:vertAlign w:val="superscript"/>
        </w:rPr>
        <w:t>nd</w:t>
      </w:r>
      <w:r w:rsidRPr="004E3E8F">
        <w:rPr>
          <w:rFonts w:ascii="Times New Roman" w:hAnsi="Times New Roman"/>
          <w:szCs w:val="24"/>
        </w:rPr>
        <w:t xml:space="preserve"> ed. New York: McGraw-Hill Inc.</w:t>
      </w:r>
    </w:p>
    <w:p w14:paraId="72D4ED6F" w14:textId="77777777" w:rsidR="00503349" w:rsidRPr="00CF1AE8" w:rsidRDefault="00503349" w:rsidP="00503349">
      <w:pPr>
        <w:jc w:val="both"/>
        <w:rPr>
          <w:rFonts w:ascii="Times New Roman" w:hAnsi="Times New Roman"/>
          <w:szCs w:val="24"/>
        </w:rPr>
      </w:pPr>
      <w:r w:rsidRPr="00CF1AE8">
        <w:rPr>
          <w:rFonts w:ascii="Times New Roman" w:hAnsi="Times New Roman"/>
          <w:szCs w:val="24"/>
        </w:rPr>
        <w:t xml:space="preserve">Ball, J. and Pike, G., 2009. </w:t>
      </w:r>
      <w:r w:rsidRPr="00C52FCD">
        <w:rPr>
          <w:rFonts w:ascii="Times New Roman" w:hAnsi="Times New Roman"/>
          <w:i/>
          <w:iCs/>
          <w:szCs w:val="24"/>
        </w:rPr>
        <w:t xml:space="preserve">Past Imperfect, Future Tense: Nurses’ Employment </w:t>
      </w:r>
      <w:r>
        <w:rPr>
          <w:rFonts w:ascii="Times New Roman" w:hAnsi="Times New Roman"/>
          <w:i/>
          <w:iCs/>
          <w:szCs w:val="24"/>
        </w:rPr>
        <w:t>a</w:t>
      </w:r>
      <w:r w:rsidRPr="00C52FCD">
        <w:rPr>
          <w:rFonts w:ascii="Times New Roman" w:hAnsi="Times New Roman"/>
          <w:i/>
          <w:iCs/>
          <w:szCs w:val="24"/>
        </w:rPr>
        <w:t xml:space="preserve">nd Morale </w:t>
      </w:r>
      <w:r>
        <w:rPr>
          <w:rFonts w:ascii="Times New Roman" w:hAnsi="Times New Roman"/>
          <w:i/>
          <w:iCs/>
          <w:szCs w:val="24"/>
        </w:rPr>
        <w:t>i</w:t>
      </w:r>
      <w:r w:rsidRPr="00C52FCD">
        <w:rPr>
          <w:rFonts w:ascii="Times New Roman" w:hAnsi="Times New Roman"/>
          <w:i/>
          <w:iCs/>
          <w:szCs w:val="24"/>
        </w:rPr>
        <w:t>n 2009</w:t>
      </w:r>
      <w:r>
        <w:rPr>
          <w:rFonts w:ascii="Times New Roman" w:hAnsi="Times New Roman"/>
          <w:szCs w:val="24"/>
        </w:rPr>
        <w:t>.</w:t>
      </w:r>
      <w:r w:rsidRPr="00CF1AE8">
        <w:rPr>
          <w:rFonts w:ascii="Times New Roman" w:hAnsi="Times New Roman"/>
          <w:szCs w:val="24"/>
        </w:rPr>
        <w:t xml:space="preserve"> London: Royal College Nursing</w:t>
      </w:r>
      <w:r>
        <w:rPr>
          <w:rFonts w:ascii="Times New Roman" w:hAnsi="Times New Roman"/>
          <w:szCs w:val="24"/>
        </w:rPr>
        <w:t xml:space="preserve"> (RCN)</w:t>
      </w:r>
      <w:r w:rsidRPr="00CF1AE8">
        <w:rPr>
          <w:rFonts w:ascii="Times New Roman" w:hAnsi="Times New Roman"/>
          <w:szCs w:val="24"/>
        </w:rPr>
        <w:t>.</w:t>
      </w:r>
    </w:p>
    <w:p w14:paraId="6DA5A98B" w14:textId="77777777" w:rsidR="00503349" w:rsidRDefault="00503349" w:rsidP="00503349">
      <w:pPr>
        <w:rPr>
          <w:rFonts w:ascii="Times" w:hAnsi="Times" w:cs="Times"/>
          <w:szCs w:val="24"/>
        </w:rPr>
      </w:pPr>
      <w:r w:rsidRPr="008D6609">
        <w:rPr>
          <w:rFonts w:ascii="Times" w:hAnsi="Times" w:cs="Times"/>
          <w:szCs w:val="24"/>
        </w:rPr>
        <w:t>Ball, J., 2006. Cutbacks take their toll: nurse managers in organisations hit by job losses report inadequate staffing levels, unsatisfactory care, excessive workload and low morale. </w:t>
      </w:r>
      <w:r w:rsidRPr="008D6609">
        <w:rPr>
          <w:rFonts w:ascii="Times" w:hAnsi="Times" w:cs="Times"/>
          <w:i/>
          <w:iCs/>
          <w:szCs w:val="24"/>
        </w:rPr>
        <w:t>Nursing Standard</w:t>
      </w:r>
      <w:r w:rsidRPr="008D6609">
        <w:rPr>
          <w:rFonts w:ascii="Times" w:hAnsi="Times" w:cs="Times"/>
          <w:szCs w:val="24"/>
        </w:rPr>
        <w:t>, 20(47), pp.</w:t>
      </w:r>
      <w:r>
        <w:rPr>
          <w:rFonts w:ascii="Times" w:hAnsi="Times" w:cs="Times"/>
          <w:szCs w:val="24"/>
        </w:rPr>
        <w:t xml:space="preserve"> </w:t>
      </w:r>
      <w:r w:rsidRPr="008D6609">
        <w:rPr>
          <w:rFonts w:ascii="Times" w:hAnsi="Times" w:cs="Times"/>
          <w:szCs w:val="24"/>
        </w:rPr>
        <w:t>14-16.</w:t>
      </w:r>
    </w:p>
    <w:p w14:paraId="07661AD5" w14:textId="77777777" w:rsidR="00503349" w:rsidRDefault="00503349" w:rsidP="00503349">
      <w:pPr>
        <w:rPr>
          <w:rFonts w:ascii="Times New Roman" w:hAnsi="Times New Roman"/>
          <w:szCs w:val="24"/>
        </w:rPr>
      </w:pPr>
      <w:r w:rsidRPr="00A04009">
        <w:rPr>
          <w:rFonts w:ascii="Times New Roman" w:hAnsi="Times New Roman"/>
          <w:szCs w:val="24"/>
        </w:rPr>
        <w:t xml:space="preserve">Ball, M., Hampton, C., Kamerade, D. and Richardson, H., 2017. </w:t>
      </w:r>
      <w:r w:rsidRPr="0083771A">
        <w:rPr>
          <w:rFonts w:ascii="Times New Roman" w:hAnsi="Times New Roman"/>
          <w:i/>
          <w:iCs/>
          <w:szCs w:val="24"/>
        </w:rPr>
        <w:t>Agency workers and zero hours</w:t>
      </w:r>
      <w:r>
        <w:rPr>
          <w:rFonts w:ascii="Times New Roman" w:hAnsi="Times New Roman"/>
          <w:i/>
          <w:iCs/>
          <w:szCs w:val="24"/>
        </w:rPr>
        <w:t xml:space="preserve"> </w:t>
      </w:r>
      <w:r w:rsidRPr="0083771A">
        <w:rPr>
          <w:rFonts w:ascii="Times New Roman" w:hAnsi="Times New Roman"/>
          <w:i/>
          <w:iCs/>
          <w:szCs w:val="24"/>
        </w:rPr>
        <w:t>-</w:t>
      </w:r>
      <w:r>
        <w:rPr>
          <w:rFonts w:ascii="Times New Roman" w:hAnsi="Times New Roman"/>
          <w:i/>
          <w:iCs/>
          <w:szCs w:val="24"/>
        </w:rPr>
        <w:t xml:space="preserve"> </w:t>
      </w:r>
      <w:r w:rsidRPr="0083771A">
        <w:rPr>
          <w:rFonts w:ascii="Times New Roman" w:hAnsi="Times New Roman"/>
          <w:i/>
          <w:iCs/>
          <w:szCs w:val="24"/>
        </w:rPr>
        <w:t>the story of hidden exploitation</w:t>
      </w:r>
      <w:r w:rsidRPr="00A04009">
        <w:rPr>
          <w:rFonts w:ascii="Times New Roman" w:hAnsi="Times New Roman"/>
          <w:szCs w:val="24"/>
        </w:rPr>
        <w:t>.</w:t>
      </w:r>
      <w:r>
        <w:rPr>
          <w:rFonts w:ascii="Times New Roman" w:hAnsi="Times New Roman"/>
          <w:szCs w:val="24"/>
        </w:rPr>
        <w:t xml:space="preserve"> </w:t>
      </w:r>
      <w:r w:rsidRPr="002A2B65">
        <w:rPr>
          <w:rFonts w:ascii="Times New Roman" w:hAnsi="Times New Roman"/>
          <w:i/>
          <w:iCs/>
          <w:szCs w:val="24"/>
        </w:rPr>
        <w:t>Derbyshire Unemployed Workers Centres</w:t>
      </w:r>
      <w:r w:rsidRPr="0083771A">
        <w:rPr>
          <w:rFonts w:ascii="Times New Roman" w:hAnsi="Times New Roman"/>
          <w:szCs w:val="24"/>
        </w:rPr>
        <w:t>.</w:t>
      </w:r>
      <w:r>
        <w:rPr>
          <w:rFonts w:ascii="Times New Roman" w:hAnsi="Times New Roman"/>
          <w:szCs w:val="24"/>
        </w:rPr>
        <w:t xml:space="preserve"> Manchester: University of Salford.</w:t>
      </w:r>
      <w:r w:rsidRPr="002A2B65">
        <w:rPr>
          <w:rFonts w:ascii="Times New Roman" w:hAnsi="Times New Roman"/>
          <w:szCs w:val="24"/>
        </w:rPr>
        <w:t xml:space="preserve"> </w:t>
      </w:r>
      <w:r>
        <w:rPr>
          <w:rFonts w:ascii="Times New Roman" w:hAnsi="Times New Roman"/>
          <w:szCs w:val="24"/>
        </w:rPr>
        <w:t>Available at: &lt;</w:t>
      </w:r>
      <w:r w:rsidRPr="00A04009">
        <w:rPr>
          <w:rFonts w:ascii="Times New Roman" w:hAnsi="Times New Roman"/>
          <w:szCs w:val="24"/>
        </w:rPr>
        <w:t>http://shura.shu.ac.uk/16682/1/Report%20final.pdf</w:t>
      </w:r>
      <w:r>
        <w:rPr>
          <w:rFonts w:ascii="Times New Roman" w:hAnsi="Times New Roman"/>
          <w:szCs w:val="24"/>
        </w:rPr>
        <w:t>&gt;[Accessed 15 August 2020]</w:t>
      </w:r>
    </w:p>
    <w:p w14:paraId="73200F0E" w14:textId="77777777" w:rsidR="00503349" w:rsidRDefault="00503349" w:rsidP="00503349">
      <w:pPr>
        <w:spacing w:after="200"/>
        <w:jc w:val="both"/>
        <w:rPr>
          <w:rFonts w:ascii="Times New Roman" w:eastAsia="Calibri" w:hAnsi="Times New Roman"/>
          <w:szCs w:val="24"/>
          <w:lang w:eastAsia="en-US"/>
        </w:rPr>
      </w:pPr>
      <w:r w:rsidRPr="00794F1F">
        <w:rPr>
          <w:rFonts w:ascii="Times New Roman" w:eastAsia="Calibri" w:hAnsi="Times New Roman"/>
          <w:szCs w:val="24"/>
          <w:lang w:eastAsia="en-US"/>
        </w:rPr>
        <w:t>Bambra, C., Whitehead, M., Sowden, A., Akers, J. and Petticrew, M., 2008. “A hard day’s night?” The effects of Compressed Working Week interventions on the health and work-life balance of shift workers: a systematic review. </w:t>
      </w:r>
      <w:r w:rsidRPr="00794F1F">
        <w:rPr>
          <w:rFonts w:ascii="Times New Roman" w:eastAsia="Calibri" w:hAnsi="Times New Roman"/>
          <w:i/>
          <w:iCs/>
          <w:szCs w:val="24"/>
          <w:lang w:eastAsia="en-US"/>
        </w:rPr>
        <w:t>Journal of Epidemiology &amp; Community Health</w:t>
      </w:r>
      <w:r w:rsidRPr="00794F1F">
        <w:rPr>
          <w:rFonts w:ascii="Times New Roman" w:eastAsia="Calibri" w:hAnsi="Times New Roman"/>
          <w:szCs w:val="24"/>
          <w:lang w:eastAsia="en-US"/>
        </w:rPr>
        <w:t>, 62(9), pp.</w:t>
      </w:r>
      <w:r>
        <w:rPr>
          <w:rFonts w:ascii="Times New Roman" w:eastAsia="Calibri" w:hAnsi="Times New Roman"/>
          <w:szCs w:val="24"/>
          <w:lang w:eastAsia="en-US"/>
        </w:rPr>
        <w:t xml:space="preserve"> </w:t>
      </w:r>
      <w:r w:rsidRPr="00794F1F">
        <w:rPr>
          <w:rFonts w:ascii="Times New Roman" w:eastAsia="Calibri" w:hAnsi="Times New Roman"/>
          <w:szCs w:val="24"/>
          <w:lang w:eastAsia="en-US"/>
        </w:rPr>
        <w:t>764-777.</w:t>
      </w:r>
    </w:p>
    <w:p w14:paraId="2FEE7656" w14:textId="77777777" w:rsidR="00503349" w:rsidRDefault="00503349" w:rsidP="00503349">
      <w:pPr>
        <w:spacing w:before="240"/>
        <w:jc w:val="both"/>
        <w:textAlignment w:val="baseline"/>
        <w:rPr>
          <w:rFonts w:ascii="Times New Roman" w:hAnsi="Times New Roman"/>
          <w:szCs w:val="24"/>
        </w:rPr>
      </w:pPr>
      <w:r>
        <w:rPr>
          <w:rFonts w:ascii="Times New Roman" w:hAnsi="Times New Roman"/>
          <w:szCs w:val="24"/>
        </w:rPr>
        <w:lastRenderedPageBreak/>
        <w:t xml:space="preserve">Bansak, C., Simpson, N. and Zavodny, M., 2015. </w:t>
      </w:r>
      <w:r>
        <w:rPr>
          <w:rFonts w:ascii="Times New Roman" w:hAnsi="Times New Roman"/>
          <w:i/>
          <w:iCs/>
          <w:szCs w:val="24"/>
        </w:rPr>
        <w:t>The economics of immigration</w:t>
      </w:r>
      <w:r>
        <w:rPr>
          <w:rFonts w:ascii="Times New Roman" w:hAnsi="Times New Roman"/>
          <w:szCs w:val="24"/>
        </w:rPr>
        <w:t>. New York: Routledge.</w:t>
      </w:r>
    </w:p>
    <w:p w14:paraId="6A3E8A98"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Bansal, H., Taylor, S. and James, Y., 2005. Migrating to new service providers: toward a unifying framework of consumers’ switching behaviours. </w:t>
      </w:r>
      <w:r w:rsidRPr="00CF1AE8">
        <w:rPr>
          <w:rFonts w:ascii="Times New Roman" w:hAnsi="Times New Roman"/>
          <w:i/>
          <w:szCs w:val="24"/>
        </w:rPr>
        <w:t>Journal of the Academy of Marketing Science</w:t>
      </w:r>
      <w:r w:rsidRPr="00CF1AE8">
        <w:rPr>
          <w:rFonts w:ascii="Times New Roman" w:hAnsi="Times New Roman"/>
          <w:szCs w:val="24"/>
        </w:rPr>
        <w:t>, 33, pp. 96-115.</w:t>
      </w:r>
    </w:p>
    <w:p w14:paraId="7C57E2C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Barasch, A., Levine, E., Berman, J. and Small, D., 2014. Selfish or selfless? On the signal value of emotion in altruistic behavior. </w:t>
      </w:r>
      <w:r w:rsidRPr="00EF189A">
        <w:rPr>
          <w:rFonts w:ascii="Times New Roman" w:hAnsi="Times New Roman"/>
          <w:i/>
          <w:iCs/>
          <w:szCs w:val="24"/>
          <w:bdr w:val="none" w:sz="0" w:space="0" w:color="auto" w:frame="1"/>
        </w:rPr>
        <w:t>Journal of Personality and Social Psychology</w:t>
      </w:r>
      <w:r w:rsidRPr="00EF189A">
        <w:rPr>
          <w:rFonts w:ascii="Times New Roman" w:hAnsi="Times New Roman"/>
          <w:szCs w:val="24"/>
          <w:bdr w:val="none" w:sz="0" w:space="0" w:color="auto" w:frame="1"/>
        </w:rPr>
        <w:t>, 107(3), pp. 393-413.</w:t>
      </w:r>
    </w:p>
    <w:p w14:paraId="52A2D16A" w14:textId="77777777" w:rsidR="00503349" w:rsidRDefault="00503349" w:rsidP="00503349">
      <w:pPr>
        <w:rPr>
          <w:rFonts w:ascii="Times New Roman" w:hAnsi="Times New Roman"/>
          <w:szCs w:val="24"/>
        </w:rPr>
      </w:pPr>
      <w:r w:rsidRPr="00AB40E2">
        <w:rPr>
          <w:rFonts w:ascii="Times New Roman" w:hAnsi="Times New Roman"/>
          <w:szCs w:val="24"/>
        </w:rPr>
        <w:t>Barbosa, A., Sousa, L., Nolan, M. and Figueiredo, D., 2015. Effects of person-centered care approaches to dementia care on staff: a systematic review.</w:t>
      </w:r>
      <w:r w:rsidRPr="00AB40E2">
        <w:rPr>
          <w:rFonts w:ascii="Times New Roman" w:hAnsi="Times New Roman"/>
          <w:i/>
          <w:iCs/>
          <w:szCs w:val="24"/>
        </w:rPr>
        <w:t> American Journal of Alzheimer’s Disease and Other Dementias</w:t>
      </w:r>
      <w:r w:rsidRPr="00AB40E2">
        <w:rPr>
          <w:rFonts w:ascii="Times New Roman" w:hAnsi="Times New Roman"/>
          <w:szCs w:val="24"/>
        </w:rPr>
        <w:t>, 30, pp. 713-722.</w:t>
      </w:r>
    </w:p>
    <w:p w14:paraId="4B48BE7A"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Barnett, E. and Casper, M., 2001. A definition of social environment. </w:t>
      </w:r>
      <w:r w:rsidRPr="008101DD">
        <w:rPr>
          <w:rFonts w:ascii="Times New Roman" w:hAnsi="Times New Roman"/>
          <w:i/>
          <w:szCs w:val="24"/>
        </w:rPr>
        <w:t>American Journal of Public Health</w:t>
      </w:r>
      <w:r w:rsidRPr="008101DD">
        <w:rPr>
          <w:rFonts w:ascii="Times New Roman" w:hAnsi="Times New Roman"/>
          <w:szCs w:val="24"/>
        </w:rPr>
        <w:t>, 91(3), pp. 465.</w:t>
      </w:r>
    </w:p>
    <w:p w14:paraId="40C0288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Barresi, C.M. and Mennon, G., 1990. Diversity in Black family caregiving. In: Z. Harel, E.A. McKinney and M. Williams, eds.</w:t>
      </w:r>
      <w:r w:rsidRPr="002B3011">
        <w:rPr>
          <w:rFonts w:ascii="Times New Roman" w:hAnsi="Times New Roman"/>
          <w:i/>
          <w:iCs/>
          <w:szCs w:val="24"/>
        </w:rPr>
        <w:t xml:space="preserve"> Black aged.</w:t>
      </w:r>
      <w:r w:rsidRPr="002B3011">
        <w:rPr>
          <w:rFonts w:ascii="Times New Roman" w:hAnsi="Times New Roman"/>
          <w:iCs/>
          <w:szCs w:val="24"/>
        </w:rPr>
        <w:t xml:space="preserve"> Newbury Park, CA: Sage</w:t>
      </w:r>
    </w:p>
    <w:p w14:paraId="26DFDDEC" w14:textId="77777777" w:rsidR="00503349" w:rsidRDefault="00503349" w:rsidP="00503349">
      <w:pPr>
        <w:tabs>
          <w:tab w:val="left" w:pos="5445"/>
        </w:tabs>
        <w:jc w:val="both"/>
        <w:rPr>
          <w:rFonts w:ascii="Times New Roman" w:hAnsi="Times New Roman"/>
          <w:szCs w:val="24"/>
        </w:rPr>
      </w:pPr>
      <w:r w:rsidRPr="006E4A07">
        <w:rPr>
          <w:rFonts w:ascii="Times New Roman" w:hAnsi="Times New Roman"/>
          <w:szCs w:val="24"/>
        </w:rPr>
        <w:t>Bartfay, W.J., Bartfay, E., Clow, K.A. and Wu, T., 2010. Attitudes and perceptions towards men in nursing education. </w:t>
      </w:r>
      <w:r w:rsidRPr="006E4A07">
        <w:rPr>
          <w:rFonts w:ascii="Times New Roman" w:hAnsi="Times New Roman"/>
          <w:i/>
          <w:iCs/>
          <w:szCs w:val="24"/>
        </w:rPr>
        <w:t>Internet Journal of Allied Health Sciences and Practice</w:t>
      </w:r>
      <w:r w:rsidRPr="006E4A07">
        <w:rPr>
          <w:rFonts w:ascii="Times New Roman" w:hAnsi="Times New Roman"/>
          <w:szCs w:val="24"/>
        </w:rPr>
        <w:t>, 8(2), p.6.</w:t>
      </w:r>
      <w:r>
        <w:rPr>
          <w:rFonts w:ascii="Times New Roman" w:hAnsi="Times New Roman"/>
          <w:szCs w:val="24"/>
        </w:rPr>
        <w:t xml:space="preserve"> Available at: &lt;</w:t>
      </w:r>
      <w:r w:rsidRPr="006E4A07">
        <w:rPr>
          <w:rFonts w:ascii="Times New Roman" w:hAnsi="Times New Roman"/>
          <w:szCs w:val="24"/>
        </w:rPr>
        <w:t>https://nsuworks.nova.edu/ijahsp/vol8/iss2/6/</w:t>
      </w:r>
      <w:r>
        <w:rPr>
          <w:rFonts w:ascii="Times New Roman" w:hAnsi="Times New Roman"/>
          <w:szCs w:val="24"/>
        </w:rPr>
        <w:t>&gt;[Accessed 18 December 2019]</w:t>
      </w:r>
    </w:p>
    <w:p w14:paraId="75516B84" w14:textId="77777777" w:rsidR="00503349" w:rsidRDefault="00503349" w:rsidP="00503349">
      <w:pPr>
        <w:spacing w:before="240"/>
        <w:rPr>
          <w:rFonts w:ascii="Times New Roman" w:hAnsi="Times New Roman"/>
          <w:color w:val="FF0000"/>
          <w:szCs w:val="24"/>
        </w:rPr>
      </w:pPr>
      <w:r>
        <w:rPr>
          <w:rFonts w:ascii="Times New Roman" w:hAnsi="Times New Roman"/>
          <w:szCs w:val="24"/>
        </w:rPr>
        <w:t xml:space="preserve">Bartram, D., Poros, M.V. and Monforte, P., 2014. </w:t>
      </w:r>
      <w:r>
        <w:rPr>
          <w:rFonts w:ascii="Times New Roman" w:hAnsi="Times New Roman"/>
          <w:i/>
          <w:iCs/>
          <w:szCs w:val="24"/>
        </w:rPr>
        <w:t>Key concepts in migration</w:t>
      </w:r>
      <w:r>
        <w:rPr>
          <w:rFonts w:ascii="Times New Roman" w:hAnsi="Times New Roman"/>
          <w:szCs w:val="24"/>
        </w:rPr>
        <w:t>. London: Sage.</w:t>
      </w:r>
    </w:p>
    <w:p w14:paraId="4F969D6A"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lang w:val="en"/>
        </w:rPr>
        <w:t xml:space="preserve">Bassett‐Jones, N. and Lloyd, G.C., 2010. </w:t>
      </w:r>
      <w:r w:rsidRPr="00EF189A">
        <w:rPr>
          <w:rFonts w:ascii="Times New Roman" w:hAnsi="Times New Roman"/>
          <w:szCs w:val="24"/>
          <w:bdr w:val="none" w:sz="0" w:space="0" w:color="auto" w:frame="1"/>
        </w:rPr>
        <w:t xml:space="preserve">Does Herzberg's motivation theory have staying power. </w:t>
      </w:r>
      <w:r w:rsidRPr="00EF189A">
        <w:rPr>
          <w:rFonts w:ascii="Times New Roman" w:hAnsi="Times New Roman"/>
          <w:i/>
          <w:szCs w:val="24"/>
          <w:bdr w:val="none" w:sz="0" w:space="0" w:color="auto" w:frame="1"/>
        </w:rPr>
        <w:t>Journal of Management Development</w:t>
      </w:r>
      <w:r w:rsidRPr="00EF189A">
        <w:rPr>
          <w:rFonts w:ascii="Times New Roman" w:hAnsi="Times New Roman"/>
          <w:szCs w:val="24"/>
          <w:bdr w:val="none" w:sz="0" w:space="0" w:color="auto" w:frame="1"/>
        </w:rPr>
        <w:t>, 24(10), pp. 929-943.</w:t>
      </w:r>
    </w:p>
    <w:p w14:paraId="6021CC17" w14:textId="77777777" w:rsidR="00503349" w:rsidRPr="00060369" w:rsidRDefault="00503349" w:rsidP="00503349">
      <w:pPr>
        <w:spacing w:after="200"/>
        <w:jc w:val="both"/>
        <w:rPr>
          <w:rFonts w:ascii="Times New Roman" w:eastAsia="Calibri" w:hAnsi="Times New Roman"/>
          <w:szCs w:val="24"/>
          <w:lang w:eastAsia="en-US"/>
        </w:rPr>
      </w:pPr>
      <w:r w:rsidRPr="002C17CC">
        <w:rPr>
          <w:rFonts w:ascii="Times New Roman" w:hAnsi="Times New Roman"/>
          <w:bCs/>
          <w:szCs w:val="24"/>
        </w:rPr>
        <w:t>Batchelor-Murphy, M.K., Steinberg, F.M. and Young, H.M., 2019. Dietary and feeding modifications for older adults.</w:t>
      </w:r>
      <w:r>
        <w:rPr>
          <w:rFonts w:ascii="Times New Roman" w:hAnsi="Times New Roman"/>
          <w:bCs/>
          <w:szCs w:val="24"/>
        </w:rPr>
        <w:t xml:space="preserve"> </w:t>
      </w:r>
      <w:r w:rsidRPr="002C17CC">
        <w:rPr>
          <w:rFonts w:ascii="Times New Roman" w:hAnsi="Times New Roman"/>
          <w:bCs/>
          <w:i/>
          <w:iCs/>
          <w:szCs w:val="24"/>
        </w:rPr>
        <w:t>American Journal of Nursing</w:t>
      </w:r>
      <w:r w:rsidRPr="002C17CC">
        <w:rPr>
          <w:rFonts w:ascii="Times New Roman" w:hAnsi="Times New Roman"/>
          <w:bCs/>
          <w:szCs w:val="24"/>
        </w:rPr>
        <w:t>, 119(12), pp. 49-57.</w:t>
      </w:r>
    </w:p>
    <w:p w14:paraId="0B9F6D5E"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Batson, C. D. 1991. </w:t>
      </w:r>
      <w:r w:rsidRPr="00EF189A">
        <w:rPr>
          <w:rFonts w:ascii="Times New Roman" w:hAnsi="Times New Roman"/>
          <w:i/>
          <w:szCs w:val="24"/>
          <w:bdr w:val="none" w:sz="0" w:space="0" w:color="auto" w:frame="1"/>
        </w:rPr>
        <w:t>The altruism question: Toward a social-psychological answer</w:t>
      </w:r>
      <w:r w:rsidRPr="00EF189A">
        <w:rPr>
          <w:rFonts w:ascii="Times New Roman" w:hAnsi="Times New Roman"/>
          <w:szCs w:val="24"/>
          <w:bdr w:val="none" w:sz="0" w:space="0" w:color="auto" w:frame="1"/>
        </w:rPr>
        <w:t xml:space="preserve">. Hillsdale, NJ: Lawrence Erlbaum. </w:t>
      </w:r>
    </w:p>
    <w:p w14:paraId="7E336EE9"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Batson, C.D. and Powell, A.A., 2003. Altruism and prosocial behavior. In I.B. Weiner, T. Millon &amp; M. J. Lerner, eds. 2003. </w:t>
      </w:r>
      <w:r w:rsidRPr="00EF189A">
        <w:rPr>
          <w:rFonts w:ascii="Times New Roman" w:hAnsi="Times New Roman"/>
          <w:i/>
          <w:szCs w:val="24"/>
          <w:bdr w:val="none" w:sz="0" w:space="0" w:color="auto" w:frame="1"/>
        </w:rPr>
        <w:t>Handbook of Psychology</w:t>
      </w:r>
      <w:r w:rsidRPr="00EF189A">
        <w:rPr>
          <w:rFonts w:ascii="Times New Roman" w:hAnsi="Times New Roman"/>
          <w:szCs w:val="24"/>
          <w:bdr w:val="none" w:sz="0" w:space="0" w:color="auto" w:frame="1"/>
        </w:rPr>
        <w:t>. Hoboken, New Jersey: John Wiley &amp; Sons, pp. 464-484.</w:t>
      </w:r>
    </w:p>
    <w:p w14:paraId="1632D097" w14:textId="77777777" w:rsidR="00503349" w:rsidRPr="00EF189A" w:rsidRDefault="00503349" w:rsidP="00503349">
      <w:pPr>
        <w:jc w:val="both"/>
        <w:rPr>
          <w:rFonts w:ascii="Times New Roman" w:hAnsi="Times New Roman"/>
          <w:iCs/>
          <w:szCs w:val="24"/>
          <w:bdr w:val="none" w:sz="0" w:space="0" w:color="auto" w:frame="1"/>
        </w:rPr>
      </w:pPr>
      <w:r w:rsidRPr="00EF189A">
        <w:rPr>
          <w:rFonts w:ascii="Times New Roman" w:hAnsi="Times New Roman"/>
          <w:iCs/>
          <w:szCs w:val="24"/>
          <w:bdr w:val="none" w:sz="0" w:space="0" w:color="auto" w:frame="1"/>
        </w:rPr>
        <w:t xml:space="preserve">Batson, C.D., 1990. How social is an animal? The human capacity of caring. </w:t>
      </w:r>
      <w:r w:rsidRPr="00EF189A">
        <w:rPr>
          <w:rFonts w:ascii="Times New Roman" w:hAnsi="Times New Roman"/>
          <w:i/>
          <w:iCs/>
          <w:szCs w:val="24"/>
          <w:bdr w:val="none" w:sz="0" w:space="0" w:color="auto" w:frame="1"/>
        </w:rPr>
        <w:t>American Psychology</w:t>
      </w:r>
      <w:r w:rsidRPr="00EF189A">
        <w:rPr>
          <w:rFonts w:ascii="Times New Roman" w:hAnsi="Times New Roman"/>
          <w:iCs/>
          <w:szCs w:val="24"/>
          <w:bdr w:val="none" w:sz="0" w:space="0" w:color="auto" w:frame="1"/>
        </w:rPr>
        <w:t>, 45, pp. 336-346.</w:t>
      </w:r>
    </w:p>
    <w:p w14:paraId="3678F2B8" w14:textId="77777777" w:rsidR="00503349" w:rsidRDefault="00503349" w:rsidP="00503349">
      <w:pPr>
        <w:spacing w:before="240"/>
        <w:rPr>
          <w:rFonts w:ascii="Times New Roman" w:hAnsi="Times New Roman"/>
        </w:rPr>
      </w:pPr>
      <w:r>
        <w:rPr>
          <w:rFonts w:ascii="Times New Roman" w:hAnsi="Times New Roman"/>
        </w:rPr>
        <w:t xml:space="preserve">Battu, H. and Sloane, P.J., 2004. Over‐education and ethnic minorities in Britain. </w:t>
      </w:r>
      <w:r>
        <w:rPr>
          <w:rFonts w:ascii="Times New Roman" w:hAnsi="Times New Roman"/>
          <w:i/>
        </w:rPr>
        <w:t>The Manchester School</w:t>
      </w:r>
      <w:r>
        <w:rPr>
          <w:rFonts w:ascii="Times New Roman" w:hAnsi="Times New Roman"/>
        </w:rPr>
        <w:t>, 72(4), pp. 535-559.</w:t>
      </w:r>
    </w:p>
    <w:p w14:paraId="590449B8" w14:textId="77777777" w:rsidR="00503349" w:rsidRDefault="00503349" w:rsidP="00503349">
      <w:pPr>
        <w:spacing w:before="240"/>
        <w:jc w:val="both"/>
        <w:rPr>
          <w:rFonts w:ascii="Times New Roman" w:hAnsi="Times New Roman"/>
          <w:bCs/>
          <w:szCs w:val="24"/>
        </w:rPr>
      </w:pPr>
      <w:r>
        <w:rPr>
          <w:rFonts w:ascii="Times New Roman" w:hAnsi="Times New Roman"/>
          <w:bCs/>
          <w:szCs w:val="24"/>
        </w:rPr>
        <w:t>Bauer, T.K. and Zimmermann, K.F., 1999. </w:t>
      </w:r>
      <w:r>
        <w:rPr>
          <w:rFonts w:ascii="Times New Roman" w:hAnsi="Times New Roman"/>
          <w:bCs/>
          <w:i/>
          <w:iCs/>
          <w:szCs w:val="24"/>
        </w:rPr>
        <w:t>Occupational Mobility of Ethnic Migrants</w:t>
      </w:r>
      <w:r>
        <w:rPr>
          <w:rFonts w:ascii="Times New Roman" w:hAnsi="Times New Roman"/>
          <w:bCs/>
          <w:szCs w:val="24"/>
        </w:rPr>
        <w:t xml:space="preserve">. IZA Discussion Papers, No. 58. Bonn: Institute for the Study of Labor (IZA).  </w:t>
      </w:r>
    </w:p>
    <w:p w14:paraId="148CFF9F"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Becker, C.S., 1992. </w:t>
      </w:r>
      <w:r w:rsidRPr="008101DD">
        <w:rPr>
          <w:rFonts w:ascii="Times New Roman" w:hAnsi="Times New Roman"/>
          <w:i/>
          <w:szCs w:val="24"/>
        </w:rPr>
        <w:t>Living and relating: an introduction to phenomenology</w:t>
      </w:r>
      <w:r w:rsidRPr="008101DD">
        <w:rPr>
          <w:rFonts w:ascii="Times New Roman" w:hAnsi="Times New Roman"/>
          <w:szCs w:val="24"/>
        </w:rPr>
        <w:t>. Newbury Park, CA: Sage.</w:t>
      </w:r>
    </w:p>
    <w:p w14:paraId="00374032"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Beech, I., 1999. Bracketing in phenomenological research. </w:t>
      </w:r>
      <w:r w:rsidRPr="008101DD">
        <w:rPr>
          <w:rFonts w:ascii="Times New Roman" w:hAnsi="Times New Roman"/>
          <w:i/>
          <w:szCs w:val="24"/>
        </w:rPr>
        <w:t>Nurse Researcher</w:t>
      </w:r>
      <w:r w:rsidRPr="008101DD">
        <w:rPr>
          <w:rFonts w:ascii="Times New Roman" w:hAnsi="Times New Roman"/>
          <w:szCs w:val="24"/>
        </w:rPr>
        <w:t>, 6(3), pp. 33-51.</w:t>
      </w:r>
    </w:p>
    <w:p w14:paraId="62A671F0" w14:textId="77777777" w:rsidR="00503349" w:rsidRDefault="00503349" w:rsidP="00503349">
      <w:pPr>
        <w:spacing w:after="200"/>
        <w:rPr>
          <w:rFonts w:ascii="Times New Roman" w:eastAsia="Calibri" w:hAnsi="Times New Roman"/>
          <w:szCs w:val="24"/>
          <w:lang w:eastAsia="en-US"/>
        </w:rPr>
      </w:pPr>
      <w:r w:rsidRPr="00794F1F">
        <w:rPr>
          <w:rFonts w:ascii="Times New Roman" w:eastAsia="Calibri" w:hAnsi="Times New Roman"/>
          <w:szCs w:val="24"/>
          <w:lang w:eastAsia="en-US"/>
        </w:rPr>
        <w:t>Beerens, H.C., de Boer, B., Zwakhalen, S.M., Tan, F.E., Ruwaard, D., Hamers, J.P. and Verbeek, H., 2016. The association between aspects of daily life and quality of life of people with dementia living in long-term care facilities: a momentary assessment study. </w:t>
      </w:r>
      <w:r w:rsidRPr="00794F1F">
        <w:rPr>
          <w:rFonts w:ascii="Times New Roman" w:eastAsia="Calibri" w:hAnsi="Times New Roman"/>
          <w:i/>
          <w:iCs/>
          <w:szCs w:val="24"/>
          <w:lang w:eastAsia="en-US"/>
        </w:rPr>
        <w:t>International Psychogeriatrics</w:t>
      </w:r>
      <w:r w:rsidRPr="00794F1F">
        <w:rPr>
          <w:rFonts w:ascii="Times New Roman" w:eastAsia="Calibri" w:hAnsi="Times New Roman"/>
          <w:szCs w:val="24"/>
          <w:lang w:eastAsia="en-US"/>
        </w:rPr>
        <w:t>, 28(8), pp.</w:t>
      </w:r>
      <w:r>
        <w:rPr>
          <w:rFonts w:ascii="Times New Roman" w:eastAsia="Calibri" w:hAnsi="Times New Roman"/>
          <w:szCs w:val="24"/>
          <w:lang w:eastAsia="en-US"/>
        </w:rPr>
        <w:t xml:space="preserve"> </w:t>
      </w:r>
      <w:r w:rsidRPr="00794F1F">
        <w:rPr>
          <w:rFonts w:ascii="Times New Roman" w:eastAsia="Calibri" w:hAnsi="Times New Roman"/>
          <w:szCs w:val="24"/>
          <w:lang w:eastAsia="en-US"/>
        </w:rPr>
        <w:t>1323-1331.</w:t>
      </w:r>
    </w:p>
    <w:p w14:paraId="266DF1B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Begum, S. and Seppänen, M., 2017. Islamic values in elderly care in Finland: The perspective of Muslim women caregivers. </w:t>
      </w:r>
      <w:r w:rsidRPr="002B3011">
        <w:rPr>
          <w:rFonts w:ascii="Times New Roman" w:hAnsi="Times New Roman"/>
          <w:i/>
          <w:iCs/>
          <w:color w:val="000000"/>
          <w:szCs w:val="24"/>
        </w:rPr>
        <w:t>Journal of International Women's Studies</w:t>
      </w:r>
      <w:r w:rsidRPr="002B3011">
        <w:rPr>
          <w:rFonts w:ascii="Times New Roman" w:hAnsi="Times New Roman"/>
          <w:color w:val="000000"/>
          <w:szCs w:val="24"/>
        </w:rPr>
        <w:t>, 18(2), pp. 59-73.</w:t>
      </w:r>
    </w:p>
    <w:p w14:paraId="62DF9096"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Bell, C., Araki, S. and Neumann, P., 2001. The association between caregiver burden and caregiver health-related quality of life in Alzheimer’s disease. </w:t>
      </w:r>
      <w:r w:rsidRPr="00AB40E2">
        <w:rPr>
          <w:rFonts w:ascii="Times New Roman" w:hAnsi="Times New Roman"/>
          <w:i/>
          <w:szCs w:val="24"/>
        </w:rPr>
        <w:t>Alzheimer’s Disease and Associated Disorders</w:t>
      </w:r>
      <w:r w:rsidRPr="00AB40E2">
        <w:rPr>
          <w:rFonts w:ascii="Times New Roman" w:hAnsi="Times New Roman"/>
          <w:szCs w:val="24"/>
        </w:rPr>
        <w:t>, 15(3), pp. 129-136.</w:t>
      </w:r>
    </w:p>
    <w:p w14:paraId="35BABBC9"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Bello, A.O., Baiyewu, O., Aina, F.O. and Adeosun, I.I., 2017. Behavioral and psychological symptoms of dementia in nigerian hospital patients: prevalence, correlates and caregiver burden. </w:t>
      </w:r>
      <w:r w:rsidRPr="00DA2952">
        <w:rPr>
          <w:rFonts w:ascii="Times New Roman" w:hAnsi="Times New Roman"/>
          <w:i/>
          <w:iCs/>
          <w:szCs w:val="24"/>
        </w:rPr>
        <w:t>International Neuropsychiatric Disease Journal</w:t>
      </w:r>
      <w:r w:rsidRPr="00DA2952">
        <w:rPr>
          <w:rFonts w:ascii="Times New Roman" w:hAnsi="Times New Roman"/>
          <w:szCs w:val="24"/>
        </w:rPr>
        <w:t>, 10(3), pp. 1-11.</w:t>
      </w:r>
    </w:p>
    <w:p w14:paraId="57C2DA12"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Benbow, S. and Jolley, D., 2012. Dementia: stigma and its effects. </w:t>
      </w:r>
      <w:r w:rsidRPr="00DA2952">
        <w:rPr>
          <w:rFonts w:ascii="Times New Roman" w:hAnsi="Times New Roman"/>
          <w:i/>
          <w:iCs/>
          <w:szCs w:val="24"/>
        </w:rPr>
        <w:t>Neurodegenerative Disease Management</w:t>
      </w:r>
      <w:r w:rsidRPr="00DA2952">
        <w:rPr>
          <w:rFonts w:ascii="Times New Roman" w:hAnsi="Times New Roman"/>
          <w:szCs w:val="24"/>
        </w:rPr>
        <w:t>, 2, pp. 165-172.</w:t>
      </w:r>
    </w:p>
    <w:p w14:paraId="6934CC63"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Benson, S.G. and Dundis, S.P., 2003. Understanding and motivating health care employees: integrating Maslow's hierarchy of needs, training and technology. </w:t>
      </w:r>
      <w:r w:rsidRPr="00EF189A">
        <w:rPr>
          <w:rFonts w:ascii="Times New Roman" w:hAnsi="Times New Roman"/>
          <w:i/>
          <w:szCs w:val="24"/>
          <w:bdr w:val="none" w:sz="0" w:space="0" w:color="auto" w:frame="1"/>
        </w:rPr>
        <w:t>Journal of Nursing Management</w:t>
      </w:r>
      <w:r w:rsidRPr="00EF189A">
        <w:rPr>
          <w:rFonts w:ascii="Times New Roman" w:hAnsi="Times New Roman"/>
          <w:szCs w:val="24"/>
          <w:bdr w:val="none" w:sz="0" w:space="0" w:color="auto" w:frame="1"/>
        </w:rPr>
        <w:t>, 11(5), pp. 315-320.</w:t>
      </w:r>
    </w:p>
    <w:p w14:paraId="2991E8BA" w14:textId="77777777" w:rsidR="00503349" w:rsidRPr="000A56C6" w:rsidRDefault="00503349" w:rsidP="00503349">
      <w:pPr>
        <w:rPr>
          <w:rFonts w:ascii="Times New Roman" w:hAnsi="Times New Roman"/>
          <w:szCs w:val="24"/>
        </w:rPr>
      </w:pPr>
      <w:r w:rsidRPr="000A56C6">
        <w:rPr>
          <w:rFonts w:ascii="Times New Roman" w:hAnsi="Times New Roman"/>
          <w:szCs w:val="24"/>
        </w:rPr>
        <w:t>Benzeval, M., Burton, J., Crossley, T., Fisher, P., Jäckle, A., Low, H. and Read, B., 2020. ‘Understanding Society COVID-19 Survey, April Briefing Note: the economic effects’. Institute for Social and Economic Research (ISER), University of Essex. Working Paper No. 10/2020. Available at: &lt;https://www.understandingsociety.ac.uk/research/publications/526134&gt;[Accessed 25 September 2020].</w:t>
      </w:r>
    </w:p>
    <w:p w14:paraId="5D99FD96"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Berg, P. and Frost, A.C., 2005. Dignity at work for low wage, low skill service workers. </w:t>
      </w:r>
      <w:r w:rsidRPr="000A56C6">
        <w:rPr>
          <w:rFonts w:ascii="Times New Roman" w:hAnsi="Times New Roman"/>
          <w:i/>
          <w:szCs w:val="24"/>
        </w:rPr>
        <w:t>Industrial Relations</w:t>
      </w:r>
      <w:r w:rsidRPr="000A56C6">
        <w:rPr>
          <w:rFonts w:ascii="Times New Roman" w:hAnsi="Times New Roman"/>
          <w:szCs w:val="24"/>
        </w:rPr>
        <w:t>, 60(4), pp. 657-682.</w:t>
      </w:r>
    </w:p>
    <w:p w14:paraId="77A25169"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Bergsma, J.S. and Hahn, S.W., 2005. Noah's nakedness and the curse on Canaan (Genesis 9:20-27). </w:t>
      </w:r>
      <w:r w:rsidRPr="00DA2952">
        <w:rPr>
          <w:rFonts w:ascii="Times New Roman" w:hAnsi="Times New Roman"/>
          <w:i/>
          <w:szCs w:val="24"/>
        </w:rPr>
        <w:t>Journal of Biblical Literature</w:t>
      </w:r>
      <w:r w:rsidRPr="00DA2952">
        <w:rPr>
          <w:rFonts w:ascii="Times New Roman" w:hAnsi="Times New Roman"/>
          <w:szCs w:val="24"/>
        </w:rPr>
        <w:t>, 124, pp. 25-40.</w:t>
      </w:r>
    </w:p>
    <w:p w14:paraId="291A14E5" w14:textId="77777777" w:rsidR="00503349" w:rsidRDefault="00503349" w:rsidP="00503349">
      <w:pPr>
        <w:rPr>
          <w:rFonts w:ascii="Times New Roman" w:hAnsi="Times New Roman"/>
          <w:szCs w:val="24"/>
        </w:rPr>
      </w:pPr>
      <w:r w:rsidRPr="00D527D8">
        <w:rPr>
          <w:rFonts w:ascii="Times New Roman" w:hAnsi="Times New Roman"/>
          <w:szCs w:val="24"/>
        </w:rPr>
        <w:t xml:space="preserve">Bernard, L. and Guarnaccia, C.A., 2003. Two models of caregiving strain and bereavement adjustment: a comparison of husband and daughter caregivers of breast cancers hospice patients. </w:t>
      </w:r>
      <w:r w:rsidRPr="00D527D8">
        <w:rPr>
          <w:rFonts w:ascii="Times New Roman" w:hAnsi="Times New Roman"/>
          <w:i/>
          <w:szCs w:val="24"/>
        </w:rPr>
        <w:t>Gerontologist</w:t>
      </w:r>
      <w:r w:rsidRPr="00D527D8">
        <w:rPr>
          <w:rFonts w:ascii="Times New Roman" w:hAnsi="Times New Roman"/>
          <w:szCs w:val="24"/>
        </w:rPr>
        <w:t>, 43, pp. 808-816.</w:t>
      </w:r>
    </w:p>
    <w:p w14:paraId="68A05075" w14:textId="77777777" w:rsidR="00503349" w:rsidRPr="003B0C90" w:rsidRDefault="00503349" w:rsidP="00503349">
      <w:pPr>
        <w:spacing w:before="240"/>
        <w:jc w:val="both"/>
        <w:rPr>
          <w:rFonts w:ascii="Times New Roman" w:hAnsi="Times New Roman"/>
          <w:szCs w:val="24"/>
        </w:rPr>
      </w:pPr>
      <w:r w:rsidRPr="002C17CC">
        <w:rPr>
          <w:rFonts w:ascii="Times New Roman" w:hAnsi="Times New Roman"/>
          <w:bCs/>
          <w:szCs w:val="24"/>
        </w:rPr>
        <w:t xml:space="preserve">Bernstein, M., 2017. Nutritional needs of the older adult. </w:t>
      </w:r>
      <w:r w:rsidRPr="0083771A">
        <w:rPr>
          <w:rFonts w:ascii="Times New Roman" w:hAnsi="Times New Roman"/>
          <w:i/>
          <w:szCs w:val="24"/>
        </w:rPr>
        <w:t>Physical Medicine and Rehabilitation Clinics of North America</w:t>
      </w:r>
      <w:r w:rsidRPr="002C17CC">
        <w:rPr>
          <w:rFonts w:ascii="Times New Roman" w:hAnsi="Times New Roman"/>
          <w:bCs/>
          <w:szCs w:val="24"/>
        </w:rPr>
        <w:t>, 28(4), pp. 747-766.</w:t>
      </w:r>
    </w:p>
    <w:p w14:paraId="693B8C57" w14:textId="77777777" w:rsidR="00503349" w:rsidRDefault="00503349" w:rsidP="00503349">
      <w:pPr>
        <w:jc w:val="both"/>
        <w:rPr>
          <w:rFonts w:ascii="Times New Roman" w:hAnsi="Times New Roman"/>
          <w:szCs w:val="24"/>
        </w:rPr>
      </w:pPr>
      <w:r w:rsidRPr="00CF1AE8">
        <w:rPr>
          <w:rFonts w:ascii="Times New Roman" w:hAnsi="Times New Roman"/>
          <w:szCs w:val="24"/>
        </w:rPr>
        <w:t>Bevans, M.F. and Sternberg, E.M., 2012. Caregiving burden, stress, and health effects among family caregivers of adult cancer patients. </w:t>
      </w:r>
      <w:r w:rsidRPr="0018380B">
        <w:rPr>
          <w:rFonts w:ascii="Times New Roman" w:hAnsi="Times New Roman"/>
          <w:i/>
          <w:iCs/>
          <w:szCs w:val="24"/>
        </w:rPr>
        <w:t>The Journal of the American Medical Association</w:t>
      </w:r>
      <w:r w:rsidRPr="00CF1AE8">
        <w:rPr>
          <w:rFonts w:ascii="Times New Roman" w:hAnsi="Times New Roman"/>
          <w:szCs w:val="24"/>
        </w:rPr>
        <w:t>, </w:t>
      </w:r>
      <w:r w:rsidRPr="005E450B">
        <w:rPr>
          <w:rFonts w:ascii="Times New Roman" w:hAnsi="Times New Roman"/>
          <w:szCs w:val="24"/>
        </w:rPr>
        <w:t>307</w:t>
      </w:r>
      <w:r w:rsidRPr="00CF1AE8">
        <w:rPr>
          <w:rFonts w:ascii="Times New Roman" w:hAnsi="Times New Roman"/>
          <w:szCs w:val="24"/>
        </w:rPr>
        <w:t>(4), pp. 398-403.</w:t>
      </w:r>
    </w:p>
    <w:p w14:paraId="2C83DEC4" w14:textId="77777777" w:rsidR="00503349" w:rsidRPr="000A56C6" w:rsidRDefault="00503349" w:rsidP="00503349">
      <w:pPr>
        <w:jc w:val="both"/>
        <w:rPr>
          <w:rFonts w:ascii="Times" w:hAnsi="Times" w:cs="Times"/>
          <w:szCs w:val="24"/>
        </w:rPr>
      </w:pPr>
      <w:r w:rsidRPr="000A56C6">
        <w:rPr>
          <w:rFonts w:ascii="Times New Roman" w:hAnsi="Times New Roman"/>
          <w:szCs w:val="24"/>
        </w:rPr>
        <w:t>Bhugra, D. and Becker, M.A., 2005. Migration, cultural bereavement and cultural identity. </w:t>
      </w:r>
      <w:r w:rsidRPr="000A56C6">
        <w:rPr>
          <w:rFonts w:ascii="Times New Roman" w:hAnsi="Times New Roman"/>
          <w:i/>
          <w:iCs/>
          <w:szCs w:val="24"/>
        </w:rPr>
        <w:t>World Psychiatry</w:t>
      </w:r>
      <w:r w:rsidRPr="000A56C6">
        <w:rPr>
          <w:rFonts w:ascii="Times New Roman" w:hAnsi="Times New Roman"/>
          <w:szCs w:val="24"/>
        </w:rPr>
        <w:t>, </w:t>
      </w:r>
      <w:r w:rsidRPr="000A56C6">
        <w:rPr>
          <w:rFonts w:ascii="Times New Roman" w:hAnsi="Times New Roman"/>
          <w:iCs/>
          <w:szCs w:val="24"/>
        </w:rPr>
        <w:t>4</w:t>
      </w:r>
      <w:r w:rsidRPr="000A56C6">
        <w:rPr>
          <w:rFonts w:ascii="Times New Roman" w:hAnsi="Times New Roman"/>
          <w:szCs w:val="24"/>
        </w:rPr>
        <w:t>, pp. 18-24.</w:t>
      </w:r>
    </w:p>
    <w:p w14:paraId="5A05D407" w14:textId="77777777" w:rsidR="00503349" w:rsidRPr="008101DD" w:rsidRDefault="00503349" w:rsidP="00503349">
      <w:pPr>
        <w:spacing w:before="100" w:beforeAutospacing="1" w:after="100" w:afterAutospacing="1"/>
        <w:jc w:val="both"/>
        <w:rPr>
          <w:rFonts w:ascii="Times New Roman" w:hAnsi="Times New Roman"/>
          <w:szCs w:val="24"/>
        </w:rPr>
      </w:pPr>
      <w:r w:rsidRPr="008101DD">
        <w:rPr>
          <w:rFonts w:ascii="Times New Roman" w:hAnsi="Times New Roman"/>
          <w:szCs w:val="24"/>
        </w:rPr>
        <w:lastRenderedPageBreak/>
        <w:t>Biddle, C. and Schafft, K.A., 2015. Axiology and anomaly in the practice of mixed methods</w:t>
      </w:r>
      <w:r>
        <w:rPr>
          <w:rFonts w:ascii="Times New Roman" w:hAnsi="Times New Roman"/>
          <w:szCs w:val="24"/>
        </w:rPr>
        <w:t xml:space="preserve"> </w:t>
      </w:r>
      <w:r w:rsidRPr="008101DD">
        <w:rPr>
          <w:rFonts w:ascii="Times New Roman" w:hAnsi="Times New Roman"/>
          <w:szCs w:val="24"/>
        </w:rPr>
        <w:t xml:space="preserve">work: pragmatism, valuation, and the transformative paradigm. </w:t>
      </w:r>
      <w:r w:rsidRPr="008101DD">
        <w:rPr>
          <w:rFonts w:ascii="Times New Roman" w:hAnsi="Times New Roman"/>
          <w:i/>
          <w:iCs/>
          <w:szCs w:val="24"/>
        </w:rPr>
        <w:t>Journal of Mixed Methods Research,</w:t>
      </w:r>
      <w:r w:rsidRPr="008101DD">
        <w:rPr>
          <w:rFonts w:ascii="Times New Roman" w:hAnsi="Times New Roman"/>
          <w:szCs w:val="24"/>
        </w:rPr>
        <w:t xml:space="preserve"> </w:t>
      </w:r>
      <w:r w:rsidRPr="008101DD">
        <w:rPr>
          <w:rFonts w:ascii="Times New Roman" w:hAnsi="Times New Roman"/>
          <w:iCs/>
          <w:szCs w:val="24"/>
        </w:rPr>
        <w:t>9</w:t>
      </w:r>
      <w:r w:rsidRPr="008101DD">
        <w:rPr>
          <w:rFonts w:ascii="Times New Roman" w:hAnsi="Times New Roman"/>
          <w:szCs w:val="24"/>
        </w:rPr>
        <w:t>(4), pp. 320-334.</w:t>
      </w:r>
    </w:p>
    <w:p w14:paraId="2CA3EDAE"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Bień, B., McKee, K.J., Döhner, H., Triantafillou, J., Lamura, G., Doroszkiewicz, H., Krevers, B. and Kofahl, C., 2013. Disabled older people’s use of health and social care services and their unmet care needs in six European countries. </w:t>
      </w:r>
      <w:r>
        <w:rPr>
          <w:rFonts w:ascii="Times New Roman" w:hAnsi="Times New Roman"/>
          <w:i/>
          <w:szCs w:val="24"/>
        </w:rPr>
        <w:t>European Journal of Public Health</w:t>
      </w:r>
      <w:r>
        <w:rPr>
          <w:rFonts w:ascii="Times New Roman" w:hAnsi="Times New Roman"/>
          <w:szCs w:val="24"/>
        </w:rPr>
        <w:t>, 23(6), pp. 1032-1038.</w:t>
      </w:r>
    </w:p>
    <w:p w14:paraId="27E1FD96"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Bischkopf J, Busse A, Angermeyer, M.C., 2002. Mild cognitive impairment: a review of prevalence, incidence and outcome according to current approaches. </w:t>
      </w:r>
      <w:r w:rsidRPr="002B3011">
        <w:rPr>
          <w:rFonts w:ascii="Times New Roman" w:hAnsi="Times New Roman"/>
          <w:i/>
          <w:szCs w:val="24"/>
        </w:rPr>
        <w:t>Acta Psychiatrrica Scandinavica</w:t>
      </w:r>
      <w:r w:rsidRPr="002B3011">
        <w:rPr>
          <w:rFonts w:ascii="Times New Roman" w:hAnsi="Times New Roman"/>
          <w:szCs w:val="24"/>
        </w:rPr>
        <w:t>, 106, pp. 403-414.</w:t>
      </w:r>
    </w:p>
    <w:p w14:paraId="23CA2103" w14:textId="77777777" w:rsidR="00503349" w:rsidRPr="002B3011" w:rsidRDefault="00503349" w:rsidP="00503349">
      <w:pPr>
        <w:textAlignment w:val="baseline"/>
        <w:rPr>
          <w:rFonts w:ascii="Times New Roman" w:hAnsi="Times New Roman"/>
          <w:color w:val="000000"/>
          <w:szCs w:val="24"/>
        </w:rPr>
      </w:pPr>
    </w:p>
    <w:p w14:paraId="1C612870"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Blacher, J., Neece, C.L. and Paczkowski, E., 2005. Families and intellectual disability. </w:t>
      </w:r>
      <w:r w:rsidRPr="000A56C6">
        <w:rPr>
          <w:rFonts w:ascii="Times New Roman" w:hAnsi="Times New Roman"/>
          <w:i/>
          <w:szCs w:val="24"/>
        </w:rPr>
        <w:t>Current Opinion in Psychiatry</w:t>
      </w:r>
      <w:r w:rsidRPr="000A56C6">
        <w:rPr>
          <w:rFonts w:ascii="Times New Roman" w:hAnsi="Times New Roman"/>
          <w:szCs w:val="24"/>
        </w:rPr>
        <w:t>, 18(5), pp. 507-513.</w:t>
      </w:r>
    </w:p>
    <w:p w14:paraId="56591AF1"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Black, I., 2006. </w:t>
      </w:r>
      <w:r w:rsidRPr="008101DD">
        <w:rPr>
          <w:rFonts w:ascii="Times New Roman" w:hAnsi="Times New Roman"/>
          <w:iCs/>
          <w:szCs w:val="24"/>
        </w:rPr>
        <w:t>The presentation of interpretivist research</w:t>
      </w:r>
      <w:r w:rsidRPr="008101DD">
        <w:rPr>
          <w:rFonts w:ascii="Times New Roman" w:hAnsi="Times New Roman"/>
          <w:szCs w:val="24"/>
        </w:rPr>
        <w:t xml:space="preserve">. </w:t>
      </w:r>
      <w:r w:rsidRPr="008101DD">
        <w:rPr>
          <w:rFonts w:ascii="Times New Roman" w:hAnsi="Times New Roman"/>
          <w:i/>
          <w:iCs/>
          <w:szCs w:val="24"/>
        </w:rPr>
        <w:t>Qualitative Market Research: An International Journal</w:t>
      </w:r>
      <w:r w:rsidRPr="008101DD">
        <w:rPr>
          <w:rFonts w:ascii="Times New Roman" w:hAnsi="Times New Roman"/>
          <w:szCs w:val="24"/>
        </w:rPr>
        <w:t>, 9(4), pp. 319‐324.</w:t>
      </w:r>
    </w:p>
    <w:p w14:paraId="336B699E" w14:textId="77777777" w:rsidR="00503349" w:rsidRDefault="00503349" w:rsidP="00503349">
      <w:pPr>
        <w:rPr>
          <w:rFonts w:ascii="Times New Roman" w:hAnsi="Times New Roman"/>
          <w:szCs w:val="24"/>
        </w:rPr>
      </w:pPr>
      <w:r w:rsidRPr="00FB6E91">
        <w:rPr>
          <w:rFonts w:ascii="Times New Roman" w:hAnsi="Times New Roman"/>
          <w:szCs w:val="24"/>
        </w:rPr>
        <w:t>Blank, R.H.</w:t>
      </w:r>
      <w:r>
        <w:rPr>
          <w:rFonts w:ascii="Times New Roman" w:hAnsi="Times New Roman"/>
          <w:szCs w:val="24"/>
        </w:rPr>
        <w:t xml:space="preserve">, </w:t>
      </w:r>
      <w:r w:rsidRPr="00FB6E91">
        <w:rPr>
          <w:rFonts w:ascii="Times New Roman" w:hAnsi="Times New Roman"/>
          <w:szCs w:val="24"/>
        </w:rPr>
        <w:t xml:space="preserve">2019. </w:t>
      </w:r>
      <w:r w:rsidRPr="00B74555">
        <w:rPr>
          <w:rFonts w:ascii="Times New Roman" w:hAnsi="Times New Roman"/>
          <w:i/>
          <w:iCs/>
          <w:szCs w:val="24"/>
        </w:rPr>
        <w:t>Social &amp; Public Policy of Alzheimer’s Disease in the United States</w:t>
      </w:r>
      <w:r w:rsidRPr="00FB6E91">
        <w:rPr>
          <w:rFonts w:ascii="Times New Roman" w:hAnsi="Times New Roman"/>
          <w:szCs w:val="24"/>
        </w:rPr>
        <w:t>. Singapore: Springer.</w:t>
      </w:r>
    </w:p>
    <w:p w14:paraId="3ABF929D"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lang w:val="en-US"/>
        </w:rPr>
        <w:t xml:space="preserve">Blau, P. 1964. </w:t>
      </w:r>
      <w:r w:rsidRPr="00EF189A">
        <w:rPr>
          <w:rFonts w:ascii="Times New Roman" w:hAnsi="Times New Roman"/>
          <w:i/>
          <w:szCs w:val="24"/>
          <w:bdr w:val="none" w:sz="0" w:space="0" w:color="auto" w:frame="1"/>
          <w:lang w:val="en-US"/>
        </w:rPr>
        <w:t>Exchange and power in social life</w:t>
      </w:r>
      <w:r w:rsidRPr="00EF189A">
        <w:rPr>
          <w:rFonts w:ascii="Times New Roman" w:hAnsi="Times New Roman"/>
          <w:szCs w:val="24"/>
          <w:bdr w:val="none" w:sz="0" w:space="0" w:color="auto" w:frame="1"/>
          <w:lang w:val="en-US"/>
        </w:rPr>
        <w:t>. New York: Wiley.</w:t>
      </w:r>
    </w:p>
    <w:p w14:paraId="62685E0F"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Boerner, K., Schulz, R. and Horowitz, A., 2004. </w:t>
      </w:r>
      <w:r w:rsidRPr="00AB40E2">
        <w:rPr>
          <w:rFonts w:ascii="Times New Roman" w:hAnsi="Times New Roman"/>
          <w:noProof/>
          <w:szCs w:val="24"/>
        </w:rPr>
        <w:t xml:space="preserve">Positive aspects of caregiving and adaptation to bereavement. </w:t>
      </w:r>
      <w:r w:rsidRPr="00AB40E2">
        <w:rPr>
          <w:rFonts w:ascii="Times New Roman" w:hAnsi="Times New Roman"/>
          <w:i/>
          <w:noProof/>
          <w:szCs w:val="24"/>
        </w:rPr>
        <w:t>Psychology and Aging</w:t>
      </w:r>
      <w:r w:rsidRPr="00AB40E2">
        <w:rPr>
          <w:rFonts w:ascii="Times New Roman" w:hAnsi="Times New Roman"/>
          <w:noProof/>
          <w:szCs w:val="24"/>
        </w:rPr>
        <w:t>,</w:t>
      </w:r>
      <w:r w:rsidRPr="00AB40E2">
        <w:rPr>
          <w:rFonts w:ascii="Times New Roman" w:hAnsi="Times New Roman"/>
          <w:szCs w:val="24"/>
        </w:rPr>
        <w:t xml:space="preserve"> 19(4), </w:t>
      </w:r>
      <w:r>
        <w:rPr>
          <w:rFonts w:ascii="Times New Roman" w:hAnsi="Times New Roman"/>
          <w:szCs w:val="24"/>
        </w:rPr>
        <w:t xml:space="preserve">pp. </w:t>
      </w:r>
      <w:r w:rsidRPr="00AB40E2">
        <w:rPr>
          <w:rFonts w:ascii="Times New Roman" w:hAnsi="Times New Roman"/>
          <w:szCs w:val="24"/>
        </w:rPr>
        <w:t>668-675.</w:t>
      </w:r>
    </w:p>
    <w:p w14:paraId="58ED5B2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Bond, M.A. and Harrell, S.P., 2006. Diversity challenges in community research and action: The story of a special issue of AJCP. </w:t>
      </w:r>
      <w:r w:rsidRPr="004E3E8F">
        <w:rPr>
          <w:rFonts w:ascii="Times New Roman" w:hAnsi="Times New Roman"/>
          <w:i/>
          <w:szCs w:val="24"/>
        </w:rPr>
        <w:t>American Journal of Community Psychology</w:t>
      </w:r>
      <w:r w:rsidRPr="004E3E8F">
        <w:rPr>
          <w:rFonts w:ascii="Times New Roman" w:hAnsi="Times New Roman"/>
          <w:szCs w:val="24"/>
        </w:rPr>
        <w:t>, 37, pp. 157-165.</w:t>
      </w:r>
    </w:p>
    <w:p w14:paraId="24CF1B73"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Borjas, G.J., 2001. Economics of migration. </w:t>
      </w:r>
      <w:r>
        <w:rPr>
          <w:rFonts w:ascii="Times New Roman" w:hAnsi="Times New Roman"/>
          <w:i/>
          <w:szCs w:val="24"/>
        </w:rPr>
        <w:t>International Encyclopaedia of the Social &amp; Behavioural Sciences</w:t>
      </w:r>
      <w:r>
        <w:rPr>
          <w:rFonts w:ascii="Times New Roman" w:hAnsi="Times New Roman"/>
          <w:szCs w:val="24"/>
        </w:rPr>
        <w:t>, pp. 9803-9809.</w:t>
      </w:r>
    </w:p>
    <w:p w14:paraId="385CBF4E" w14:textId="77777777" w:rsidR="00503349" w:rsidRDefault="00503349" w:rsidP="00503349">
      <w:pPr>
        <w:spacing w:before="240"/>
        <w:jc w:val="both"/>
        <w:rPr>
          <w:rFonts w:ascii="Times New Roman" w:hAnsi="Times New Roman"/>
          <w:b/>
          <w:noProof/>
          <w:szCs w:val="24"/>
        </w:rPr>
      </w:pPr>
      <w:r>
        <w:rPr>
          <w:rFonts w:ascii="Times New Roman" w:hAnsi="Times New Roman"/>
          <w:bCs/>
          <w:szCs w:val="24"/>
        </w:rPr>
        <w:lastRenderedPageBreak/>
        <w:t xml:space="preserve">Boswell, C., 2008. Combining economics and sociology in migration theory. </w:t>
      </w:r>
      <w:r>
        <w:rPr>
          <w:rFonts w:ascii="Times New Roman" w:hAnsi="Times New Roman"/>
          <w:bCs/>
          <w:i/>
          <w:iCs/>
          <w:szCs w:val="24"/>
        </w:rPr>
        <w:t>Journal of Ethnic and Migration Studies</w:t>
      </w:r>
      <w:r>
        <w:rPr>
          <w:rFonts w:ascii="Times New Roman" w:hAnsi="Times New Roman"/>
          <w:bCs/>
          <w:szCs w:val="24"/>
        </w:rPr>
        <w:t>, 34(4), pp. 549-566.</w:t>
      </w:r>
    </w:p>
    <w:p w14:paraId="5923D379" w14:textId="77777777" w:rsidR="00503349" w:rsidRPr="002A2B65" w:rsidRDefault="00503349" w:rsidP="00503349">
      <w:pPr>
        <w:jc w:val="both"/>
        <w:rPr>
          <w:rFonts w:ascii="Times New Roman" w:hAnsi="Times New Roman"/>
          <w:szCs w:val="24"/>
        </w:rPr>
      </w:pPr>
      <w:r w:rsidRPr="00164EBE">
        <w:rPr>
          <w:rFonts w:ascii="Times New Roman" w:hAnsi="Times New Roman"/>
          <w:bCs/>
          <w:szCs w:val="24"/>
        </w:rPr>
        <w:t>Bourbonnais, A. and Ducharme, F., 2008. Screaming in elderly persons with dementia: A critical review of the literature. </w:t>
      </w:r>
      <w:r w:rsidRPr="00164EBE">
        <w:rPr>
          <w:rFonts w:ascii="Times New Roman" w:hAnsi="Times New Roman"/>
          <w:bCs/>
          <w:i/>
          <w:iCs/>
          <w:szCs w:val="24"/>
        </w:rPr>
        <w:t>Dementia</w:t>
      </w:r>
      <w:r w:rsidRPr="00164EBE">
        <w:rPr>
          <w:rFonts w:ascii="Times New Roman" w:hAnsi="Times New Roman"/>
          <w:bCs/>
          <w:szCs w:val="24"/>
        </w:rPr>
        <w:t>, 7(2), pp.</w:t>
      </w:r>
      <w:r>
        <w:rPr>
          <w:rFonts w:ascii="Times New Roman" w:hAnsi="Times New Roman"/>
          <w:bCs/>
          <w:szCs w:val="24"/>
        </w:rPr>
        <w:t xml:space="preserve"> </w:t>
      </w:r>
      <w:r w:rsidRPr="00164EBE">
        <w:rPr>
          <w:rFonts w:ascii="Times New Roman" w:hAnsi="Times New Roman"/>
          <w:bCs/>
          <w:szCs w:val="24"/>
        </w:rPr>
        <w:t>205-225.</w:t>
      </w:r>
    </w:p>
    <w:p w14:paraId="4E74B561"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Boyd, M., 1989. Family and personal networks in international migration: recent developments and new agendas. </w:t>
      </w:r>
      <w:r w:rsidRPr="00CF1AE8">
        <w:rPr>
          <w:rFonts w:ascii="Times New Roman" w:hAnsi="Times New Roman"/>
          <w:i/>
          <w:iCs/>
          <w:szCs w:val="24"/>
        </w:rPr>
        <w:t>International Migration Review</w:t>
      </w:r>
      <w:r w:rsidRPr="00CF1AE8">
        <w:rPr>
          <w:rFonts w:ascii="Times New Roman" w:hAnsi="Times New Roman"/>
          <w:iCs/>
          <w:szCs w:val="24"/>
        </w:rPr>
        <w:t>, 23(3), pp. 638-670</w:t>
      </w:r>
      <w:r>
        <w:rPr>
          <w:rFonts w:ascii="Times New Roman" w:hAnsi="Times New Roman"/>
          <w:iCs/>
          <w:szCs w:val="24"/>
        </w:rPr>
        <w:t>.</w:t>
      </w:r>
    </w:p>
    <w:p w14:paraId="6E5F1DB5" w14:textId="77777777" w:rsidR="00503349" w:rsidRPr="002B3011" w:rsidRDefault="00503349" w:rsidP="00503349">
      <w:pPr>
        <w:textAlignment w:val="baseline"/>
        <w:rPr>
          <w:rFonts w:ascii="Times New Roman" w:eastAsia="Calibri" w:hAnsi="Times New Roman"/>
          <w:szCs w:val="24"/>
        </w:rPr>
      </w:pPr>
      <w:r w:rsidRPr="002B3011">
        <w:rPr>
          <w:rFonts w:ascii="Times New Roman" w:eastAsia="Calibri" w:hAnsi="Times New Roman"/>
          <w:szCs w:val="24"/>
        </w:rPr>
        <w:t xml:space="preserve">Braun, K.L., Takamura, J.C. and Mougeot, T., 1996. Perceptions of dementia, caregiving, and help-seeking among recent Vietnamese immigrants. </w:t>
      </w:r>
      <w:r w:rsidRPr="002B3011">
        <w:rPr>
          <w:rFonts w:ascii="Times New Roman" w:eastAsia="Calibri" w:hAnsi="Times New Roman"/>
          <w:i/>
          <w:iCs/>
          <w:szCs w:val="24"/>
        </w:rPr>
        <w:t>Journal of Cross-Cultural Gerontology</w:t>
      </w:r>
      <w:r w:rsidRPr="002B3011">
        <w:rPr>
          <w:rFonts w:ascii="Times New Roman" w:eastAsia="Calibri" w:hAnsi="Times New Roman"/>
          <w:iCs/>
          <w:szCs w:val="24"/>
        </w:rPr>
        <w:t xml:space="preserve">, 11 </w:t>
      </w:r>
      <w:r w:rsidRPr="002B3011">
        <w:rPr>
          <w:rFonts w:ascii="Times New Roman" w:eastAsia="Calibri" w:hAnsi="Times New Roman"/>
          <w:szCs w:val="24"/>
        </w:rPr>
        <w:t>(3), pp. 213-228.</w:t>
      </w:r>
    </w:p>
    <w:p w14:paraId="52038FEE"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Brayne, C. and Miller, B., 2017. Dementia and aging populations - a global priority for contextualized research and health policy. </w:t>
      </w:r>
      <w:r w:rsidRPr="00AB40E2">
        <w:rPr>
          <w:rFonts w:ascii="Times New Roman" w:hAnsi="Times New Roman"/>
          <w:i/>
          <w:szCs w:val="24"/>
        </w:rPr>
        <w:t>PLoS Med</w:t>
      </w:r>
      <w:r w:rsidRPr="00AB40E2">
        <w:rPr>
          <w:rFonts w:ascii="Times New Roman" w:hAnsi="Times New Roman"/>
          <w:szCs w:val="24"/>
        </w:rPr>
        <w:t>, [e-journal] 14(3)</w:t>
      </w:r>
      <w:r>
        <w:rPr>
          <w:rFonts w:ascii="Times New Roman" w:hAnsi="Times New Roman"/>
          <w:szCs w:val="24"/>
        </w:rPr>
        <w:t>:</w:t>
      </w:r>
      <w:r w:rsidRPr="00EC3298">
        <w:rPr>
          <w:rFonts w:ascii="Helvetica" w:hAnsi="Helvetica" w:cs="Helvetica"/>
          <w:color w:val="202020"/>
          <w:sz w:val="20"/>
          <w:szCs w:val="20"/>
          <w:shd w:val="clear" w:color="auto" w:fill="FFFFFF"/>
        </w:rPr>
        <w:t xml:space="preserve"> </w:t>
      </w:r>
      <w:r w:rsidRPr="00EC3298">
        <w:rPr>
          <w:rFonts w:ascii="Times New Roman" w:hAnsi="Times New Roman"/>
          <w:szCs w:val="24"/>
        </w:rPr>
        <w:t>e1002275</w:t>
      </w:r>
      <w:r w:rsidRPr="00AB40E2">
        <w:rPr>
          <w:rFonts w:ascii="Times New Roman" w:hAnsi="Times New Roman"/>
          <w:szCs w:val="24"/>
        </w:rPr>
        <w:t>. Available through: Anglia Ruskin University Library website &lt;http://libweb.anglia.ac.uk&gt; [Accessed 21 February 2019]</w:t>
      </w:r>
    </w:p>
    <w:p w14:paraId="6DB57BF1" w14:textId="77777777" w:rsidR="00503349" w:rsidRPr="002A2B65" w:rsidRDefault="00503349" w:rsidP="00503349">
      <w:pPr>
        <w:jc w:val="both"/>
        <w:rPr>
          <w:rFonts w:ascii="Times New Roman" w:hAnsi="Times New Roman"/>
          <w:szCs w:val="24"/>
        </w:rPr>
      </w:pPr>
      <w:r w:rsidRPr="002C17CC">
        <w:rPr>
          <w:rFonts w:ascii="Times New Roman" w:hAnsi="Times New Roman"/>
          <w:bCs/>
          <w:szCs w:val="24"/>
        </w:rPr>
        <w:t>Briggs, R., O'Shea, E., de Siún, A., O'Neill, D., Gallagher, P., Timmons, S. and Kennelly, S., 2017. Does admission to a specialist geriatric medicine ward lead to improvements in aspects of acute medical care for older patients with dementia?.</w:t>
      </w:r>
      <w:r>
        <w:rPr>
          <w:rFonts w:ascii="Times New Roman" w:hAnsi="Times New Roman"/>
          <w:bCs/>
          <w:szCs w:val="24"/>
        </w:rPr>
        <w:t xml:space="preserve"> </w:t>
      </w:r>
      <w:r w:rsidRPr="002C17CC">
        <w:rPr>
          <w:rFonts w:ascii="Times New Roman" w:hAnsi="Times New Roman"/>
          <w:bCs/>
          <w:i/>
          <w:iCs/>
          <w:szCs w:val="24"/>
        </w:rPr>
        <w:t>International Journal of Geriatric Psychiatry</w:t>
      </w:r>
      <w:r w:rsidRPr="002C17CC">
        <w:rPr>
          <w:rFonts w:ascii="Times New Roman" w:hAnsi="Times New Roman"/>
          <w:bCs/>
          <w:szCs w:val="24"/>
        </w:rPr>
        <w:t>, 32(6), pp. 624-632.</w:t>
      </w:r>
    </w:p>
    <w:p w14:paraId="6660CEA0" w14:textId="77777777" w:rsidR="00503349" w:rsidRPr="004E3E8F" w:rsidRDefault="00503349" w:rsidP="00503349">
      <w:pPr>
        <w:spacing w:before="240"/>
        <w:rPr>
          <w:rFonts w:ascii="Times New Roman" w:hAnsi="Times New Roman"/>
          <w:iCs/>
          <w:szCs w:val="24"/>
        </w:rPr>
      </w:pPr>
      <w:r w:rsidRPr="004E3E8F">
        <w:rPr>
          <w:rFonts w:ascii="Times New Roman" w:hAnsi="Times New Roman"/>
          <w:iCs/>
          <w:szCs w:val="24"/>
        </w:rPr>
        <w:t>British Broadcasting Corporation, BBC, 2016. Braintree care home abuse: Workers jailed after TV investigation, BBC News, 25 February 2016. Available at: &lt;https://www.bbc.co.uk/news/uk-england-essex-35660433&gt;[Accessed 14 February 2018)</w:t>
      </w:r>
    </w:p>
    <w:p w14:paraId="2AE3B68E" w14:textId="77777777" w:rsidR="00503349" w:rsidRPr="000A56C6" w:rsidRDefault="00503349" w:rsidP="00503349">
      <w:pPr>
        <w:rPr>
          <w:rFonts w:ascii="Times New Roman" w:hAnsi="Times New Roman"/>
          <w:szCs w:val="24"/>
        </w:rPr>
      </w:pPr>
      <w:r w:rsidRPr="00D527D8">
        <w:rPr>
          <w:rFonts w:ascii="Times New Roman" w:hAnsi="Times New Roman"/>
          <w:szCs w:val="24"/>
        </w:rPr>
        <w:t xml:space="preserve">Brodaty, H. and Donkin, M., 2009. Family caregivers of people with dementia. </w:t>
      </w:r>
      <w:r w:rsidRPr="00D527D8">
        <w:rPr>
          <w:rFonts w:ascii="Times New Roman" w:hAnsi="Times New Roman"/>
          <w:i/>
          <w:iCs/>
          <w:szCs w:val="24"/>
        </w:rPr>
        <w:t>Dialogues in Clinical Neuroscience</w:t>
      </w:r>
      <w:r w:rsidRPr="00D527D8">
        <w:rPr>
          <w:rFonts w:ascii="Times New Roman" w:hAnsi="Times New Roman"/>
          <w:szCs w:val="24"/>
        </w:rPr>
        <w:t xml:space="preserve">, </w:t>
      </w:r>
      <w:r w:rsidRPr="00D527D8">
        <w:rPr>
          <w:rFonts w:ascii="Times New Roman" w:hAnsi="Times New Roman"/>
          <w:iCs/>
          <w:szCs w:val="24"/>
        </w:rPr>
        <w:t>11</w:t>
      </w:r>
      <w:r w:rsidRPr="00D527D8">
        <w:rPr>
          <w:rFonts w:ascii="Times New Roman" w:hAnsi="Times New Roman"/>
          <w:szCs w:val="24"/>
        </w:rPr>
        <w:t>(2), pp. 217-228.</w:t>
      </w:r>
    </w:p>
    <w:p w14:paraId="7CDF24AC" w14:textId="77777777" w:rsidR="00503349" w:rsidRPr="002B3011" w:rsidRDefault="00503349" w:rsidP="00503349">
      <w:pPr>
        <w:textAlignment w:val="baseline"/>
        <w:rPr>
          <w:rFonts w:ascii="Times New Roman" w:hAnsi="Times New Roman"/>
          <w:color w:val="000000"/>
          <w:szCs w:val="24"/>
          <w:lang w:val="en"/>
        </w:rPr>
      </w:pPr>
      <w:r w:rsidRPr="002B3011">
        <w:rPr>
          <w:rFonts w:ascii="Times New Roman" w:hAnsi="Times New Roman"/>
          <w:szCs w:val="24"/>
        </w:rPr>
        <w:t xml:space="preserve">Brodaty, H., 2009. Supporting the person with dementia and the caregiver. In: G. Waldemar &amp; A. Burns, ed. </w:t>
      </w:r>
      <w:r w:rsidRPr="002B3011">
        <w:rPr>
          <w:rFonts w:ascii="Times New Roman" w:hAnsi="Times New Roman"/>
          <w:i/>
          <w:szCs w:val="24"/>
        </w:rPr>
        <w:t>Alzheimer’s disease</w:t>
      </w:r>
      <w:r w:rsidRPr="002B3011">
        <w:rPr>
          <w:rFonts w:ascii="Times New Roman" w:hAnsi="Times New Roman"/>
          <w:szCs w:val="24"/>
        </w:rPr>
        <w:t>. New York: Oxford University Press Inc. pp. 77-86.</w:t>
      </w:r>
    </w:p>
    <w:p w14:paraId="178ED871" w14:textId="77777777" w:rsidR="00503349" w:rsidRPr="002A2B65" w:rsidRDefault="00503349" w:rsidP="00503349">
      <w:pPr>
        <w:jc w:val="both"/>
        <w:rPr>
          <w:rFonts w:ascii="Times New Roman" w:eastAsia="Calibri" w:hAnsi="Times New Roman"/>
          <w:szCs w:val="24"/>
          <w:lang w:eastAsia="en-US"/>
        </w:rPr>
      </w:pPr>
      <w:r w:rsidRPr="00164EBE">
        <w:rPr>
          <w:rFonts w:ascii="Times New Roman" w:hAnsi="Times New Roman"/>
          <w:bCs/>
          <w:szCs w:val="24"/>
        </w:rPr>
        <w:lastRenderedPageBreak/>
        <w:t>Brodaty, H., Draper, B. and Low, L.F., 2003. Nursing home staff attitudes towards residents with dementia: strain and satisfaction with work. </w:t>
      </w:r>
      <w:r w:rsidRPr="00164EBE">
        <w:rPr>
          <w:rFonts w:ascii="Times New Roman" w:hAnsi="Times New Roman"/>
          <w:bCs/>
          <w:i/>
          <w:iCs/>
          <w:szCs w:val="24"/>
        </w:rPr>
        <w:t>Journal of Advanced Nursing</w:t>
      </w:r>
      <w:r w:rsidRPr="00164EBE">
        <w:rPr>
          <w:rFonts w:ascii="Times New Roman" w:hAnsi="Times New Roman"/>
          <w:bCs/>
          <w:szCs w:val="24"/>
        </w:rPr>
        <w:t>, 44(6), pp.</w:t>
      </w:r>
      <w:r>
        <w:rPr>
          <w:rFonts w:ascii="Times New Roman" w:hAnsi="Times New Roman"/>
          <w:bCs/>
          <w:szCs w:val="24"/>
        </w:rPr>
        <w:t xml:space="preserve"> </w:t>
      </w:r>
      <w:r w:rsidRPr="00164EBE">
        <w:rPr>
          <w:rFonts w:ascii="Times New Roman" w:hAnsi="Times New Roman"/>
          <w:bCs/>
          <w:szCs w:val="24"/>
        </w:rPr>
        <w:t>583-590.</w:t>
      </w:r>
    </w:p>
    <w:p w14:paraId="5E12279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Broese van Groenou, M.I., de Boer, A. and Iedema, J., 2013. Positive and negative evaluation of caregiving among three different types of informal care relationships. </w:t>
      </w:r>
      <w:r w:rsidRPr="002B3011">
        <w:rPr>
          <w:rFonts w:ascii="Times New Roman" w:hAnsi="Times New Roman"/>
          <w:i/>
          <w:iCs/>
          <w:szCs w:val="24"/>
        </w:rPr>
        <w:t>European Journal of Ageing</w:t>
      </w:r>
      <w:r w:rsidRPr="002B3011">
        <w:rPr>
          <w:rFonts w:ascii="Times New Roman" w:hAnsi="Times New Roman"/>
          <w:szCs w:val="24"/>
        </w:rPr>
        <w:t>, </w:t>
      </w:r>
      <w:r w:rsidRPr="002B3011">
        <w:rPr>
          <w:rFonts w:ascii="Times New Roman" w:hAnsi="Times New Roman"/>
          <w:iCs/>
          <w:szCs w:val="24"/>
        </w:rPr>
        <w:t>10</w:t>
      </w:r>
      <w:r w:rsidRPr="002B3011">
        <w:rPr>
          <w:rFonts w:ascii="Times New Roman" w:hAnsi="Times New Roman"/>
          <w:szCs w:val="24"/>
        </w:rPr>
        <w:t>(4), pp. 301-311.</w:t>
      </w:r>
    </w:p>
    <w:p w14:paraId="7984A835" w14:textId="77777777" w:rsidR="00503349" w:rsidRPr="00DA2952" w:rsidRDefault="00503349" w:rsidP="00503349">
      <w:pPr>
        <w:rPr>
          <w:rFonts w:ascii="Times" w:hAnsi="Times" w:cs="Times"/>
        </w:rPr>
      </w:pPr>
      <w:r w:rsidRPr="00DA2952">
        <w:rPr>
          <w:rFonts w:ascii="Times" w:hAnsi="Times" w:cs="Times"/>
        </w:rPr>
        <w:t xml:space="preserve">Brooke, J., Cronin, C., Stiell, M. and Ojo, O., 2018. The intersection of culture in the provision of dementia care: A systematic review. </w:t>
      </w:r>
      <w:r w:rsidRPr="00DA2952">
        <w:rPr>
          <w:rFonts w:ascii="Times" w:hAnsi="Times" w:cs="Times"/>
          <w:i/>
        </w:rPr>
        <w:t>Journal of Clinical Nursing</w:t>
      </w:r>
      <w:r w:rsidRPr="00DA2952">
        <w:rPr>
          <w:rFonts w:ascii="Times" w:hAnsi="Times" w:cs="Times"/>
        </w:rPr>
        <w:t>, 27, pp. 3241-3253.</w:t>
      </w:r>
    </w:p>
    <w:p w14:paraId="713604D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Brooke, J., Cronin, C., Stiell, M., Ojo, O., Belcina Jr, M.T., Smajlović, S.K. and Slark, J., 2019. Nursing students' cultural beliefs and understanding of dementia: A phenomenological study across three continents. </w:t>
      </w:r>
      <w:r w:rsidRPr="00DA2952">
        <w:rPr>
          <w:rFonts w:ascii="Times New Roman" w:hAnsi="Times New Roman"/>
          <w:i/>
          <w:iCs/>
          <w:szCs w:val="24"/>
        </w:rPr>
        <w:t>Nurse Education Today</w:t>
      </w:r>
      <w:r w:rsidRPr="00DA2952">
        <w:rPr>
          <w:rFonts w:ascii="Times New Roman" w:hAnsi="Times New Roman"/>
          <w:szCs w:val="24"/>
        </w:rPr>
        <w:t>, 77, pp. 6-11.</w:t>
      </w:r>
    </w:p>
    <w:p w14:paraId="4064BB98"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Browne, C.J. and Shlosberg, E., 2006. </w:t>
      </w:r>
      <w:r w:rsidRPr="00EF189A">
        <w:rPr>
          <w:rFonts w:ascii="Times New Roman" w:hAnsi="Times New Roman"/>
          <w:bCs/>
          <w:szCs w:val="24"/>
          <w:bdr w:val="none" w:sz="0" w:space="0" w:color="auto" w:frame="1"/>
        </w:rPr>
        <w:t>Attachment theory, ageing and dementia: a review of the literature.</w:t>
      </w:r>
      <w:r w:rsidRPr="00EF189A">
        <w:rPr>
          <w:rFonts w:ascii="Times New Roman" w:hAnsi="Times New Roman"/>
          <w:b/>
          <w:bCs/>
          <w:szCs w:val="24"/>
          <w:bdr w:val="none" w:sz="0" w:space="0" w:color="auto" w:frame="1"/>
        </w:rPr>
        <w:t xml:space="preserve"> </w:t>
      </w:r>
      <w:r w:rsidRPr="00EF189A">
        <w:rPr>
          <w:rFonts w:ascii="Times New Roman" w:hAnsi="Times New Roman"/>
          <w:bCs/>
          <w:i/>
          <w:szCs w:val="24"/>
          <w:bdr w:val="none" w:sz="0" w:space="0" w:color="auto" w:frame="1"/>
        </w:rPr>
        <w:t>Aging &amp; Mental Health</w:t>
      </w:r>
      <w:r w:rsidRPr="00EF189A">
        <w:rPr>
          <w:rFonts w:ascii="Times New Roman" w:hAnsi="Times New Roman"/>
          <w:bCs/>
          <w:szCs w:val="24"/>
          <w:bdr w:val="none" w:sz="0" w:space="0" w:color="auto" w:frame="1"/>
        </w:rPr>
        <w:t>, 10(2</w:t>
      </w:r>
      <w:r w:rsidRPr="00EF189A">
        <w:rPr>
          <w:rFonts w:ascii="Times New Roman" w:hAnsi="Times New Roman"/>
          <w:szCs w:val="24"/>
          <w:bdr w:val="none" w:sz="0" w:space="0" w:color="auto" w:frame="1"/>
        </w:rPr>
        <w:t>), pp. 134-142.</w:t>
      </w:r>
    </w:p>
    <w:p w14:paraId="737D8A10" w14:textId="77777777" w:rsidR="00503349" w:rsidRDefault="00503349" w:rsidP="00503349">
      <w:pPr>
        <w:spacing w:before="240"/>
        <w:jc w:val="both"/>
        <w:rPr>
          <w:rFonts w:ascii="Times New Roman" w:hAnsi="Times New Roman"/>
          <w:szCs w:val="24"/>
        </w:rPr>
      </w:pPr>
      <w:r>
        <w:rPr>
          <w:rFonts w:ascii="Times New Roman" w:hAnsi="Times New Roman"/>
          <w:szCs w:val="24"/>
        </w:rPr>
        <w:t>Browne, C.V. and Braun, K.L., 2008. Globalization, women's migration, and the long-term-care workforce. </w:t>
      </w:r>
      <w:r>
        <w:rPr>
          <w:rFonts w:ascii="Times New Roman" w:hAnsi="Times New Roman"/>
          <w:i/>
          <w:iCs/>
          <w:szCs w:val="24"/>
        </w:rPr>
        <w:t>The Gerontologist</w:t>
      </w:r>
      <w:r>
        <w:rPr>
          <w:rFonts w:ascii="Times New Roman" w:hAnsi="Times New Roman"/>
          <w:szCs w:val="24"/>
        </w:rPr>
        <w:t>, </w:t>
      </w:r>
      <w:r>
        <w:rPr>
          <w:rFonts w:ascii="Times New Roman" w:hAnsi="Times New Roman"/>
          <w:iCs/>
          <w:szCs w:val="24"/>
        </w:rPr>
        <w:t>48</w:t>
      </w:r>
      <w:r>
        <w:rPr>
          <w:rFonts w:ascii="Times New Roman" w:hAnsi="Times New Roman"/>
          <w:szCs w:val="24"/>
        </w:rPr>
        <w:t>, pp. 16-24.</w:t>
      </w:r>
    </w:p>
    <w:p w14:paraId="32266B78"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Bryant, A. and Charmaz, K., 2007. </w:t>
      </w:r>
      <w:r w:rsidRPr="004E3E8F">
        <w:rPr>
          <w:rFonts w:ascii="Times New Roman" w:hAnsi="Times New Roman"/>
          <w:i/>
          <w:szCs w:val="24"/>
        </w:rPr>
        <w:t>The Sage Handbook of Grounded Theory</w:t>
      </w:r>
      <w:r w:rsidRPr="004E3E8F">
        <w:rPr>
          <w:rFonts w:ascii="Times New Roman" w:hAnsi="Times New Roman"/>
          <w:szCs w:val="24"/>
        </w:rPr>
        <w:t>. Thousand Oaks, CA: Sage.</w:t>
      </w:r>
    </w:p>
    <w:p w14:paraId="06F5A48D" w14:textId="77777777" w:rsidR="00503349" w:rsidRPr="00633D5A" w:rsidRDefault="00503349" w:rsidP="00503349">
      <w:pPr>
        <w:tabs>
          <w:tab w:val="left" w:pos="5445"/>
        </w:tabs>
        <w:jc w:val="both"/>
        <w:rPr>
          <w:rFonts w:ascii="Times New Roman" w:hAnsi="Times New Roman"/>
          <w:szCs w:val="24"/>
        </w:rPr>
      </w:pPr>
      <w:bookmarkStart w:id="306" w:name="Buchan"/>
      <w:r w:rsidRPr="00FB6E91">
        <w:rPr>
          <w:rFonts w:ascii="Times New Roman" w:hAnsi="Times New Roman"/>
          <w:szCs w:val="24"/>
        </w:rPr>
        <w:t>Buchan</w:t>
      </w:r>
      <w:bookmarkEnd w:id="306"/>
      <w:r w:rsidRPr="00FB6E91">
        <w:rPr>
          <w:rFonts w:ascii="Times New Roman" w:hAnsi="Times New Roman"/>
          <w:szCs w:val="24"/>
        </w:rPr>
        <w:t xml:space="preserve">, J. </w:t>
      </w:r>
      <w:r>
        <w:rPr>
          <w:rFonts w:ascii="Times New Roman" w:hAnsi="Times New Roman"/>
          <w:szCs w:val="24"/>
        </w:rPr>
        <w:t>and</w:t>
      </w:r>
      <w:r w:rsidRPr="00FB6E91">
        <w:rPr>
          <w:rFonts w:ascii="Times New Roman" w:hAnsi="Times New Roman"/>
          <w:szCs w:val="24"/>
        </w:rPr>
        <w:t xml:space="preserve"> Seccombe, I.</w:t>
      </w:r>
      <w:r>
        <w:rPr>
          <w:rFonts w:ascii="Times New Roman" w:hAnsi="Times New Roman"/>
          <w:szCs w:val="24"/>
        </w:rPr>
        <w:t xml:space="preserve">, </w:t>
      </w:r>
      <w:r w:rsidRPr="00FB6E91">
        <w:rPr>
          <w:rFonts w:ascii="Times New Roman" w:hAnsi="Times New Roman"/>
          <w:szCs w:val="24"/>
        </w:rPr>
        <w:t>2003. </w:t>
      </w:r>
      <w:r w:rsidRPr="00FB6E91">
        <w:rPr>
          <w:rFonts w:ascii="Times New Roman" w:hAnsi="Times New Roman"/>
          <w:i/>
          <w:iCs/>
          <w:szCs w:val="24"/>
        </w:rPr>
        <w:t>More nurses working differently? A review of the UK nursing labour market 2002 to 2003</w:t>
      </w:r>
      <w:r w:rsidRPr="00FB6E91">
        <w:rPr>
          <w:rFonts w:ascii="Times New Roman" w:hAnsi="Times New Roman"/>
          <w:szCs w:val="24"/>
        </w:rPr>
        <w:t>. London: Royal College of Nursing.</w:t>
      </w:r>
    </w:p>
    <w:p w14:paraId="18B6736A"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Buchan, J., Jobanputra, R., Gough, P. and Hutt, R., 2005. </w:t>
      </w:r>
      <w:r>
        <w:rPr>
          <w:rFonts w:ascii="Times New Roman" w:hAnsi="Times New Roman"/>
          <w:i/>
          <w:iCs/>
          <w:szCs w:val="24"/>
        </w:rPr>
        <w:t>Internationally recruited nurses in London: Profile and implications for policy</w:t>
      </w:r>
      <w:r>
        <w:rPr>
          <w:rFonts w:ascii="Times New Roman" w:hAnsi="Times New Roman"/>
          <w:szCs w:val="24"/>
        </w:rPr>
        <w:t>. A Working Paper. London: The King's Fund.</w:t>
      </w:r>
    </w:p>
    <w:p w14:paraId="2A767A35"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Buckner, R.L., 2004. Memory and executive function in aging and AD: multiple factors that cause decline and reserve factors that compensate. </w:t>
      </w:r>
      <w:r w:rsidRPr="00DA2952">
        <w:rPr>
          <w:rFonts w:ascii="Times New Roman" w:hAnsi="Times New Roman"/>
          <w:i/>
          <w:iCs/>
          <w:szCs w:val="24"/>
        </w:rPr>
        <w:t>Neuron</w:t>
      </w:r>
      <w:r w:rsidRPr="00DA2952">
        <w:rPr>
          <w:rFonts w:ascii="Times New Roman" w:hAnsi="Times New Roman"/>
          <w:szCs w:val="24"/>
        </w:rPr>
        <w:t>, 44, pp. 195-208. </w:t>
      </w:r>
    </w:p>
    <w:p w14:paraId="1E3B0EC9"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lastRenderedPageBreak/>
        <w:t xml:space="preserve">Buckner, L. and Yeandle, S., 2011. </w:t>
      </w:r>
      <w:r w:rsidRPr="002B3011">
        <w:rPr>
          <w:rFonts w:ascii="Times New Roman" w:hAnsi="Times New Roman"/>
          <w:bCs/>
          <w:i/>
          <w:szCs w:val="24"/>
        </w:rPr>
        <w:t>Valuing carers 2011: Calculating the value of carers' support</w:t>
      </w:r>
      <w:r w:rsidRPr="002B3011">
        <w:rPr>
          <w:rFonts w:ascii="Times New Roman" w:hAnsi="Times New Roman"/>
          <w:szCs w:val="24"/>
        </w:rPr>
        <w:t xml:space="preserve">. University of Leeds, Carers UK. </w:t>
      </w:r>
    </w:p>
    <w:p w14:paraId="5AB2EC17"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Buckner, L. and Yeandle, S., 2015. </w:t>
      </w:r>
      <w:r w:rsidRPr="002B3011">
        <w:rPr>
          <w:rFonts w:ascii="Times New Roman" w:hAnsi="Times New Roman"/>
          <w:i/>
          <w:iCs/>
          <w:szCs w:val="24"/>
        </w:rPr>
        <w:t>Valuing Carers 2015 – the rising value of carers’ support</w:t>
      </w:r>
      <w:r w:rsidRPr="002B3011">
        <w:rPr>
          <w:rFonts w:ascii="Times New Roman" w:hAnsi="Times New Roman"/>
          <w:szCs w:val="24"/>
        </w:rPr>
        <w:t> [2015] University of Sheffield, University of Leeds and CIRCLE. London: Carers UK.</w:t>
      </w:r>
    </w:p>
    <w:p w14:paraId="1D181B9A" w14:textId="77777777" w:rsidR="00503349" w:rsidRDefault="00503349" w:rsidP="00503349">
      <w:pPr>
        <w:spacing w:before="240"/>
        <w:jc w:val="both"/>
        <w:rPr>
          <w:rFonts w:ascii="Times New Roman" w:hAnsi="Times New Roman"/>
          <w:szCs w:val="24"/>
        </w:rPr>
      </w:pPr>
      <w:r>
        <w:rPr>
          <w:rFonts w:ascii="Times New Roman" w:hAnsi="Times New Roman"/>
          <w:szCs w:val="24"/>
        </w:rPr>
        <w:t>Bulow, J.I. and Summers, L.H., 1986. A theory of dual labor markets with application to industrial policy, discrimination, and Keynesian unemployment. </w:t>
      </w:r>
      <w:r>
        <w:rPr>
          <w:rFonts w:ascii="Times New Roman" w:hAnsi="Times New Roman"/>
          <w:i/>
          <w:iCs/>
          <w:szCs w:val="24"/>
        </w:rPr>
        <w:t>Journal of Labor Economics</w:t>
      </w:r>
      <w:r>
        <w:rPr>
          <w:rFonts w:ascii="Times New Roman" w:hAnsi="Times New Roman"/>
          <w:szCs w:val="24"/>
        </w:rPr>
        <w:t>, </w:t>
      </w:r>
      <w:r>
        <w:rPr>
          <w:rFonts w:ascii="Times New Roman" w:hAnsi="Times New Roman"/>
          <w:iCs/>
          <w:szCs w:val="24"/>
        </w:rPr>
        <w:t>4</w:t>
      </w:r>
      <w:r>
        <w:rPr>
          <w:rFonts w:ascii="Times New Roman" w:hAnsi="Times New Roman"/>
          <w:szCs w:val="24"/>
        </w:rPr>
        <w:t>(3, Part 1), pp. 376-414.</w:t>
      </w:r>
    </w:p>
    <w:p w14:paraId="40E7B657" w14:textId="77777777" w:rsidR="00503349" w:rsidRPr="002A2B65" w:rsidRDefault="00503349" w:rsidP="00503349">
      <w:pPr>
        <w:spacing w:before="240"/>
        <w:jc w:val="both"/>
        <w:rPr>
          <w:rFonts w:ascii="Times New Roman" w:eastAsia="Calibri" w:hAnsi="Times New Roman"/>
          <w:szCs w:val="24"/>
          <w:lang w:eastAsia="en-US"/>
        </w:rPr>
      </w:pPr>
      <w:r w:rsidRPr="00AC14FF">
        <w:rPr>
          <w:rFonts w:ascii="Times New Roman" w:hAnsi="Times New Roman"/>
          <w:bCs/>
          <w:szCs w:val="24"/>
        </w:rPr>
        <w:t xml:space="preserve">Burda, A.N., Hageman, C.F., Brousard, K.T. </w:t>
      </w:r>
      <w:r>
        <w:rPr>
          <w:rFonts w:ascii="Times New Roman" w:hAnsi="Times New Roman"/>
          <w:bCs/>
          <w:szCs w:val="24"/>
        </w:rPr>
        <w:t>and</w:t>
      </w:r>
      <w:r w:rsidRPr="00AC14FF">
        <w:rPr>
          <w:rFonts w:ascii="Times New Roman" w:hAnsi="Times New Roman"/>
          <w:bCs/>
          <w:szCs w:val="24"/>
        </w:rPr>
        <w:t xml:space="preserve"> Miller, A.N.</w:t>
      </w:r>
      <w:r>
        <w:rPr>
          <w:rFonts w:ascii="Times New Roman" w:hAnsi="Times New Roman"/>
          <w:bCs/>
          <w:szCs w:val="24"/>
        </w:rPr>
        <w:t>,</w:t>
      </w:r>
      <w:r w:rsidRPr="00AC14FF">
        <w:rPr>
          <w:rFonts w:ascii="Times New Roman" w:hAnsi="Times New Roman"/>
          <w:bCs/>
          <w:szCs w:val="24"/>
        </w:rPr>
        <w:t xml:space="preserve"> 2004. Dementia and identification of words and sentences produced by native and non</w:t>
      </w:r>
      <w:r>
        <w:rPr>
          <w:rFonts w:ascii="Times New Roman" w:hAnsi="Times New Roman"/>
          <w:bCs/>
          <w:szCs w:val="24"/>
        </w:rPr>
        <w:t>-</w:t>
      </w:r>
      <w:r w:rsidRPr="00AC14FF">
        <w:rPr>
          <w:rFonts w:ascii="Times New Roman" w:hAnsi="Times New Roman"/>
          <w:bCs/>
          <w:szCs w:val="24"/>
        </w:rPr>
        <w:t xml:space="preserve">native English speakers. </w:t>
      </w:r>
      <w:r w:rsidRPr="00AC14FF">
        <w:rPr>
          <w:rFonts w:ascii="Times New Roman" w:hAnsi="Times New Roman"/>
          <w:bCs/>
          <w:i/>
          <w:iCs/>
          <w:szCs w:val="24"/>
        </w:rPr>
        <w:t>Perceptual &amp; Motor Skills</w:t>
      </w:r>
      <w:r w:rsidRPr="00AC14FF">
        <w:rPr>
          <w:rFonts w:ascii="Times New Roman" w:hAnsi="Times New Roman"/>
          <w:bCs/>
          <w:szCs w:val="24"/>
        </w:rPr>
        <w:t xml:space="preserve">, 98, </w:t>
      </w:r>
      <w:r>
        <w:rPr>
          <w:rFonts w:ascii="Times New Roman" w:hAnsi="Times New Roman"/>
          <w:bCs/>
          <w:szCs w:val="24"/>
        </w:rPr>
        <w:t xml:space="preserve">pp. </w:t>
      </w:r>
      <w:r w:rsidRPr="00AC14FF">
        <w:rPr>
          <w:rFonts w:ascii="Times New Roman" w:hAnsi="Times New Roman"/>
          <w:bCs/>
          <w:szCs w:val="24"/>
        </w:rPr>
        <w:t>1359-1362.</w:t>
      </w:r>
    </w:p>
    <w:p w14:paraId="144B07D1"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Burgio, L.D., Stevens, A., Burgio, K.L., Roth, D.L., Paul, P. and Gerstle, J., 2002. Teaching and maintaining behavior management skills in the nursing home. </w:t>
      </w:r>
      <w:r w:rsidRPr="00DA2952">
        <w:rPr>
          <w:rFonts w:ascii="Times New Roman" w:hAnsi="Times New Roman"/>
          <w:i/>
          <w:iCs/>
          <w:szCs w:val="24"/>
        </w:rPr>
        <w:t>The Gerontologist</w:t>
      </w:r>
      <w:r w:rsidRPr="00DA2952">
        <w:rPr>
          <w:rFonts w:ascii="Times New Roman" w:hAnsi="Times New Roman"/>
          <w:szCs w:val="24"/>
        </w:rPr>
        <w:t>, 42, pp. 487</w:t>
      </w:r>
      <w:r>
        <w:rPr>
          <w:rFonts w:ascii="Times New Roman" w:hAnsi="Times New Roman"/>
          <w:szCs w:val="24"/>
        </w:rPr>
        <w:t>-</w:t>
      </w:r>
      <w:r w:rsidRPr="00DA2952">
        <w:rPr>
          <w:rFonts w:ascii="Times New Roman" w:hAnsi="Times New Roman"/>
          <w:szCs w:val="24"/>
        </w:rPr>
        <w:t>496. </w:t>
      </w:r>
    </w:p>
    <w:p w14:paraId="1D779918"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Burns, S.N. and Grove, S.K., 2003. </w:t>
      </w:r>
      <w:r w:rsidRPr="004E3E8F">
        <w:rPr>
          <w:rFonts w:ascii="Times New Roman" w:hAnsi="Times New Roman"/>
          <w:i/>
          <w:szCs w:val="24"/>
        </w:rPr>
        <w:t>Understanding Nursing Research</w:t>
      </w:r>
      <w:r w:rsidRPr="004E3E8F">
        <w:rPr>
          <w:rFonts w:ascii="Times New Roman" w:hAnsi="Times New Roman"/>
          <w:szCs w:val="24"/>
        </w:rPr>
        <w:t>. 3</w:t>
      </w:r>
      <w:r w:rsidRPr="004E3E8F">
        <w:rPr>
          <w:rFonts w:ascii="Times New Roman" w:hAnsi="Times New Roman"/>
          <w:szCs w:val="24"/>
          <w:vertAlign w:val="superscript"/>
        </w:rPr>
        <w:t>rd</w:t>
      </w:r>
      <w:r w:rsidRPr="004E3E8F">
        <w:rPr>
          <w:rFonts w:ascii="Times New Roman" w:hAnsi="Times New Roman"/>
          <w:szCs w:val="24"/>
        </w:rPr>
        <w:t xml:space="preserve"> ed. Philadelphia: Saunders.</w:t>
      </w:r>
    </w:p>
    <w:p w14:paraId="10390217" w14:textId="77777777" w:rsidR="00503349" w:rsidRPr="00E844AB" w:rsidRDefault="00503349" w:rsidP="00503349">
      <w:pPr>
        <w:jc w:val="both"/>
        <w:rPr>
          <w:rFonts w:ascii="Times New Roman" w:hAnsi="Times New Roman"/>
          <w:szCs w:val="24"/>
        </w:rPr>
      </w:pPr>
      <w:r w:rsidRPr="002220F6">
        <w:rPr>
          <w:rFonts w:ascii="Times New Roman" w:hAnsi="Times New Roman"/>
          <w:szCs w:val="24"/>
        </w:rPr>
        <w:t>Buron, B., 2008. Levels of personhood: A model for dementia care. </w:t>
      </w:r>
      <w:r w:rsidRPr="002220F6">
        <w:rPr>
          <w:rFonts w:ascii="Times New Roman" w:hAnsi="Times New Roman"/>
          <w:i/>
          <w:iCs/>
          <w:szCs w:val="24"/>
        </w:rPr>
        <w:t>Geriatric Nursing</w:t>
      </w:r>
      <w:r w:rsidRPr="002220F6">
        <w:rPr>
          <w:rFonts w:ascii="Times New Roman" w:hAnsi="Times New Roman"/>
          <w:szCs w:val="24"/>
        </w:rPr>
        <w:t>, 29(5), pp.</w:t>
      </w:r>
      <w:r>
        <w:rPr>
          <w:rFonts w:ascii="Times New Roman" w:hAnsi="Times New Roman"/>
          <w:szCs w:val="24"/>
        </w:rPr>
        <w:t xml:space="preserve"> </w:t>
      </w:r>
      <w:r w:rsidRPr="002220F6">
        <w:rPr>
          <w:rFonts w:ascii="Times New Roman" w:hAnsi="Times New Roman"/>
          <w:szCs w:val="24"/>
        </w:rPr>
        <w:t>324-332.</w:t>
      </w:r>
    </w:p>
    <w:p w14:paraId="7611F40F"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Butcher, H.K., Gordon, J.K., Ko, J.W., Perkhounkova, Y., Cho, J.Y., Rinner, A. and Lutgendorf, S., 2016. Finding meaning in written emotional expression by family caregivers of persons with dementia. </w:t>
      </w:r>
      <w:r w:rsidRPr="00AB40E2">
        <w:rPr>
          <w:rFonts w:ascii="Times New Roman" w:hAnsi="Times New Roman"/>
          <w:i/>
          <w:iCs/>
          <w:szCs w:val="24"/>
        </w:rPr>
        <w:t>American Journal of Alzheimer's Disease and Other Dementias</w:t>
      </w:r>
      <w:r w:rsidRPr="00AB40E2">
        <w:rPr>
          <w:rFonts w:ascii="Times New Roman" w:hAnsi="Times New Roman"/>
          <w:szCs w:val="24"/>
        </w:rPr>
        <w:t>, 31(8), pp. 631-642.</w:t>
      </w:r>
    </w:p>
    <w:p w14:paraId="29CCDD22"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Camden, A., Livingston, G. and Cooper, C., 2011. Reasons why family members become carers and the outcome for the person with dementia: results from the CARD study. </w:t>
      </w:r>
      <w:r w:rsidRPr="00EF189A">
        <w:rPr>
          <w:rFonts w:ascii="Times New Roman" w:hAnsi="Times New Roman"/>
          <w:i/>
          <w:szCs w:val="24"/>
          <w:bdr w:val="none" w:sz="0" w:space="0" w:color="auto" w:frame="1"/>
        </w:rPr>
        <w:t>International Psychogeriatrics</w:t>
      </w:r>
      <w:r w:rsidRPr="00EF189A">
        <w:rPr>
          <w:rFonts w:ascii="Times New Roman" w:hAnsi="Times New Roman"/>
          <w:szCs w:val="24"/>
          <w:bdr w:val="none" w:sz="0" w:space="0" w:color="auto" w:frame="1"/>
        </w:rPr>
        <w:t>, 23, pp. 1442-1450.</w:t>
      </w:r>
    </w:p>
    <w:p w14:paraId="334C3A98" w14:textId="77777777" w:rsidR="00503349" w:rsidRDefault="00503349" w:rsidP="00503349">
      <w:pPr>
        <w:spacing w:before="240"/>
        <w:jc w:val="both"/>
        <w:rPr>
          <w:rFonts w:ascii="Times New Roman" w:hAnsi="Times New Roman"/>
          <w:szCs w:val="24"/>
        </w:rPr>
      </w:pPr>
      <w:r>
        <w:rPr>
          <w:rFonts w:ascii="Times New Roman" w:hAnsi="Times New Roman"/>
          <w:bCs/>
          <w:szCs w:val="24"/>
        </w:rPr>
        <w:t xml:space="preserve">Cameron, C., 2001. Promise or problem? A review of the literature on men working in early childhood services. </w:t>
      </w:r>
      <w:r>
        <w:rPr>
          <w:rFonts w:ascii="Times New Roman" w:hAnsi="Times New Roman"/>
          <w:bCs/>
          <w:i/>
          <w:szCs w:val="24"/>
        </w:rPr>
        <w:t>Gender, Work and Organization</w:t>
      </w:r>
      <w:r>
        <w:rPr>
          <w:rFonts w:ascii="Times New Roman" w:hAnsi="Times New Roman"/>
          <w:bCs/>
          <w:szCs w:val="24"/>
        </w:rPr>
        <w:t>, 8(4), pp. 430-453.</w:t>
      </w:r>
    </w:p>
    <w:p w14:paraId="0E709983" w14:textId="77777777" w:rsidR="00503349" w:rsidRPr="003472D7" w:rsidRDefault="00503349" w:rsidP="00503349">
      <w:pPr>
        <w:spacing w:before="240"/>
        <w:jc w:val="both"/>
        <w:rPr>
          <w:rFonts w:ascii="Times New Roman" w:hAnsi="Times New Roman"/>
          <w:szCs w:val="24"/>
        </w:rPr>
      </w:pPr>
      <w:r>
        <w:rPr>
          <w:rFonts w:ascii="Times New Roman" w:hAnsi="Times New Roman"/>
          <w:bCs/>
          <w:szCs w:val="24"/>
        </w:rPr>
        <w:lastRenderedPageBreak/>
        <w:t xml:space="preserve">Cameron, C., Moss, P., Owen, C. and Walford, G., 2001. Men in the nursery: gender and caring work [review]. </w:t>
      </w:r>
      <w:r>
        <w:rPr>
          <w:rFonts w:ascii="Times New Roman" w:hAnsi="Times New Roman"/>
          <w:bCs/>
          <w:i/>
          <w:szCs w:val="24"/>
        </w:rPr>
        <w:t>British Journal of Educational Studies</w:t>
      </w:r>
      <w:r>
        <w:rPr>
          <w:rFonts w:ascii="Times New Roman" w:hAnsi="Times New Roman"/>
          <w:bCs/>
          <w:szCs w:val="24"/>
        </w:rPr>
        <w:t>, 49(2), pp. 231-232.</w:t>
      </w:r>
    </w:p>
    <w:p w14:paraId="10BDE439" w14:textId="77777777" w:rsidR="00503349" w:rsidRPr="00DA2952" w:rsidRDefault="00503349" w:rsidP="00503349">
      <w:pPr>
        <w:rPr>
          <w:rFonts w:ascii="Times New Roman" w:hAnsi="Times New Roman"/>
          <w:szCs w:val="24"/>
        </w:rPr>
      </w:pPr>
      <w:r w:rsidRPr="00DA2952">
        <w:rPr>
          <w:rFonts w:ascii="Times New Roman" w:hAnsi="Times New Roman"/>
          <w:bCs/>
          <w:szCs w:val="24"/>
        </w:rPr>
        <w:t xml:space="preserve">Campbell, S., 2012. A close shave: masculinity and bodywork in dementia care. </w:t>
      </w:r>
      <w:r w:rsidRPr="00DA2952">
        <w:rPr>
          <w:rFonts w:ascii="Times New Roman" w:hAnsi="Times New Roman"/>
          <w:bCs/>
          <w:i/>
          <w:szCs w:val="24"/>
        </w:rPr>
        <w:t>Graduate Journal of Social Science</w:t>
      </w:r>
      <w:r w:rsidRPr="00DA2952">
        <w:rPr>
          <w:rFonts w:ascii="Times New Roman" w:hAnsi="Times New Roman"/>
          <w:bCs/>
          <w:szCs w:val="24"/>
        </w:rPr>
        <w:t>, 9(3), pp. 87-95.</w:t>
      </w:r>
    </w:p>
    <w:p w14:paraId="5FE929EF"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Cancedda, L., 2001. </w:t>
      </w:r>
      <w:r>
        <w:rPr>
          <w:rFonts w:ascii="Times New Roman" w:hAnsi="Times New Roman"/>
          <w:i/>
          <w:szCs w:val="24"/>
        </w:rPr>
        <w:t>Employment in household services</w:t>
      </w:r>
      <w:r>
        <w:rPr>
          <w:rFonts w:ascii="Times New Roman" w:hAnsi="Times New Roman"/>
          <w:szCs w:val="24"/>
        </w:rPr>
        <w:t>. Dublin: European Foundation for the Improvement of Living and Working Conditions. Available at: &lt;https://www.eurofound.europa.eu/publications/report/2001/employment-in-household-services&gt;[Accessed 22 January 2019]</w:t>
      </w:r>
    </w:p>
    <w:p w14:paraId="0EFA9DC1" w14:textId="77777777" w:rsidR="00503349" w:rsidRPr="000A56C6" w:rsidRDefault="00503349" w:rsidP="00503349">
      <w:pPr>
        <w:rPr>
          <w:rFonts w:ascii="Times" w:hAnsi="Times" w:cs="Times"/>
          <w:szCs w:val="24"/>
        </w:rPr>
      </w:pPr>
      <w:r w:rsidRPr="000A56C6">
        <w:rPr>
          <w:rFonts w:ascii="Times" w:hAnsi="Times" w:cs="Times"/>
          <w:szCs w:val="24"/>
        </w:rPr>
        <w:t xml:space="preserve">Cangiano, A. and Shutes, I., 2010. Ageing, demand for care and the role of migrant care workers in the UK. </w:t>
      </w:r>
      <w:r w:rsidRPr="000A56C6">
        <w:rPr>
          <w:rFonts w:ascii="Times" w:hAnsi="Times" w:cs="Times"/>
          <w:i/>
          <w:iCs/>
          <w:szCs w:val="24"/>
        </w:rPr>
        <w:t>Journal of Population Ageing</w:t>
      </w:r>
      <w:r w:rsidRPr="000A56C6">
        <w:rPr>
          <w:rFonts w:ascii="Times" w:hAnsi="Times" w:cs="Times"/>
          <w:szCs w:val="24"/>
        </w:rPr>
        <w:t>, 3(1/2), pp. 39-57.</w:t>
      </w:r>
    </w:p>
    <w:p w14:paraId="3F82A61E" w14:textId="77777777" w:rsidR="00503349" w:rsidRDefault="00503349" w:rsidP="00503349">
      <w:pPr>
        <w:rPr>
          <w:rFonts w:ascii="Times New Roman" w:hAnsi="Times New Roman"/>
          <w:szCs w:val="24"/>
        </w:rPr>
      </w:pPr>
      <w:r w:rsidRPr="007F36BD">
        <w:rPr>
          <w:rFonts w:ascii="Times New Roman" w:hAnsi="Times New Roman"/>
          <w:szCs w:val="24"/>
        </w:rPr>
        <w:t>Cangiano</w:t>
      </w:r>
      <w:r>
        <w:rPr>
          <w:rFonts w:ascii="Times New Roman" w:hAnsi="Times New Roman"/>
          <w:szCs w:val="24"/>
        </w:rPr>
        <w:t>, A. and</w:t>
      </w:r>
      <w:r w:rsidRPr="007F36BD">
        <w:rPr>
          <w:rFonts w:ascii="Times New Roman" w:hAnsi="Times New Roman"/>
          <w:szCs w:val="24"/>
        </w:rPr>
        <w:t xml:space="preserve"> Walsh</w:t>
      </w:r>
      <w:r>
        <w:rPr>
          <w:rFonts w:ascii="Times New Roman" w:hAnsi="Times New Roman"/>
          <w:szCs w:val="24"/>
        </w:rPr>
        <w:t xml:space="preserve">, F.K., 2014. </w:t>
      </w:r>
      <w:r w:rsidRPr="007F36BD">
        <w:rPr>
          <w:rFonts w:ascii="Times New Roman" w:hAnsi="Times New Roman"/>
          <w:szCs w:val="24"/>
        </w:rPr>
        <w:t>Recruitment processes and immigration regulations: the disjointed pathways to employing migrant carers in ageing societies</w:t>
      </w:r>
      <w:r>
        <w:rPr>
          <w:rFonts w:ascii="Times New Roman" w:hAnsi="Times New Roman"/>
          <w:szCs w:val="24"/>
        </w:rPr>
        <w:t xml:space="preserve">. </w:t>
      </w:r>
      <w:r w:rsidRPr="007F36BD">
        <w:rPr>
          <w:rFonts w:ascii="Times New Roman" w:hAnsi="Times New Roman"/>
          <w:i/>
          <w:iCs/>
          <w:szCs w:val="24"/>
        </w:rPr>
        <w:t>Work, Employment and Society</w:t>
      </w:r>
      <w:r w:rsidRPr="007F36BD">
        <w:rPr>
          <w:rFonts w:ascii="Times New Roman" w:hAnsi="Times New Roman"/>
          <w:szCs w:val="24"/>
        </w:rPr>
        <w:t>, 28(3)</w:t>
      </w:r>
      <w:r>
        <w:rPr>
          <w:rFonts w:ascii="Times New Roman" w:hAnsi="Times New Roman"/>
          <w:szCs w:val="24"/>
        </w:rPr>
        <w:t>,</w:t>
      </w:r>
      <w:r w:rsidRPr="007F36BD">
        <w:rPr>
          <w:rFonts w:ascii="Times New Roman" w:hAnsi="Times New Roman"/>
          <w:szCs w:val="24"/>
        </w:rPr>
        <w:t xml:space="preserve"> </w:t>
      </w:r>
      <w:r>
        <w:rPr>
          <w:rFonts w:ascii="Times New Roman" w:hAnsi="Times New Roman"/>
          <w:szCs w:val="24"/>
        </w:rPr>
        <w:t xml:space="preserve">pp. </w:t>
      </w:r>
      <w:r w:rsidRPr="007F36BD">
        <w:rPr>
          <w:rFonts w:ascii="Times New Roman" w:hAnsi="Times New Roman"/>
          <w:szCs w:val="24"/>
        </w:rPr>
        <w:t>372</w:t>
      </w:r>
      <w:r>
        <w:rPr>
          <w:rFonts w:ascii="Times New Roman" w:hAnsi="Times New Roman"/>
          <w:szCs w:val="24"/>
        </w:rPr>
        <w:t>-</w:t>
      </w:r>
      <w:r w:rsidRPr="007F36BD">
        <w:rPr>
          <w:rFonts w:ascii="Times New Roman" w:hAnsi="Times New Roman"/>
          <w:szCs w:val="24"/>
        </w:rPr>
        <w:t>389</w:t>
      </w:r>
      <w:r>
        <w:rPr>
          <w:rFonts w:ascii="Times New Roman" w:hAnsi="Times New Roman"/>
          <w:szCs w:val="24"/>
        </w:rPr>
        <w:t>.</w:t>
      </w:r>
    </w:p>
    <w:p w14:paraId="122B9ECC"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Cangiano, A., Shutes, I., Spencer, S. and Leeson, G., 2009. </w:t>
      </w:r>
      <w:r w:rsidRPr="000A56C6">
        <w:rPr>
          <w:rFonts w:ascii="Times New Roman" w:hAnsi="Times New Roman"/>
          <w:bCs/>
          <w:i/>
          <w:iCs/>
          <w:szCs w:val="24"/>
        </w:rPr>
        <w:t>The role of migrant care workers in ageing societies: research findings in the United Kingdom</w:t>
      </w:r>
      <w:r w:rsidRPr="000A56C6">
        <w:rPr>
          <w:rFonts w:ascii="Times New Roman" w:hAnsi="Times New Roman"/>
          <w:bCs/>
          <w:szCs w:val="24"/>
        </w:rPr>
        <w:t>.</w:t>
      </w:r>
      <w:r w:rsidRPr="000A56C6">
        <w:rPr>
          <w:rFonts w:ascii="Times New Roman" w:hAnsi="Times New Roman"/>
          <w:szCs w:val="24"/>
        </w:rPr>
        <w:t xml:space="preserve"> Oxford: COMPAS. Available at: &lt; https://www.compas.ox.ac.uk/wp-content/uploads/PR-2009-Care_Workers_Ageing_UK.pdf&gt;[Accessed 30 December 2018]</w:t>
      </w:r>
    </w:p>
    <w:p w14:paraId="2E77C00B" w14:textId="77777777" w:rsidR="00503349" w:rsidRDefault="00503349" w:rsidP="00503349">
      <w:pPr>
        <w:rPr>
          <w:rFonts w:ascii="Times New Roman" w:hAnsi="Times New Roman"/>
          <w:szCs w:val="24"/>
        </w:rPr>
      </w:pPr>
      <w:r w:rsidRPr="00CF1AE8">
        <w:rPr>
          <w:rFonts w:ascii="Times New Roman" w:hAnsi="Times New Roman"/>
          <w:szCs w:val="24"/>
        </w:rPr>
        <w:t xml:space="preserve">Cañibano, C. and Bozeman, B., 2009. Curriculum vitae method in science policy and research evaluation: the state-of-the-art. </w:t>
      </w:r>
      <w:r w:rsidRPr="00CF1AE8">
        <w:rPr>
          <w:rFonts w:ascii="Times New Roman" w:hAnsi="Times New Roman"/>
          <w:i/>
          <w:szCs w:val="24"/>
        </w:rPr>
        <w:t>Research Evaluation</w:t>
      </w:r>
      <w:r w:rsidRPr="00CF1AE8">
        <w:rPr>
          <w:rFonts w:ascii="Times New Roman" w:hAnsi="Times New Roman"/>
          <w:szCs w:val="24"/>
        </w:rPr>
        <w:t>, 18(2), pp. 86-94.</w:t>
      </w:r>
    </w:p>
    <w:p w14:paraId="430F27DC"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Carbonnier, G., 2014. Reason, emotion, compassion: can altruism survive professionalisation in the humanitarian sector? </w:t>
      </w:r>
      <w:r w:rsidRPr="00EF189A">
        <w:rPr>
          <w:rFonts w:ascii="Times New Roman" w:hAnsi="Times New Roman"/>
          <w:i/>
          <w:szCs w:val="24"/>
          <w:bdr w:val="none" w:sz="0" w:space="0" w:color="auto" w:frame="1"/>
        </w:rPr>
        <w:t>Disasters</w:t>
      </w:r>
      <w:r w:rsidRPr="00EF189A">
        <w:rPr>
          <w:rFonts w:ascii="Times New Roman" w:hAnsi="Times New Roman"/>
          <w:szCs w:val="24"/>
          <w:bdr w:val="none" w:sz="0" w:space="0" w:color="auto" w:frame="1"/>
        </w:rPr>
        <w:t>, 39(2), pp. 189-207.</w:t>
      </w:r>
    </w:p>
    <w:p w14:paraId="3778EFCD"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Carlozzi, N.E., Sherman, C.W., Angers, K., Belanger, M.P., Austin, A.M. and Ryan, K.A., 2018. Caring for an individual with mild cognitive impairment: a qualitative perspective of health-related quality of life from caregivers. </w:t>
      </w:r>
      <w:r w:rsidRPr="002B3011">
        <w:rPr>
          <w:rFonts w:ascii="Times New Roman" w:hAnsi="Times New Roman"/>
          <w:i/>
          <w:szCs w:val="24"/>
        </w:rPr>
        <w:t>Aging &amp; Mental Health</w:t>
      </w:r>
      <w:r w:rsidRPr="002B3011">
        <w:rPr>
          <w:rFonts w:ascii="Times New Roman" w:hAnsi="Times New Roman"/>
          <w:szCs w:val="24"/>
        </w:rPr>
        <w:t>, 22(9), pp.</w:t>
      </w:r>
      <w:r w:rsidRPr="002B3011">
        <w:rPr>
          <w:rFonts w:ascii="Times New Roman" w:hAnsi="Times New Roman"/>
          <w:color w:val="777777"/>
          <w:szCs w:val="24"/>
        </w:rPr>
        <w:t xml:space="preserve"> </w:t>
      </w:r>
      <w:r w:rsidRPr="002B3011">
        <w:rPr>
          <w:rFonts w:ascii="Times New Roman" w:hAnsi="Times New Roman"/>
          <w:szCs w:val="24"/>
        </w:rPr>
        <w:t>1196-1204. https://doi.org/10.1080/13607863.2017.1341468</w:t>
      </w:r>
    </w:p>
    <w:p w14:paraId="35944CE3"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Carmichael, V., Adamson, G., Sitter, K.C. and Whitley, 2019. Media coverage of mental illness: a comparison of citizen journalism vs. professional journalism portrayals. </w:t>
      </w:r>
      <w:r w:rsidRPr="00DA2952">
        <w:rPr>
          <w:rFonts w:ascii="Times New Roman" w:hAnsi="Times New Roman"/>
          <w:i/>
          <w:iCs/>
          <w:szCs w:val="24"/>
        </w:rPr>
        <w:t>Journal of Mental Health</w:t>
      </w:r>
      <w:r w:rsidRPr="00DA2952">
        <w:rPr>
          <w:rFonts w:ascii="Times New Roman" w:hAnsi="Times New Roman"/>
          <w:szCs w:val="24"/>
        </w:rPr>
        <w:t>, 28(5), pp. 520-526.</w:t>
      </w:r>
    </w:p>
    <w:p w14:paraId="155669E6"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t xml:space="preserve">Cartwright, J., Archbold, P., Stewart, B. and Limandri, B., 1994. Enrichment process in family caregiving to frail elders. </w:t>
      </w:r>
      <w:r w:rsidRPr="002B3011">
        <w:rPr>
          <w:rFonts w:ascii="Times New Roman" w:hAnsi="Times New Roman"/>
          <w:i/>
          <w:szCs w:val="24"/>
        </w:rPr>
        <w:t>Advance in Nursing Sciences</w:t>
      </w:r>
      <w:r w:rsidRPr="002B3011">
        <w:rPr>
          <w:rFonts w:ascii="Times New Roman" w:hAnsi="Times New Roman"/>
          <w:szCs w:val="24"/>
        </w:rPr>
        <w:t>, 17, pp. 31-43.</w:t>
      </w:r>
    </w:p>
    <w:p w14:paraId="2F295055" w14:textId="77777777" w:rsidR="00503349" w:rsidRPr="00EF189A" w:rsidRDefault="00503349" w:rsidP="00503349">
      <w:pPr>
        <w:jc w:val="both"/>
        <w:rPr>
          <w:rFonts w:ascii="Times New Roman" w:hAnsi="Times New Roman"/>
          <w:szCs w:val="24"/>
        </w:rPr>
      </w:pPr>
      <w:r w:rsidRPr="00EF189A">
        <w:rPr>
          <w:rFonts w:ascii="Times New Roman" w:hAnsi="Times New Roman"/>
          <w:szCs w:val="24"/>
        </w:rPr>
        <w:t xml:space="preserve">Cassar, L. and Meier, S., 2018. Nonmonetary incentives and the implications of work as a source of meaning. </w:t>
      </w:r>
      <w:r w:rsidRPr="00EF189A">
        <w:rPr>
          <w:rFonts w:ascii="Times New Roman" w:hAnsi="Times New Roman"/>
          <w:i/>
          <w:iCs/>
          <w:szCs w:val="24"/>
        </w:rPr>
        <w:t>Journal of Economic Perspectives</w:t>
      </w:r>
      <w:r w:rsidRPr="00EF189A">
        <w:rPr>
          <w:rFonts w:ascii="Times New Roman" w:hAnsi="Times New Roman"/>
          <w:szCs w:val="24"/>
        </w:rPr>
        <w:t>, 32(3), pp. 215-238.</w:t>
      </w:r>
    </w:p>
    <w:p w14:paraId="5EFB940F"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t>Castleman, M., Gallagher-Thompson, D. and Naythons, M., 2003. </w:t>
      </w:r>
      <w:r w:rsidRPr="002B3011">
        <w:rPr>
          <w:rFonts w:ascii="Times New Roman" w:hAnsi="Times New Roman"/>
          <w:i/>
          <w:iCs/>
          <w:szCs w:val="24"/>
        </w:rPr>
        <w:t>There's still a person in there: the complete guide to treating and coping with Alzheimer's</w:t>
      </w:r>
      <w:r w:rsidRPr="002B3011">
        <w:rPr>
          <w:rFonts w:ascii="Times New Roman" w:hAnsi="Times New Roman"/>
          <w:szCs w:val="24"/>
        </w:rPr>
        <w:t>. New York: Putnam Publishing.</w:t>
      </w:r>
    </w:p>
    <w:p w14:paraId="746BF2B7"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Castles, S. and Miller, M., 2003. </w:t>
      </w:r>
      <w:r w:rsidRPr="002B46B4">
        <w:rPr>
          <w:rFonts w:ascii="Times New Roman" w:hAnsi="Times New Roman"/>
          <w:i/>
          <w:iCs/>
          <w:szCs w:val="24"/>
        </w:rPr>
        <w:t>The Age of Migration</w:t>
      </w:r>
      <w:r>
        <w:rPr>
          <w:rFonts w:ascii="Times New Roman" w:hAnsi="Times New Roman"/>
          <w:szCs w:val="24"/>
        </w:rPr>
        <w:t>. London: Palgrave</w:t>
      </w:r>
    </w:p>
    <w:p w14:paraId="6C4B4C91" w14:textId="77777777" w:rsidR="00503349" w:rsidRDefault="00503349" w:rsidP="00503349">
      <w:pPr>
        <w:spacing w:before="240"/>
        <w:jc w:val="both"/>
        <w:rPr>
          <w:rFonts w:ascii="Times New Roman" w:hAnsi="Times New Roman"/>
          <w:szCs w:val="24"/>
        </w:rPr>
      </w:pPr>
      <w:r>
        <w:rPr>
          <w:rFonts w:ascii="Times New Roman" w:hAnsi="Times New Roman"/>
          <w:szCs w:val="24"/>
        </w:rPr>
        <w:t>Castles, S. and Miller, M., 2009. The</w:t>
      </w:r>
      <w:r>
        <w:rPr>
          <w:rFonts w:ascii="Times New Roman" w:hAnsi="Times New Roman"/>
          <w:i/>
          <w:szCs w:val="24"/>
        </w:rPr>
        <w:t xml:space="preserve"> Age of Migration: International Population Movements in the Modern World</w:t>
      </w:r>
      <w:r>
        <w:rPr>
          <w:rFonts w:ascii="Times New Roman" w:hAnsi="Times New Roman"/>
          <w:szCs w:val="24"/>
        </w:rPr>
        <w:t>. London: Palgrave.</w:t>
      </w:r>
    </w:p>
    <w:p w14:paraId="1FC53AB5" w14:textId="77777777" w:rsidR="00503349" w:rsidRDefault="00503349" w:rsidP="00503349">
      <w:pPr>
        <w:spacing w:before="240"/>
        <w:jc w:val="both"/>
        <w:rPr>
          <w:rFonts w:ascii="Times New Roman" w:hAnsi="Times New Roman"/>
          <w:szCs w:val="24"/>
        </w:rPr>
      </w:pPr>
      <w:r>
        <w:rPr>
          <w:rFonts w:ascii="Times New Roman" w:hAnsi="Times New Roman"/>
          <w:szCs w:val="24"/>
        </w:rPr>
        <w:t>Castles, S., 2010. Understanding global migration: A social transformation perspective. </w:t>
      </w:r>
      <w:r>
        <w:rPr>
          <w:rFonts w:ascii="Times New Roman" w:hAnsi="Times New Roman"/>
          <w:i/>
          <w:iCs/>
          <w:szCs w:val="24"/>
        </w:rPr>
        <w:t>Journal of Ethnic and Migration Studies</w:t>
      </w:r>
      <w:r>
        <w:rPr>
          <w:rFonts w:ascii="Times New Roman" w:hAnsi="Times New Roman"/>
          <w:szCs w:val="24"/>
        </w:rPr>
        <w:t>, 36(10), pp.1565-1586.</w:t>
      </w:r>
    </w:p>
    <w:p w14:paraId="6C69F81C" w14:textId="77777777" w:rsidR="00503349" w:rsidRDefault="00503349" w:rsidP="00503349">
      <w:pPr>
        <w:spacing w:before="240"/>
        <w:jc w:val="both"/>
        <w:rPr>
          <w:rFonts w:ascii="Times New Roman" w:hAnsi="Times New Roman"/>
          <w:szCs w:val="24"/>
        </w:rPr>
      </w:pPr>
      <w:r>
        <w:rPr>
          <w:rFonts w:ascii="Times New Roman" w:hAnsi="Times New Roman"/>
          <w:szCs w:val="24"/>
        </w:rPr>
        <w:t>Castles, S., De Haas, H. and Miller, M.J., 2014. </w:t>
      </w:r>
      <w:r>
        <w:rPr>
          <w:rFonts w:ascii="Times New Roman" w:hAnsi="Times New Roman"/>
          <w:i/>
          <w:iCs/>
          <w:szCs w:val="24"/>
        </w:rPr>
        <w:t>The Age of Migration</w:t>
      </w:r>
      <w:r>
        <w:rPr>
          <w:rFonts w:ascii="Times New Roman" w:hAnsi="Times New Roman"/>
          <w:szCs w:val="24"/>
        </w:rPr>
        <w:t>. Oxford: Macmillan.</w:t>
      </w:r>
    </w:p>
    <w:p w14:paraId="38603984"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Centre for Policy on Ageing, 2013. The ageing of ethnic minority population of England and Wales: findings from the 2011 census. Available at: &lt;http://www.cpa.org.uk/information/reviews/theageingoftheethnicminoritypopulationsofenglandandwales-findingsfromthe2011census.pdf&gt;[Accessed 12 April 2019]</w:t>
      </w:r>
    </w:p>
    <w:p w14:paraId="5E8B53CB"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Chan, Z.C.Y., Fung, Y. and Chien, W., 2013. Bracketing in phenomenology: only undertaken in the data collection and analysis process? </w:t>
      </w:r>
      <w:r w:rsidRPr="004E3E8F">
        <w:rPr>
          <w:rFonts w:ascii="Times New Roman" w:hAnsi="Times New Roman"/>
          <w:i/>
          <w:iCs/>
          <w:szCs w:val="24"/>
        </w:rPr>
        <w:t>The Qualitative Report,</w:t>
      </w:r>
      <w:r w:rsidRPr="004E3E8F">
        <w:rPr>
          <w:rFonts w:ascii="Times New Roman" w:hAnsi="Times New Roman"/>
          <w:szCs w:val="24"/>
        </w:rPr>
        <w:t xml:space="preserve"> 18(30), pp. 1-9.</w:t>
      </w:r>
    </w:p>
    <w:p w14:paraId="221A8098" w14:textId="77777777" w:rsidR="00503349" w:rsidRPr="00FB6E91" w:rsidRDefault="00503349" w:rsidP="00503349">
      <w:pPr>
        <w:tabs>
          <w:tab w:val="left" w:pos="5445"/>
        </w:tabs>
        <w:jc w:val="both"/>
        <w:rPr>
          <w:rFonts w:ascii="Times New Roman" w:hAnsi="Times New Roman"/>
          <w:szCs w:val="24"/>
        </w:rPr>
      </w:pPr>
      <w:r w:rsidRPr="00FB6E91">
        <w:rPr>
          <w:rFonts w:ascii="Times New Roman" w:hAnsi="Times New Roman"/>
          <w:szCs w:val="24"/>
        </w:rPr>
        <w:t>Chao, S.Y. and Roth, P., 2000. The experiences of Taiwanese women caring for parents‐in‐law. </w:t>
      </w:r>
      <w:r w:rsidRPr="00FB6E91">
        <w:rPr>
          <w:rFonts w:ascii="Times New Roman" w:hAnsi="Times New Roman"/>
          <w:i/>
          <w:iCs/>
          <w:szCs w:val="24"/>
        </w:rPr>
        <w:t>Journal of Advanced Nursing</w:t>
      </w:r>
      <w:r w:rsidRPr="00FB6E91">
        <w:rPr>
          <w:rFonts w:ascii="Times New Roman" w:hAnsi="Times New Roman"/>
          <w:szCs w:val="24"/>
        </w:rPr>
        <w:t>, </w:t>
      </w:r>
      <w:r w:rsidRPr="00B74555">
        <w:rPr>
          <w:rFonts w:ascii="Times New Roman" w:hAnsi="Times New Roman"/>
          <w:szCs w:val="24"/>
        </w:rPr>
        <w:t>31</w:t>
      </w:r>
      <w:r w:rsidRPr="00FB6E91">
        <w:rPr>
          <w:rFonts w:ascii="Times New Roman" w:hAnsi="Times New Roman"/>
          <w:szCs w:val="24"/>
        </w:rPr>
        <w:t>(3), pp.631-638.</w:t>
      </w:r>
    </w:p>
    <w:p w14:paraId="6DC405A2" w14:textId="77777777" w:rsidR="00503349" w:rsidRDefault="00503349" w:rsidP="00503349">
      <w:pPr>
        <w:jc w:val="both"/>
        <w:rPr>
          <w:rFonts w:ascii="Times New Roman" w:hAnsi="Times New Roman"/>
          <w:szCs w:val="24"/>
        </w:rPr>
      </w:pPr>
      <w:r w:rsidRPr="00CF1AE8">
        <w:rPr>
          <w:rFonts w:ascii="Times New Roman" w:hAnsi="Times New Roman"/>
          <w:szCs w:val="24"/>
        </w:rPr>
        <w:lastRenderedPageBreak/>
        <w:t xml:space="preserve">Charsley, K. and Shaw, A., 2006. South Asian transnational marriages in comparative perspective. </w:t>
      </w:r>
      <w:r w:rsidRPr="00CF1AE8">
        <w:rPr>
          <w:rFonts w:ascii="Times New Roman" w:hAnsi="Times New Roman"/>
          <w:i/>
          <w:szCs w:val="24"/>
        </w:rPr>
        <w:t>Global Networks</w:t>
      </w:r>
      <w:r w:rsidRPr="00CF1AE8">
        <w:rPr>
          <w:rFonts w:ascii="Times New Roman" w:hAnsi="Times New Roman"/>
          <w:szCs w:val="24"/>
        </w:rPr>
        <w:t>, 6(4), pp. 331-344.</w:t>
      </w:r>
    </w:p>
    <w:p w14:paraId="1418FD75"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Chatters, L.M., Taylor, R.J., Lincoln, K.D., Nguyen, A. and Joe, S., 2011. Church-based social support and suicidality among African Americans and Black Caribbeans. </w:t>
      </w:r>
      <w:r w:rsidRPr="004E3E8F">
        <w:rPr>
          <w:rFonts w:ascii="Times New Roman" w:hAnsi="Times New Roman"/>
          <w:i/>
          <w:iCs/>
          <w:szCs w:val="24"/>
        </w:rPr>
        <w:t>Archives of Suicide Research</w:t>
      </w:r>
      <w:r w:rsidRPr="004E3E8F">
        <w:rPr>
          <w:rFonts w:ascii="Times New Roman" w:hAnsi="Times New Roman"/>
          <w:szCs w:val="24"/>
        </w:rPr>
        <w:t>, 15(4), pp. 337-353.</w:t>
      </w:r>
    </w:p>
    <w:p w14:paraId="1DC030A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Chen, M. and Lawrie, S., 2017. Newspaper depictions of mental and physical health. </w:t>
      </w:r>
      <w:r w:rsidRPr="00DA2952">
        <w:rPr>
          <w:rFonts w:ascii="Times New Roman" w:hAnsi="Times New Roman"/>
          <w:i/>
          <w:iCs/>
          <w:szCs w:val="24"/>
        </w:rPr>
        <w:t>British Journal of Psychiatry Bulletin</w:t>
      </w:r>
      <w:r w:rsidRPr="00DA2952">
        <w:rPr>
          <w:rFonts w:ascii="Times New Roman" w:hAnsi="Times New Roman"/>
          <w:szCs w:val="24"/>
        </w:rPr>
        <w:t>, 41(6), pp. 308-313.</w:t>
      </w:r>
    </w:p>
    <w:p w14:paraId="7117EEA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Cheng, S-T., Lam, L.C.W., Chan, L.C.K., Law, A.C.B., Fung, A.W.T., Chan, W, Tam, C.W.C., and Chan, W., 2011. The effects of exposure to scenarios about dementia on stigma and attitudes toward dementia care in a Chinese community. </w:t>
      </w:r>
      <w:r w:rsidRPr="002B3011">
        <w:rPr>
          <w:rFonts w:ascii="Times New Roman" w:hAnsi="Times New Roman"/>
          <w:i/>
          <w:color w:val="000000"/>
          <w:szCs w:val="24"/>
        </w:rPr>
        <w:t>International Psychogeriatrics</w:t>
      </w:r>
      <w:r w:rsidRPr="002B3011">
        <w:rPr>
          <w:rFonts w:ascii="Times New Roman" w:hAnsi="Times New Roman"/>
          <w:color w:val="000000"/>
          <w:szCs w:val="24"/>
        </w:rPr>
        <w:t>, 23, pp. 1433-1441.</w:t>
      </w:r>
    </w:p>
    <w:p w14:paraId="3E2C6BE4"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Chenoweth, L., Jeon, Y.H., Merlyn, T.H. and Brodaty, T., 2010. </w:t>
      </w:r>
      <w:r w:rsidRPr="00CF1AE8">
        <w:rPr>
          <w:rFonts w:ascii="Times New Roman" w:hAnsi="Times New Roman"/>
          <w:bCs/>
          <w:szCs w:val="24"/>
        </w:rPr>
        <w:t>A systematic review of what factors attract and retain nurses in aged and dementia care.</w:t>
      </w:r>
      <w:r w:rsidRPr="00CF1AE8">
        <w:rPr>
          <w:rFonts w:ascii="Times New Roman" w:hAnsi="Times New Roman"/>
          <w:szCs w:val="24"/>
        </w:rPr>
        <w:t xml:space="preserve"> </w:t>
      </w:r>
      <w:r w:rsidRPr="00CF1AE8">
        <w:rPr>
          <w:rFonts w:ascii="Times New Roman" w:hAnsi="Times New Roman"/>
          <w:i/>
          <w:szCs w:val="24"/>
        </w:rPr>
        <w:t>Journal of Clinical Nursing</w:t>
      </w:r>
      <w:r w:rsidRPr="00CF1AE8">
        <w:rPr>
          <w:rFonts w:ascii="Times New Roman" w:hAnsi="Times New Roman"/>
          <w:szCs w:val="24"/>
        </w:rPr>
        <w:t>, 19, pp. 156-167.</w:t>
      </w:r>
    </w:p>
    <w:p w14:paraId="4933EC35"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Chenoweth, L., Merlyn, T., Jeon, Y.H., Tait, F. and Duffield, C., 2014. Attracting and retaining qualified nurses in aged and dementia care: outcomes from an Australian study. </w:t>
      </w:r>
      <w:r w:rsidRPr="000A56C6">
        <w:rPr>
          <w:rFonts w:ascii="Times New Roman" w:hAnsi="Times New Roman"/>
          <w:i/>
          <w:iCs/>
          <w:szCs w:val="24"/>
        </w:rPr>
        <w:t>Journal of Nursing Management</w:t>
      </w:r>
      <w:r w:rsidRPr="000A56C6">
        <w:rPr>
          <w:rFonts w:ascii="Times New Roman" w:hAnsi="Times New Roman"/>
          <w:szCs w:val="24"/>
        </w:rPr>
        <w:t>, 22(2), pp. 234-247.</w:t>
      </w:r>
    </w:p>
    <w:p w14:paraId="67F99A0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Chertkow, H., 2018. An action plan to face the challenge of dementia: International Statement on Dementia from IAP for health. </w:t>
      </w:r>
      <w:r w:rsidRPr="00DA2952">
        <w:rPr>
          <w:rFonts w:ascii="Times New Roman" w:hAnsi="Times New Roman"/>
          <w:i/>
          <w:iCs/>
          <w:szCs w:val="24"/>
        </w:rPr>
        <w:t>Journal of Prevention of Alzheimer’s Disease</w:t>
      </w:r>
      <w:r w:rsidRPr="00DA2952">
        <w:rPr>
          <w:rFonts w:ascii="Times New Roman" w:hAnsi="Times New Roman"/>
          <w:szCs w:val="24"/>
        </w:rPr>
        <w:t>, 5(3), pp. 207-212.</w:t>
      </w:r>
    </w:p>
    <w:p w14:paraId="6D97B4AB"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Chiao, C., Wu, H. and Hsiao, C., 2015. Caregiver burden for informal caregivers. </w:t>
      </w:r>
      <w:r w:rsidRPr="00AB40E2">
        <w:rPr>
          <w:rFonts w:ascii="Times New Roman" w:hAnsi="Times New Roman"/>
          <w:i/>
          <w:szCs w:val="24"/>
        </w:rPr>
        <w:t>International Nursing Review</w:t>
      </w:r>
      <w:r w:rsidRPr="00AB40E2">
        <w:rPr>
          <w:rFonts w:ascii="Times New Roman" w:hAnsi="Times New Roman"/>
          <w:szCs w:val="24"/>
        </w:rPr>
        <w:t>, 62, pp. 340-350.</w:t>
      </w:r>
    </w:p>
    <w:p w14:paraId="6FFAFD0E"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Chien, L., Chu, H., Guo, J., Liao, Y., Chang, L., Chen, C. and Chou, K., 2011. Caregiver support groups in patients with dementia: a meta-analysis. </w:t>
      </w:r>
      <w:r w:rsidRPr="000A56C6">
        <w:rPr>
          <w:rFonts w:ascii="Times New Roman" w:hAnsi="Times New Roman"/>
          <w:i/>
          <w:szCs w:val="24"/>
        </w:rPr>
        <w:t>International Journal of Geriatric Psychiatry</w:t>
      </w:r>
      <w:r w:rsidRPr="000A56C6">
        <w:rPr>
          <w:rFonts w:ascii="Times New Roman" w:hAnsi="Times New Roman"/>
          <w:szCs w:val="24"/>
        </w:rPr>
        <w:t>, 26, pp. 1089–1098.</w:t>
      </w:r>
    </w:p>
    <w:p w14:paraId="0ACAE286" w14:textId="77777777" w:rsidR="00503349" w:rsidRDefault="00503349" w:rsidP="00503349">
      <w:pPr>
        <w:jc w:val="both"/>
        <w:rPr>
          <w:rFonts w:ascii="Times New Roman" w:hAnsi="Times New Roman"/>
          <w:szCs w:val="24"/>
        </w:rPr>
      </w:pPr>
      <w:r w:rsidRPr="00C24237">
        <w:rPr>
          <w:rFonts w:ascii="Times New Roman" w:hAnsi="Times New Roman"/>
          <w:szCs w:val="24"/>
        </w:rPr>
        <w:t>Chiou, C.J., Chen, I.P. and Wang, H.H., 2005. The health status of family caregivers in Taiwan: an analysis of gender differences. </w:t>
      </w:r>
      <w:r w:rsidRPr="00C24237">
        <w:rPr>
          <w:rFonts w:ascii="Times New Roman" w:hAnsi="Times New Roman"/>
          <w:i/>
          <w:iCs/>
          <w:szCs w:val="24"/>
        </w:rPr>
        <w:t xml:space="preserve">International Journal of Geriatric </w:t>
      </w:r>
      <w:r w:rsidRPr="00C24237">
        <w:rPr>
          <w:rFonts w:ascii="Times New Roman" w:hAnsi="Times New Roman"/>
          <w:i/>
          <w:iCs/>
          <w:szCs w:val="24"/>
        </w:rPr>
        <w:lastRenderedPageBreak/>
        <w:t xml:space="preserve">Psychiatry: A </w:t>
      </w:r>
      <w:r>
        <w:rPr>
          <w:rFonts w:ascii="Times New Roman" w:hAnsi="Times New Roman"/>
          <w:i/>
          <w:iCs/>
          <w:szCs w:val="24"/>
        </w:rPr>
        <w:t>J</w:t>
      </w:r>
      <w:r w:rsidRPr="00C24237">
        <w:rPr>
          <w:rFonts w:ascii="Times New Roman" w:hAnsi="Times New Roman"/>
          <w:i/>
          <w:iCs/>
          <w:szCs w:val="24"/>
        </w:rPr>
        <w:t xml:space="preserve">ournal of the </w:t>
      </w:r>
      <w:r>
        <w:rPr>
          <w:rFonts w:ascii="Times New Roman" w:hAnsi="Times New Roman"/>
          <w:i/>
          <w:iCs/>
          <w:szCs w:val="24"/>
        </w:rPr>
        <w:t>P</w:t>
      </w:r>
      <w:r w:rsidRPr="00C24237">
        <w:rPr>
          <w:rFonts w:ascii="Times New Roman" w:hAnsi="Times New Roman"/>
          <w:i/>
          <w:iCs/>
          <w:szCs w:val="24"/>
        </w:rPr>
        <w:t xml:space="preserve">sychiatry of </w:t>
      </w:r>
      <w:r>
        <w:rPr>
          <w:rFonts w:ascii="Times New Roman" w:hAnsi="Times New Roman"/>
          <w:i/>
          <w:iCs/>
          <w:szCs w:val="24"/>
        </w:rPr>
        <w:t>L</w:t>
      </w:r>
      <w:r w:rsidRPr="00C24237">
        <w:rPr>
          <w:rFonts w:ascii="Times New Roman" w:hAnsi="Times New Roman"/>
          <w:i/>
          <w:iCs/>
          <w:szCs w:val="24"/>
        </w:rPr>
        <w:t xml:space="preserve">ate </w:t>
      </w:r>
      <w:r>
        <w:rPr>
          <w:rFonts w:ascii="Times New Roman" w:hAnsi="Times New Roman"/>
          <w:i/>
          <w:iCs/>
          <w:szCs w:val="24"/>
        </w:rPr>
        <w:t>L</w:t>
      </w:r>
      <w:r w:rsidRPr="00C24237">
        <w:rPr>
          <w:rFonts w:ascii="Times New Roman" w:hAnsi="Times New Roman"/>
          <w:i/>
          <w:iCs/>
          <w:szCs w:val="24"/>
        </w:rPr>
        <w:t xml:space="preserve">ife and </w:t>
      </w:r>
      <w:r>
        <w:rPr>
          <w:rFonts w:ascii="Times New Roman" w:hAnsi="Times New Roman"/>
          <w:i/>
          <w:iCs/>
          <w:szCs w:val="24"/>
        </w:rPr>
        <w:t>A</w:t>
      </w:r>
      <w:r w:rsidRPr="00C24237">
        <w:rPr>
          <w:rFonts w:ascii="Times New Roman" w:hAnsi="Times New Roman"/>
          <w:i/>
          <w:iCs/>
          <w:szCs w:val="24"/>
        </w:rPr>
        <w:t xml:space="preserve">llied </w:t>
      </w:r>
      <w:r>
        <w:rPr>
          <w:rFonts w:ascii="Times New Roman" w:hAnsi="Times New Roman"/>
          <w:i/>
          <w:iCs/>
          <w:szCs w:val="24"/>
        </w:rPr>
        <w:t>S</w:t>
      </w:r>
      <w:r w:rsidRPr="00C24237">
        <w:rPr>
          <w:rFonts w:ascii="Times New Roman" w:hAnsi="Times New Roman"/>
          <w:i/>
          <w:iCs/>
          <w:szCs w:val="24"/>
        </w:rPr>
        <w:t>ciences</w:t>
      </w:r>
      <w:r w:rsidRPr="00C24237">
        <w:rPr>
          <w:rFonts w:ascii="Times New Roman" w:hAnsi="Times New Roman"/>
          <w:szCs w:val="24"/>
        </w:rPr>
        <w:t>, 20(9), pp.821</w:t>
      </w:r>
      <w:r>
        <w:rPr>
          <w:rFonts w:ascii="Times New Roman" w:hAnsi="Times New Roman"/>
          <w:szCs w:val="24"/>
        </w:rPr>
        <w:t>-</w:t>
      </w:r>
      <w:r w:rsidRPr="00C24237">
        <w:rPr>
          <w:rFonts w:ascii="Times New Roman" w:hAnsi="Times New Roman"/>
          <w:szCs w:val="24"/>
        </w:rPr>
        <w:t>826.</w:t>
      </w:r>
    </w:p>
    <w:p w14:paraId="2460D977"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Chiu, E., 2005. Limitations in the current classification systems for dementia. </w:t>
      </w:r>
      <w:r w:rsidRPr="00DA2952">
        <w:rPr>
          <w:rFonts w:ascii="Times New Roman" w:hAnsi="Times New Roman"/>
          <w:i/>
          <w:iCs/>
          <w:szCs w:val="24"/>
        </w:rPr>
        <w:t>International Psychogeriatrics</w:t>
      </w:r>
      <w:r w:rsidRPr="00DA2952">
        <w:rPr>
          <w:rFonts w:ascii="Times New Roman" w:hAnsi="Times New Roman"/>
          <w:szCs w:val="24"/>
        </w:rPr>
        <w:t>, 17(s</w:t>
      </w:r>
      <w:r>
        <w:rPr>
          <w:rFonts w:ascii="Times New Roman" w:hAnsi="Times New Roman"/>
          <w:szCs w:val="24"/>
        </w:rPr>
        <w:t>uppl._</w:t>
      </w:r>
      <w:r w:rsidRPr="00DA2952">
        <w:rPr>
          <w:rFonts w:ascii="Times New Roman" w:hAnsi="Times New Roman"/>
          <w:szCs w:val="24"/>
        </w:rPr>
        <w:t>1), pp. S17-S26.</w:t>
      </w:r>
    </w:p>
    <w:bookmarkEnd w:id="305"/>
    <w:p w14:paraId="32837935" w14:textId="77777777" w:rsidR="00503349" w:rsidRPr="00DA2952" w:rsidRDefault="00503349" w:rsidP="00503349">
      <w:pPr>
        <w:jc w:val="both"/>
        <w:rPr>
          <w:rFonts w:ascii="Times New Roman" w:hAnsi="Times New Roman"/>
        </w:rPr>
      </w:pPr>
      <w:r w:rsidRPr="00DA2952">
        <w:rPr>
          <w:rFonts w:ascii="Times New Roman" w:hAnsi="Times New Roman"/>
        </w:rPr>
        <w:t>Chou, C.F., Cotch, M.F., Vitale, S., Zhang, X., Klein, R., Friedman, D.S., Klein, B.E. and Saaddine, J.B., 2013. Age-related eye diseases and visual impairment among US adults. </w:t>
      </w:r>
      <w:r w:rsidRPr="00DA2952">
        <w:rPr>
          <w:rFonts w:ascii="Times New Roman" w:hAnsi="Times New Roman"/>
          <w:i/>
          <w:iCs/>
        </w:rPr>
        <w:t>American Journal of Preventive Medicine</w:t>
      </w:r>
      <w:r w:rsidRPr="00DA2952">
        <w:rPr>
          <w:rFonts w:ascii="Times New Roman" w:hAnsi="Times New Roman"/>
        </w:rPr>
        <w:t>, 45, pp. 29-35.</w:t>
      </w:r>
    </w:p>
    <w:p w14:paraId="78CDAAF6"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Christensen, K., Hussein, S. and Ismail, M., 2017. Migrant intelligence shaping work destination choice: the case of long-term care work in the United Kingdom and Norway. </w:t>
      </w:r>
      <w:r>
        <w:rPr>
          <w:rFonts w:ascii="Times New Roman" w:hAnsi="Times New Roman"/>
          <w:i/>
          <w:szCs w:val="24"/>
        </w:rPr>
        <w:t>European Journal of Aging</w:t>
      </w:r>
      <w:r>
        <w:rPr>
          <w:rFonts w:ascii="Times New Roman" w:hAnsi="Times New Roman"/>
          <w:szCs w:val="24"/>
        </w:rPr>
        <w:t>, 14(3), pp. 219-232.</w:t>
      </w:r>
    </w:p>
    <w:p w14:paraId="05248EDD"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t xml:space="preserve">Chu, J.P. and Sue, S., 2011. Asian American mental health: what we know and what we don't know. </w:t>
      </w:r>
      <w:r w:rsidRPr="002B3011">
        <w:rPr>
          <w:rFonts w:ascii="Times New Roman" w:hAnsi="Times New Roman"/>
          <w:i/>
          <w:szCs w:val="24"/>
        </w:rPr>
        <w:t>Online Readings in Psychology and Culture</w:t>
      </w:r>
      <w:r w:rsidRPr="002B3011">
        <w:rPr>
          <w:rFonts w:ascii="Times New Roman" w:hAnsi="Times New Roman"/>
          <w:szCs w:val="24"/>
        </w:rPr>
        <w:t>, 3(1). Available on &lt;http://scholarworks.gvsu.edu/cgi/viewcontent.cgi?article=1026&amp;context=orpc&gt;[Accessed 17 October 2018].</w:t>
      </w:r>
    </w:p>
    <w:p w14:paraId="6689728C" w14:textId="77777777" w:rsidR="00503349" w:rsidRDefault="00503349" w:rsidP="00503349">
      <w:pPr>
        <w:rPr>
          <w:rFonts w:ascii="Times New Roman" w:hAnsi="Times New Roman"/>
          <w:szCs w:val="24"/>
        </w:rPr>
      </w:pPr>
      <w:r w:rsidRPr="00AB40E2">
        <w:rPr>
          <w:rFonts w:ascii="Times New Roman" w:hAnsi="Times New Roman"/>
          <w:szCs w:val="24"/>
        </w:rPr>
        <w:t xml:space="preserve">Chumbler, N.R., Grimm, J.W., Cody, M. and Beck, C., 2003. Gender, kinship and caregiver burden: the case of community‐dwelling memory impaired seniors. </w:t>
      </w:r>
      <w:r w:rsidRPr="00AB40E2">
        <w:rPr>
          <w:rFonts w:ascii="Times New Roman" w:hAnsi="Times New Roman"/>
          <w:i/>
          <w:szCs w:val="24"/>
        </w:rPr>
        <w:t>International Journal of Geriatric Psychiatry</w:t>
      </w:r>
      <w:r w:rsidRPr="00AB40E2">
        <w:rPr>
          <w:rFonts w:ascii="Times New Roman" w:hAnsi="Times New Roman"/>
          <w:szCs w:val="24"/>
        </w:rPr>
        <w:t>, 18, pp. 722-732.</w:t>
      </w:r>
    </w:p>
    <w:p w14:paraId="41FC62E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Chung, R.C.Y. and Bemak, F., 2002. The relationship of culture and empathy in cross‐cultural counseling. </w:t>
      </w:r>
      <w:r w:rsidRPr="00DA2952">
        <w:rPr>
          <w:rFonts w:ascii="Times New Roman" w:hAnsi="Times New Roman"/>
          <w:i/>
          <w:iCs/>
          <w:szCs w:val="24"/>
        </w:rPr>
        <w:t>Journal of Counseling &amp; Development</w:t>
      </w:r>
      <w:r w:rsidRPr="00DA2952">
        <w:rPr>
          <w:rFonts w:ascii="Times New Roman" w:hAnsi="Times New Roman"/>
          <w:szCs w:val="24"/>
        </w:rPr>
        <w:t>, 80(2), pp. 154-159.</w:t>
      </w:r>
    </w:p>
    <w:p w14:paraId="0A6A8C3D" w14:textId="77777777" w:rsidR="00503349" w:rsidRDefault="00503349" w:rsidP="00503349">
      <w:pPr>
        <w:tabs>
          <w:tab w:val="left" w:pos="5445"/>
        </w:tabs>
        <w:jc w:val="both"/>
        <w:rPr>
          <w:rFonts w:ascii="Times New Roman" w:hAnsi="Times New Roman"/>
          <w:szCs w:val="24"/>
        </w:rPr>
      </w:pPr>
      <w:r w:rsidRPr="00FB6E91">
        <w:rPr>
          <w:rFonts w:ascii="Times New Roman" w:hAnsi="Times New Roman"/>
          <w:szCs w:val="24"/>
        </w:rPr>
        <w:t>Cicirelli, V.G.</w:t>
      </w:r>
      <w:r>
        <w:rPr>
          <w:rFonts w:ascii="Times New Roman" w:hAnsi="Times New Roman"/>
          <w:szCs w:val="24"/>
        </w:rPr>
        <w:t xml:space="preserve">, </w:t>
      </w:r>
      <w:r w:rsidRPr="00FB6E91">
        <w:rPr>
          <w:rFonts w:ascii="Times New Roman" w:hAnsi="Times New Roman"/>
          <w:szCs w:val="24"/>
        </w:rPr>
        <w:t xml:space="preserve">1995. A measure of caregiving daughter’s attachment to elderly mothers. </w:t>
      </w:r>
      <w:r w:rsidRPr="005606BD">
        <w:rPr>
          <w:rFonts w:ascii="Times New Roman" w:hAnsi="Times New Roman"/>
          <w:i/>
          <w:iCs/>
          <w:szCs w:val="24"/>
        </w:rPr>
        <w:t>Journal of Family Psychology</w:t>
      </w:r>
      <w:r w:rsidRPr="00FB6E91">
        <w:rPr>
          <w:rFonts w:ascii="Times New Roman" w:hAnsi="Times New Roman"/>
          <w:szCs w:val="24"/>
        </w:rPr>
        <w:t>, 9, 89-94.</w:t>
      </w:r>
    </w:p>
    <w:p w14:paraId="3492B79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Ciobanu, R.O., Nedelcu, M., Soom Ammann, E. and van Holten, K., 2020. Intersections between ageing and migration: current trends and challenges. </w:t>
      </w:r>
      <w:r w:rsidRPr="002B3011">
        <w:rPr>
          <w:rFonts w:ascii="Times New Roman" w:hAnsi="Times New Roman"/>
          <w:i/>
          <w:iCs/>
          <w:color w:val="000000"/>
          <w:szCs w:val="24"/>
        </w:rPr>
        <w:t>Swiss Journal of Sociology</w:t>
      </w:r>
      <w:r w:rsidRPr="002B3011">
        <w:rPr>
          <w:rFonts w:ascii="Times New Roman" w:hAnsi="Times New Roman"/>
          <w:color w:val="000000"/>
          <w:szCs w:val="24"/>
        </w:rPr>
        <w:t>, 46, pp. 187-197.</w:t>
      </w:r>
    </w:p>
    <w:p w14:paraId="7B9A9F07" w14:textId="77777777" w:rsidR="00503349" w:rsidRPr="00481809" w:rsidRDefault="00503349" w:rsidP="00503349">
      <w:pPr>
        <w:jc w:val="both"/>
        <w:rPr>
          <w:rFonts w:ascii="Times New Roman" w:hAnsi="Times New Roman"/>
          <w:szCs w:val="24"/>
        </w:rPr>
      </w:pPr>
      <w:r w:rsidRPr="00481809">
        <w:rPr>
          <w:rFonts w:ascii="Times New Roman" w:hAnsi="Times New Roman"/>
          <w:szCs w:val="24"/>
        </w:rPr>
        <w:t>Clague, F., Mercer, S.W., McLean, G., Reynish, E. and Guthrie, B., 2017. Comorbidity and polypharmacy in people with dementia: insights from a large, population-based cross-sectional analysis of primary care data, </w:t>
      </w:r>
      <w:r w:rsidRPr="00481809">
        <w:rPr>
          <w:rFonts w:ascii="Times New Roman" w:hAnsi="Times New Roman"/>
          <w:i/>
          <w:iCs/>
          <w:szCs w:val="24"/>
        </w:rPr>
        <w:t>Age and Ageing</w:t>
      </w:r>
      <w:r w:rsidRPr="00481809">
        <w:rPr>
          <w:rFonts w:ascii="Times New Roman" w:hAnsi="Times New Roman"/>
          <w:szCs w:val="24"/>
        </w:rPr>
        <w:t>, 46, pp. 33-39.</w:t>
      </w:r>
    </w:p>
    <w:p w14:paraId="75D3DB0E" w14:textId="77777777" w:rsidR="00503349" w:rsidRDefault="00503349" w:rsidP="00503349">
      <w:pPr>
        <w:jc w:val="both"/>
        <w:rPr>
          <w:rFonts w:ascii="Times New Roman" w:hAnsi="Times New Roman"/>
          <w:szCs w:val="24"/>
        </w:rPr>
      </w:pPr>
      <w:r w:rsidRPr="00AB40E2">
        <w:rPr>
          <w:rFonts w:ascii="Times New Roman" w:hAnsi="Times New Roman"/>
          <w:szCs w:val="24"/>
        </w:rPr>
        <w:lastRenderedPageBreak/>
        <w:t xml:space="preserve">Clyburn, L., Stones, M., Hadjistavropoulos, T. and Tuokko, H., 2000. Predicting caregiver burden and depression in Alzheimer’s disease. </w:t>
      </w:r>
      <w:r w:rsidRPr="00AB40E2">
        <w:rPr>
          <w:rFonts w:ascii="Times New Roman" w:hAnsi="Times New Roman"/>
          <w:i/>
          <w:szCs w:val="24"/>
        </w:rPr>
        <w:t>Journal of Gerontology: Social Sciences: Series B</w:t>
      </w:r>
      <w:r w:rsidRPr="00AB40E2">
        <w:rPr>
          <w:rFonts w:ascii="Times New Roman" w:hAnsi="Times New Roman"/>
          <w:szCs w:val="24"/>
        </w:rPr>
        <w:t>, 55, pp. S2–S13.</w:t>
      </w:r>
    </w:p>
    <w:p w14:paraId="5B87B0AE" w14:textId="77777777" w:rsidR="00503349" w:rsidRPr="000A56C6" w:rsidRDefault="00503349" w:rsidP="00503349">
      <w:pPr>
        <w:shd w:val="clear" w:color="auto" w:fill="FFFFFF"/>
        <w:spacing w:before="240" w:after="0"/>
        <w:rPr>
          <w:rFonts w:ascii="Times New Roman" w:hAnsi="Times New Roman"/>
          <w:szCs w:val="24"/>
        </w:rPr>
      </w:pPr>
      <w:r w:rsidRPr="000A56C6">
        <w:rPr>
          <w:rFonts w:ascii="Times New Roman" w:hAnsi="Times New Roman"/>
          <w:szCs w:val="24"/>
        </w:rPr>
        <w:t xml:space="preserve">Cocco, E., Gatti, M., Lima, C. and Camus, V., 2003. A comparative study of stress and burnout among staff in nursing homes and acute geriatric wards. </w:t>
      </w:r>
      <w:r w:rsidRPr="000A56C6">
        <w:rPr>
          <w:rFonts w:ascii="Times New Roman" w:hAnsi="Times New Roman"/>
          <w:i/>
          <w:szCs w:val="24"/>
        </w:rPr>
        <w:t>International Journal of Geriatric Psychiatry</w:t>
      </w:r>
      <w:r w:rsidRPr="000A56C6">
        <w:rPr>
          <w:rFonts w:ascii="Times New Roman" w:hAnsi="Times New Roman"/>
          <w:szCs w:val="24"/>
        </w:rPr>
        <w:t>, 18, pp. 78-85.</w:t>
      </w:r>
    </w:p>
    <w:p w14:paraId="7F91E224" w14:textId="77777777" w:rsidR="00503349" w:rsidRPr="000A56C6" w:rsidRDefault="00503349" w:rsidP="00503349">
      <w:pPr>
        <w:shd w:val="clear" w:color="auto" w:fill="FFFFFF"/>
        <w:spacing w:before="240"/>
        <w:rPr>
          <w:rFonts w:ascii="Times New Roman" w:hAnsi="Times New Roman"/>
          <w:szCs w:val="24"/>
          <w:lang w:val="en"/>
        </w:rPr>
      </w:pPr>
      <w:r w:rsidRPr="000A56C6">
        <w:rPr>
          <w:rFonts w:ascii="Times New Roman" w:hAnsi="Times New Roman"/>
          <w:szCs w:val="24"/>
        </w:rPr>
        <w:t xml:space="preserve">Coelho, A., Parola, V., Cardoso, D., Duarte, S., Almeida, M. and Apóstolo, J., 2017. The use of the aged simulation suit in nursing students: a scoping review. </w:t>
      </w:r>
      <w:r w:rsidRPr="000A56C6">
        <w:rPr>
          <w:rFonts w:ascii="Times New Roman" w:hAnsi="Times New Roman"/>
          <w:i/>
          <w:iCs/>
          <w:szCs w:val="24"/>
        </w:rPr>
        <w:t>Revista de Enfermagem Referência</w:t>
      </w:r>
      <w:r w:rsidRPr="000A56C6">
        <w:rPr>
          <w:rFonts w:ascii="Times New Roman" w:hAnsi="Times New Roman"/>
          <w:szCs w:val="24"/>
        </w:rPr>
        <w:t>, 4(14), pp. 147-157.</w:t>
      </w:r>
    </w:p>
    <w:p w14:paraId="1A9D849A" w14:textId="77777777" w:rsidR="00503349" w:rsidRDefault="00503349" w:rsidP="00503349">
      <w:pPr>
        <w:rPr>
          <w:rFonts w:ascii="Times New Roman" w:hAnsi="Times New Roman"/>
          <w:szCs w:val="24"/>
        </w:rPr>
      </w:pPr>
      <w:r w:rsidRPr="00AB40E2">
        <w:rPr>
          <w:rFonts w:ascii="Times New Roman" w:hAnsi="Times New Roman"/>
          <w:szCs w:val="24"/>
        </w:rPr>
        <w:t xml:space="preserve">Coen, R.F., O’Boyle, C.A., Coakley, D. and Lawlor, B.A., 2002. Individual quality of life factors distinguishing low-burden and high-burden caregivers of dementia patients. </w:t>
      </w:r>
      <w:r w:rsidRPr="00AB40E2">
        <w:rPr>
          <w:rFonts w:ascii="Times New Roman" w:hAnsi="Times New Roman"/>
          <w:i/>
          <w:szCs w:val="24"/>
        </w:rPr>
        <w:t>Dementia and Geriatric Cognitive Disorders</w:t>
      </w:r>
      <w:r w:rsidRPr="00AB40E2">
        <w:rPr>
          <w:rFonts w:ascii="Times New Roman" w:hAnsi="Times New Roman"/>
          <w:szCs w:val="24"/>
        </w:rPr>
        <w:t>, 13(3), pp. 164-170.</w:t>
      </w:r>
    </w:p>
    <w:p w14:paraId="27F4D5C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lang w:val="en"/>
        </w:rPr>
        <w:t xml:space="preserve">Cohen, C.A., Colantonio, A. and Vernich, L., 2002. Positive aspects of caregiving: Rounding out the caregiver experience. </w:t>
      </w:r>
      <w:r w:rsidRPr="002B3011">
        <w:rPr>
          <w:rFonts w:ascii="Times New Roman" w:hAnsi="Times New Roman"/>
          <w:i/>
          <w:color w:val="000000"/>
          <w:szCs w:val="24"/>
          <w:lang w:val="en"/>
        </w:rPr>
        <w:t>International Journal of Geriatric Psychiatry</w:t>
      </w:r>
      <w:r w:rsidRPr="002B3011">
        <w:rPr>
          <w:rFonts w:ascii="Times New Roman" w:hAnsi="Times New Roman"/>
          <w:color w:val="000000"/>
          <w:szCs w:val="24"/>
          <w:lang w:val="en"/>
        </w:rPr>
        <w:t>, 17, pp. 184-188.</w:t>
      </w:r>
    </w:p>
    <w:p w14:paraId="76BAC261" w14:textId="77777777" w:rsidR="00503349" w:rsidRPr="00DA2952" w:rsidRDefault="00503349" w:rsidP="00503349">
      <w:pPr>
        <w:rPr>
          <w:rFonts w:ascii="Times New Roman" w:hAnsi="Times New Roman"/>
          <w:szCs w:val="24"/>
        </w:rPr>
      </w:pPr>
      <w:r w:rsidRPr="00DA2952">
        <w:rPr>
          <w:rFonts w:ascii="Times New Roman" w:hAnsi="Times New Roman"/>
          <w:szCs w:val="24"/>
        </w:rPr>
        <w:t xml:space="preserve">Cohen, R.L. and Wolkowitz, C., 2017. The feminization of body work. </w:t>
      </w:r>
      <w:r w:rsidRPr="00DA2952">
        <w:rPr>
          <w:rFonts w:ascii="Times New Roman" w:hAnsi="Times New Roman"/>
          <w:i/>
          <w:iCs/>
          <w:szCs w:val="24"/>
        </w:rPr>
        <w:t>Gender, Work and Organisation</w:t>
      </w:r>
      <w:r w:rsidRPr="00DA2952">
        <w:rPr>
          <w:rFonts w:ascii="Times New Roman" w:hAnsi="Times New Roman"/>
          <w:szCs w:val="24"/>
        </w:rPr>
        <w:t>, 25, pp. 42-62. Available at: &lt;https://openaccess.city.ac.uk/id/eprit/17132/1/&gt;[Accessed 12 August 2020]</w:t>
      </w:r>
    </w:p>
    <w:p w14:paraId="75C00A2E"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Cohen-Charash, Y. and Mueler, J.S., 2007. Does perceived unfairness exacerbate or mitigate interpersonal counterproductive work behaviors related to envy? </w:t>
      </w:r>
      <w:r w:rsidRPr="00EF189A">
        <w:rPr>
          <w:rFonts w:ascii="Times New Roman" w:hAnsi="Times New Roman"/>
          <w:i/>
          <w:szCs w:val="24"/>
          <w:bdr w:val="none" w:sz="0" w:space="0" w:color="auto" w:frame="1"/>
        </w:rPr>
        <w:t>Journal of Applied Psychology</w:t>
      </w:r>
      <w:r w:rsidRPr="00EF189A">
        <w:rPr>
          <w:rFonts w:ascii="Times New Roman" w:hAnsi="Times New Roman"/>
          <w:szCs w:val="24"/>
          <w:bdr w:val="none" w:sz="0" w:space="0" w:color="auto" w:frame="1"/>
        </w:rPr>
        <w:t>, 92, pp. 666-680.</w:t>
      </w:r>
    </w:p>
    <w:p w14:paraId="63538C28" w14:textId="77777777" w:rsidR="00503349" w:rsidRPr="00A826A2" w:rsidRDefault="00503349" w:rsidP="00503349">
      <w:pPr>
        <w:jc w:val="both"/>
        <w:rPr>
          <w:rFonts w:ascii="Times New Roman" w:hAnsi="Times New Roman"/>
          <w:szCs w:val="24"/>
        </w:rPr>
      </w:pPr>
      <w:r w:rsidRPr="00CF1AE8">
        <w:rPr>
          <w:rFonts w:ascii="Times New Roman" w:hAnsi="Times New Roman"/>
          <w:szCs w:val="24"/>
        </w:rPr>
        <w:t xml:space="preserve">Cohen-Mansfield, J., 2000. Theoretical frameworks for behavioural problems in dementia. </w:t>
      </w:r>
      <w:r w:rsidRPr="00330078">
        <w:rPr>
          <w:rFonts w:ascii="Times New Roman" w:hAnsi="Times New Roman"/>
          <w:i/>
          <w:szCs w:val="24"/>
        </w:rPr>
        <w:t>Alzheimer’s Care Quarterly</w:t>
      </w:r>
      <w:r>
        <w:rPr>
          <w:rFonts w:ascii="Times New Roman" w:hAnsi="Times New Roman"/>
          <w:szCs w:val="24"/>
        </w:rPr>
        <w:t xml:space="preserve">, 1, pp. </w:t>
      </w:r>
      <w:r w:rsidRPr="00CF1AE8">
        <w:rPr>
          <w:rFonts w:ascii="Times New Roman" w:hAnsi="Times New Roman"/>
          <w:szCs w:val="24"/>
        </w:rPr>
        <w:t>8-21.</w:t>
      </w:r>
    </w:p>
    <w:p w14:paraId="1734C7B4" w14:textId="77777777" w:rsidR="00503349" w:rsidRDefault="00503349" w:rsidP="00503349">
      <w:pPr>
        <w:jc w:val="both"/>
        <w:rPr>
          <w:rFonts w:ascii="Times New Roman" w:hAnsi="Times New Roman"/>
          <w:szCs w:val="24"/>
        </w:rPr>
      </w:pPr>
      <w:r w:rsidRPr="002D08D1">
        <w:rPr>
          <w:rFonts w:ascii="Times New Roman" w:hAnsi="Times New Roman"/>
          <w:szCs w:val="24"/>
        </w:rPr>
        <w:t>Cohen-Mansfield, J., Dakheel-Ali, M., Marx, M.S., Thein, K. and Regier, N.G., 2015. Which unmet needs contribute to behavior problems in persons with advanced dementia?. </w:t>
      </w:r>
      <w:r w:rsidRPr="002D08D1">
        <w:rPr>
          <w:rFonts w:ascii="Times New Roman" w:hAnsi="Times New Roman"/>
          <w:i/>
          <w:iCs/>
          <w:szCs w:val="24"/>
        </w:rPr>
        <w:t>Psychiatry Research</w:t>
      </w:r>
      <w:r w:rsidRPr="002D08D1">
        <w:rPr>
          <w:rFonts w:ascii="Times New Roman" w:hAnsi="Times New Roman"/>
          <w:szCs w:val="24"/>
        </w:rPr>
        <w:t>, 228, pp.</w:t>
      </w:r>
      <w:r>
        <w:rPr>
          <w:rFonts w:ascii="Times New Roman" w:hAnsi="Times New Roman"/>
          <w:szCs w:val="24"/>
        </w:rPr>
        <w:t xml:space="preserve"> </w:t>
      </w:r>
      <w:r w:rsidRPr="002D08D1">
        <w:rPr>
          <w:rFonts w:ascii="Times New Roman" w:hAnsi="Times New Roman"/>
          <w:szCs w:val="24"/>
        </w:rPr>
        <w:t>59-64.</w:t>
      </w:r>
    </w:p>
    <w:p w14:paraId="5EDE10D1" w14:textId="77777777" w:rsidR="00503349" w:rsidRPr="000A56C6" w:rsidRDefault="00503349" w:rsidP="00503349">
      <w:pPr>
        <w:jc w:val="both"/>
        <w:rPr>
          <w:rFonts w:ascii="Times" w:hAnsi="Times" w:cs="Times"/>
          <w:szCs w:val="24"/>
        </w:rPr>
      </w:pPr>
      <w:r w:rsidRPr="000A56C6">
        <w:rPr>
          <w:rFonts w:ascii="Times" w:hAnsi="Times" w:cs="Times"/>
          <w:szCs w:val="24"/>
        </w:rPr>
        <w:lastRenderedPageBreak/>
        <w:t xml:space="preserve">Cometto, G., Scheffler, R., Bruckner, T., Liu, J., Maeda, A., Tomblin-Murphy, G., Hunter, D. and Campbell, J., 2017. Health workforce needs, demand and shortages to 2030: an overview of forecasted trends in the global health labour market. In: J. Buchan, I.S. Dhillon &amp; J. Campbell, eds., 2017. </w:t>
      </w:r>
      <w:r w:rsidRPr="000A56C6">
        <w:rPr>
          <w:rFonts w:ascii="Times" w:hAnsi="Times" w:cs="Times"/>
          <w:i/>
          <w:iCs/>
          <w:szCs w:val="24"/>
        </w:rPr>
        <w:t>Health employment and economic growth: an evidence base</w:t>
      </w:r>
      <w:r w:rsidRPr="000A56C6">
        <w:rPr>
          <w:rFonts w:ascii="Times" w:hAnsi="Times" w:cs="Times"/>
          <w:szCs w:val="24"/>
        </w:rPr>
        <w:t>. Geneva: World Health Organization.</w:t>
      </w:r>
    </w:p>
    <w:p w14:paraId="08380642"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Connell, C.M. and Gibson, G.D., 1997. Racial, ethnic, and cultural differences in dementia caregiving: review and analysis.</w:t>
      </w:r>
      <w:r w:rsidRPr="002B3011">
        <w:rPr>
          <w:rFonts w:ascii="Times New Roman" w:hAnsi="Times New Roman"/>
          <w:i/>
          <w:iCs/>
          <w:szCs w:val="24"/>
          <w:lang w:val="en"/>
        </w:rPr>
        <w:t xml:space="preserve"> The Gerontologist</w:t>
      </w:r>
      <w:r w:rsidRPr="002B3011">
        <w:rPr>
          <w:rFonts w:ascii="Times New Roman" w:hAnsi="Times New Roman"/>
          <w:iCs/>
          <w:szCs w:val="24"/>
          <w:lang w:val="en"/>
        </w:rPr>
        <w:t>, 37(3), pp. 355-364.</w:t>
      </w:r>
    </w:p>
    <w:p w14:paraId="6854CDC4" w14:textId="77777777" w:rsidR="00503349" w:rsidRPr="00AB40E2" w:rsidRDefault="00503349" w:rsidP="00503349">
      <w:pPr>
        <w:rPr>
          <w:rFonts w:ascii="Times New Roman" w:hAnsi="Times New Roman"/>
          <w:szCs w:val="24"/>
        </w:rPr>
      </w:pPr>
      <w:r w:rsidRPr="00AB40E2">
        <w:rPr>
          <w:rFonts w:ascii="Times New Roman" w:hAnsi="Times New Roman"/>
          <w:szCs w:val="24"/>
        </w:rPr>
        <w:t xml:space="preserve">Connell, C.M., Janevic, M.R. and Gallant, M.P., 2001. The costs of caring: impact of dementia on family caregivers. </w:t>
      </w:r>
      <w:r w:rsidRPr="00AB40E2">
        <w:rPr>
          <w:rFonts w:ascii="Times New Roman" w:hAnsi="Times New Roman"/>
          <w:i/>
          <w:szCs w:val="24"/>
        </w:rPr>
        <w:t>Journal of Geriatric Psychiatry and Neurology</w:t>
      </w:r>
      <w:r w:rsidRPr="00AB40E2">
        <w:rPr>
          <w:rFonts w:ascii="Times New Roman" w:hAnsi="Times New Roman"/>
          <w:szCs w:val="24"/>
        </w:rPr>
        <w:t>, 14(4), pp. 179-187.</w:t>
      </w:r>
    </w:p>
    <w:p w14:paraId="1866D676" w14:textId="77777777" w:rsidR="00503349" w:rsidRPr="003472D7" w:rsidRDefault="00503349" w:rsidP="00503349">
      <w:pPr>
        <w:spacing w:before="240"/>
        <w:jc w:val="both"/>
        <w:rPr>
          <w:rFonts w:ascii="Times New Roman" w:hAnsi="Times New Roman"/>
          <w:szCs w:val="24"/>
        </w:rPr>
      </w:pPr>
      <w:r>
        <w:rPr>
          <w:rFonts w:ascii="Times New Roman" w:hAnsi="Times New Roman"/>
          <w:szCs w:val="24"/>
        </w:rPr>
        <w:t xml:space="preserve">Consterdine, E., 2017. Community versus commonwealth: reappraising the 1971 Immigration Act. </w:t>
      </w:r>
      <w:r>
        <w:rPr>
          <w:rFonts w:ascii="Times New Roman" w:hAnsi="Times New Roman"/>
          <w:i/>
          <w:szCs w:val="24"/>
        </w:rPr>
        <w:t>Immigrants &amp; Minorities</w:t>
      </w:r>
      <w:r>
        <w:rPr>
          <w:rFonts w:ascii="Times New Roman" w:hAnsi="Times New Roman"/>
          <w:szCs w:val="24"/>
        </w:rPr>
        <w:t>, 35, pp. 1-20.</w:t>
      </w:r>
    </w:p>
    <w:p w14:paraId="3C3E22D1" w14:textId="77777777" w:rsidR="00503349" w:rsidRPr="00DA2952" w:rsidRDefault="00503349" w:rsidP="00503349">
      <w:pPr>
        <w:rPr>
          <w:rFonts w:ascii="Times New Roman" w:hAnsi="Times New Roman"/>
          <w:szCs w:val="24"/>
        </w:rPr>
      </w:pPr>
      <w:r w:rsidRPr="00DA2952">
        <w:rPr>
          <w:rFonts w:ascii="Times New Roman" w:hAnsi="Times New Roman"/>
          <w:szCs w:val="24"/>
        </w:rPr>
        <w:t xml:space="preserve">Cook, C., 1997. Demon possession and mental illness. </w:t>
      </w:r>
      <w:r w:rsidRPr="00DA2952">
        <w:rPr>
          <w:rFonts w:ascii="Times New Roman" w:hAnsi="Times New Roman"/>
          <w:i/>
          <w:szCs w:val="24"/>
        </w:rPr>
        <w:t>N</w:t>
      </w:r>
      <w:r w:rsidRPr="00DA2952">
        <w:rPr>
          <w:rFonts w:ascii="Times New Roman" w:hAnsi="Times New Roman"/>
          <w:i/>
          <w:iCs/>
          <w:szCs w:val="24"/>
        </w:rPr>
        <w:t>ucleus - Autumn 1997</w:t>
      </w:r>
      <w:r w:rsidRPr="00DA2952">
        <w:rPr>
          <w:rFonts w:ascii="Times New Roman" w:hAnsi="Times New Roman"/>
          <w:szCs w:val="24"/>
        </w:rPr>
        <w:t>, a publication of the Christian Medical Fellowship, pp. 13-17.</w:t>
      </w:r>
    </w:p>
    <w:p w14:paraId="36CA7D6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Cook, K.S., Cheshire, C., Rice, E.R.W. and Nakagawa, S., 2013. Social exchange theory. In: J. DeLamater &amp; A. Ward, eds. </w:t>
      </w:r>
      <w:r w:rsidRPr="00EF189A">
        <w:rPr>
          <w:rFonts w:ascii="Times New Roman" w:hAnsi="Times New Roman"/>
          <w:i/>
          <w:szCs w:val="24"/>
          <w:bdr w:val="none" w:sz="0" w:space="0" w:color="auto" w:frame="1"/>
        </w:rPr>
        <w:t>Handbook of Social Psychology</w:t>
      </w:r>
      <w:r w:rsidRPr="00EF189A">
        <w:rPr>
          <w:rFonts w:ascii="Times New Roman" w:hAnsi="Times New Roman"/>
          <w:szCs w:val="24"/>
          <w:bdr w:val="none" w:sz="0" w:space="0" w:color="auto" w:frame="1"/>
        </w:rPr>
        <w:t>. Dordrecht, Netherlands: Springer, pp. 61-88.</w:t>
      </w:r>
    </w:p>
    <w:p w14:paraId="1138905D" w14:textId="77777777" w:rsidR="00503349" w:rsidRDefault="00503349" w:rsidP="00503349">
      <w:pPr>
        <w:spacing w:before="240"/>
        <w:jc w:val="both"/>
        <w:rPr>
          <w:rFonts w:ascii="Times New Roman" w:hAnsi="Times New Roman"/>
          <w:szCs w:val="24"/>
        </w:rPr>
      </w:pPr>
      <w:r w:rsidRPr="001B247A">
        <w:rPr>
          <w:rFonts w:ascii="Times New Roman" w:hAnsi="Times New Roman"/>
          <w:szCs w:val="24"/>
        </w:rPr>
        <w:t>Cook, S.J., 2008. </w:t>
      </w:r>
      <w:r w:rsidRPr="001B247A">
        <w:rPr>
          <w:rFonts w:ascii="Times New Roman" w:hAnsi="Times New Roman"/>
          <w:i/>
          <w:iCs/>
          <w:szCs w:val="24"/>
        </w:rPr>
        <w:t>Working women, literary ladies: The industrial revolution and female aspiration</w:t>
      </w:r>
      <w:r w:rsidRPr="001B247A">
        <w:rPr>
          <w:rFonts w:ascii="Times New Roman" w:hAnsi="Times New Roman"/>
          <w:szCs w:val="24"/>
        </w:rPr>
        <w:t xml:space="preserve">. </w:t>
      </w:r>
      <w:r>
        <w:rPr>
          <w:rFonts w:ascii="Times New Roman" w:hAnsi="Times New Roman"/>
          <w:szCs w:val="24"/>
        </w:rPr>
        <w:t xml:space="preserve">New York: </w:t>
      </w:r>
      <w:r w:rsidRPr="001B247A">
        <w:rPr>
          <w:rFonts w:ascii="Times New Roman" w:hAnsi="Times New Roman"/>
          <w:szCs w:val="24"/>
        </w:rPr>
        <w:t>Oxford University Press.</w:t>
      </w:r>
    </w:p>
    <w:p w14:paraId="4206F403" w14:textId="77777777" w:rsidR="00503349" w:rsidRPr="000A56C6" w:rsidRDefault="00503349" w:rsidP="00503349">
      <w:pPr>
        <w:shd w:val="clear" w:color="auto" w:fill="FFFFFF"/>
        <w:spacing w:before="240"/>
        <w:jc w:val="both"/>
        <w:rPr>
          <w:rFonts w:ascii="Times New Roman" w:hAnsi="Times New Roman"/>
          <w:szCs w:val="24"/>
          <w:lang w:val="en"/>
        </w:rPr>
      </w:pPr>
      <w:r w:rsidRPr="000A56C6">
        <w:rPr>
          <w:rFonts w:ascii="Times New Roman" w:hAnsi="Times New Roman"/>
          <w:szCs w:val="24"/>
        </w:rPr>
        <w:t xml:space="preserve">Cooper, C., Katona, C., Orrell, M. and Livingston, G., 2008. </w:t>
      </w:r>
      <w:r w:rsidRPr="000A56C6">
        <w:rPr>
          <w:rFonts w:ascii="Times New Roman" w:hAnsi="Times New Roman"/>
          <w:bCs/>
          <w:szCs w:val="24"/>
        </w:rPr>
        <w:t>Coping strategies: anxiety and depression in caregivers of people with Alzheimer's disease</w:t>
      </w:r>
      <w:r w:rsidRPr="000A56C6">
        <w:rPr>
          <w:rFonts w:ascii="Times New Roman" w:hAnsi="Times New Roman"/>
          <w:szCs w:val="24"/>
        </w:rPr>
        <w:t xml:space="preserve">. </w:t>
      </w:r>
      <w:r w:rsidRPr="000A56C6">
        <w:rPr>
          <w:rFonts w:ascii="Times New Roman" w:hAnsi="Times New Roman"/>
          <w:i/>
          <w:szCs w:val="24"/>
        </w:rPr>
        <w:t>International Journal of Geriatric Psychiatry</w:t>
      </w:r>
      <w:r w:rsidRPr="000A56C6">
        <w:rPr>
          <w:rFonts w:ascii="Times New Roman" w:hAnsi="Times New Roman"/>
          <w:szCs w:val="24"/>
        </w:rPr>
        <w:t>, 23(9), pp. 929-936.</w:t>
      </w:r>
    </w:p>
    <w:p w14:paraId="1FCBE1B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Corbie-Smith, G., 1999. The continuing legacy of the Tuskegee Syphilis Study: considerations for clinical investigation. </w:t>
      </w:r>
      <w:r w:rsidRPr="004E3E8F">
        <w:rPr>
          <w:rFonts w:ascii="Times New Roman" w:hAnsi="Times New Roman"/>
          <w:i/>
          <w:iCs/>
          <w:szCs w:val="24"/>
        </w:rPr>
        <w:t>The American Journal of the Medical Sciences</w:t>
      </w:r>
      <w:r w:rsidRPr="004E3E8F">
        <w:rPr>
          <w:rFonts w:ascii="Times New Roman" w:hAnsi="Times New Roman"/>
          <w:szCs w:val="24"/>
        </w:rPr>
        <w:t>, 317, pp. 5-8.</w:t>
      </w:r>
    </w:p>
    <w:p w14:paraId="6B9F2662" w14:textId="77777777" w:rsidR="00503349" w:rsidRPr="004E3E8F" w:rsidRDefault="00503349" w:rsidP="00503349">
      <w:pPr>
        <w:rPr>
          <w:rFonts w:ascii="Times New Roman" w:hAnsi="Times New Roman"/>
          <w:szCs w:val="24"/>
        </w:rPr>
      </w:pPr>
      <w:r w:rsidRPr="004E3E8F">
        <w:rPr>
          <w:rFonts w:ascii="Times New Roman" w:hAnsi="Times New Roman"/>
          <w:szCs w:val="24"/>
        </w:rPr>
        <w:lastRenderedPageBreak/>
        <w:t xml:space="preserve">Corbie‐Smith, G., Thomas, S.B., Williams, M.V., Moody‐Ayers, S., 1999. Attitudes and beliefs of African Americans toward participation in medical research. </w:t>
      </w:r>
      <w:r w:rsidRPr="004E3E8F">
        <w:rPr>
          <w:rFonts w:ascii="Times New Roman" w:hAnsi="Times New Roman"/>
          <w:i/>
          <w:iCs/>
          <w:szCs w:val="24"/>
        </w:rPr>
        <w:t>Journal of General Internal Medicine</w:t>
      </w:r>
      <w:r w:rsidRPr="004E3E8F">
        <w:rPr>
          <w:rFonts w:ascii="Times New Roman" w:hAnsi="Times New Roman"/>
          <w:szCs w:val="24"/>
        </w:rPr>
        <w:t xml:space="preserve">, 1999; </w:t>
      </w:r>
      <w:r w:rsidRPr="004E3E8F">
        <w:rPr>
          <w:rFonts w:ascii="Times New Roman" w:hAnsi="Times New Roman"/>
          <w:bCs/>
          <w:szCs w:val="24"/>
        </w:rPr>
        <w:t>14</w:t>
      </w:r>
      <w:r w:rsidRPr="004E3E8F">
        <w:rPr>
          <w:rFonts w:ascii="Times New Roman" w:hAnsi="Times New Roman"/>
          <w:szCs w:val="24"/>
        </w:rPr>
        <w:t>, pp. 537-546.</w:t>
      </w:r>
    </w:p>
    <w:p w14:paraId="539075EF" w14:textId="77777777" w:rsidR="00503349" w:rsidRPr="00AB40E2" w:rsidRDefault="00503349" w:rsidP="00503349">
      <w:pPr>
        <w:rPr>
          <w:rFonts w:ascii="Times New Roman" w:hAnsi="Times New Roman"/>
          <w:szCs w:val="24"/>
        </w:rPr>
      </w:pPr>
      <w:r w:rsidRPr="00AB40E2">
        <w:rPr>
          <w:rFonts w:ascii="Times New Roman" w:hAnsi="Times New Roman"/>
          <w:szCs w:val="24"/>
        </w:rPr>
        <w:t xml:space="preserve">Corey, K.L. and McCurry, M.K., 2018. When caregiving ends: the experiences of former family caregivers of people with dementia. </w:t>
      </w:r>
      <w:r w:rsidRPr="00AB40E2">
        <w:rPr>
          <w:rFonts w:ascii="Times New Roman" w:hAnsi="Times New Roman"/>
          <w:i/>
          <w:iCs/>
          <w:szCs w:val="24"/>
        </w:rPr>
        <w:t>The Gerontologist</w:t>
      </w:r>
      <w:r w:rsidRPr="00AB40E2">
        <w:rPr>
          <w:rFonts w:ascii="Times New Roman" w:hAnsi="Times New Roman"/>
          <w:szCs w:val="24"/>
        </w:rPr>
        <w:t>, 58 (2), pp. e87–e96.</w:t>
      </w:r>
    </w:p>
    <w:p w14:paraId="6809473C" w14:textId="77777777" w:rsidR="00503349" w:rsidRDefault="00503349" w:rsidP="00503349">
      <w:pPr>
        <w:jc w:val="both"/>
        <w:rPr>
          <w:rFonts w:ascii="Times New Roman" w:hAnsi="Times New Roman"/>
          <w:szCs w:val="24"/>
        </w:rPr>
      </w:pPr>
      <w:r w:rsidRPr="00AB40E2">
        <w:rPr>
          <w:rFonts w:ascii="Times New Roman" w:hAnsi="Times New Roman"/>
          <w:szCs w:val="24"/>
        </w:rPr>
        <w:t>Crawford, E. and Read, C., 2015. The Care Collapse: the imminent crisis in residential care and its impact on the NHS. Available at: &lt;http://www.respublica.org.uk/wp-content/uploads/2015/11/ResPublica-The-Care-Collapse.pdf&gt;[Accessed 03 April 2019]</w:t>
      </w:r>
    </w:p>
    <w:p w14:paraId="46FEBAD6" w14:textId="77777777" w:rsidR="00503349" w:rsidRPr="008101DD" w:rsidRDefault="00503349" w:rsidP="00503349">
      <w:pPr>
        <w:spacing w:after="200"/>
        <w:jc w:val="both"/>
        <w:rPr>
          <w:rFonts w:ascii="Times New Roman" w:hAnsi="Times New Roman"/>
          <w:szCs w:val="24"/>
        </w:rPr>
      </w:pPr>
    </w:p>
    <w:p w14:paraId="35528F1E" w14:textId="77777777" w:rsidR="00503349" w:rsidRPr="004E3E8F" w:rsidRDefault="00503349" w:rsidP="00503349">
      <w:pPr>
        <w:spacing w:before="240"/>
        <w:jc w:val="both"/>
        <w:rPr>
          <w:rFonts w:ascii="Times New Roman" w:hAnsi="Times New Roman"/>
          <w:szCs w:val="24"/>
        </w:rPr>
      </w:pPr>
      <w:r w:rsidRPr="004E3E8F">
        <w:rPr>
          <w:rFonts w:ascii="Times New Roman" w:hAnsi="Times New Roman"/>
          <w:szCs w:val="24"/>
        </w:rPr>
        <w:t xml:space="preserve">Creswell, J.W., 2014. </w:t>
      </w:r>
      <w:r w:rsidRPr="004E3E8F">
        <w:rPr>
          <w:rFonts w:ascii="Times New Roman" w:hAnsi="Times New Roman"/>
          <w:i/>
          <w:szCs w:val="24"/>
        </w:rPr>
        <w:t>Research design: qualitative, quantitative and mixed method approaches</w:t>
      </w:r>
      <w:r w:rsidRPr="004E3E8F">
        <w:rPr>
          <w:rFonts w:ascii="Times New Roman" w:hAnsi="Times New Roman"/>
          <w:szCs w:val="24"/>
        </w:rPr>
        <w:t>. 4</w:t>
      </w:r>
      <w:r w:rsidRPr="004E3E8F">
        <w:rPr>
          <w:rFonts w:ascii="Times New Roman" w:hAnsi="Times New Roman"/>
          <w:szCs w:val="24"/>
          <w:vertAlign w:val="superscript"/>
        </w:rPr>
        <w:t>th</w:t>
      </w:r>
      <w:r w:rsidRPr="004E3E8F">
        <w:rPr>
          <w:rFonts w:ascii="Times New Roman" w:hAnsi="Times New Roman"/>
          <w:szCs w:val="24"/>
        </w:rPr>
        <w:t xml:space="preserve"> ed. Thousand Oaks, CA: Sage.</w:t>
      </w:r>
    </w:p>
    <w:p w14:paraId="3B49308A"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rPr>
        <w:t xml:space="preserve">Cropanzano, R. and Mitchell, M.S., 2005. Social exchange theory: an interdisciplinary review. </w:t>
      </w:r>
      <w:r w:rsidRPr="00EF189A">
        <w:rPr>
          <w:rFonts w:ascii="Times New Roman" w:hAnsi="Times New Roman"/>
          <w:i/>
          <w:szCs w:val="24"/>
          <w:bdr w:val="none" w:sz="0" w:space="0" w:color="auto" w:frame="1"/>
        </w:rPr>
        <w:t>Journal of Management</w:t>
      </w:r>
      <w:r w:rsidRPr="00EF189A">
        <w:rPr>
          <w:rFonts w:ascii="Times New Roman" w:hAnsi="Times New Roman"/>
          <w:szCs w:val="24"/>
          <w:bdr w:val="none" w:sz="0" w:space="0" w:color="auto" w:frame="1"/>
        </w:rPr>
        <w:t>, 31, pp. 874-900.</w:t>
      </w:r>
    </w:p>
    <w:p w14:paraId="01D7F248"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Cropanzano, R., Anthony, E., Daniels, S. and Hall, A., 2017. Social exchange theory:  a critical review with theoretical remedies. </w:t>
      </w:r>
      <w:r w:rsidRPr="00EF189A">
        <w:rPr>
          <w:rFonts w:ascii="Times New Roman" w:hAnsi="Times New Roman"/>
          <w:i/>
          <w:szCs w:val="24"/>
          <w:bdr w:val="none" w:sz="0" w:space="0" w:color="auto" w:frame="1"/>
        </w:rPr>
        <w:t>The Academy of Management Annals</w:t>
      </w:r>
      <w:r w:rsidRPr="00EF189A">
        <w:rPr>
          <w:rFonts w:ascii="Times New Roman" w:hAnsi="Times New Roman"/>
          <w:szCs w:val="24"/>
          <w:bdr w:val="none" w:sz="0" w:space="0" w:color="auto" w:frame="1"/>
        </w:rPr>
        <w:t>, 11, pp. 1-38.</w:t>
      </w:r>
    </w:p>
    <w:p w14:paraId="547666F5" w14:textId="77777777" w:rsidR="00503349" w:rsidRDefault="00503349" w:rsidP="00503349">
      <w:pPr>
        <w:spacing w:after="200"/>
        <w:jc w:val="both"/>
        <w:rPr>
          <w:rFonts w:ascii="Times New Roman" w:hAnsi="Times New Roman"/>
          <w:szCs w:val="24"/>
        </w:rPr>
      </w:pPr>
      <w:r w:rsidRPr="008101DD">
        <w:rPr>
          <w:rFonts w:ascii="Times New Roman" w:hAnsi="Times New Roman"/>
          <w:szCs w:val="24"/>
        </w:rPr>
        <w:t xml:space="preserve">Crotty, M., 1998. </w:t>
      </w:r>
      <w:r w:rsidRPr="008101DD">
        <w:rPr>
          <w:rFonts w:ascii="Times New Roman" w:hAnsi="Times New Roman"/>
          <w:i/>
          <w:szCs w:val="24"/>
        </w:rPr>
        <w:t>The foundations of social research: meaning and perspective in the research process.</w:t>
      </w:r>
      <w:r w:rsidRPr="008101DD">
        <w:rPr>
          <w:rFonts w:ascii="Times New Roman" w:hAnsi="Times New Roman"/>
          <w:szCs w:val="24"/>
        </w:rPr>
        <w:t xml:space="preserve"> Allen &amp; Unwin: St Leonards NSW.</w:t>
      </w:r>
    </w:p>
    <w:p w14:paraId="5D58A4B0" w14:textId="77777777" w:rsidR="00503349" w:rsidRPr="00DA2952" w:rsidRDefault="00503349" w:rsidP="00503349">
      <w:pPr>
        <w:spacing w:after="200"/>
        <w:jc w:val="both"/>
        <w:rPr>
          <w:rFonts w:ascii="Times New Roman" w:hAnsi="Times New Roman"/>
          <w:szCs w:val="24"/>
        </w:rPr>
      </w:pPr>
      <w:r w:rsidRPr="00DA2952">
        <w:rPr>
          <w:rFonts w:ascii="Times New Roman" w:hAnsi="Times New Roman"/>
          <w:szCs w:val="24"/>
        </w:rPr>
        <w:t xml:space="preserve">Cuijpers, Y. and Van Lente, H., 2015. Early diagnostics and Alzheimer's disease: beyond ‘cure’ and ‘care’. </w:t>
      </w:r>
      <w:r w:rsidRPr="00DA2952">
        <w:rPr>
          <w:rFonts w:ascii="Times New Roman" w:hAnsi="Times New Roman"/>
          <w:i/>
          <w:iCs/>
          <w:szCs w:val="24"/>
        </w:rPr>
        <w:t>Technological Forecasting and Social Change</w:t>
      </w:r>
      <w:r w:rsidRPr="00DA2952">
        <w:rPr>
          <w:rFonts w:ascii="Times New Roman" w:hAnsi="Times New Roman"/>
          <w:szCs w:val="24"/>
        </w:rPr>
        <w:t>, 93, pp. 54-67.</w:t>
      </w:r>
    </w:p>
    <w:p w14:paraId="2CB2E30F"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Cunico, L., Sartori, R., Marognolli, O. and Meneghini, A.M., 2012. Developing empathy in nursing students: a cohort longitudinal study. </w:t>
      </w:r>
      <w:r w:rsidRPr="00DA2952">
        <w:rPr>
          <w:rFonts w:ascii="Times New Roman" w:hAnsi="Times New Roman"/>
          <w:i/>
          <w:iCs/>
          <w:szCs w:val="24"/>
        </w:rPr>
        <w:t>Journal of Clinical Nursing</w:t>
      </w:r>
      <w:r w:rsidRPr="00DA2952">
        <w:rPr>
          <w:rFonts w:ascii="Times New Roman" w:hAnsi="Times New Roman"/>
          <w:szCs w:val="24"/>
        </w:rPr>
        <w:t>, 21(13-14), pp. 2016-2025.</w:t>
      </w:r>
    </w:p>
    <w:p w14:paraId="65BD783C" w14:textId="77777777" w:rsidR="00503349" w:rsidRPr="000A56C6" w:rsidRDefault="00503349" w:rsidP="00503349">
      <w:pPr>
        <w:shd w:val="clear" w:color="auto" w:fill="FFFFFF"/>
        <w:spacing w:before="240"/>
        <w:jc w:val="both"/>
        <w:rPr>
          <w:rFonts w:ascii="Times New Roman" w:hAnsi="Times New Roman"/>
          <w:szCs w:val="24"/>
        </w:rPr>
      </w:pPr>
      <w:r w:rsidRPr="000A56C6">
        <w:rPr>
          <w:rFonts w:ascii="Times New Roman" w:hAnsi="Times New Roman"/>
          <w:szCs w:val="24"/>
        </w:rPr>
        <w:lastRenderedPageBreak/>
        <w:t xml:space="preserve">Czaika, M. and de Haas, H., 2013. </w:t>
      </w:r>
      <w:r w:rsidRPr="000A56C6">
        <w:rPr>
          <w:rFonts w:ascii="Times New Roman" w:hAnsi="Times New Roman"/>
          <w:bCs/>
          <w:szCs w:val="24"/>
        </w:rPr>
        <w:t>The globalisation of migration.</w:t>
      </w:r>
      <w:r w:rsidRPr="000A56C6">
        <w:rPr>
          <w:rFonts w:ascii="Times New Roman" w:hAnsi="Times New Roman"/>
          <w:szCs w:val="24"/>
        </w:rPr>
        <w:t xml:space="preserve"> Has the world </w:t>
      </w:r>
      <w:r w:rsidRPr="000A56C6">
        <w:rPr>
          <w:rFonts w:ascii="Times New Roman" w:hAnsi="Times New Roman"/>
          <w:noProof/>
          <w:szCs w:val="24"/>
        </w:rPr>
        <w:t>really</w:t>
      </w:r>
      <w:r w:rsidRPr="000A56C6">
        <w:rPr>
          <w:rFonts w:ascii="Times New Roman" w:hAnsi="Times New Roman"/>
          <w:szCs w:val="24"/>
        </w:rPr>
        <w:t xml:space="preserve"> become more migratory?</w:t>
      </w:r>
      <w:r w:rsidRPr="000A56C6">
        <w:rPr>
          <w:rFonts w:ascii="Times New Roman" w:hAnsi="Times New Roman"/>
          <w:i/>
          <w:iCs/>
          <w:szCs w:val="24"/>
        </w:rPr>
        <w:t xml:space="preserve"> DEMIG Working Paper 68</w:t>
      </w:r>
      <w:r w:rsidRPr="000A56C6">
        <w:rPr>
          <w:rFonts w:ascii="Times New Roman" w:hAnsi="Times New Roman"/>
          <w:szCs w:val="24"/>
        </w:rPr>
        <w:t>. Oxford: International Migration Institute, University of Oxford.</w:t>
      </w:r>
    </w:p>
    <w:p w14:paraId="30BA8212" w14:textId="77777777" w:rsidR="00503349" w:rsidRPr="00E957C0" w:rsidRDefault="00503349" w:rsidP="00503349">
      <w:pPr>
        <w:jc w:val="both"/>
        <w:rPr>
          <w:rFonts w:ascii="Times New Roman" w:hAnsi="Times New Roman"/>
          <w:szCs w:val="24"/>
        </w:rPr>
      </w:pPr>
      <w:r w:rsidRPr="002C17CC">
        <w:rPr>
          <w:rFonts w:ascii="Times New Roman" w:hAnsi="Times New Roman"/>
          <w:bCs/>
          <w:szCs w:val="24"/>
        </w:rPr>
        <w:t xml:space="preserve">Dall’Ora, C., Ball, J., Redfern, O., Recio-Saucedo, A., Maruotti, A., Meredith, P. and Griffiths, P., 2019. Are long nursing shifts on hospital wards associated with sickness absence? A longitudinal retrospective observational study. </w:t>
      </w:r>
      <w:r w:rsidRPr="00CD4145">
        <w:rPr>
          <w:rFonts w:ascii="Times New Roman" w:hAnsi="Times New Roman"/>
          <w:bCs/>
          <w:i/>
          <w:iCs/>
          <w:szCs w:val="24"/>
        </w:rPr>
        <w:t>Journal of Nursing Management</w:t>
      </w:r>
      <w:r w:rsidRPr="002C17CC">
        <w:rPr>
          <w:rFonts w:ascii="Times New Roman" w:hAnsi="Times New Roman"/>
          <w:bCs/>
          <w:szCs w:val="24"/>
        </w:rPr>
        <w:t>, 27, pp. 19-26.</w:t>
      </w:r>
    </w:p>
    <w:p w14:paraId="7E1CB212" w14:textId="77777777" w:rsidR="00503349" w:rsidRDefault="00503349" w:rsidP="00503349">
      <w:pPr>
        <w:jc w:val="both"/>
        <w:rPr>
          <w:rFonts w:ascii="Times New Roman" w:hAnsi="Times New Roman"/>
          <w:szCs w:val="24"/>
          <w:bdr w:val="none" w:sz="0" w:space="0" w:color="auto" w:frame="1"/>
        </w:rPr>
      </w:pPr>
      <w:r w:rsidRPr="006044F4">
        <w:rPr>
          <w:rFonts w:ascii="Times New Roman" w:hAnsi="Times New Roman"/>
          <w:szCs w:val="24"/>
          <w:bdr w:val="none" w:sz="0" w:space="0" w:color="auto" w:frame="1"/>
        </w:rPr>
        <w:t>Damaske, S</w:t>
      </w:r>
      <w:r>
        <w:rPr>
          <w:rFonts w:ascii="Times New Roman" w:hAnsi="Times New Roman"/>
          <w:szCs w:val="24"/>
          <w:bdr w:val="none" w:sz="0" w:space="0" w:color="auto" w:frame="1"/>
        </w:rPr>
        <w:t>.</w:t>
      </w:r>
      <w:r w:rsidRPr="006044F4">
        <w:rPr>
          <w:rFonts w:ascii="Times New Roman" w:hAnsi="Times New Roman"/>
          <w:szCs w:val="24"/>
          <w:bdr w:val="none" w:sz="0" w:space="0" w:color="auto" w:frame="1"/>
        </w:rPr>
        <w:t xml:space="preserve"> </w:t>
      </w:r>
      <w:r>
        <w:rPr>
          <w:rFonts w:ascii="Times New Roman" w:hAnsi="Times New Roman"/>
          <w:szCs w:val="24"/>
          <w:bdr w:val="none" w:sz="0" w:space="0" w:color="auto" w:frame="1"/>
        </w:rPr>
        <w:t xml:space="preserve">and </w:t>
      </w:r>
      <w:r w:rsidRPr="006044F4">
        <w:rPr>
          <w:rFonts w:ascii="Times New Roman" w:hAnsi="Times New Roman"/>
          <w:szCs w:val="24"/>
          <w:bdr w:val="none" w:sz="0" w:space="0" w:color="auto" w:frame="1"/>
        </w:rPr>
        <w:t>Frech, A.</w:t>
      </w:r>
      <w:r>
        <w:rPr>
          <w:rFonts w:ascii="Times New Roman" w:hAnsi="Times New Roman"/>
          <w:szCs w:val="24"/>
          <w:bdr w:val="none" w:sz="0" w:space="0" w:color="auto" w:frame="1"/>
        </w:rPr>
        <w:t>,</w:t>
      </w:r>
      <w:r w:rsidRPr="006044F4">
        <w:rPr>
          <w:rFonts w:ascii="Times New Roman" w:hAnsi="Times New Roman"/>
          <w:szCs w:val="24"/>
          <w:bdr w:val="none" w:sz="0" w:space="0" w:color="auto" w:frame="1"/>
        </w:rPr>
        <w:t xml:space="preserve"> 2016. Women’s work pathways across the life course. </w:t>
      </w:r>
      <w:r w:rsidRPr="004C64C9">
        <w:rPr>
          <w:rFonts w:ascii="Times New Roman" w:hAnsi="Times New Roman"/>
          <w:i/>
          <w:iCs/>
          <w:szCs w:val="24"/>
          <w:bdr w:val="none" w:sz="0" w:space="0" w:color="auto" w:frame="1"/>
        </w:rPr>
        <w:t>Demography</w:t>
      </w:r>
      <w:r>
        <w:rPr>
          <w:rFonts w:ascii="Times New Roman" w:hAnsi="Times New Roman"/>
          <w:szCs w:val="24"/>
          <w:bdr w:val="none" w:sz="0" w:space="0" w:color="auto" w:frame="1"/>
        </w:rPr>
        <w:t>,</w:t>
      </w:r>
      <w:r w:rsidRPr="006044F4">
        <w:rPr>
          <w:rFonts w:ascii="Times New Roman" w:hAnsi="Times New Roman"/>
          <w:szCs w:val="24"/>
          <w:bdr w:val="none" w:sz="0" w:space="0" w:color="auto" w:frame="1"/>
        </w:rPr>
        <w:t xml:space="preserve"> 5</w:t>
      </w:r>
      <w:r>
        <w:rPr>
          <w:rFonts w:ascii="Times New Roman" w:hAnsi="Times New Roman"/>
          <w:szCs w:val="24"/>
          <w:bdr w:val="none" w:sz="0" w:space="0" w:color="auto" w:frame="1"/>
        </w:rPr>
        <w:t>3</w:t>
      </w:r>
      <w:r w:rsidRPr="006044F4">
        <w:rPr>
          <w:rFonts w:ascii="Times New Roman" w:hAnsi="Times New Roman"/>
          <w:szCs w:val="24"/>
          <w:bdr w:val="none" w:sz="0" w:space="0" w:color="auto" w:frame="1"/>
        </w:rPr>
        <w:t>(2)</w:t>
      </w:r>
      <w:r>
        <w:rPr>
          <w:rFonts w:ascii="Times New Roman" w:hAnsi="Times New Roman"/>
          <w:szCs w:val="24"/>
          <w:bdr w:val="none" w:sz="0" w:space="0" w:color="auto" w:frame="1"/>
        </w:rPr>
        <w:t>,</w:t>
      </w:r>
      <w:r w:rsidRPr="006044F4">
        <w:rPr>
          <w:rFonts w:ascii="Times New Roman" w:hAnsi="Times New Roman"/>
          <w:szCs w:val="24"/>
          <w:bdr w:val="none" w:sz="0" w:space="0" w:color="auto" w:frame="1"/>
        </w:rPr>
        <w:t> </w:t>
      </w:r>
      <w:r>
        <w:rPr>
          <w:rFonts w:ascii="Times New Roman" w:hAnsi="Times New Roman"/>
          <w:szCs w:val="24"/>
          <w:bdr w:val="none" w:sz="0" w:space="0" w:color="auto" w:frame="1"/>
        </w:rPr>
        <w:t xml:space="preserve">pp. </w:t>
      </w:r>
      <w:r w:rsidRPr="006044F4">
        <w:rPr>
          <w:rFonts w:ascii="Times New Roman" w:hAnsi="Times New Roman"/>
          <w:szCs w:val="24"/>
          <w:bdr w:val="none" w:sz="0" w:space="0" w:color="auto" w:frame="1"/>
        </w:rPr>
        <w:t>365-</w:t>
      </w:r>
      <w:r>
        <w:rPr>
          <w:rFonts w:ascii="Times New Roman" w:hAnsi="Times New Roman"/>
          <w:szCs w:val="24"/>
          <w:bdr w:val="none" w:sz="0" w:space="0" w:color="auto" w:frame="1"/>
        </w:rPr>
        <w:t>3</w:t>
      </w:r>
      <w:r w:rsidRPr="006044F4">
        <w:rPr>
          <w:rFonts w:ascii="Times New Roman" w:hAnsi="Times New Roman"/>
          <w:szCs w:val="24"/>
          <w:bdr w:val="none" w:sz="0" w:space="0" w:color="auto" w:frame="1"/>
        </w:rPr>
        <w:t>91.</w:t>
      </w:r>
    </w:p>
    <w:p w14:paraId="2DE84BF5" w14:textId="77777777" w:rsidR="00503349" w:rsidRDefault="00503349" w:rsidP="00503349">
      <w:pPr>
        <w:rPr>
          <w:rFonts w:ascii="Times New Roman" w:hAnsi="Times New Roman"/>
          <w:szCs w:val="24"/>
        </w:rPr>
      </w:pPr>
      <w:r w:rsidRPr="00A04009">
        <w:rPr>
          <w:rFonts w:ascii="Times New Roman" w:hAnsi="Times New Roman"/>
          <w:szCs w:val="24"/>
        </w:rPr>
        <w:t>Datta, N., Giupponi, G. and Machin, S., 2019. Zero-hours contracts and labour market policy. </w:t>
      </w:r>
      <w:r w:rsidRPr="00A04009">
        <w:rPr>
          <w:rFonts w:ascii="Times New Roman" w:hAnsi="Times New Roman"/>
          <w:i/>
          <w:iCs/>
          <w:szCs w:val="24"/>
        </w:rPr>
        <w:t>Economic Policy</w:t>
      </w:r>
      <w:r w:rsidRPr="00A04009">
        <w:rPr>
          <w:rFonts w:ascii="Times New Roman" w:hAnsi="Times New Roman"/>
          <w:szCs w:val="24"/>
        </w:rPr>
        <w:t>, </w:t>
      </w:r>
      <w:r w:rsidRPr="006E4D1D">
        <w:rPr>
          <w:rFonts w:ascii="Times New Roman" w:hAnsi="Times New Roman"/>
          <w:szCs w:val="24"/>
        </w:rPr>
        <w:t>34</w:t>
      </w:r>
      <w:r w:rsidRPr="00A04009">
        <w:rPr>
          <w:rFonts w:ascii="Times New Roman" w:hAnsi="Times New Roman"/>
          <w:szCs w:val="24"/>
        </w:rPr>
        <w:t>(99), pp.</w:t>
      </w:r>
      <w:r>
        <w:rPr>
          <w:rFonts w:ascii="Times New Roman" w:hAnsi="Times New Roman"/>
          <w:szCs w:val="24"/>
        </w:rPr>
        <w:t xml:space="preserve"> </w:t>
      </w:r>
      <w:r w:rsidRPr="00A04009">
        <w:rPr>
          <w:rFonts w:ascii="Times New Roman" w:hAnsi="Times New Roman"/>
          <w:szCs w:val="24"/>
        </w:rPr>
        <w:t>369-427.</w:t>
      </w:r>
    </w:p>
    <w:p w14:paraId="43B6D3BD" w14:textId="77777777" w:rsidR="00503349" w:rsidRDefault="00503349" w:rsidP="00503349">
      <w:pPr>
        <w:rPr>
          <w:rFonts w:ascii="Times New Roman" w:hAnsi="Times New Roman"/>
          <w:szCs w:val="24"/>
        </w:rPr>
      </w:pPr>
      <w:r w:rsidRPr="00E50D02">
        <w:rPr>
          <w:rFonts w:ascii="Times New Roman" w:hAnsi="Times New Roman"/>
          <w:szCs w:val="24"/>
        </w:rPr>
        <w:t>Davison, T.E., McCabe, M.P., Bird, M., Mellor, D., MacPherson, S., Hallford, D., Seedy, M. and O'Connor, D.W., 2016. Behavioral symptoms of dementia that present management difficulties in nursing homes: staff perceptions and their concordance with informant scales. </w:t>
      </w:r>
      <w:r w:rsidRPr="00E50D02">
        <w:rPr>
          <w:rFonts w:ascii="Times New Roman" w:hAnsi="Times New Roman"/>
          <w:i/>
          <w:iCs/>
          <w:szCs w:val="24"/>
        </w:rPr>
        <w:t>Journal of Gerontological Nursing</w:t>
      </w:r>
      <w:r w:rsidRPr="00E50D02">
        <w:rPr>
          <w:rFonts w:ascii="Times New Roman" w:hAnsi="Times New Roman"/>
          <w:szCs w:val="24"/>
        </w:rPr>
        <w:t>, </w:t>
      </w:r>
      <w:r w:rsidRPr="006E4D1D">
        <w:rPr>
          <w:rFonts w:ascii="Times New Roman" w:hAnsi="Times New Roman"/>
          <w:szCs w:val="24"/>
        </w:rPr>
        <w:t>43</w:t>
      </w:r>
      <w:r w:rsidRPr="00E50D02">
        <w:rPr>
          <w:rFonts w:ascii="Times New Roman" w:hAnsi="Times New Roman"/>
          <w:szCs w:val="24"/>
        </w:rPr>
        <w:t>, pp.</w:t>
      </w:r>
      <w:r>
        <w:rPr>
          <w:rFonts w:ascii="Times New Roman" w:hAnsi="Times New Roman"/>
          <w:szCs w:val="24"/>
        </w:rPr>
        <w:t xml:space="preserve"> </w:t>
      </w:r>
      <w:r w:rsidRPr="00E50D02">
        <w:rPr>
          <w:rFonts w:ascii="Times New Roman" w:hAnsi="Times New Roman"/>
          <w:szCs w:val="24"/>
        </w:rPr>
        <w:t>34-43.</w:t>
      </w:r>
    </w:p>
    <w:p w14:paraId="57E5DC6A"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Day, J.R., Anderson, R.A. and Davis, L.L., 2014. Compassion fatigue in adult daughter caregivers of a parent with dementia. </w:t>
      </w:r>
      <w:r w:rsidRPr="00CF1AE8">
        <w:rPr>
          <w:rFonts w:ascii="Times New Roman" w:hAnsi="Times New Roman"/>
          <w:i/>
          <w:iCs/>
          <w:szCs w:val="24"/>
        </w:rPr>
        <w:t xml:space="preserve">Issues </w:t>
      </w:r>
      <w:r>
        <w:rPr>
          <w:rFonts w:ascii="Times New Roman" w:hAnsi="Times New Roman"/>
          <w:i/>
          <w:iCs/>
          <w:szCs w:val="24"/>
        </w:rPr>
        <w:t xml:space="preserve">in </w:t>
      </w:r>
      <w:r w:rsidRPr="00CF1AE8">
        <w:rPr>
          <w:rFonts w:ascii="Times New Roman" w:hAnsi="Times New Roman"/>
          <w:i/>
          <w:iCs/>
          <w:szCs w:val="24"/>
        </w:rPr>
        <w:t>Ment</w:t>
      </w:r>
      <w:r>
        <w:rPr>
          <w:rFonts w:ascii="Times New Roman" w:hAnsi="Times New Roman"/>
          <w:i/>
          <w:iCs/>
          <w:szCs w:val="24"/>
        </w:rPr>
        <w:t>al</w:t>
      </w:r>
      <w:r w:rsidRPr="00CF1AE8">
        <w:rPr>
          <w:rFonts w:ascii="Times New Roman" w:hAnsi="Times New Roman"/>
          <w:i/>
          <w:iCs/>
          <w:szCs w:val="24"/>
        </w:rPr>
        <w:t xml:space="preserve"> Health Nurs</w:t>
      </w:r>
      <w:r>
        <w:rPr>
          <w:rFonts w:ascii="Times New Roman" w:hAnsi="Times New Roman"/>
          <w:i/>
          <w:iCs/>
          <w:szCs w:val="24"/>
        </w:rPr>
        <w:t>ing</w:t>
      </w:r>
      <w:r>
        <w:rPr>
          <w:rFonts w:ascii="Times New Roman" w:hAnsi="Times New Roman"/>
          <w:iCs/>
          <w:szCs w:val="24"/>
        </w:rPr>
        <w:t>,</w:t>
      </w:r>
      <w:r w:rsidRPr="00CF1AE8">
        <w:rPr>
          <w:rFonts w:ascii="Times New Roman" w:hAnsi="Times New Roman"/>
          <w:iCs/>
          <w:szCs w:val="24"/>
        </w:rPr>
        <w:t xml:space="preserve"> 35(10), pp. 796-804.</w:t>
      </w:r>
    </w:p>
    <w:p w14:paraId="2845B7C9" w14:textId="77777777" w:rsidR="00503349" w:rsidRDefault="00503349" w:rsidP="00503349">
      <w:pPr>
        <w:jc w:val="both"/>
        <w:rPr>
          <w:rFonts w:ascii="Times New Roman" w:hAnsi="Times New Roman"/>
          <w:szCs w:val="24"/>
        </w:rPr>
      </w:pPr>
      <w:r w:rsidRPr="00AB40E2">
        <w:rPr>
          <w:rFonts w:ascii="Times New Roman" w:hAnsi="Times New Roman"/>
          <w:szCs w:val="24"/>
        </w:rPr>
        <w:t>Dayan, M., Ward, D., Gardner, T. and Kelly, E., 2018. How good is the NHS? Available at: &lt;www.kingsfund.org.uk/sites/default/files/2018-06/NHS_at_70_how_good_is_the_NHS.pdf&gt;[Accessed 03 April 2019]</w:t>
      </w:r>
    </w:p>
    <w:p w14:paraId="15A8555E"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 Groot, J.I.M. and Steg, L., 2010. Relationships between value orientations, self-determined motivational types and pro-environmental behavioural intentions. </w:t>
      </w:r>
      <w:r w:rsidRPr="00EF189A">
        <w:rPr>
          <w:rFonts w:ascii="Times New Roman" w:hAnsi="Times New Roman"/>
          <w:i/>
          <w:szCs w:val="24"/>
          <w:bdr w:val="none" w:sz="0" w:space="0" w:color="auto" w:frame="1"/>
        </w:rPr>
        <w:t>Journal of Environmental Psychology</w:t>
      </w:r>
      <w:r w:rsidRPr="00EF189A">
        <w:rPr>
          <w:rFonts w:ascii="Times New Roman" w:hAnsi="Times New Roman"/>
          <w:szCs w:val="24"/>
          <w:bdr w:val="none" w:sz="0" w:space="0" w:color="auto" w:frame="1"/>
        </w:rPr>
        <w:t>, 30(4), pp. 368-378.</w:t>
      </w:r>
    </w:p>
    <w:p w14:paraId="75DFA53A" w14:textId="77777777" w:rsidR="00503349" w:rsidRDefault="00503349" w:rsidP="00503349">
      <w:pPr>
        <w:jc w:val="both"/>
        <w:rPr>
          <w:rFonts w:ascii="Times New Roman" w:hAnsi="Times New Roman"/>
          <w:szCs w:val="24"/>
        </w:rPr>
      </w:pPr>
      <w:r w:rsidRPr="00CF1AE8">
        <w:rPr>
          <w:rFonts w:ascii="Times New Roman" w:hAnsi="Times New Roman"/>
          <w:szCs w:val="24"/>
        </w:rPr>
        <w:t>De Haas, H., 2005. International migration, remittances and development: myths and facts. </w:t>
      </w:r>
      <w:r w:rsidRPr="00CF1AE8">
        <w:rPr>
          <w:rFonts w:ascii="Times New Roman" w:hAnsi="Times New Roman"/>
          <w:i/>
          <w:szCs w:val="24"/>
        </w:rPr>
        <w:t>Third World Quarterly</w:t>
      </w:r>
      <w:r w:rsidRPr="00CF1AE8">
        <w:rPr>
          <w:rFonts w:ascii="Times New Roman" w:hAnsi="Times New Roman"/>
          <w:szCs w:val="24"/>
        </w:rPr>
        <w:t>, 26(8), pp. 1269-1284.</w:t>
      </w:r>
    </w:p>
    <w:p w14:paraId="1FD2971C" w14:textId="77777777" w:rsidR="00503349" w:rsidRDefault="00503349" w:rsidP="00503349">
      <w:pPr>
        <w:spacing w:before="240"/>
        <w:jc w:val="both"/>
        <w:rPr>
          <w:rFonts w:ascii="Times New Roman" w:hAnsi="Times New Roman"/>
          <w:szCs w:val="24"/>
        </w:rPr>
      </w:pPr>
      <w:r>
        <w:rPr>
          <w:rFonts w:ascii="Times New Roman" w:hAnsi="Times New Roman"/>
          <w:szCs w:val="24"/>
        </w:rPr>
        <w:lastRenderedPageBreak/>
        <w:t>De Haas, H., 2010. Migration and development: a theoretical perspective. </w:t>
      </w:r>
      <w:r>
        <w:rPr>
          <w:rFonts w:ascii="Times New Roman" w:hAnsi="Times New Roman"/>
          <w:i/>
          <w:iCs/>
          <w:szCs w:val="24"/>
        </w:rPr>
        <w:t>International Migration Review</w:t>
      </w:r>
      <w:r>
        <w:rPr>
          <w:rFonts w:ascii="Times New Roman" w:hAnsi="Times New Roman"/>
          <w:szCs w:val="24"/>
        </w:rPr>
        <w:t>, 44, pp. 227-264.</w:t>
      </w:r>
    </w:p>
    <w:p w14:paraId="6CFBDC85"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de Jager, C.A., Joska, J.A., Hoffman, M., Borochowitz, K.E. and Combrinck, M.I., 2015. Dementia in rural South Africa: a pressing need for epidemiological studies. </w:t>
      </w:r>
      <w:r w:rsidRPr="00DA2952">
        <w:rPr>
          <w:rFonts w:ascii="Times New Roman" w:hAnsi="Times New Roman"/>
          <w:i/>
          <w:iCs/>
          <w:szCs w:val="24"/>
        </w:rPr>
        <w:t>South African Medical Journal</w:t>
      </w:r>
      <w:r w:rsidRPr="00DA2952">
        <w:rPr>
          <w:rFonts w:ascii="Times New Roman" w:hAnsi="Times New Roman"/>
          <w:szCs w:val="24"/>
        </w:rPr>
        <w:t>, 105(3), pp. 189-190.</w:t>
      </w:r>
    </w:p>
    <w:p w14:paraId="1547C1DF" w14:textId="77777777" w:rsidR="00503349" w:rsidRPr="002B3011" w:rsidRDefault="00503349" w:rsidP="00503349">
      <w:pPr>
        <w:textAlignment w:val="baseline"/>
        <w:rPr>
          <w:rFonts w:ascii="Times New Roman" w:hAnsi="Times New Roman"/>
          <w:strike/>
          <w:color w:val="000000"/>
          <w:szCs w:val="24"/>
        </w:rPr>
      </w:pPr>
      <w:r w:rsidRPr="002B3011">
        <w:rPr>
          <w:rFonts w:ascii="Times New Roman" w:hAnsi="Times New Roman"/>
          <w:szCs w:val="24"/>
        </w:rPr>
        <w:t>De Labra, C., Millán-Calenti, J.C., Buján, A., Núñez-Naveira, L., Jensen, A.M., Peersen, M.C., Mojs, E., Samborski, W. and Maseda, A., 2015. </w:t>
      </w:r>
      <w:r w:rsidRPr="002B3011">
        <w:rPr>
          <w:rFonts w:ascii="Times New Roman" w:hAnsi="Times New Roman"/>
          <w:bCs/>
          <w:szCs w:val="24"/>
        </w:rPr>
        <w:t>Predictors of caregiving satisfaction in informal caregivers of people with dementia</w:t>
      </w:r>
      <w:r w:rsidRPr="002B3011">
        <w:rPr>
          <w:rFonts w:ascii="Times New Roman" w:hAnsi="Times New Roman"/>
          <w:szCs w:val="24"/>
        </w:rPr>
        <w:t xml:space="preserve">. </w:t>
      </w:r>
      <w:r w:rsidRPr="002B3011">
        <w:rPr>
          <w:rFonts w:ascii="Times New Roman" w:hAnsi="Times New Roman"/>
          <w:i/>
          <w:szCs w:val="24"/>
        </w:rPr>
        <w:t>Archives of Gerontology &amp; Geriatrics</w:t>
      </w:r>
      <w:r w:rsidRPr="002B3011">
        <w:rPr>
          <w:rFonts w:ascii="Times New Roman" w:hAnsi="Times New Roman"/>
          <w:szCs w:val="24"/>
        </w:rPr>
        <w:t>, 60(3), pp. 380-388.</w:t>
      </w:r>
    </w:p>
    <w:p w14:paraId="7CE53CAF"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 Waal, F.B., 2008. Putting the altruism back into altruism: the evolution of empathy. </w:t>
      </w:r>
      <w:r w:rsidRPr="00EF189A">
        <w:rPr>
          <w:rFonts w:ascii="Times New Roman" w:hAnsi="Times New Roman"/>
          <w:i/>
          <w:szCs w:val="24"/>
          <w:bdr w:val="none" w:sz="0" w:space="0" w:color="auto" w:frame="1"/>
        </w:rPr>
        <w:t>Annual Review of Psychology</w:t>
      </w:r>
      <w:r w:rsidRPr="00EF189A">
        <w:rPr>
          <w:rFonts w:ascii="Times New Roman" w:hAnsi="Times New Roman"/>
          <w:szCs w:val="24"/>
          <w:bdr w:val="none" w:sz="0" w:space="0" w:color="auto" w:frame="1"/>
        </w:rPr>
        <w:t>, 59, pp. 279-300.</w:t>
      </w:r>
    </w:p>
    <w:p w14:paraId="0155FA0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de Witt, L. and Ploeg, J., 2006. Critical appraisal of rigor in interpretive phenomenological nursing research. </w:t>
      </w:r>
      <w:r w:rsidRPr="004E3E8F">
        <w:rPr>
          <w:rFonts w:ascii="Times New Roman" w:hAnsi="Times New Roman"/>
          <w:i/>
          <w:szCs w:val="24"/>
        </w:rPr>
        <w:t>Journal of Advanced Nursing</w:t>
      </w:r>
      <w:r w:rsidRPr="004E3E8F">
        <w:rPr>
          <w:rFonts w:ascii="Times New Roman" w:hAnsi="Times New Roman"/>
          <w:szCs w:val="24"/>
        </w:rPr>
        <w:t>, 55(2), pp. 215-229.</w:t>
      </w:r>
    </w:p>
    <w:p w14:paraId="5A65296B"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Deci, E.L. and Ryan, R.M., 1980. Self-determination theory: When mind mediates behavior. </w:t>
      </w:r>
      <w:r w:rsidRPr="00EF189A">
        <w:rPr>
          <w:rFonts w:ascii="Times New Roman" w:hAnsi="Times New Roman"/>
          <w:i/>
          <w:szCs w:val="24"/>
          <w:bdr w:val="none" w:sz="0" w:space="0" w:color="auto" w:frame="1"/>
        </w:rPr>
        <w:t>Journal of Mind and Behavior</w:t>
      </w:r>
      <w:r w:rsidRPr="00EF189A">
        <w:rPr>
          <w:rFonts w:ascii="Times New Roman" w:hAnsi="Times New Roman"/>
          <w:szCs w:val="24"/>
          <w:bdr w:val="none" w:sz="0" w:space="0" w:color="auto" w:frame="1"/>
        </w:rPr>
        <w:t>, pp. 33-43.</w:t>
      </w:r>
    </w:p>
    <w:p w14:paraId="75F2D006"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Deci, E.L. and Ryan, R.M., 1985a. </w:t>
      </w:r>
      <w:r w:rsidRPr="00EF189A">
        <w:rPr>
          <w:rFonts w:ascii="Times New Roman" w:hAnsi="Times New Roman"/>
          <w:i/>
          <w:szCs w:val="24"/>
          <w:bdr w:val="none" w:sz="0" w:space="0" w:color="auto" w:frame="1"/>
        </w:rPr>
        <w:t>Intrinsic motivation and self-determination in human behavior</w:t>
      </w:r>
      <w:r w:rsidRPr="00EF189A">
        <w:rPr>
          <w:rFonts w:ascii="Times New Roman" w:hAnsi="Times New Roman"/>
          <w:szCs w:val="24"/>
          <w:bdr w:val="none" w:sz="0" w:space="0" w:color="auto" w:frame="1"/>
        </w:rPr>
        <w:t>. New York: Plenum.</w:t>
      </w:r>
    </w:p>
    <w:p w14:paraId="7F237FE5"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Deci, E.L. and Ryan, R.M., 1985b. The general causality orientations scale: self-determination in personality. </w:t>
      </w:r>
      <w:r w:rsidRPr="00EF189A">
        <w:rPr>
          <w:rFonts w:ascii="Times New Roman" w:hAnsi="Times New Roman"/>
          <w:i/>
          <w:iCs/>
          <w:szCs w:val="24"/>
          <w:bdr w:val="none" w:sz="0" w:space="0" w:color="auto" w:frame="1"/>
        </w:rPr>
        <w:t>Journal of Research in Personality</w:t>
      </w:r>
      <w:r w:rsidRPr="00EF189A">
        <w:rPr>
          <w:rFonts w:ascii="Times New Roman" w:hAnsi="Times New Roman"/>
          <w:iCs/>
          <w:szCs w:val="24"/>
          <w:bdr w:val="none" w:sz="0" w:space="0" w:color="auto" w:frame="1"/>
        </w:rPr>
        <w:t xml:space="preserve">, 19(2), pp. </w:t>
      </w:r>
      <w:r w:rsidRPr="00EF189A">
        <w:rPr>
          <w:rFonts w:ascii="Times New Roman" w:hAnsi="Times New Roman"/>
          <w:szCs w:val="24"/>
          <w:bdr w:val="none" w:sz="0" w:space="0" w:color="auto" w:frame="1"/>
        </w:rPr>
        <w:t>109-134.</w:t>
      </w:r>
    </w:p>
    <w:p w14:paraId="0FEE6F01"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Deci, E.L. and Ryan, R.M., 2000. The "what" and "why" of goal pursuits: human needs and the self-determination of behavior. </w:t>
      </w:r>
      <w:r w:rsidRPr="00EF189A">
        <w:rPr>
          <w:rFonts w:ascii="Times New Roman" w:hAnsi="Times New Roman"/>
          <w:i/>
          <w:szCs w:val="24"/>
          <w:bdr w:val="none" w:sz="0" w:space="0" w:color="auto" w:frame="1"/>
        </w:rPr>
        <w:t>Psychological Inquiry</w:t>
      </w:r>
      <w:r w:rsidRPr="00EF189A">
        <w:rPr>
          <w:rFonts w:ascii="Times New Roman" w:hAnsi="Times New Roman"/>
          <w:szCs w:val="24"/>
          <w:bdr w:val="none" w:sz="0" w:space="0" w:color="auto" w:frame="1"/>
        </w:rPr>
        <w:t>, 11(4), pp. 227-268.</w:t>
      </w:r>
    </w:p>
    <w:p w14:paraId="492521C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Deci, E.L. and Ryan, R.M., 2008. </w:t>
      </w:r>
      <w:r w:rsidRPr="00EF189A">
        <w:rPr>
          <w:rFonts w:ascii="Times New Roman" w:hAnsi="Times New Roman"/>
          <w:bCs/>
          <w:szCs w:val="24"/>
          <w:bdr w:val="none" w:sz="0" w:space="0" w:color="auto" w:frame="1"/>
        </w:rPr>
        <w:t>Self-determination theory: A macrotheory of human motivation, development, and health</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Canadian Psychology</w:t>
      </w:r>
      <w:r w:rsidRPr="00EF189A">
        <w:rPr>
          <w:rFonts w:ascii="Times New Roman" w:hAnsi="Times New Roman"/>
          <w:szCs w:val="24"/>
          <w:bdr w:val="none" w:sz="0" w:space="0" w:color="auto" w:frame="1"/>
        </w:rPr>
        <w:t>, 49 (</w:t>
      </w:r>
      <w:r>
        <w:rPr>
          <w:rFonts w:ascii="Times New Roman" w:hAnsi="Times New Roman"/>
          <w:szCs w:val="24"/>
          <w:bdr w:val="none" w:sz="0" w:space="0" w:color="auto" w:frame="1"/>
        </w:rPr>
        <w:t>3</w:t>
      </w:r>
      <w:r w:rsidRPr="00EF189A">
        <w:rPr>
          <w:rFonts w:ascii="Times New Roman" w:hAnsi="Times New Roman"/>
          <w:szCs w:val="24"/>
          <w:bdr w:val="none" w:sz="0" w:space="0" w:color="auto" w:frame="1"/>
        </w:rPr>
        <w:t>), pp. 182-185</w:t>
      </w:r>
    </w:p>
    <w:p w14:paraId="308C98EB"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Decker, F.H., Harris-Kojetin, L.D and Bercovitz, A., 2009. Intrinsic job satisfaction, overall satisfaction, and intention to leave the job among nursing assistants in nursing homes. </w:t>
      </w:r>
      <w:r w:rsidRPr="00EF189A">
        <w:rPr>
          <w:rFonts w:ascii="Times New Roman" w:hAnsi="Times New Roman"/>
          <w:i/>
          <w:iCs/>
          <w:szCs w:val="24"/>
          <w:bdr w:val="none" w:sz="0" w:space="0" w:color="auto" w:frame="1"/>
        </w:rPr>
        <w:t>The Gerontologist</w:t>
      </w:r>
      <w:r w:rsidRPr="00EF189A">
        <w:rPr>
          <w:rFonts w:ascii="Times New Roman" w:hAnsi="Times New Roman"/>
          <w:szCs w:val="24"/>
          <w:bdr w:val="none" w:sz="0" w:space="0" w:color="auto" w:frame="1"/>
        </w:rPr>
        <w:t>, 49(5), pp. 596-610.</w:t>
      </w:r>
    </w:p>
    <w:p w14:paraId="1CD344DE" w14:textId="77777777" w:rsidR="00503349" w:rsidRDefault="00503349" w:rsidP="00503349">
      <w:pPr>
        <w:spacing w:after="200"/>
        <w:jc w:val="both"/>
        <w:rPr>
          <w:rFonts w:ascii="Times New Roman" w:hAnsi="Times New Roman"/>
          <w:szCs w:val="24"/>
        </w:rPr>
      </w:pPr>
      <w:r w:rsidRPr="008101DD">
        <w:rPr>
          <w:rFonts w:ascii="Times New Roman" w:hAnsi="Times New Roman"/>
          <w:szCs w:val="24"/>
        </w:rPr>
        <w:t xml:space="preserve">Denzin, N.K. and Lincoln, Y.S., 1994. Introduction: entering the field of qualitative research. In: N.K. Denzin &amp; Y.S. Lincoln, eds. </w:t>
      </w:r>
      <w:r w:rsidRPr="008101DD">
        <w:rPr>
          <w:rFonts w:ascii="Times New Roman" w:hAnsi="Times New Roman"/>
          <w:i/>
          <w:szCs w:val="24"/>
        </w:rPr>
        <w:t>Handbook of Qualitative Research</w:t>
      </w:r>
      <w:r w:rsidRPr="008101DD">
        <w:rPr>
          <w:rFonts w:ascii="Times New Roman" w:hAnsi="Times New Roman"/>
          <w:szCs w:val="24"/>
        </w:rPr>
        <w:t>. Thousand Oaks: Sage. pp. 1-18.</w:t>
      </w:r>
    </w:p>
    <w:p w14:paraId="7005B5CA"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Denzin, N.K. and Lincoln, Y.S., eds., 2000a. </w:t>
      </w:r>
      <w:r w:rsidRPr="008101DD">
        <w:rPr>
          <w:rFonts w:ascii="Times New Roman" w:hAnsi="Times New Roman"/>
          <w:i/>
          <w:szCs w:val="24"/>
        </w:rPr>
        <w:t>Handbook of Qualitative Research</w:t>
      </w:r>
      <w:r w:rsidRPr="008101DD">
        <w:rPr>
          <w:rFonts w:ascii="Times New Roman" w:hAnsi="Times New Roman"/>
          <w:szCs w:val="24"/>
        </w:rPr>
        <w:t>.</w:t>
      </w:r>
      <w:r w:rsidRPr="008101DD">
        <w:rPr>
          <w:rFonts w:ascii="Times New Roman" w:hAnsi="Times New Roman"/>
          <w:i/>
          <w:szCs w:val="24"/>
        </w:rPr>
        <w:t xml:space="preserve"> </w:t>
      </w:r>
      <w:r w:rsidRPr="008101DD">
        <w:rPr>
          <w:rFonts w:ascii="Times New Roman" w:hAnsi="Times New Roman"/>
          <w:szCs w:val="24"/>
        </w:rPr>
        <w:t>2nd ed. Thousand Oaks: Sage.</w:t>
      </w:r>
    </w:p>
    <w:p w14:paraId="261BE89E"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Denzin, N.K. and Lincoln, Y.S., 2000b. Introduction: the discipline and practice of qualitative research. In: N.K. Denzin &amp; Y.S. Lincoln, eds. </w:t>
      </w:r>
      <w:r w:rsidRPr="008101DD">
        <w:rPr>
          <w:rFonts w:ascii="Times New Roman" w:hAnsi="Times New Roman"/>
          <w:i/>
          <w:szCs w:val="24"/>
        </w:rPr>
        <w:t>Handbook of Qualitative Research</w:t>
      </w:r>
      <w:r w:rsidRPr="008101DD">
        <w:rPr>
          <w:rFonts w:ascii="Times New Roman" w:hAnsi="Times New Roman"/>
          <w:szCs w:val="24"/>
        </w:rPr>
        <w:t>. 2nd ed. Thousand Oaks: Sage</w:t>
      </w:r>
      <w:r>
        <w:rPr>
          <w:rFonts w:ascii="Times New Roman" w:hAnsi="Times New Roman"/>
          <w:szCs w:val="24"/>
        </w:rPr>
        <w:t>,</w:t>
      </w:r>
      <w:r w:rsidRPr="008101DD">
        <w:rPr>
          <w:rFonts w:ascii="Times New Roman" w:hAnsi="Times New Roman"/>
          <w:szCs w:val="24"/>
        </w:rPr>
        <w:t xml:space="preserve"> pp. 1-18.</w:t>
      </w:r>
    </w:p>
    <w:p w14:paraId="17B7ADF9" w14:textId="77777777" w:rsidR="00503349" w:rsidRDefault="00503349" w:rsidP="00503349">
      <w:pPr>
        <w:spacing w:after="200"/>
        <w:jc w:val="both"/>
        <w:rPr>
          <w:rFonts w:ascii="Times New Roman" w:hAnsi="Times New Roman"/>
          <w:szCs w:val="24"/>
        </w:rPr>
      </w:pPr>
      <w:r w:rsidRPr="008101DD">
        <w:rPr>
          <w:rFonts w:ascii="Times New Roman" w:hAnsi="Times New Roman"/>
          <w:szCs w:val="24"/>
        </w:rPr>
        <w:t xml:space="preserve">Denzin, N.K. and Lincoln, Y.S., 2005. Introduction: the discipline and practice of qualitative research. In: N.K. Denzin and Y.S. Lincoln, eds. </w:t>
      </w:r>
      <w:r w:rsidRPr="008101DD">
        <w:rPr>
          <w:rFonts w:ascii="Times New Roman" w:hAnsi="Times New Roman"/>
          <w:i/>
          <w:szCs w:val="24"/>
        </w:rPr>
        <w:t>Handbook of Qualitative Research</w:t>
      </w:r>
      <w:r w:rsidRPr="008101DD">
        <w:rPr>
          <w:rFonts w:ascii="Times New Roman" w:hAnsi="Times New Roman"/>
          <w:szCs w:val="24"/>
        </w:rPr>
        <w:t>, 3rd ed. Thousand Oaks, CA: Sage</w:t>
      </w:r>
      <w:r>
        <w:rPr>
          <w:rFonts w:ascii="Times New Roman" w:hAnsi="Times New Roman"/>
          <w:szCs w:val="24"/>
        </w:rPr>
        <w:t>,</w:t>
      </w:r>
      <w:r w:rsidRPr="008101DD">
        <w:rPr>
          <w:rFonts w:ascii="Times New Roman" w:hAnsi="Times New Roman"/>
          <w:szCs w:val="24"/>
        </w:rPr>
        <w:t xml:space="preserve"> pp. 1-32.</w:t>
      </w:r>
    </w:p>
    <w:p w14:paraId="7C99E240" w14:textId="77777777" w:rsidR="00503349" w:rsidRPr="00351060" w:rsidRDefault="00503349" w:rsidP="00503349">
      <w:pPr>
        <w:spacing w:after="200"/>
        <w:rPr>
          <w:rFonts w:ascii="Times New Roman" w:hAnsi="Times New Roman"/>
          <w:szCs w:val="24"/>
        </w:rPr>
      </w:pPr>
      <w:r w:rsidRPr="00AB40E2">
        <w:rPr>
          <w:rFonts w:ascii="Times New Roman" w:hAnsi="Times New Roman"/>
          <w:szCs w:val="24"/>
        </w:rPr>
        <w:t>Department of Health (DoH), 2009</w:t>
      </w:r>
      <w:r>
        <w:rPr>
          <w:rFonts w:ascii="Times New Roman" w:hAnsi="Times New Roman"/>
          <w:szCs w:val="24"/>
        </w:rPr>
        <w:t>a</w:t>
      </w:r>
      <w:r w:rsidRPr="00AB40E2">
        <w:rPr>
          <w:rFonts w:ascii="Times New Roman" w:hAnsi="Times New Roman"/>
          <w:szCs w:val="24"/>
        </w:rPr>
        <w:t xml:space="preserve">. </w:t>
      </w:r>
      <w:r w:rsidRPr="00AB40E2">
        <w:rPr>
          <w:rFonts w:ascii="Times New Roman" w:hAnsi="Times New Roman"/>
          <w:i/>
          <w:iCs/>
          <w:szCs w:val="24"/>
        </w:rPr>
        <w:t>Living well with dementia: A National Dementia Strategy</w:t>
      </w:r>
      <w:r w:rsidRPr="00AB40E2">
        <w:rPr>
          <w:rFonts w:ascii="Times New Roman" w:hAnsi="Times New Roman"/>
          <w:szCs w:val="24"/>
        </w:rPr>
        <w:t>. London: Department of Health. Available at: &lt;https://assets.publishing.service.gov.uk/government/uploads/system/uploads/attachment_data/file/168220/dh_094051.pdf&gt;[Accessed 30 Sep</w:t>
      </w:r>
      <w:r>
        <w:rPr>
          <w:rFonts w:ascii="Times New Roman" w:hAnsi="Times New Roman"/>
          <w:szCs w:val="24"/>
        </w:rPr>
        <w:t>tember</w:t>
      </w:r>
      <w:r w:rsidRPr="00AB40E2">
        <w:rPr>
          <w:rFonts w:ascii="Times New Roman" w:hAnsi="Times New Roman"/>
          <w:szCs w:val="24"/>
        </w:rPr>
        <w:t xml:space="preserve"> 2018]</w:t>
      </w:r>
    </w:p>
    <w:p w14:paraId="3689A551" w14:textId="77777777" w:rsidR="00503349" w:rsidRDefault="00503349" w:rsidP="00503349">
      <w:pPr>
        <w:tabs>
          <w:tab w:val="left" w:pos="5445"/>
        </w:tabs>
        <w:rPr>
          <w:rFonts w:ascii="Times New Roman" w:hAnsi="Times New Roman"/>
          <w:szCs w:val="24"/>
        </w:rPr>
      </w:pPr>
      <w:r w:rsidRPr="00AB40E2">
        <w:rPr>
          <w:rFonts w:ascii="Times New Roman" w:hAnsi="Times New Roman"/>
          <w:szCs w:val="24"/>
        </w:rPr>
        <w:t xml:space="preserve">Department of Health (DoH), 2012. </w:t>
      </w:r>
      <w:r w:rsidRPr="00AB40E2">
        <w:rPr>
          <w:rFonts w:ascii="Times New Roman" w:hAnsi="Times New Roman"/>
          <w:i/>
          <w:iCs/>
          <w:szCs w:val="24"/>
        </w:rPr>
        <w:t>Prime Minister’s challenge on dementia. Delivering major improvements in dementia care and research by 2015</w:t>
      </w:r>
      <w:r w:rsidRPr="00AB40E2">
        <w:rPr>
          <w:rFonts w:ascii="Times New Roman" w:hAnsi="Times New Roman"/>
          <w:szCs w:val="24"/>
        </w:rPr>
        <w:t>. London: Department of Health. Available at: https://www.gov.uk/government/uploads/system/uploads/attachment_data/file/215101/dh_133176.pdf&gt;[Accessed 30 Sep</w:t>
      </w:r>
      <w:r>
        <w:rPr>
          <w:rFonts w:ascii="Times New Roman" w:hAnsi="Times New Roman"/>
          <w:szCs w:val="24"/>
        </w:rPr>
        <w:t>tember</w:t>
      </w:r>
      <w:r w:rsidRPr="00AB40E2">
        <w:rPr>
          <w:rFonts w:ascii="Times New Roman" w:hAnsi="Times New Roman"/>
          <w:szCs w:val="24"/>
        </w:rPr>
        <w:t xml:space="preserve"> 2018]</w:t>
      </w:r>
    </w:p>
    <w:p w14:paraId="5997D5D6" w14:textId="77777777" w:rsidR="00503349" w:rsidRPr="00DA2952" w:rsidRDefault="00503349" w:rsidP="00503349">
      <w:pPr>
        <w:rPr>
          <w:rFonts w:ascii="Times New Roman" w:hAnsi="Times New Roman"/>
          <w:szCs w:val="24"/>
        </w:rPr>
      </w:pPr>
      <w:r w:rsidRPr="000A56C6">
        <w:rPr>
          <w:rFonts w:ascii="Times New Roman" w:hAnsi="Times New Roman"/>
          <w:szCs w:val="24"/>
        </w:rPr>
        <w:t>Department of Health and Social Care, DHSC, 2019. The handbook to the NHS Constitution: for England. Available at: &lt;https://www.gov.uk/government/publications/supplements-to-the-nhs-constitution-for-england/the-handbook-to-the-nhs-constitution-for-england&gt;[Accessed 24 July 2020]</w:t>
      </w:r>
    </w:p>
    <w:p w14:paraId="30F36289"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Department of Health, DoH, 1999. </w:t>
      </w:r>
      <w:r w:rsidRPr="00EF189A">
        <w:rPr>
          <w:rFonts w:ascii="Times New Roman" w:hAnsi="Times New Roman"/>
          <w:i/>
          <w:szCs w:val="24"/>
          <w:bdr w:val="none" w:sz="0" w:space="0" w:color="auto" w:frame="1"/>
        </w:rPr>
        <w:t>Caring about carers: a national strategy for carers</w:t>
      </w:r>
      <w:r w:rsidRPr="00EF189A">
        <w:rPr>
          <w:rFonts w:ascii="Times New Roman" w:hAnsi="Times New Roman"/>
          <w:szCs w:val="24"/>
          <w:bdr w:val="none" w:sz="0" w:space="0" w:color="auto" w:frame="1"/>
        </w:rPr>
        <w:t>. London: Department of Health.</w:t>
      </w:r>
    </w:p>
    <w:p w14:paraId="0417FBEA" w14:textId="77777777" w:rsidR="00503349" w:rsidRPr="000A56C6" w:rsidRDefault="00503349" w:rsidP="00503349">
      <w:pPr>
        <w:rPr>
          <w:rFonts w:ascii="Times New Roman" w:hAnsi="Times New Roman"/>
          <w:szCs w:val="24"/>
        </w:rPr>
      </w:pPr>
      <w:r w:rsidRPr="000A56C6">
        <w:rPr>
          <w:rFonts w:ascii="Times New Roman" w:hAnsi="Times New Roman"/>
          <w:szCs w:val="24"/>
        </w:rPr>
        <w:t>Department of Health, DoH, 2009</w:t>
      </w:r>
      <w:r>
        <w:rPr>
          <w:rFonts w:ascii="Times New Roman" w:hAnsi="Times New Roman"/>
          <w:szCs w:val="24"/>
        </w:rPr>
        <w:t>b</w:t>
      </w:r>
      <w:r w:rsidRPr="000A56C6">
        <w:rPr>
          <w:rFonts w:ascii="Times New Roman" w:hAnsi="Times New Roman"/>
          <w:szCs w:val="24"/>
        </w:rPr>
        <w:t xml:space="preserve">. </w:t>
      </w:r>
      <w:r w:rsidRPr="000A56C6">
        <w:rPr>
          <w:rFonts w:ascii="Times New Roman" w:hAnsi="Times New Roman"/>
          <w:i/>
          <w:szCs w:val="24"/>
        </w:rPr>
        <w:t>Working to Put People First: the strategy for the adult social care workforce in England</w:t>
      </w:r>
      <w:r w:rsidRPr="000A56C6">
        <w:rPr>
          <w:rFonts w:ascii="Times New Roman" w:hAnsi="Times New Roman"/>
          <w:szCs w:val="24"/>
        </w:rPr>
        <w:t>. London: Department of Health. Available at: &lt;</w:t>
      </w:r>
      <w:r w:rsidRPr="0042550A">
        <w:rPr>
          <w:rFonts w:ascii="Times New Roman" w:hAnsi="Times New Roman"/>
          <w:szCs w:val="24"/>
        </w:rPr>
        <w:t>https://webarchive.nationalarchives.gov.uk/ukgwa/20130105063710/http://www.dh.gov.uk/en/Publicationsandstatistics/Publications/PublicationsPolicyAndGuidance/DH_098481</w:t>
      </w:r>
      <w:r w:rsidRPr="000A56C6">
        <w:rPr>
          <w:rFonts w:ascii="Times New Roman" w:hAnsi="Times New Roman"/>
          <w:szCs w:val="24"/>
        </w:rPr>
        <w:t>&gt;[Accessed 12 March 2019]</w:t>
      </w:r>
    </w:p>
    <w:p w14:paraId="2727E0D4"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Department of Health, DoH, 201</w:t>
      </w:r>
      <w:r>
        <w:rPr>
          <w:rFonts w:ascii="Times New Roman" w:hAnsi="Times New Roman"/>
          <w:szCs w:val="24"/>
        </w:rPr>
        <w:t>2</w:t>
      </w:r>
      <w:r w:rsidRPr="000A56C6">
        <w:rPr>
          <w:rFonts w:ascii="Times New Roman" w:hAnsi="Times New Roman"/>
          <w:szCs w:val="24"/>
        </w:rPr>
        <w:t xml:space="preserve">. The NHS Constitution: for England. </w:t>
      </w:r>
      <w:r>
        <w:rPr>
          <w:rFonts w:ascii="Times New Roman" w:hAnsi="Times New Roman"/>
          <w:szCs w:val="24"/>
        </w:rPr>
        <w:t xml:space="preserve">London: Department of Health and Social Care. </w:t>
      </w:r>
      <w:r w:rsidRPr="000A56C6">
        <w:rPr>
          <w:rFonts w:ascii="Times New Roman" w:hAnsi="Times New Roman"/>
          <w:szCs w:val="24"/>
        </w:rPr>
        <w:t>Available at: &lt;</w:t>
      </w:r>
      <w:r w:rsidRPr="00BF283E">
        <w:t xml:space="preserve"> </w:t>
      </w:r>
      <w:r w:rsidRPr="00BF283E">
        <w:rPr>
          <w:rFonts w:ascii="Times New Roman" w:hAnsi="Times New Roman"/>
          <w:szCs w:val="24"/>
        </w:rPr>
        <w:t>https://www.gov.uk/government/publications/the-nhs-constitution-for-england</w:t>
      </w:r>
      <w:r w:rsidRPr="000A56C6">
        <w:rPr>
          <w:rFonts w:ascii="Times New Roman" w:hAnsi="Times New Roman"/>
          <w:szCs w:val="24"/>
        </w:rPr>
        <w:t xml:space="preserve">&gt;[Accessed 24 July 2020] </w:t>
      </w:r>
    </w:p>
    <w:p w14:paraId="3FE8EDEC" w14:textId="77777777" w:rsidR="00503349" w:rsidRPr="00EA7713" w:rsidRDefault="00503349" w:rsidP="00503349">
      <w:pPr>
        <w:tabs>
          <w:tab w:val="left" w:pos="5445"/>
        </w:tabs>
        <w:rPr>
          <w:rFonts w:ascii="Times New Roman" w:hAnsi="Times New Roman"/>
          <w:szCs w:val="24"/>
        </w:rPr>
      </w:pPr>
      <w:r w:rsidRPr="00AB40E2">
        <w:rPr>
          <w:rFonts w:ascii="Times New Roman" w:hAnsi="Times New Roman"/>
          <w:szCs w:val="24"/>
          <w:bdr w:val="none" w:sz="0" w:space="0" w:color="auto" w:frame="1"/>
        </w:rPr>
        <w:t>Department of Work and Pensions, DWP, 2014. Household finances of Carer’s Allowance recipients. Available at: &lt;https://www.york.ac.uk/media/spru/projectfiles/ProjectOutput_CarersAllowance_Finalreport.pdf&gt;[Accessed 14 March 2019]</w:t>
      </w:r>
    </w:p>
    <w:p w14:paraId="65FC4675" w14:textId="77777777" w:rsidR="00503349" w:rsidRPr="003A2CA3" w:rsidRDefault="00503349" w:rsidP="00503349">
      <w:pPr>
        <w:rPr>
          <w:rFonts w:ascii="Times New Roman" w:hAnsi="Times New Roman"/>
          <w:szCs w:val="24"/>
        </w:rPr>
      </w:pPr>
      <w:r w:rsidRPr="002C17CC">
        <w:rPr>
          <w:rFonts w:ascii="Times New Roman" w:hAnsi="Times New Roman"/>
          <w:bCs/>
          <w:szCs w:val="24"/>
          <w:lang w:val="en"/>
        </w:rPr>
        <w:t>Desai, A.K., Grossberg, G.T. and Sheth, D.N., 2004. Activities of daily living in patients with dementia.</w:t>
      </w:r>
      <w:r>
        <w:rPr>
          <w:rFonts w:ascii="Times New Roman" w:hAnsi="Times New Roman"/>
          <w:bCs/>
          <w:szCs w:val="24"/>
          <w:lang w:val="en"/>
        </w:rPr>
        <w:t xml:space="preserve"> </w:t>
      </w:r>
      <w:r w:rsidRPr="002C17CC">
        <w:rPr>
          <w:rFonts w:ascii="Times New Roman" w:hAnsi="Times New Roman"/>
          <w:bCs/>
          <w:i/>
          <w:iCs/>
          <w:szCs w:val="24"/>
          <w:lang w:val="en"/>
        </w:rPr>
        <w:t>CNS Drugs</w:t>
      </w:r>
      <w:r w:rsidRPr="002C17CC">
        <w:rPr>
          <w:rFonts w:ascii="Times New Roman" w:hAnsi="Times New Roman"/>
          <w:bCs/>
          <w:szCs w:val="24"/>
          <w:lang w:val="en"/>
        </w:rPr>
        <w:t>,</w:t>
      </w:r>
      <w:r>
        <w:rPr>
          <w:rFonts w:ascii="Times New Roman" w:hAnsi="Times New Roman"/>
          <w:bCs/>
          <w:szCs w:val="24"/>
          <w:lang w:val="en"/>
        </w:rPr>
        <w:t xml:space="preserve"> </w:t>
      </w:r>
      <w:r w:rsidRPr="002C17CC">
        <w:rPr>
          <w:rFonts w:ascii="Times New Roman" w:hAnsi="Times New Roman"/>
          <w:bCs/>
          <w:szCs w:val="24"/>
          <w:lang w:val="en"/>
        </w:rPr>
        <w:t>18, pp.</w:t>
      </w:r>
      <w:r>
        <w:rPr>
          <w:rFonts w:ascii="Times New Roman" w:hAnsi="Times New Roman"/>
          <w:bCs/>
          <w:szCs w:val="24"/>
          <w:lang w:val="en"/>
        </w:rPr>
        <w:t xml:space="preserve"> </w:t>
      </w:r>
      <w:r w:rsidRPr="002C17CC">
        <w:rPr>
          <w:rFonts w:ascii="Times New Roman" w:hAnsi="Times New Roman"/>
          <w:bCs/>
          <w:szCs w:val="24"/>
          <w:lang w:val="en"/>
        </w:rPr>
        <w:t>853-875.</w:t>
      </w:r>
    </w:p>
    <w:p w14:paraId="1A27DA89" w14:textId="77777777" w:rsidR="00503349" w:rsidRDefault="00503349" w:rsidP="00503349">
      <w:pPr>
        <w:spacing w:before="240"/>
        <w:jc w:val="both"/>
        <w:rPr>
          <w:rFonts w:ascii="Times New Roman" w:hAnsi="Times New Roman"/>
          <w:szCs w:val="24"/>
        </w:rPr>
      </w:pPr>
      <w:r>
        <w:rPr>
          <w:rFonts w:ascii="Times New Roman" w:hAnsi="Times New Roman"/>
          <w:szCs w:val="24"/>
        </w:rPr>
        <w:t>DeVault, I.A., 2016. “Everybody Works but Father” Why the census misdirected historians of women’s employment. </w:t>
      </w:r>
      <w:r>
        <w:rPr>
          <w:rFonts w:ascii="Times New Roman" w:hAnsi="Times New Roman"/>
          <w:i/>
          <w:iCs/>
          <w:szCs w:val="24"/>
        </w:rPr>
        <w:t>Social Science History</w:t>
      </w:r>
      <w:r>
        <w:rPr>
          <w:rFonts w:ascii="Times New Roman" w:hAnsi="Times New Roman"/>
          <w:szCs w:val="24"/>
        </w:rPr>
        <w:t>, 40(3), pp. 369-383.</w:t>
      </w:r>
    </w:p>
    <w:p w14:paraId="05F7800E"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Devereux, J.M., Hastings, R.P., Noone, S.J., Firth, A. and Totsika, V., 2009. </w:t>
      </w:r>
      <w:r w:rsidRPr="000A56C6">
        <w:rPr>
          <w:rFonts w:ascii="Times New Roman" w:hAnsi="Times New Roman"/>
          <w:bCs/>
          <w:szCs w:val="24"/>
        </w:rPr>
        <w:t>Social support and coping as mediators or moderators of the impact of work stressors on burnout in intellectual disability support staff.</w:t>
      </w:r>
      <w:r w:rsidRPr="000A56C6">
        <w:rPr>
          <w:rFonts w:ascii="Times New Roman" w:hAnsi="Times New Roman"/>
          <w:szCs w:val="24"/>
        </w:rPr>
        <w:t xml:space="preserve"> </w:t>
      </w:r>
      <w:r w:rsidRPr="000A56C6">
        <w:rPr>
          <w:rFonts w:ascii="Times New Roman" w:hAnsi="Times New Roman"/>
          <w:i/>
          <w:szCs w:val="24"/>
        </w:rPr>
        <w:t>Research in Developmental Disabilities</w:t>
      </w:r>
      <w:r w:rsidRPr="000A56C6">
        <w:rPr>
          <w:rFonts w:ascii="Times New Roman" w:hAnsi="Times New Roman"/>
          <w:szCs w:val="24"/>
        </w:rPr>
        <w:t>, 30(2), pp. 367-377.</w:t>
      </w:r>
    </w:p>
    <w:p w14:paraId="02F85B1A"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Devers, K.J. and Frankel, R.M. 2000. Study design in qualitative research - 2: Sampling and data collection strategies. </w:t>
      </w:r>
      <w:r w:rsidRPr="004E3E8F">
        <w:rPr>
          <w:rFonts w:ascii="Times New Roman" w:hAnsi="Times New Roman"/>
          <w:i/>
          <w:szCs w:val="24"/>
        </w:rPr>
        <w:t>Education for Health</w:t>
      </w:r>
      <w:r w:rsidRPr="004E3E8F">
        <w:rPr>
          <w:rFonts w:ascii="Times New Roman" w:hAnsi="Times New Roman"/>
          <w:szCs w:val="24"/>
        </w:rPr>
        <w:t>, 13(2), pp. 263-271.</w:t>
      </w:r>
    </w:p>
    <w:p w14:paraId="0CCBA8E6"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Devins, D., Bickerstaffe, T., Mitchell, B. and Halliday, S., 2014. </w:t>
      </w:r>
      <w:r w:rsidRPr="000A56C6">
        <w:rPr>
          <w:rFonts w:ascii="Times New Roman" w:hAnsi="Times New Roman"/>
          <w:i/>
          <w:iCs/>
          <w:szCs w:val="24"/>
        </w:rPr>
        <w:t>Improving Progression in Low-paid, Low Skilled Retail, Catering and Care Jobs</w:t>
      </w:r>
      <w:r w:rsidRPr="000A56C6">
        <w:rPr>
          <w:rFonts w:ascii="Times New Roman" w:hAnsi="Times New Roman"/>
          <w:szCs w:val="24"/>
        </w:rPr>
        <w:t>. York: Joseph Rowntree Foundation.</w:t>
      </w:r>
    </w:p>
    <w:p w14:paraId="7C1B38B9" w14:textId="77777777" w:rsidR="00503349" w:rsidRPr="000A56C6" w:rsidRDefault="00503349" w:rsidP="00503349">
      <w:pPr>
        <w:rPr>
          <w:rFonts w:ascii="Times New Roman" w:hAnsi="Times New Roman"/>
          <w:szCs w:val="24"/>
        </w:rPr>
      </w:pPr>
      <w:r w:rsidRPr="000A56C6">
        <w:rPr>
          <w:rFonts w:ascii="Times New Roman" w:hAnsi="Times New Roman"/>
          <w:szCs w:val="24"/>
        </w:rPr>
        <w:lastRenderedPageBreak/>
        <w:t xml:space="preserve">Dewing, J., 2004. Concerns relating to the application of frameworks to promote person-centredness in nursing older people. </w:t>
      </w:r>
      <w:r w:rsidRPr="000A56C6">
        <w:rPr>
          <w:rFonts w:ascii="Times New Roman" w:hAnsi="Times New Roman"/>
          <w:i/>
          <w:szCs w:val="24"/>
        </w:rPr>
        <w:t>International Journal of Older People Nursing</w:t>
      </w:r>
      <w:r w:rsidRPr="000A56C6">
        <w:rPr>
          <w:rFonts w:ascii="Times New Roman" w:hAnsi="Times New Roman"/>
          <w:szCs w:val="24"/>
        </w:rPr>
        <w:t xml:space="preserve">, 13, pp. 39-44. </w:t>
      </w:r>
    </w:p>
    <w:p w14:paraId="3B5C18BE" w14:textId="77777777" w:rsidR="00503349" w:rsidRPr="004E3E8F" w:rsidRDefault="00503349" w:rsidP="00503349">
      <w:pPr>
        <w:spacing w:before="240"/>
        <w:rPr>
          <w:rFonts w:ascii="Times New Roman" w:hAnsi="Times New Roman"/>
          <w:szCs w:val="24"/>
          <w:lang w:val="en-AU"/>
        </w:rPr>
      </w:pPr>
      <w:r w:rsidRPr="004E3E8F">
        <w:rPr>
          <w:rFonts w:ascii="Times New Roman" w:hAnsi="Times New Roman"/>
          <w:szCs w:val="24"/>
          <w:lang w:val="en-AU"/>
        </w:rPr>
        <w:t>DiCicco-Bloom, B. and Crabtree, B.F., 2006. The qualitative research interview. </w:t>
      </w:r>
      <w:r w:rsidRPr="004E3E8F">
        <w:rPr>
          <w:rFonts w:ascii="Times New Roman" w:hAnsi="Times New Roman"/>
          <w:i/>
          <w:iCs/>
          <w:szCs w:val="24"/>
          <w:lang w:val="en-AU"/>
        </w:rPr>
        <w:t>Medical Education</w:t>
      </w:r>
      <w:r w:rsidRPr="004E3E8F">
        <w:rPr>
          <w:rFonts w:ascii="Times New Roman" w:hAnsi="Times New Roman"/>
          <w:szCs w:val="24"/>
          <w:lang w:val="en-AU"/>
        </w:rPr>
        <w:t>, 40, pp. 314-321.</w:t>
      </w:r>
    </w:p>
    <w:p w14:paraId="572E1234" w14:textId="77777777" w:rsidR="00503349" w:rsidRDefault="00503349" w:rsidP="00503349">
      <w:pPr>
        <w:rPr>
          <w:rFonts w:ascii="Times New Roman" w:hAnsi="Times New Roman"/>
          <w:szCs w:val="24"/>
        </w:rPr>
      </w:pPr>
      <w:r w:rsidRPr="00CF1AE8">
        <w:rPr>
          <w:rFonts w:ascii="Times New Roman" w:hAnsi="Times New Roman"/>
          <w:szCs w:val="24"/>
        </w:rPr>
        <w:t xml:space="preserve">Dietz, J. and Bozeman, B., 2005. Academic careers, patents and productivity: industry experience as scientific and technical human capital. </w:t>
      </w:r>
      <w:r w:rsidRPr="00CF1AE8">
        <w:rPr>
          <w:rFonts w:ascii="Times New Roman" w:hAnsi="Times New Roman"/>
          <w:i/>
          <w:szCs w:val="24"/>
        </w:rPr>
        <w:t>Research Policy</w:t>
      </w:r>
      <w:r w:rsidRPr="00CF1AE8">
        <w:rPr>
          <w:rFonts w:ascii="Times New Roman" w:hAnsi="Times New Roman"/>
          <w:szCs w:val="24"/>
        </w:rPr>
        <w:t>, 34, pp. 349-367.</w:t>
      </w:r>
    </w:p>
    <w:p w14:paraId="1D7D4549"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Dietz, J., Chompolov, I., Bozeman, B., Lane, E and Park, J., 2000. Using the curriculum vita to study the career paths of scientists and engineers: an exploratory assessment. </w:t>
      </w:r>
      <w:r w:rsidRPr="00CF1AE8">
        <w:rPr>
          <w:rFonts w:ascii="Times New Roman" w:hAnsi="Times New Roman"/>
          <w:i/>
          <w:szCs w:val="24"/>
        </w:rPr>
        <w:t>Scientometrics</w:t>
      </w:r>
      <w:r w:rsidRPr="00CF1AE8">
        <w:rPr>
          <w:rFonts w:ascii="Times New Roman" w:hAnsi="Times New Roman"/>
          <w:szCs w:val="24"/>
        </w:rPr>
        <w:t>, 49(3), pp. 419-442.</w:t>
      </w:r>
    </w:p>
    <w:p w14:paraId="69D7C6AD"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Dilworth-Anderson, P. and Gibson, B.E., 2002. The cultural influence of values, norms, meanings, and perceptions in understanding dementia in ethnic minorities. </w:t>
      </w:r>
      <w:r w:rsidRPr="00EF189A">
        <w:rPr>
          <w:rFonts w:ascii="Times New Roman" w:hAnsi="Times New Roman"/>
          <w:i/>
          <w:szCs w:val="24"/>
          <w:bdr w:val="none" w:sz="0" w:space="0" w:color="auto" w:frame="1"/>
        </w:rPr>
        <w:t xml:space="preserve">Alzheimer Disease </w:t>
      </w:r>
      <w:r>
        <w:rPr>
          <w:rFonts w:ascii="Times New Roman" w:hAnsi="Times New Roman"/>
          <w:i/>
          <w:szCs w:val="24"/>
          <w:bdr w:val="none" w:sz="0" w:space="0" w:color="auto" w:frame="1"/>
        </w:rPr>
        <w:t>&amp;</w:t>
      </w:r>
      <w:r w:rsidRPr="00EF189A">
        <w:rPr>
          <w:rFonts w:ascii="Times New Roman" w:hAnsi="Times New Roman"/>
          <w:i/>
          <w:szCs w:val="24"/>
          <w:bdr w:val="none" w:sz="0" w:space="0" w:color="auto" w:frame="1"/>
        </w:rPr>
        <w:t xml:space="preserve"> Associated Disorders</w:t>
      </w:r>
      <w:r w:rsidRPr="00EF189A">
        <w:rPr>
          <w:rFonts w:ascii="Times New Roman" w:hAnsi="Times New Roman"/>
          <w:szCs w:val="24"/>
          <w:bdr w:val="none" w:sz="0" w:space="0" w:color="auto" w:frame="1"/>
        </w:rPr>
        <w:t>, 16(2), pp. S56-S63.</w:t>
      </w:r>
    </w:p>
    <w:p w14:paraId="15EDCDCA" w14:textId="77777777" w:rsidR="00503349" w:rsidRPr="002B3011" w:rsidRDefault="00503349" w:rsidP="00503349">
      <w:pPr>
        <w:textAlignment w:val="baseline"/>
        <w:rPr>
          <w:rFonts w:ascii="Times New Roman" w:hAnsi="Times New Roman"/>
          <w:szCs w:val="24"/>
          <w:lang w:val="en"/>
        </w:rPr>
      </w:pPr>
      <w:r w:rsidRPr="002B3011">
        <w:rPr>
          <w:rFonts w:ascii="Times New Roman" w:hAnsi="Times New Roman"/>
          <w:szCs w:val="24"/>
          <w:lang w:val="en"/>
        </w:rPr>
        <w:t xml:space="preserve">Dilworth-Anderson, P., Brummett, B.H., Goodwin, P., Williams, S.W., Williams, R.B. and Siegler, I.C., 2005. Effect of race on cultural justifications for caregiving. </w:t>
      </w:r>
      <w:r w:rsidRPr="002B3011">
        <w:rPr>
          <w:rFonts w:ascii="Times New Roman" w:hAnsi="Times New Roman"/>
          <w:i/>
          <w:iCs/>
          <w:szCs w:val="24"/>
          <w:lang w:val="en"/>
        </w:rPr>
        <w:t>Journal of Gerontology</w:t>
      </w:r>
      <w:r w:rsidRPr="002B3011">
        <w:rPr>
          <w:rFonts w:ascii="Times New Roman" w:hAnsi="Times New Roman"/>
          <w:i/>
          <w:iCs/>
          <w:szCs w:val="24"/>
        </w:rPr>
        <w:t xml:space="preserve"> Series B: Psychological Sciences and Social Sciences</w:t>
      </w:r>
      <w:r w:rsidRPr="002B3011">
        <w:rPr>
          <w:rFonts w:ascii="Times New Roman" w:hAnsi="Times New Roman"/>
          <w:szCs w:val="24"/>
        </w:rPr>
        <w:t>,</w:t>
      </w:r>
      <w:r w:rsidRPr="002B3011">
        <w:rPr>
          <w:rFonts w:ascii="Times New Roman" w:hAnsi="Times New Roman"/>
          <w:szCs w:val="24"/>
          <w:lang w:val="en"/>
        </w:rPr>
        <w:t xml:space="preserve"> 60(5), pp. S257–S262.</w:t>
      </w:r>
    </w:p>
    <w:p w14:paraId="5EFC8A49"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Dilworth-Anderson, P., Pierre, G. and Hilliard, T.S., 2012. Social justice, health disparities, and culture in the care of the elderly. </w:t>
      </w:r>
      <w:r w:rsidRPr="002B3011">
        <w:rPr>
          <w:rFonts w:ascii="Times New Roman" w:hAnsi="Times New Roman"/>
          <w:i/>
          <w:szCs w:val="24"/>
        </w:rPr>
        <w:t>The Journal of Law, Medicine &amp; Ethics</w:t>
      </w:r>
      <w:r w:rsidRPr="002B3011">
        <w:rPr>
          <w:rFonts w:ascii="Times New Roman" w:hAnsi="Times New Roman"/>
          <w:szCs w:val="24"/>
        </w:rPr>
        <w:t>, 40, pp. 26-32. </w:t>
      </w:r>
    </w:p>
    <w:p w14:paraId="1951EC70"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Dilworth-Anderson, P., Williams, I.C. and Gibson, B.E., 2002. Issues of race, ethnicity, and culture in caregiving research: A 20-year review (1980-2000). </w:t>
      </w:r>
      <w:r w:rsidRPr="002B3011">
        <w:rPr>
          <w:rFonts w:ascii="Times New Roman" w:hAnsi="Times New Roman"/>
          <w:i/>
          <w:szCs w:val="24"/>
        </w:rPr>
        <w:t>The Gerontologist</w:t>
      </w:r>
      <w:r w:rsidRPr="002B3011">
        <w:rPr>
          <w:rFonts w:ascii="Times New Roman" w:hAnsi="Times New Roman"/>
          <w:szCs w:val="24"/>
        </w:rPr>
        <w:t>, 42(2), pp. 237-272</w:t>
      </w:r>
      <w:r>
        <w:rPr>
          <w:rFonts w:ascii="Times New Roman" w:hAnsi="Times New Roman"/>
          <w:szCs w:val="24"/>
        </w:rPr>
        <w:t>.</w:t>
      </w:r>
    </w:p>
    <w:p w14:paraId="76E836F6" w14:textId="77777777" w:rsidR="00503349" w:rsidRDefault="00503349" w:rsidP="00503349">
      <w:pPr>
        <w:rPr>
          <w:rFonts w:ascii="Times" w:hAnsi="Times" w:cs="Times"/>
          <w:szCs w:val="24"/>
        </w:rPr>
      </w:pPr>
      <w:r w:rsidRPr="008D6609">
        <w:rPr>
          <w:rFonts w:ascii="Times" w:hAnsi="Times" w:cs="Times"/>
          <w:szCs w:val="24"/>
        </w:rPr>
        <w:t>Dinsdale, P., 2003. Most wards function with inadequate staffing levels; snapshot survey reveals failure of top-down targets to get day-to-day skill mix right</w:t>
      </w:r>
      <w:r>
        <w:rPr>
          <w:rFonts w:ascii="Times" w:hAnsi="Times" w:cs="Times"/>
          <w:szCs w:val="24"/>
        </w:rPr>
        <w:t xml:space="preserve"> </w:t>
      </w:r>
      <w:r w:rsidRPr="008D6609">
        <w:rPr>
          <w:rFonts w:ascii="Times" w:hAnsi="Times" w:cs="Times"/>
          <w:szCs w:val="24"/>
        </w:rPr>
        <w:t>(News: RCN congress). </w:t>
      </w:r>
      <w:r w:rsidRPr="008D6609">
        <w:rPr>
          <w:rFonts w:ascii="Times" w:hAnsi="Times" w:cs="Times"/>
          <w:i/>
          <w:iCs/>
          <w:szCs w:val="24"/>
        </w:rPr>
        <w:t>Nursing Standard</w:t>
      </w:r>
      <w:r w:rsidRPr="008D6609">
        <w:rPr>
          <w:rFonts w:ascii="Times" w:hAnsi="Times" w:cs="Times"/>
          <w:szCs w:val="24"/>
        </w:rPr>
        <w:t>, </w:t>
      </w:r>
      <w:r w:rsidRPr="0005319F">
        <w:rPr>
          <w:rFonts w:ascii="Times" w:hAnsi="Times" w:cs="Times"/>
          <w:iCs/>
          <w:szCs w:val="24"/>
        </w:rPr>
        <w:t>17</w:t>
      </w:r>
      <w:r w:rsidRPr="001B5865">
        <w:rPr>
          <w:rFonts w:ascii="Times" w:hAnsi="Times" w:cs="Times"/>
          <w:szCs w:val="24"/>
        </w:rPr>
        <w:t>(</w:t>
      </w:r>
      <w:r w:rsidRPr="008D6609">
        <w:rPr>
          <w:rFonts w:ascii="Times" w:hAnsi="Times" w:cs="Times"/>
          <w:szCs w:val="24"/>
        </w:rPr>
        <w:t>33), pp.</w:t>
      </w:r>
      <w:r>
        <w:rPr>
          <w:rFonts w:ascii="Times" w:hAnsi="Times" w:cs="Times"/>
          <w:szCs w:val="24"/>
        </w:rPr>
        <w:t xml:space="preserve"> </w:t>
      </w:r>
      <w:r w:rsidRPr="008D6609">
        <w:rPr>
          <w:rFonts w:ascii="Times" w:hAnsi="Times" w:cs="Times"/>
          <w:szCs w:val="24"/>
        </w:rPr>
        <w:t>5-6.</w:t>
      </w:r>
    </w:p>
    <w:p w14:paraId="45917700" w14:textId="77777777" w:rsidR="00503349" w:rsidRDefault="00503349" w:rsidP="00503349">
      <w:pPr>
        <w:jc w:val="both"/>
        <w:rPr>
          <w:rFonts w:ascii="Times New Roman" w:hAnsi="Times New Roman"/>
          <w:szCs w:val="24"/>
        </w:rPr>
      </w:pPr>
      <w:r w:rsidRPr="00CF1AE8">
        <w:rPr>
          <w:rFonts w:ascii="Times New Roman" w:hAnsi="Times New Roman"/>
          <w:szCs w:val="24"/>
        </w:rPr>
        <w:lastRenderedPageBreak/>
        <w:t xml:space="preserve">Dolamo, B.L. and Olubiyi, S.K., 2013. Nursing education in Africa: South Africa, Nigeria, and Ethiopia experiences. </w:t>
      </w:r>
      <w:r w:rsidRPr="00CF1AE8">
        <w:rPr>
          <w:rFonts w:ascii="Times New Roman" w:hAnsi="Times New Roman"/>
          <w:i/>
          <w:szCs w:val="24"/>
        </w:rPr>
        <w:t>International Journal of Nursing and Midwifery</w:t>
      </w:r>
      <w:r w:rsidRPr="00CF1AE8">
        <w:rPr>
          <w:rFonts w:ascii="Times New Roman" w:hAnsi="Times New Roman"/>
          <w:szCs w:val="24"/>
        </w:rPr>
        <w:t>, 5(2), pp. 14-21.</w:t>
      </w:r>
    </w:p>
    <w:p w14:paraId="788F09BF"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Douglas, M., Katikireddi, S.V., Taulbut, M., McKee, M. and McCartney, G., 2020. Mitigating the wider health effects of covid-19 pandemic response. </w:t>
      </w:r>
      <w:r w:rsidRPr="000A56C6">
        <w:rPr>
          <w:rFonts w:ascii="Times New Roman" w:hAnsi="Times New Roman"/>
          <w:i/>
          <w:iCs/>
          <w:szCs w:val="24"/>
        </w:rPr>
        <w:t>British Medical Journal</w:t>
      </w:r>
      <w:r w:rsidRPr="000A56C6">
        <w:rPr>
          <w:rFonts w:ascii="Times New Roman" w:hAnsi="Times New Roman"/>
          <w:szCs w:val="24"/>
        </w:rPr>
        <w:t>, 369. Available at: &lt;https://www.bmj.com/content/bmj/369/bmj.m1557.full.pdf&gt;[Accessed 25 September 2020]</w:t>
      </w:r>
    </w:p>
    <w:p w14:paraId="2275E0EB"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Dowling, M., 2007. From Husserl to van Manen. A review of different phenomenological approaches. </w:t>
      </w:r>
      <w:r w:rsidRPr="008101DD">
        <w:rPr>
          <w:rFonts w:ascii="Times New Roman" w:hAnsi="Times New Roman"/>
          <w:i/>
          <w:szCs w:val="24"/>
        </w:rPr>
        <w:t>International Journal of Nursing Studies</w:t>
      </w:r>
      <w:r w:rsidRPr="008101DD">
        <w:rPr>
          <w:rFonts w:ascii="Times New Roman" w:hAnsi="Times New Roman"/>
          <w:szCs w:val="24"/>
        </w:rPr>
        <w:t xml:space="preserve">, 44, pp. 131-142. </w:t>
      </w:r>
    </w:p>
    <w:p w14:paraId="1F426D04" w14:textId="77777777" w:rsidR="00503349" w:rsidRDefault="00503349" w:rsidP="00503349">
      <w:pPr>
        <w:jc w:val="both"/>
        <w:rPr>
          <w:rFonts w:ascii="Times New Roman" w:hAnsi="Times New Roman"/>
          <w:szCs w:val="24"/>
        </w:rPr>
      </w:pPr>
      <w:r w:rsidRPr="00CF1AE8">
        <w:rPr>
          <w:rFonts w:ascii="Times New Roman" w:hAnsi="Times New Roman"/>
          <w:szCs w:val="24"/>
        </w:rPr>
        <w:t>Downs, C., 2015. The vicious circle of low status homecare work must be broken. Available at:</w:t>
      </w:r>
      <w:r>
        <w:rPr>
          <w:rFonts w:ascii="Times New Roman" w:hAnsi="Times New Roman"/>
          <w:szCs w:val="24"/>
        </w:rPr>
        <w:t xml:space="preserve"> </w:t>
      </w:r>
      <w:r w:rsidRPr="00CF1AE8">
        <w:rPr>
          <w:rFonts w:ascii="Times New Roman" w:hAnsi="Times New Roman"/>
          <w:szCs w:val="24"/>
        </w:rPr>
        <w:t>&lt;</w:t>
      </w:r>
      <w:r w:rsidRPr="00050119">
        <w:rPr>
          <w:rFonts w:ascii="Times New Roman" w:hAnsi="Times New Roman"/>
          <w:szCs w:val="24"/>
        </w:rPr>
        <w:t>https://www.theguardian.com/social-care-network/2015/mar/05/vicious-circle-homecare-care-work</w:t>
      </w:r>
      <w:r w:rsidRPr="00CF1AE8">
        <w:rPr>
          <w:rFonts w:ascii="Times New Roman" w:hAnsi="Times New Roman"/>
          <w:szCs w:val="24"/>
        </w:rPr>
        <w:t>&gt;[Accessed 15</w:t>
      </w:r>
      <w:r w:rsidRPr="00CF1AE8">
        <w:rPr>
          <w:rFonts w:ascii="Times New Roman" w:hAnsi="Times New Roman"/>
          <w:szCs w:val="24"/>
          <w:vertAlign w:val="superscript"/>
        </w:rPr>
        <w:t> </w:t>
      </w:r>
      <w:r w:rsidRPr="00CF1AE8">
        <w:rPr>
          <w:rFonts w:ascii="Times New Roman" w:hAnsi="Times New Roman"/>
          <w:szCs w:val="24"/>
        </w:rPr>
        <w:t>February 2018]</w:t>
      </w:r>
    </w:p>
    <w:p w14:paraId="525CFD88" w14:textId="77777777" w:rsidR="00503349" w:rsidRPr="004A2D6C" w:rsidRDefault="00503349" w:rsidP="00503349">
      <w:pPr>
        <w:tabs>
          <w:tab w:val="left" w:pos="5445"/>
        </w:tabs>
        <w:jc w:val="both"/>
        <w:rPr>
          <w:rFonts w:ascii="Times New Roman" w:hAnsi="Times New Roman"/>
          <w:szCs w:val="24"/>
        </w:rPr>
      </w:pPr>
      <w:r w:rsidRPr="004A2D6C">
        <w:rPr>
          <w:rFonts w:ascii="Times New Roman" w:hAnsi="Times New Roman"/>
          <w:szCs w:val="24"/>
        </w:rPr>
        <w:t>Drentea, P., 2007. Caregiving. </w:t>
      </w:r>
      <w:r w:rsidRPr="004A2D6C">
        <w:rPr>
          <w:rFonts w:ascii="Times New Roman" w:hAnsi="Times New Roman"/>
          <w:i/>
          <w:iCs/>
          <w:szCs w:val="24"/>
        </w:rPr>
        <w:t>The Blackwell Encyclopedia of Sociology</w:t>
      </w:r>
      <w:r w:rsidRPr="004A2D6C">
        <w:rPr>
          <w:rFonts w:ascii="Times New Roman" w:hAnsi="Times New Roman"/>
          <w:szCs w:val="24"/>
        </w:rPr>
        <w:t>, pp.1-2.</w:t>
      </w:r>
    </w:p>
    <w:p w14:paraId="54772465" w14:textId="77777777" w:rsidR="00503349" w:rsidRPr="002220F6" w:rsidRDefault="00503349" w:rsidP="00503349">
      <w:pPr>
        <w:rPr>
          <w:rFonts w:ascii="Times New Roman" w:hAnsi="Times New Roman"/>
          <w:szCs w:val="24"/>
        </w:rPr>
      </w:pPr>
      <w:r w:rsidRPr="00CF1AE8">
        <w:rPr>
          <w:rFonts w:ascii="Times New Roman" w:hAnsi="Times New Roman"/>
          <w:szCs w:val="24"/>
        </w:rPr>
        <w:t xml:space="preserve">Duffield, C.M., Twigg, D.E., Pugh, J.D., Evans, G., Dimitrelis, S. and Roche, M.A., 2014. The use of unregulated staff: time for regulation? </w:t>
      </w:r>
      <w:r w:rsidRPr="00CF1AE8">
        <w:rPr>
          <w:rFonts w:ascii="Times New Roman" w:hAnsi="Times New Roman"/>
          <w:i/>
          <w:iCs/>
          <w:szCs w:val="24"/>
        </w:rPr>
        <w:t>Policy, Politics, &amp; Nursing Practice</w:t>
      </w:r>
      <w:r w:rsidRPr="00CF1AE8">
        <w:rPr>
          <w:rFonts w:ascii="Times New Roman" w:hAnsi="Times New Roman"/>
          <w:szCs w:val="24"/>
        </w:rPr>
        <w:t xml:space="preserve">, </w:t>
      </w:r>
      <w:r w:rsidRPr="00CF1AE8">
        <w:rPr>
          <w:rFonts w:ascii="Times New Roman" w:hAnsi="Times New Roman"/>
          <w:iCs/>
          <w:szCs w:val="24"/>
        </w:rPr>
        <w:t>15</w:t>
      </w:r>
      <w:r w:rsidRPr="00CF1AE8">
        <w:rPr>
          <w:rFonts w:ascii="Times New Roman" w:hAnsi="Times New Roman"/>
          <w:szCs w:val="24"/>
        </w:rPr>
        <w:t>(1–2), pp. 42–48.</w:t>
      </w:r>
    </w:p>
    <w:p w14:paraId="79BC164C" w14:textId="77777777" w:rsidR="00503349" w:rsidRPr="000A56C6" w:rsidRDefault="00503349" w:rsidP="00503349">
      <w:pPr>
        <w:spacing w:before="240"/>
        <w:jc w:val="both"/>
        <w:rPr>
          <w:rFonts w:ascii="Times New Roman" w:hAnsi="Times New Roman"/>
          <w:szCs w:val="24"/>
        </w:rPr>
      </w:pPr>
      <w:r>
        <w:rPr>
          <w:rFonts w:ascii="Times New Roman" w:hAnsi="Times New Roman"/>
          <w:szCs w:val="24"/>
        </w:rPr>
        <w:t xml:space="preserve">Duffy, M., 2011. </w:t>
      </w:r>
      <w:r>
        <w:rPr>
          <w:rFonts w:ascii="Times New Roman" w:hAnsi="Times New Roman"/>
          <w:i/>
          <w:iCs/>
          <w:szCs w:val="24"/>
        </w:rPr>
        <w:t>Making care count: a century of gender, race, and paid care work</w:t>
      </w:r>
      <w:r>
        <w:rPr>
          <w:rFonts w:ascii="Times New Roman" w:hAnsi="Times New Roman"/>
          <w:szCs w:val="24"/>
        </w:rPr>
        <w:t xml:space="preserve">. </w:t>
      </w:r>
      <w:r>
        <w:rPr>
          <w:rFonts w:ascii="Times New Roman" w:hAnsi="Times New Roman"/>
          <w:b/>
          <w:bCs/>
          <w:szCs w:val="24"/>
        </w:rPr>
        <w:t> </w:t>
      </w:r>
      <w:r>
        <w:rPr>
          <w:rFonts w:ascii="Times New Roman" w:hAnsi="Times New Roman"/>
          <w:szCs w:val="24"/>
        </w:rPr>
        <w:t>New Brunswick: Rutgers University Press.</w:t>
      </w:r>
    </w:p>
    <w:p w14:paraId="3FB0591F" w14:textId="77777777" w:rsidR="00503349" w:rsidRPr="000A56C6" w:rsidRDefault="00503349" w:rsidP="00503349">
      <w:pPr>
        <w:spacing w:before="240"/>
        <w:jc w:val="both"/>
        <w:rPr>
          <w:rFonts w:ascii="Times New Roman" w:hAnsi="Times New Roman"/>
          <w:szCs w:val="24"/>
        </w:rPr>
      </w:pPr>
      <w:r>
        <w:rPr>
          <w:rFonts w:ascii="Times New Roman" w:hAnsi="Times New Roman"/>
          <w:szCs w:val="24"/>
        </w:rPr>
        <w:t xml:space="preserve">Duffy, M., Albelda, R. and Hammonds, C., 2013. Counting care work: the empirical and policy applications of care theory. </w:t>
      </w:r>
      <w:r>
        <w:rPr>
          <w:rFonts w:ascii="Times New Roman" w:hAnsi="Times New Roman"/>
          <w:i/>
          <w:szCs w:val="24"/>
        </w:rPr>
        <w:t>Social Problems</w:t>
      </w:r>
      <w:r>
        <w:rPr>
          <w:rFonts w:ascii="Times New Roman" w:hAnsi="Times New Roman"/>
          <w:szCs w:val="24"/>
        </w:rPr>
        <w:t xml:space="preserve">, 60, pp. 145-167. </w:t>
      </w:r>
    </w:p>
    <w:p w14:paraId="6B57C94F" w14:textId="77777777" w:rsidR="00503349" w:rsidRPr="002B3011" w:rsidRDefault="00503349" w:rsidP="00503349">
      <w:pPr>
        <w:textAlignment w:val="baseline"/>
        <w:rPr>
          <w:rFonts w:ascii="Times New Roman" w:hAnsi="Times New Roman"/>
          <w:b/>
          <w:bCs/>
          <w:color w:val="000000"/>
          <w:szCs w:val="24"/>
        </w:rPr>
      </w:pPr>
      <w:r w:rsidRPr="002B3011">
        <w:rPr>
          <w:rFonts w:ascii="Times New Roman" w:hAnsi="Times New Roman"/>
          <w:color w:val="000000"/>
          <w:szCs w:val="24"/>
        </w:rPr>
        <w:t xml:space="preserve">Dupuis, S., Epp, T. and Smale, B., 2004. </w:t>
      </w:r>
      <w:r w:rsidRPr="002B3011">
        <w:rPr>
          <w:rFonts w:ascii="Times New Roman" w:hAnsi="Times New Roman"/>
          <w:i/>
          <w:iCs/>
          <w:color w:val="000000"/>
          <w:szCs w:val="24"/>
        </w:rPr>
        <w:t>Caregivers of persons with dementia: roles, experiences, supports, and coping</w:t>
      </w:r>
      <w:r w:rsidRPr="002B3011">
        <w:rPr>
          <w:rFonts w:ascii="Times New Roman" w:hAnsi="Times New Roman"/>
          <w:color w:val="000000"/>
          <w:szCs w:val="24"/>
        </w:rPr>
        <w:t>. Waterloo: University of Waterloo.</w:t>
      </w:r>
    </w:p>
    <w:p w14:paraId="21D2CDBE" w14:textId="77777777" w:rsidR="00503349" w:rsidRDefault="00503349" w:rsidP="00503349">
      <w:pPr>
        <w:spacing w:before="240" w:after="0"/>
        <w:jc w:val="both"/>
        <w:rPr>
          <w:rFonts w:ascii="Times New Roman" w:hAnsi="Times New Roman"/>
          <w:bCs/>
          <w:szCs w:val="24"/>
        </w:rPr>
      </w:pPr>
      <w:r>
        <w:rPr>
          <w:rFonts w:ascii="Times New Roman" w:hAnsi="Times New Roman"/>
          <w:bCs/>
          <w:szCs w:val="24"/>
        </w:rPr>
        <w:t>Dustmann, C. and Görlach, J.S., 2016. The economics of temporary migrations. </w:t>
      </w:r>
      <w:r>
        <w:rPr>
          <w:rFonts w:ascii="Times New Roman" w:hAnsi="Times New Roman"/>
          <w:bCs/>
          <w:i/>
          <w:iCs/>
          <w:szCs w:val="24"/>
        </w:rPr>
        <w:t>Journal of Economic Literature</w:t>
      </w:r>
      <w:r>
        <w:rPr>
          <w:rFonts w:ascii="Times New Roman" w:hAnsi="Times New Roman"/>
          <w:bCs/>
          <w:szCs w:val="24"/>
        </w:rPr>
        <w:t>, 54, pp. 98-136.</w:t>
      </w:r>
    </w:p>
    <w:p w14:paraId="2F2BB72F" w14:textId="77777777" w:rsidR="00503349" w:rsidRDefault="00503349" w:rsidP="00503349">
      <w:pPr>
        <w:jc w:val="both"/>
        <w:rPr>
          <w:rFonts w:ascii="Times New Roman" w:hAnsi="Times New Roman"/>
          <w:color w:val="2A2A2A"/>
          <w:szCs w:val="24"/>
        </w:rPr>
      </w:pPr>
      <w:r w:rsidRPr="00AB40E2">
        <w:rPr>
          <w:rFonts w:ascii="Times New Roman" w:hAnsi="Times New Roman"/>
          <w:szCs w:val="24"/>
        </w:rPr>
        <w:lastRenderedPageBreak/>
        <w:t xml:space="preserve">Dyer, S., McDowell, L. and Batnitzky, A., 2008. Emotional labour/body work: the caring labours of migrants in the UK’s National Health Service. </w:t>
      </w:r>
      <w:r w:rsidRPr="00AB40E2">
        <w:rPr>
          <w:rFonts w:ascii="Times New Roman" w:hAnsi="Times New Roman"/>
          <w:i/>
          <w:szCs w:val="24"/>
        </w:rPr>
        <w:t>Geoforum</w:t>
      </w:r>
      <w:r w:rsidRPr="00AB40E2">
        <w:rPr>
          <w:rFonts w:ascii="Times New Roman" w:hAnsi="Times New Roman"/>
          <w:szCs w:val="24"/>
        </w:rPr>
        <w:t>, 39, pp. 2030-2038.</w:t>
      </w:r>
    </w:p>
    <w:p w14:paraId="3B1F52A7"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Economic and Social Research Council, ESRC, 2004. </w:t>
      </w:r>
      <w:r w:rsidRPr="004E3E8F">
        <w:rPr>
          <w:rFonts w:ascii="Times New Roman" w:hAnsi="Times New Roman"/>
          <w:i/>
          <w:iCs/>
          <w:szCs w:val="24"/>
        </w:rPr>
        <w:t>Research Ethics Framework</w:t>
      </w:r>
      <w:r w:rsidRPr="004E3E8F">
        <w:rPr>
          <w:rFonts w:ascii="Times New Roman" w:hAnsi="Times New Roman"/>
          <w:szCs w:val="24"/>
        </w:rPr>
        <w:t>. Swindon: ESRC.</w:t>
      </w:r>
    </w:p>
    <w:p w14:paraId="3BB29C92" w14:textId="77777777" w:rsidR="00503349" w:rsidRDefault="00503349" w:rsidP="00503349">
      <w:pPr>
        <w:jc w:val="both"/>
        <w:rPr>
          <w:rFonts w:ascii="Times New Roman" w:hAnsi="Times New Roman"/>
          <w:szCs w:val="24"/>
        </w:rPr>
      </w:pPr>
      <w:r w:rsidRPr="003A5993">
        <w:rPr>
          <w:rFonts w:ascii="Times New Roman" w:hAnsi="Times New Roman"/>
          <w:szCs w:val="24"/>
        </w:rPr>
        <w:t>Edberg, A.K., Bird, M., Richards, D.A., Woods, R., Keeley, P. and Davis-Quarrell, V., 2008. Strain in nursing care of people with dementia: nurses’ experience in Australia, Sweden and United Kingdom. </w:t>
      </w:r>
      <w:r w:rsidRPr="003A5993">
        <w:rPr>
          <w:rFonts w:ascii="Times New Roman" w:hAnsi="Times New Roman"/>
          <w:i/>
          <w:iCs/>
          <w:szCs w:val="24"/>
        </w:rPr>
        <w:t>Aging and Mental Health</w:t>
      </w:r>
      <w:r w:rsidRPr="003A5993">
        <w:rPr>
          <w:rFonts w:ascii="Times New Roman" w:hAnsi="Times New Roman"/>
          <w:szCs w:val="24"/>
        </w:rPr>
        <w:t>, 12(2), pp.</w:t>
      </w:r>
      <w:r>
        <w:rPr>
          <w:rFonts w:ascii="Times New Roman" w:hAnsi="Times New Roman"/>
          <w:szCs w:val="24"/>
        </w:rPr>
        <w:t xml:space="preserve"> </w:t>
      </w:r>
      <w:r w:rsidRPr="003A5993">
        <w:rPr>
          <w:rFonts w:ascii="Times New Roman" w:hAnsi="Times New Roman"/>
          <w:szCs w:val="24"/>
        </w:rPr>
        <w:t>236-243.</w:t>
      </w:r>
    </w:p>
    <w:p w14:paraId="4E2D66F4"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Eisenberg, D., Downs, M.F., Golberstein, E. and Zivin, K., 2009. Stigma and help seeking for mental health among college students. </w:t>
      </w:r>
      <w:r w:rsidRPr="00DA2952">
        <w:rPr>
          <w:rFonts w:ascii="Times New Roman" w:hAnsi="Times New Roman"/>
          <w:i/>
          <w:szCs w:val="24"/>
        </w:rPr>
        <w:t>Medical Care Research and Review</w:t>
      </w:r>
      <w:r w:rsidRPr="00DA2952">
        <w:rPr>
          <w:rFonts w:ascii="Times New Roman" w:hAnsi="Times New Roman"/>
          <w:szCs w:val="24"/>
        </w:rPr>
        <w:t>, 66, pp. 522-541.</w:t>
      </w:r>
    </w:p>
    <w:p w14:paraId="3ED37748"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El Akremi, A., Vandenberghe, C. and Camerman, J., 2010. The role of justice and social exchange relationships in workplace deviance: test of a mediating model. </w:t>
      </w:r>
      <w:r w:rsidRPr="00EF189A">
        <w:rPr>
          <w:rFonts w:ascii="Times New Roman" w:hAnsi="Times New Roman"/>
          <w:i/>
          <w:szCs w:val="24"/>
          <w:bdr w:val="none" w:sz="0" w:space="0" w:color="auto" w:frame="1"/>
        </w:rPr>
        <w:t>Human Relations</w:t>
      </w:r>
      <w:r w:rsidRPr="00EF189A">
        <w:rPr>
          <w:rFonts w:ascii="Times New Roman" w:hAnsi="Times New Roman"/>
          <w:szCs w:val="24"/>
          <w:bdr w:val="none" w:sz="0" w:space="0" w:color="auto" w:frame="1"/>
        </w:rPr>
        <w:t xml:space="preserve">, 63, pp. 1687-1717. </w:t>
      </w:r>
    </w:p>
    <w:p w14:paraId="5193DA6D" w14:textId="77777777" w:rsidR="00503349" w:rsidRPr="00DA2952" w:rsidRDefault="00503349" w:rsidP="00503349">
      <w:pPr>
        <w:rPr>
          <w:rFonts w:ascii="Times" w:hAnsi="Times" w:cs="Times"/>
          <w:szCs w:val="24"/>
        </w:rPr>
      </w:pPr>
      <w:r w:rsidRPr="00DA2952">
        <w:rPr>
          <w:rFonts w:ascii="Times" w:hAnsi="Times" w:cs="Times"/>
          <w:szCs w:val="24"/>
        </w:rPr>
        <w:t xml:space="preserve">Elegbe, O. and Nwachukwu, I., 2017. A cross-cultural analysis of communication patterns between two cultures in Southwest Nigeria. </w:t>
      </w:r>
      <w:r w:rsidRPr="00DA2952">
        <w:rPr>
          <w:rFonts w:ascii="Times" w:hAnsi="Times" w:cs="Times"/>
          <w:i/>
          <w:iCs/>
          <w:szCs w:val="24"/>
        </w:rPr>
        <w:t>Inkanyiso Journal of Humanities and Social Science</w:t>
      </w:r>
      <w:r w:rsidRPr="00DA2952">
        <w:rPr>
          <w:rFonts w:ascii="Times" w:hAnsi="Times" w:cs="Times"/>
          <w:szCs w:val="24"/>
        </w:rPr>
        <w:t>, 9, pp. 52-65.</w:t>
      </w:r>
    </w:p>
    <w:p w14:paraId="302F5633"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Elliot, K.S., Di Minno, M., Lam, D. and Tu, A.M., 1996. Working with Chinese families in the context of dementia. In G. Yeo &amp; D. Gallagher-Thompson, eds. </w:t>
      </w:r>
      <w:r w:rsidRPr="002B3011">
        <w:rPr>
          <w:rFonts w:ascii="Times New Roman" w:hAnsi="Times New Roman"/>
          <w:i/>
          <w:szCs w:val="24"/>
        </w:rPr>
        <w:t>Ethnicity and the dementias</w:t>
      </w:r>
      <w:r w:rsidRPr="002B3011">
        <w:rPr>
          <w:rFonts w:ascii="Times New Roman" w:hAnsi="Times New Roman"/>
          <w:szCs w:val="24"/>
        </w:rPr>
        <w:t>. Bristol, PA: Taylor &amp; Francis. pp. 89–108.</w:t>
      </w:r>
    </w:p>
    <w:p w14:paraId="230AAAC3"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Elugbadebo, F. and Baiyewu, O., 2017. Cognitive impairment among elderly patients presenting with fall injury in orthopaedic clinics in south western Nigeria. </w:t>
      </w:r>
      <w:r w:rsidRPr="00DA2952">
        <w:rPr>
          <w:rFonts w:ascii="Times New Roman" w:hAnsi="Times New Roman"/>
          <w:i/>
          <w:iCs/>
          <w:szCs w:val="24"/>
        </w:rPr>
        <w:t>International Neuropsychiatric Disease Journal</w:t>
      </w:r>
      <w:r w:rsidRPr="00DA2952">
        <w:rPr>
          <w:rFonts w:ascii="Times New Roman" w:hAnsi="Times New Roman"/>
          <w:szCs w:val="24"/>
        </w:rPr>
        <w:t>, 10, pp. 1-8. Available at: &lt;&gt;[Accessed 15 August 2020]</w:t>
      </w:r>
    </w:p>
    <w:p w14:paraId="6B45B236"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Emanuel, E.J., Wendler, D. and Grady, C., 2000. What makes clinical research ethical? </w:t>
      </w:r>
      <w:r w:rsidRPr="004E3E8F">
        <w:rPr>
          <w:rFonts w:ascii="Times New Roman" w:hAnsi="Times New Roman"/>
          <w:i/>
          <w:iCs/>
          <w:szCs w:val="24"/>
        </w:rPr>
        <w:t>The Journal of the American Medical Association,</w:t>
      </w:r>
      <w:r w:rsidRPr="004E3E8F">
        <w:rPr>
          <w:rFonts w:ascii="Times New Roman" w:hAnsi="Times New Roman"/>
          <w:szCs w:val="24"/>
        </w:rPr>
        <w:t xml:space="preserve"> 283(20), pp. 2701-2711.</w:t>
      </w:r>
    </w:p>
    <w:p w14:paraId="6BD2A45F"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Emerson, R.M., 1976. Social Exchange Theory. </w:t>
      </w:r>
      <w:r w:rsidRPr="00EF189A">
        <w:rPr>
          <w:rFonts w:ascii="Times New Roman" w:hAnsi="Times New Roman"/>
          <w:i/>
          <w:szCs w:val="24"/>
          <w:bdr w:val="none" w:sz="0" w:space="0" w:color="auto" w:frame="1"/>
        </w:rPr>
        <w:t>Annual Review of Sociology</w:t>
      </w:r>
      <w:r w:rsidRPr="00EF189A">
        <w:rPr>
          <w:rFonts w:ascii="Times New Roman" w:hAnsi="Times New Roman"/>
          <w:szCs w:val="24"/>
          <w:bdr w:val="none" w:sz="0" w:space="0" w:color="auto" w:frame="1"/>
        </w:rPr>
        <w:t>, 2, pp. 335-362.</w:t>
      </w:r>
    </w:p>
    <w:p w14:paraId="0AF8B9F0" w14:textId="77777777" w:rsidR="00503349" w:rsidRDefault="00503349" w:rsidP="00503349">
      <w:pPr>
        <w:jc w:val="both"/>
        <w:rPr>
          <w:rFonts w:ascii="Times New Roman" w:hAnsi="Times New Roman"/>
          <w:szCs w:val="24"/>
        </w:rPr>
      </w:pPr>
      <w:r w:rsidRPr="00CF1AE8">
        <w:rPr>
          <w:rFonts w:ascii="Times New Roman" w:hAnsi="Times New Roman"/>
          <w:szCs w:val="24"/>
        </w:rPr>
        <w:t>Endler, N.S. and Parker, J.D., 1990. Multidimensional assessment of coping: a critical evaluation. </w:t>
      </w:r>
      <w:r w:rsidRPr="00CF1AE8">
        <w:rPr>
          <w:rFonts w:ascii="Times New Roman" w:hAnsi="Times New Roman"/>
          <w:i/>
          <w:iCs/>
          <w:szCs w:val="24"/>
        </w:rPr>
        <w:t>J</w:t>
      </w:r>
      <w:r>
        <w:rPr>
          <w:rFonts w:ascii="Times New Roman" w:hAnsi="Times New Roman"/>
          <w:i/>
          <w:iCs/>
          <w:szCs w:val="24"/>
        </w:rPr>
        <w:t>ournal of</w:t>
      </w:r>
      <w:r w:rsidRPr="00CF1AE8">
        <w:rPr>
          <w:rFonts w:ascii="Times New Roman" w:hAnsi="Times New Roman"/>
          <w:i/>
          <w:iCs/>
          <w:szCs w:val="24"/>
        </w:rPr>
        <w:t xml:space="preserve"> Pers</w:t>
      </w:r>
      <w:r>
        <w:rPr>
          <w:rFonts w:ascii="Times New Roman" w:hAnsi="Times New Roman"/>
          <w:i/>
          <w:iCs/>
          <w:szCs w:val="24"/>
        </w:rPr>
        <w:t>onality &amp;</w:t>
      </w:r>
      <w:r w:rsidRPr="00CF1AE8">
        <w:rPr>
          <w:rFonts w:ascii="Times New Roman" w:hAnsi="Times New Roman"/>
          <w:i/>
          <w:iCs/>
          <w:szCs w:val="24"/>
        </w:rPr>
        <w:t xml:space="preserve"> Soc</w:t>
      </w:r>
      <w:r>
        <w:rPr>
          <w:rFonts w:ascii="Times New Roman" w:hAnsi="Times New Roman"/>
          <w:i/>
          <w:iCs/>
          <w:szCs w:val="24"/>
        </w:rPr>
        <w:t>ial</w:t>
      </w:r>
      <w:r w:rsidRPr="00CF1AE8">
        <w:rPr>
          <w:rFonts w:ascii="Times New Roman" w:hAnsi="Times New Roman"/>
          <w:i/>
          <w:iCs/>
          <w:szCs w:val="24"/>
        </w:rPr>
        <w:t xml:space="preserve"> Psychol</w:t>
      </w:r>
      <w:r>
        <w:rPr>
          <w:rFonts w:ascii="Times New Roman" w:hAnsi="Times New Roman"/>
          <w:i/>
          <w:iCs/>
          <w:szCs w:val="24"/>
        </w:rPr>
        <w:t>ogy</w:t>
      </w:r>
      <w:r w:rsidRPr="00CF1AE8">
        <w:rPr>
          <w:rFonts w:ascii="Times New Roman" w:hAnsi="Times New Roman"/>
          <w:szCs w:val="24"/>
        </w:rPr>
        <w:t>, 58, pp. 844</w:t>
      </w:r>
      <w:r>
        <w:rPr>
          <w:rFonts w:ascii="Times New Roman" w:hAnsi="Times New Roman"/>
          <w:szCs w:val="24"/>
        </w:rPr>
        <w:t>-</w:t>
      </w:r>
      <w:r w:rsidRPr="00CF1AE8">
        <w:rPr>
          <w:rFonts w:ascii="Times New Roman" w:hAnsi="Times New Roman"/>
          <w:szCs w:val="24"/>
        </w:rPr>
        <w:t>854.</w:t>
      </w:r>
    </w:p>
    <w:p w14:paraId="0301F58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Engel, G.L., 1977. The need for a new medical model: a challenge for biomedicine. </w:t>
      </w:r>
      <w:r w:rsidRPr="00DA2952">
        <w:rPr>
          <w:rFonts w:ascii="Times New Roman" w:hAnsi="Times New Roman"/>
          <w:i/>
          <w:szCs w:val="24"/>
        </w:rPr>
        <w:t>Science</w:t>
      </w:r>
      <w:r w:rsidRPr="00DA2952">
        <w:rPr>
          <w:rFonts w:ascii="Times New Roman" w:hAnsi="Times New Roman"/>
          <w:szCs w:val="24"/>
        </w:rPr>
        <w:t>, 196, pp. 129-136. </w:t>
      </w:r>
    </w:p>
    <w:p w14:paraId="7D35A8AA"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England, K. and Azzopardi-Muscat, N., 2017. Demographic trends and public health in Europe. </w:t>
      </w:r>
      <w:r w:rsidRPr="000A56C6">
        <w:rPr>
          <w:rFonts w:ascii="Times New Roman" w:hAnsi="Times New Roman"/>
          <w:i/>
          <w:iCs/>
          <w:szCs w:val="24"/>
        </w:rPr>
        <w:t>European Journal of Public Health</w:t>
      </w:r>
      <w:r w:rsidRPr="000A56C6">
        <w:rPr>
          <w:rFonts w:ascii="Times New Roman" w:hAnsi="Times New Roman"/>
          <w:szCs w:val="24"/>
        </w:rPr>
        <w:t>, 27(Suppl 4), pp. 9-13.</w:t>
      </w:r>
    </w:p>
    <w:p w14:paraId="0E94736E" w14:textId="77777777" w:rsidR="00503349" w:rsidRPr="00E455D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England, P., Allison, P. and Wu, Y., 2007. Does bad pay cause occupations to feminize, does feminization reduce pay and how can we tell with longitudinal data? </w:t>
      </w:r>
      <w:r w:rsidRPr="00EF189A">
        <w:rPr>
          <w:rFonts w:ascii="Times New Roman" w:hAnsi="Times New Roman"/>
          <w:i/>
          <w:szCs w:val="24"/>
          <w:bdr w:val="none" w:sz="0" w:space="0" w:color="auto" w:frame="1"/>
        </w:rPr>
        <w:t>Social Science Research</w:t>
      </w:r>
      <w:r w:rsidRPr="00EF189A">
        <w:rPr>
          <w:rFonts w:ascii="Times New Roman" w:hAnsi="Times New Roman"/>
          <w:szCs w:val="24"/>
          <w:bdr w:val="none" w:sz="0" w:space="0" w:color="auto" w:frame="1"/>
        </w:rPr>
        <w:t>, 36, pp. 1237-1256.</w:t>
      </w:r>
    </w:p>
    <w:p w14:paraId="701CFC21" w14:textId="77777777" w:rsidR="00503349" w:rsidRPr="004C64C9" w:rsidRDefault="00503349" w:rsidP="00503349">
      <w:pPr>
        <w:rPr>
          <w:rFonts w:ascii="Times New Roman" w:hAnsi="Times New Roman"/>
          <w:szCs w:val="24"/>
        </w:rPr>
      </w:pPr>
      <w:r>
        <w:rPr>
          <w:rFonts w:ascii="Times New Roman" w:hAnsi="Times New Roman"/>
          <w:szCs w:val="24"/>
        </w:rPr>
        <w:t xml:space="preserve">England, P., Folbre, N. and Leana, C., 2012. Motivating care. In: N. Folbre, ed. </w:t>
      </w:r>
      <w:r w:rsidRPr="00734B98">
        <w:rPr>
          <w:rFonts w:ascii="Times New Roman" w:hAnsi="Times New Roman"/>
          <w:i/>
          <w:iCs/>
          <w:szCs w:val="24"/>
        </w:rPr>
        <w:t>For Love and Money: Care Provision in the United States</w:t>
      </w:r>
      <w:r>
        <w:rPr>
          <w:rFonts w:ascii="Times New Roman" w:hAnsi="Times New Roman"/>
          <w:szCs w:val="24"/>
        </w:rPr>
        <w:t>. New York: Russell Sage Foundation, pp. 21-39.</w:t>
      </w:r>
    </w:p>
    <w:p w14:paraId="23016E88" w14:textId="77777777" w:rsidR="00503349"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England, P., 2005. Emerging theories of care work. </w:t>
      </w:r>
      <w:r w:rsidRPr="00EF189A">
        <w:rPr>
          <w:rFonts w:ascii="Times New Roman" w:hAnsi="Times New Roman"/>
          <w:i/>
          <w:iCs/>
          <w:szCs w:val="24"/>
          <w:bdr w:val="none" w:sz="0" w:space="0" w:color="auto" w:frame="1"/>
        </w:rPr>
        <w:t>Annual Review of Sociology</w:t>
      </w:r>
      <w:r w:rsidRPr="00EF189A">
        <w:rPr>
          <w:rFonts w:ascii="Times New Roman" w:hAnsi="Times New Roman"/>
          <w:szCs w:val="24"/>
          <w:bdr w:val="none" w:sz="0" w:space="0" w:color="auto" w:frame="1"/>
        </w:rPr>
        <w:t>, </w:t>
      </w:r>
      <w:r w:rsidRPr="00EF189A">
        <w:rPr>
          <w:rFonts w:ascii="Times New Roman" w:hAnsi="Times New Roman"/>
          <w:bCs/>
          <w:szCs w:val="24"/>
          <w:bdr w:val="none" w:sz="0" w:space="0" w:color="auto" w:frame="1"/>
        </w:rPr>
        <w:t>31</w:t>
      </w:r>
      <w:r w:rsidRPr="00EF189A">
        <w:rPr>
          <w:rFonts w:ascii="Times New Roman" w:hAnsi="Times New Roman"/>
          <w:szCs w:val="24"/>
          <w:bdr w:val="none" w:sz="0" w:space="0" w:color="auto" w:frame="1"/>
        </w:rPr>
        <w:t>, pp. 381-399.</w:t>
      </w:r>
    </w:p>
    <w:p w14:paraId="08FA2AA8" w14:textId="77777777" w:rsidR="00503349" w:rsidRPr="005A2924" w:rsidRDefault="00503349" w:rsidP="00503349">
      <w:pPr>
        <w:jc w:val="both"/>
        <w:rPr>
          <w:rFonts w:ascii="Times New Roman" w:hAnsi="Times New Roman"/>
          <w:szCs w:val="24"/>
          <w:bdr w:val="none" w:sz="0" w:space="0" w:color="auto" w:frame="1"/>
        </w:rPr>
      </w:pPr>
      <w:r w:rsidRPr="000A56C6">
        <w:rPr>
          <w:rFonts w:ascii="Times New Roman" w:hAnsi="Times New Roman"/>
          <w:szCs w:val="24"/>
        </w:rPr>
        <w:t>Equality Act, 2010</w:t>
      </w:r>
      <w:r>
        <w:rPr>
          <w:rFonts w:ascii="Times New Roman" w:hAnsi="Times New Roman"/>
          <w:szCs w:val="24"/>
        </w:rPr>
        <w:t xml:space="preserve"> (c.15)</w:t>
      </w:r>
      <w:r w:rsidRPr="000A56C6">
        <w:rPr>
          <w:rFonts w:ascii="Times New Roman" w:hAnsi="Times New Roman"/>
          <w:szCs w:val="24"/>
        </w:rPr>
        <w:t>. London: The Stationery Office Limited.</w:t>
      </w:r>
      <w:r>
        <w:rPr>
          <w:rFonts w:ascii="Times New Roman" w:hAnsi="Times New Roman"/>
          <w:szCs w:val="24"/>
        </w:rPr>
        <w:t xml:space="preserve"> </w:t>
      </w:r>
      <w:r w:rsidRPr="000C2CD1">
        <w:rPr>
          <w:rFonts w:ascii="Times New Roman" w:hAnsi="Times New Roman"/>
          <w:szCs w:val="24"/>
        </w:rPr>
        <w:t>Available at:</w:t>
      </w:r>
      <w:r>
        <w:rPr>
          <w:rFonts w:ascii="Times New Roman" w:hAnsi="Times New Roman"/>
          <w:szCs w:val="24"/>
        </w:rPr>
        <w:t xml:space="preserve"> </w:t>
      </w:r>
      <w:r w:rsidRPr="000C2CD1">
        <w:rPr>
          <w:rFonts w:ascii="Times New Roman" w:hAnsi="Times New Roman"/>
          <w:szCs w:val="24"/>
        </w:rPr>
        <w:t>&lt;</w:t>
      </w:r>
      <w:r w:rsidRPr="00DC0A78">
        <w:rPr>
          <w:rFonts w:ascii="Times New Roman" w:hAnsi="Times New Roman"/>
          <w:szCs w:val="24"/>
        </w:rPr>
        <w:t>https://www.legislation.gov.uk/ukpga/2010/15/data.pdf</w:t>
      </w:r>
      <w:r w:rsidRPr="000C2CD1">
        <w:rPr>
          <w:rFonts w:ascii="Times New Roman" w:hAnsi="Times New Roman"/>
          <w:szCs w:val="24"/>
        </w:rPr>
        <w:t>&gt;[Accessed 1</w:t>
      </w:r>
      <w:r>
        <w:rPr>
          <w:rFonts w:ascii="Times New Roman" w:hAnsi="Times New Roman"/>
          <w:szCs w:val="24"/>
        </w:rPr>
        <w:t>5</w:t>
      </w:r>
      <w:r w:rsidRPr="000C2CD1">
        <w:rPr>
          <w:rFonts w:ascii="Times New Roman" w:hAnsi="Times New Roman"/>
          <w:szCs w:val="24"/>
        </w:rPr>
        <w:t xml:space="preserve"> </w:t>
      </w:r>
      <w:r>
        <w:rPr>
          <w:rFonts w:ascii="Times New Roman" w:hAnsi="Times New Roman"/>
          <w:szCs w:val="24"/>
        </w:rPr>
        <w:t>February</w:t>
      </w:r>
      <w:r w:rsidRPr="000C2CD1">
        <w:rPr>
          <w:rFonts w:ascii="Times New Roman" w:hAnsi="Times New Roman"/>
          <w:szCs w:val="24"/>
        </w:rPr>
        <w:t xml:space="preserve"> 2019].</w:t>
      </w:r>
    </w:p>
    <w:p w14:paraId="00431AF2" w14:textId="77777777" w:rsidR="00503349" w:rsidRPr="003472D7" w:rsidRDefault="00503349" w:rsidP="00503349">
      <w:pPr>
        <w:spacing w:before="240" w:after="0"/>
        <w:jc w:val="both"/>
        <w:rPr>
          <w:rFonts w:ascii="Times New Roman" w:hAnsi="Times New Roman"/>
          <w:bCs/>
          <w:szCs w:val="24"/>
        </w:rPr>
      </w:pPr>
      <w:r>
        <w:rPr>
          <w:rFonts w:ascii="Times New Roman" w:hAnsi="Times New Roman"/>
          <w:szCs w:val="24"/>
        </w:rPr>
        <w:t>Erdal, M.B. and Oeppen, C., 2018. Forced to leave? The discursive and analytical significance of describing migration as forced and voluntary. </w:t>
      </w:r>
      <w:r>
        <w:rPr>
          <w:rFonts w:ascii="Times New Roman" w:hAnsi="Times New Roman"/>
          <w:i/>
          <w:szCs w:val="24"/>
        </w:rPr>
        <w:t>Journal of Ethnic and Migration Studies</w:t>
      </w:r>
      <w:r>
        <w:rPr>
          <w:rFonts w:ascii="Times New Roman" w:hAnsi="Times New Roman"/>
          <w:szCs w:val="24"/>
        </w:rPr>
        <w:t>, 44(6), pp. 981-998. </w:t>
      </w:r>
    </w:p>
    <w:p w14:paraId="296D53F6" w14:textId="77777777" w:rsidR="00503349" w:rsidRPr="00F11B68" w:rsidRDefault="00503349" w:rsidP="00503349">
      <w:pPr>
        <w:spacing w:before="240" w:after="0"/>
        <w:jc w:val="both"/>
        <w:rPr>
          <w:rFonts w:ascii="Times New Roman" w:hAnsi="Times New Roman"/>
          <w:szCs w:val="24"/>
          <w:bdr w:val="none" w:sz="0" w:space="0" w:color="auto" w:frame="1"/>
        </w:rPr>
      </w:pPr>
      <w:r w:rsidRPr="00EF189A">
        <w:rPr>
          <w:rFonts w:ascii="Times New Roman" w:hAnsi="Times New Roman"/>
          <w:bCs/>
          <w:szCs w:val="24"/>
          <w:bdr w:val="none" w:sz="0" w:space="0" w:color="auto" w:frame="1"/>
        </w:rPr>
        <w:t xml:space="preserve">Erdogan, B. and Liden, R.C., 2002. Social exchanges in the workplace: a review of recent development and future research directions in leader-member exchange theory. In L.L. Neider &amp; C.A. Schriesheim, eds. 2002. </w:t>
      </w:r>
      <w:r w:rsidRPr="00EF189A">
        <w:rPr>
          <w:rFonts w:ascii="Times New Roman" w:hAnsi="Times New Roman"/>
          <w:bCs/>
          <w:i/>
          <w:szCs w:val="24"/>
          <w:bdr w:val="none" w:sz="0" w:space="0" w:color="auto" w:frame="1"/>
        </w:rPr>
        <w:t>Leadership</w:t>
      </w:r>
      <w:r w:rsidRPr="00EF189A">
        <w:rPr>
          <w:rFonts w:ascii="Times New Roman" w:hAnsi="Times New Roman"/>
          <w:bCs/>
          <w:szCs w:val="24"/>
          <w:bdr w:val="none" w:sz="0" w:space="0" w:color="auto" w:frame="1"/>
        </w:rPr>
        <w:t xml:space="preserve">. Greenwich, CT: Information Age Publishing. pp. </w:t>
      </w:r>
      <w:r w:rsidRPr="00F11B68">
        <w:rPr>
          <w:rFonts w:ascii="Times New Roman" w:hAnsi="Times New Roman"/>
          <w:bCs/>
          <w:szCs w:val="24"/>
          <w:bdr w:val="none" w:sz="0" w:space="0" w:color="auto" w:frame="1"/>
        </w:rPr>
        <w:t>65-114.</w:t>
      </w:r>
    </w:p>
    <w:p w14:paraId="623AD7FD" w14:textId="77777777" w:rsidR="00503349" w:rsidRPr="005A2924" w:rsidRDefault="00503349" w:rsidP="00503349">
      <w:pPr>
        <w:spacing w:before="240"/>
        <w:jc w:val="both"/>
        <w:rPr>
          <w:rFonts w:ascii="Times New Roman" w:hAnsi="Times New Roman"/>
          <w:szCs w:val="24"/>
        </w:rPr>
      </w:pPr>
      <w:r w:rsidRPr="00D527D8">
        <w:rPr>
          <w:rFonts w:ascii="Times New Roman" w:hAnsi="Times New Roman"/>
          <w:szCs w:val="24"/>
        </w:rPr>
        <w:lastRenderedPageBreak/>
        <w:t xml:space="preserve">Essex, E.L. and Hong, J., 2005. Older caregiving parents: division of household labour, marital satisfaction, and caregiver burden. </w:t>
      </w:r>
      <w:r w:rsidRPr="00D527D8">
        <w:rPr>
          <w:rFonts w:ascii="Times New Roman" w:hAnsi="Times New Roman"/>
          <w:i/>
          <w:szCs w:val="24"/>
        </w:rPr>
        <w:t>Family Relations</w:t>
      </w:r>
      <w:r w:rsidRPr="00D527D8">
        <w:rPr>
          <w:rFonts w:ascii="Times New Roman" w:hAnsi="Times New Roman"/>
          <w:szCs w:val="24"/>
        </w:rPr>
        <w:t>, 54, pp. 448-460.</w:t>
      </w:r>
    </w:p>
    <w:p w14:paraId="067CE20D" w14:textId="77777777" w:rsidR="00503349" w:rsidRPr="005A2924" w:rsidRDefault="00503349" w:rsidP="00503349">
      <w:pPr>
        <w:jc w:val="both"/>
        <w:rPr>
          <w:rFonts w:ascii="Times New Roman" w:hAnsi="Times New Roman"/>
          <w:szCs w:val="24"/>
        </w:rPr>
      </w:pPr>
      <w:r w:rsidRPr="00AB40E2">
        <w:rPr>
          <w:rFonts w:ascii="Times New Roman" w:hAnsi="Times New Roman"/>
          <w:szCs w:val="24"/>
        </w:rPr>
        <w:t xml:space="preserve">Etters, L., Goodall, D. and Harrison, B.E., 2008. Caregiver burden among dementia patient caregivers: a review of the literature. </w:t>
      </w:r>
      <w:r w:rsidRPr="00AB40E2">
        <w:rPr>
          <w:rFonts w:ascii="Times New Roman" w:hAnsi="Times New Roman"/>
          <w:i/>
          <w:szCs w:val="24"/>
        </w:rPr>
        <w:t>Journal of the American Academy of Nurse Practitioners</w:t>
      </w:r>
      <w:r w:rsidRPr="00AB40E2">
        <w:rPr>
          <w:rFonts w:ascii="Times New Roman" w:hAnsi="Times New Roman"/>
          <w:szCs w:val="24"/>
        </w:rPr>
        <w:t>, 20</w:t>
      </w:r>
      <w:r>
        <w:rPr>
          <w:rFonts w:ascii="Times New Roman" w:hAnsi="Times New Roman"/>
          <w:szCs w:val="24"/>
        </w:rPr>
        <w:t>(8)</w:t>
      </w:r>
      <w:r w:rsidRPr="00AB40E2">
        <w:rPr>
          <w:rFonts w:ascii="Times New Roman" w:hAnsi="Times New Roman"/>
          <w:szCs w:val="24"/>
        </w:rPr>
        <w:t>, pp. 423-428. </w:t>
      </w:r>
    </w:p>
    <w:p w14:paraId="7FF8B7BA"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Eymard, A., Crawford, B. and Keller, T., 2010. ‘Take a walk in my shoes’: nursing students take a walk in older adults’ shoes to increase knowledge and empathy. </w:t>
      </w:r>
      <w:r w:rsidRPr="00DA2952">
        <w:rPr>
          <w:rFonts w:ascii="Times New Roman" w:hAnsi="Times New Roman"/>
          <w:i/>
          <w:szCs w:val="24"/>
        </w:rPr>
        <w:t>Geriatric Nursing and Home Care</w:t>
      </w:r>
      <w:r w:rsidRPr="00DA2952">
        <w:rPr>
          <w:rFonts w:ascii="Times New Roman" w:hAnsi="Times New Roman"/>
          <w:szCs w:val="24"/>
        </w:rPr>
        <w:t>, 31(2), pp. 137-141.</w:t>
      </w:r>
    </w:p>
    <w:p w14:paraId="03AD64D1"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Facchini, G. and Mayda, A.M., 2009. Does the welfare state affect individual attitudes toward immigrants? Evidence across countries. </w:t>
      </w:r>
      <w:r w:rsidRPr="00CF1AE8">
        <w:rPr>
          <w:rFonts w:ascii="Times New Roman" w:hAnsi="Times New Roman"/>
          <w:i/>
          <w:iCs/>
          <w:szCs w:val="24"/>
        </w:rPr>
        <w:t>The Review of Economics and Statistics</w:t>
      </w:r>
      <w:r w:rsidRPr="00CF1AE8">
        <w:rPr>
          <w:rFonts w:ascii="Times New Roman" w:hAnsi="Times New Roman"/>
          <w:iCs/>
          <w:szCs w:val="24"/>
        </w:rPr>
        <w:t>, 91(2), pp. 295-314.</w:t>
      </w:r>
    </w:p>
    <w:p w14:paraId="2E015E59" w14:textId="77777777" w:rsidR="00503349" w:rsidRDefault="00503349" w:rsidP="00503349">
      <w:pPr>
        <w:spacing w:before="240"/>
        <w:jc w:val="both"/>
        <w:rPr>
          <w:rFonts w:ascii="Times New Roman" w:hAnsi="Times New Roman"/>
          <w:szCs w:val="24"/>
        </w:rPr>
      </w:pPr>
      <w:r>
        <w:rPr>
          <w:rFonts w:ascii="Times New Roman" w:hAnsi="Times New Roman"/>
          <w:szCs w:val="24"/>
        </w:rPr>
        <w:t>Faist, T., 2010. Cultural diversity and social inequalities. </w:t>
      </w:r>
      <w:r>
        <w:rPr>
          <w:rFonts w:ascii="Times New Roman" w:hAnsi="Times New Roman"/>
          <w:i/>
          <w:iCs/>
          <w:szCs w:val="24"/>
        </w:rPr>
        <w:t>Social Research: An International Quarterly</w:t>
      </w:r>
      <w:r>
        <w:rPr>
          <w:rFonts w:ascii="Times New Roman" w:hAnsi="Times New Roman"/>
          <w:szCs w:val="24"/>
        </w:rPr>
        <w:t>, 77, pp.297-324.</w:t>
      </w:r>
    </w:p>
    <w:p w14:paraId="058D4D8F" w14:textId="77777777" w:rsidR="00503349" w:rsidRDefault="00503349" w:rsidP="00503349">
      <w:pPr>
        <w:rPr>
          <w:rFonts w:ascii="Times New Roman" w:hAnsi="Times New Roman"/>
          <w:szCs w:val="24"/>
        </w:rPr>
      </w:pPr>
      <w:r w:rsidRPr="00D3069C">
        <w:rPr>
          <w:rFonts w:ascii="Times New Roman" w:hAnsi="Times New Roman"/>
          <w:szCs w:val="24"/>
        </w:rPr>
        <w:t>Farina, E., Green, C. and McVicar, D., 2020. Zero hours contracts and their growth. </w:t>
      </w:r>
      <w:r w:rsidRPr="00D3069C">
        <w:rPr>
          <w:rFonts w:ascii="Times New Roman" w:hAnsi="Times New Roman"/>
          <w:i/>
          <w:iCs/>
          <w:szCs w:val="24"/>
        </w:rPr>
        <w:t>British Journal of Industrial Relations</w:t>
      </w:r>
      <w:r w:rsidRPr="00D3069C">
        <w:rPr>
          <w:rFonts w:ascii="Times New Roman" w:hAnsi="Times New Roman"/>
          <w:szCs w:val="24"/>
        </w:rPr>
        <w:t>, </w:t>
      </w:r>
      <w:r w:rsidRPr="006E4D1D">
        <w:rPr>
          <w:rFonts w:ascii="Times New Roman" w:hAnsi="Times New Roman"/>
          <w:szCs w:val="24"/>
        </w:rPr>
        <w:t>58</w:t>
      </w:r>
      <w:r w:rsidRPr="00D3069C">
        <w:rPr>
          <w:rFonts w:ascii="Times New Roman" w:hAnsi="Times New Roman"/>
          <w:szCs w:val="24"/>
        </w:rPr>
        <w:t>(3), pp.</w:t>
      </w:r>
      <w:r>
        <w:rPr>
          <w:rFonts w:ascii="Times New Roman" w:hAnsi="Times New Roman"/>
          <w:szCs w:val="24"/>
        </w:rPr>
        <w:t xml:space="preserve"> </w:t>
      </w:r>
      <w:r w:rsidRPr="00D3069C">
        <w:rPr>
          <w:rFonts w:ascii="Times New Roman" w:hAnsi="Times New Roman"/>
          <w:szCs w:val="24"/>
        </w:rPr>
        <w:t>507-531.</w:t>
      </w:r>
    </w:p>
    <w:p w14:paraId="18E5168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Farmer, J. and Bruce, E., 2010. Role play: Refreshing the parts other training can’t reach. </w:t>
      </w:r>
      <w:r w:rsidRPr="00DA2952">
        <w:rPr>
          <w:rFonts w:ascii="Times New Roman" w:hAnsi="Times New Roman"/>
          <w:i/>
          <w:szCs w:val="24"/>
        </w:rPr>
        <w:t>Journal of Dementia Care</w:t>
      </w:r>
      <w:r w:rsidRPr="00DA2952">
        <w:rPr>
          <w:rFonts w:ascii="Times New Roman" w:hAnsi="Times New Roman"/>
          <w:szCs w:val="24"/>
        </w:rPr>
        <w:t>, 18(2), pp. 28-31.</w:t>
      </w:r>
    </w:p>
    <w:p w14:paraId="279E1FFF" w14:textId="77777777" w:rsidR="00503349" w:rsidRPr="002B3011" w:rsidRDefault="00503349" w:rsidP="00503349">
      <w:pPr>
        <w:textAlignment w:val="baseline"/>
        <w:rPr>
          <w:rFonts w:ascii="Times New Roman" w:hAnsi="Times New Roman"/>
          <w:color w:val="000000"/>
          <w:szCs w:val="24"/>
        </w:rPr>
      </w:pPr>
      <w:r w:rsidRPr="002B3011">
        <w:rPr>
          <w:rFonts w:ascii="Times New Roman" w:eastAsia="Calibri" w:hAnsi="Times New Roman"/>
          <w:szCs w:val="24"/>
        </w:rPr>
        <w:t xml:space="preserve">Farran, C.J., Keane-Hagerty, E., Salloway, S., Kupferer, S. and Wilken, C.S., 1991. Finding meaning: An alternative paradigm for Alzheimer's disease family caregivers. </w:t>
      </w:r>
      <w:r w:rsidRPr="002B3011">
        <w:rPr>
          <w:rFonts w:ascii="Times New Roman" w:eastAsia="Calibri" w:hAnsi="Times New Roman"/>
          <w:i/>
          <w:szCs w:val="24"/>
        </w:rPr>
        <w:t>The Gerontologist</w:t>
      </w:r>
      <w:r w:rsidRPr="002B3011">
        <w:rPr>
          <w:rFonts w:ascii="Times New Roman" w:eastAsia="Calibri" w:hAnsi="Times New Roman"/>
          <w:szCs w:val="24"/>
        </w:rPr>
        <w:t>, 31(4), pp. 483-489.</w:t>
      </w:r>
    </w:p>
    <w:p w14:paraId="783E4323" w14:textId="77777777" w:rsidR="00503349" w:rsidRPr="00A00B9F" w:rsidRDefault="00503349" w:rsidP="00503349">
      <w:pPr>
        <w:rPr>
          <w:rFonts w:ascii="Times New Roman" w:hAnsi="Times New Roman"/>
          <w:szCs w:val="24"/>
        </w:rPr>
      </w:pPr>
      <w:r w:rsidRPr="002C17CC">
        <w:rPr>
          <w:rFonts w:ascii="Times New Roman" w:hAnsi="Times New Roman"/>
          <w:bCs/>
          <w:szCs w:val="24"/>
        </w:rPr>
        <w:t>Fauth, E.B., Femia, E.E. and Zarit, S.H., 2016. Resistiveness to care during assistance with activities of daily living in non-institutionalized persons with dementia: associations with informal caregivers' stress and well-being.</w:t>
      </w:r>
      <w:r>
        <w:rPr>
          <w:rFonts w:ascii="Times New Roman" w:hAnsi="Times New Roman"/>
          <w:bCs/>
          <w:szCs w:val="24"/>
        </w:rPr>
        <w:t xml:space="preserve"> </w:t>
      </w:r>
      <w:r w:rsidRPr="002C17CC">
        <w:rPr>
          <w:rFonts w:ascii="Times New Roman" w:hAnsi="Times New Roman"/>
          <w:bCs/>
          <w:i/>
          <w:iCs/>
          <w:szCs w:val="24"/>
        </w:rPr>
        <w:t>Aging &amp; Mental Health</w:t>
      </w:r>
      <w:r w:rsidRPr="002C17CC">
        <w:rPr>
          <w:rFonts w:ascii="Times New Roman" w:hAnsi="Times New Roman"/>
          <w:bCs/>
          <w:szCs w:val="24"/>
        </w:rPr>
        <w:t>, 20(9), pp. 888-898.</w:t>
      </w:r>
    </w:p>
    <w:p w14:paraId="07A29D3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Feast, A., Orrell, M., Charlesworth, G., Melunsky, N., Poland, F. and Moniz-Cook, E., 2016. </w:t>
      </w:r>
      <w:r w:rsidRPr="002B3011">
        <w:rPr>
          <w:rFonts w:ascii="Times New Roman" w:hAnsi="Times New Roman"/>
          <w:noProof/>
          <w:szCs w:val="24"/>
        </w:rPr>
        <w:t>Behavioural and psychological symptoms in dementia and the challenges for family carers: systematic review.</w:t>
      </w:r>
      <w:r w:rsidRPr="002B3011">
        <w:rPr>
          <w:rFonts w:ascii="Times New Roman" w:hAnsi="Times New Roman"/>
          <w:szCs w:val="24"/>
        </w:rPr>
        <w:t xml:space="preserve"> </w:t>
      </w:r>
      <w:r w:rsidRPr="002B3011">
        <w:rPr>
          <w:rFonts w:ascii="Times New Roman" w:hAnsi="Times New Roman"/>
          <w:i/>
          <w:szCs w:val="24"/>
        </w:rPr>
        <w:t>British Journal of Psychiatry</w:t>
      </w:r>
      <w:r w:rsidRPr="002B3011">
        <w:rPr>
          <w:rFonts w:ascii="Times New Roman" w:hAnsi="Times New Roman"/>
          <w:szCs w:val="24"/>
        </w:rPr>
        <w:t>, 208, pp. 429-434.</w:t>
      </w:r>
    </w:p>
    <w:p w14:paraId="0474FD81"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Feeney, B.C. and Collins, N.L., 2001. </w:t>
      </w:r>
      <w:r w:rsidRPr="00945DA4">
        <w:rPr>
          <w:rFonts w:ascii="Times New Roman" w:hAnsi="Times New Roman"/>
          <w:bCs/>
          <w:szCs w:val="24"/>
          <w:bdr w:val="none" w:sz="0" w:space="0" w:color="auto" w:frame="1"/>
        </w:rPr>
        <w:t>Predictors of caregiving in adult intimate relationships: an attachment theoretical perspective</w:t>
      </w:r>
      <w:r w:rsidRPr="00945DA4">
        <w:rPr>
          <w:rFonts w:ascii="Times New Roman" w:hAnsi="Times New Roman"/>
          <w:szCs w:val="24"/>
          <w:bdr w:val="none" w:sz="0" w:space="0" w:color="auto" w:frame="1"/>
        </w:rPr>
        <w:t xml:space="preserve">. </w:t>
      </w:r>
      <w:r w:rsidRPr="00945DA4">
        <w:rPr>
          <w:rFonts w:ascii="Times New Roman" w:hAnsi="Times New Roman"/>
          <w:i/>
          <w:szCs w:val="24"/>
          <w:bdr w:val="none" w:sz="0" w:space="0" w:color="auto" w:frame="1"/>
        </w:rPr>
        <w:t>Journal of Personality and Social Psychology</w:t>
      </w:r>
      <w:r w:rsidRPr="00945DA4">
        <w:rPr>
          <w:rFonts w:ascii="Times New Roman" w:hAnsi="Times New Roman"/>
          <w:szCs w:val="24"/>
          <w:bdr w:val="none" w:sz="0" w:space="0" w:color="auto" w:frame="1"/>
        </w:rPr>
        <w:t>, 80, pp. 972-994.</w:t>
      </w:r>
    </w:p>
    <w:p w14:paraId="172DE0C8"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Feeney, B.C. and Collins, N.L., 2019. The importance of relational support for attachment and exploration needs. </w:t>
      </w:r>
      <w:r w:rsidRPr="00945DA4">
        <w:rPr>
          <w:rFonts w:ascii="Times New Roman" w:hAnsi="Times New Roman"/>
          <w:i/>
          <w:szCs w:val="24"/>
          <w:bdr w:val="none" w:sz="0" w:space="0" w:color="auto" w:frame="1"/>
        </w:rPr>
        <w:t>Current Opinion in Psychology</w:t>
      </w:r>
      <w:r w:rsidRPr="00945DA4">
        <w:rPr>
          <w:rFonts w:ascii="Times New Roman" w:hAnsi="Times New Roman"/>
          <w:szCs w:val="24"/>
          <w:bdr w:val="none" w:sz="0" w:space="0" w:color="auto" w:frame="1"/>
        </w:rPr>
        <w:t>, 25, pp. 182-186.</w:t>
      </w:r>
    </w:p>
    <w:p w14:paraId="561524DB"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Feldman, P., Sapienza, A. and Kane, N., 1994. On the home front: the job of the home aide. </w:t>
      </w:r>
      <w:r w:rsidRPr="00945DA4">
        <w:rPr>
          <w:rFonts w:ascii="Times New Roman" w:hAnsi="Times New Roman"/>
          <w:i/>
          <w:szCs w:val="24"/>
          <w:bdr w:val="none" w:sz="0" w:space="0" w:color="auto" w:frame="1"/>
        </w:rPr>
        <w:t>Generations</w:t>
      </w:r>
      <w:r w:rsidRPr="00945DA4">
        <w:rPr>
          <w:rFonts w:ascii="Times New Roman" w:hAnsi="Times New Roman"/>
          <w:szCs w:val="24"/>
          <w:bdr w:val="none" w:sz="0" w:space="0" w:color="auto" w:frame="1"/>
        </w:rPr>
        <w:t>, pp. 16-19.</w:t>
      </w:r>
    </w:p>
    <w:p w14:paraId="0433DB5A"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Ferreira, R.G., Brandao, M.P. and Cardoso, M.F., 2018. An update of the profile of older adults with dementia in Europe: findings from SHARE. </w:t>
      </w:r>
      <w:r w:rsidRPr="000A56C6">
        <w:rPr>
          <w:rFonts w:ascii="Times New Roman" w:hAnsi="Times New Roman"/>
          <w:i/>
          <w:iCs/>
          <w:szCs w:val="24"/>
        </w:rPr>
        <w:t>Aging &amp; Mental Health</w:t>
      </w:r>
      <w:r w:rsidRPr="000A56C6">
        <w:rPr>
          <w:rFonts w:ascii="Times New Roman" w:hAnsi="Times New Roman"/>
          <w:szCs w:val="24"/>
        </w:rPr>
        <w:t>, 24, pp. 1-8.</w:t>
      </w:r>
    </w:p>
    <w:p w14:paraId="5472AD7D" w14:textId="77777777" w:rsidR="00503349" w:rsidRPr="00EA7713" w:rsidRDefault="00503349" w:rsidP="00503349">
      <w:pPr>
        <w:rPr>
          <w:rFonts w:ascii="Times New Roman" w:hAnsi="Times New Roman"/>
          <w:szCs w:val="24"/>
        </w:rPr>
      </w:pPr>
      <w:r w:rsidRPr="00AB40E2">
        <w:rPr>
          <w:rFonts w:ascii="Times New Roman" w:hAnsi="Times New Roman"/>
          <w:szCs w:val="24"/>
        </w:rPr>
        <w:t xml:space="preserve">Ferri, C.P., Ames, D. and Prince, M., 2004. Behavioral and psychological symptoms of dementia in developing countries. </w:t>
      </w:r>
      <w:r w:rsidRPr="00AB40E2">
        <w:rPr>
          <w:rFonts w:ascii="Times New Roman" w:hAnsi="Times New Roman"/>
          <w:i/>
          <w:szCs w:val="24"/>
        </w:rPr>
        <w:t>International Psychogeriatrics</w:t>
      </w:r>
      <w:r w:rsidRPr="00AB40E2">
        <w:rPr>
          <w:rFonts w:ascii="Times New Roman" w:hAnsi="Times New Roman"/>
          <w:szCs w:val="24"/>
        </w:rPr>
        <w:t>, 16, pp. 441-459.</w:t>
      </w:r>
    </w:p>
    <w:p w14:paraId="4E766B2D" w14:textId="77777777" w:rsidR="00503349" w:rsidRPr="004C64C9" w:rsidRDefault="00503349" w:rsidP="00503349">
      <w:pPr>
        <w:jc w:val="both"/>
        <w:rPr>
          <w:rFonts w:ascii="Times New Roman" w:hAnsi="Times New Roman"/>
          <w:szCs w:val="24"/>
        </w:rPr>
      </w:pPr>
      <w:r w:rsidRPr="00196C46">
        <w:rPr>
          <w:rFonts w:ascii="Times New Roman" w:hAnsi="Times New Roman"/>
          <w:szCs w:val="24"/>
        </w:rPr>
        <w:t xml:space="preserve">Fields, S.K., Mahan, P., Tillman, P., Harris, J., Maxwell, K. and Hojat, M., 2011. Measuring empathy in healthcare profession students using the Jefferson Scale of Physician Empathy: health provider - student version. </w:t>
      </w:r>
      <w:r w:rsidRPr="00196C46">
        <w:rPr>
          <w:rFonts w:ascii="Times New Roman" w:hAnsi="Times New Roman"/>
          <w:i/>
          <w:iCs/>
          <w:szCs w:val="24"/>
        </w:rPr>
        <w:t>Journal of Interprofessional Care</w:t>
      </w:r>
      <w:r w:rsidRPr="00196C46">
        <w:rPr>
          <w:rFonts w:ascii="Times New Roman" w:hAnsi="Times New Roman"/>
          <w:szCs w:val="24"/>
        </w:rPr>
        <w:t>, 25, pp. 287-293.</w:t>
      </w:r>
    </w:p>
    <w:p w14:paraId="2FFA843A"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Finley, N.J., Roberts, M.D. and Banahan III, B.F., 1988. Motivators and inhibitors of attitudes of filial obligation toward aging parents. </w:t>
      </w:r>
      <w:r w:rsidRPr="002B3011">
        <w:rPr>
          <w:rFonts w:ascii="Times New Roman" w:hAnsi="Times New Roman"/>
          <w:i/>
          <w:iCs/>
          <w:color w:val="000000"/>
          <w:szCs w:val="24"/>
        </w:rPr>
        <w:t>The Gerontologist</w:t>
      </w:r>
      <w:r w:rsidRPr="002B3011">
        <w:rPr>
          <w:rFonts w:ascii="Times New Roman" w:hAnsi="Times New Roman"/>
          <w:color w:val="000000"/>
          <w:szCs w:val="24"/>
        </w:rPr>
        <w:t xml:space="preserve">, </w:t>
      </w:r>
      <w:r w:rsidRPr="002B3011">
        <w:rPr>
          <w:rFonts w:ascii="Times New Roman" w:hAnsi="Times New Roman"/>
          <w:iCs/>
          <w:color w:val="000000"/>
          <w:szCs w:val="24"/>
        </w:rPr>
        <w:t>28</w:t>
      </w:r>
      <w:r w:rsidRPr="002B3011">
        <w:rPr>
          <w:rFonts w:ascii="Times New Roman" w:hAnsi="Times New Roman"/>
          <w:color w:val="000000"/>
          <w:szCs w:val="24"/>
        </w:rPr>
        <w:t>, pp.73-78.</w:t>
      </w:r>
    </w:p>
    <w:p w14:paraId="38AF679B"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Fiscella, K. and Epstein, R.M., 2008. So much to do, so little time: care for the socially disadvantaged and the 15-minute visit. </w:t>
      </w:r>
      <w:r w:rsidRPr="00945DA4">
        <w:rPr>
          <w:rFonts w:ascii="Times New Roman" w:hAnsi="Times New Roman"/>
          <w:i/>
          <w:iCs/>
          <w:szCs w:val="24"/>
          <w:bdr w:val="none" w:sz="0" w:space="0" w:color="auto" w:frame="1"/>
        </w:rPr>
        <w:t>Archives of Internal Medicine</w:t>
      </w:r>
      <w:r w:rsidRPr="00945DA4">
        <w:rPr>
          <w:rFonts w:ascii="Times New Roman" w:hAnsi="Times New Roman"/>
          <w:szCs w:val="24"/>
          <w:bdr w:val="none" w:sz="0" w:space="0" w:color="auto" w:frame="1"/>
        </w:rPr>
        <w:t xml:space="preserve">, </w:t>
      </w:r>
      <w:r w:rsidRPr="00945DA4">
        <w:rPr>
          <w:rFonts w:ascii="Times New Roman" w:hAnsi="Times New Roman"/>
          <w:iCs/>
          <w:szCs w:val="24"/>
          <w:bdr w:val="none" w:sz="0" w:space="0" w:color="auto" w:frame="1"/>
        </w:rPr>
        <w:t>168</w:t>
      </w:r>
      <w:r w:rsidRPr="00945DA4">
        <w:rPr>
          <w:rFonts w:ascii="Times New Roman" w:hAnsi="Times New Roman"/>
          <w:szCs w:val="24"/>
          <w:bdr w:val="none" w:sz="0" w:space="0" w:color="auto" w:frame="1"/>
        </w:rPr>
        <w:t>(17), pp. 1843–1852.</w:t>
      </w:r>
    </w:p>
    <w:p w14:paraId="3C268A8A"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Fisher, E. and Harwood, M., 2020. A guide to the Coronavirus Job Retention Scheme. </w:t>
      </w:r>
      <w:r w:rsidRPr="000A56C6">
        <w:rPr>
          <w:rFonts w:ascii="Times New Roman" w:hAnsi="Times New Roman"/>
          <w:i/>
          <w:iCs/>
          <w:szCs w:val="24"/>
        </w:rPr>
        <w:t>Practice Management</w:t>
      </w:r>
      <w:r w:rsidRPr="000A56C6">
        <w:rPr>
          <w:rFonts w:ascii="Times New Roman" w:hAnsi="Times New Roman"/>
          <w:szCs w:val="24"/>
        </w:rPr>
        <w:t>, pp. 238-242. Available at: &lt;https://inpractice.bmj.com/content/inpract/42/4/238.full.pdf&gt;[Accessed 25 September 2020]</w:t>
      </w:r>
    </w:p>
    <w:p w14:paraId="2D9D92D2"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Fiske, S.T. and Taylor, S.E., 1991. </w:t>
      </w:r>
      <w:r w:rsidRPr="00945DA4">
        <w:rPr>
          <w:rFonts w:ascii="Times New Roman" w:hAnsi="Times New Roman"/>
          <w:i/>
          <w:szCs w:val="24"/>
          <w:bdr w:val="none" w:sz="0" w:space="0" w:color="auto" w:frame="1"/>
        </w:rPr>
        <w:t>Social cognition</w:t>
      </w:r>
      <w:r w:rsidRPr="00945DA4">
        <w:rPr>
          <w:rFonts w:ascii="Times New Roman" w:hAnsi="Times New Roman"/>
          <w:szCs w:val="24"/>
          <w:bdr w:val="none" w:sz="0" w:space="0" w:color="auto" w:frame="1"/>
        </w:rPr>
        <w:t>. New York: McGraw Hill.</w:t>
      </w:r>
    </w:p>
    <w:p w14:paraId="11164F18"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Fiske, S.T. and Taylor, S.E., 2013. </w:t>
      </w:r>
      <w:r w:rsidRPr="00945DA4">
        <w:rPr>
          <w:rFonts w:ascii="Times New Roman" w:hAnsi="Times New Roman"/>
          <w:i/>
          <w:szCs w:val="24"/>
          <w:bdr w:val="none" w:sz="0" w:space="0" w:color="auto" w:frame="1"/>
        </w:rPr>
        <w:t>Social cognition: from brains to culture</w:t>
      </w:r>
      <w:r w:rsidRPr="00945DA4">
        <w:rPr>
          <w:rFonts w:ascii="Times New Roman" w:hAnsi="Times New Roman"/>
          <w:szCs w:val="24"/>
          <w:bdr w:val="none" w:sz="0" w:space="0" w:color="auto" w:frame="1"/>
        </w:rPr>
        <w:t>. London: Sage.</w:t>
      </w:r>
    </w:p>
    <w:p w14:paraId="1FE5062A" w14:textId="77777777" w:rsidR="00503349" w:rsidRPr="005E450B" w:rsidRDefault="00503349" w:rsidP="00503349">
      <w:pPr>
        <w:jc w:val="both"/>
        <w:rPr>
          <w:rFonts w:ascii="Times New Roman" w:hAnsi="Times New Roman"/>
          <w:szCs w:val="24"/>
        </w:rPr>
      </w:pPr>
      <w:r>
        <w:rPr>
          <w:rFonts w:ascii="Times New Roman" w:hAnsi="Times New Roman"/>
          <w:szCs w:val="24"/>
        </w:rPr>
        <w:t>Folbre, N. and Nelson, J.A., 2000. For love or money - or both?. </w:t>
      </w:r>
      <w:r>
        <w:rPr>
          <w:rFonts w:ascii="Times New Roman" w:hAnsi="Times New Roman"/>
          <w:i/>
          <w:iCs/>
          <w:szCs w:val="24"/>
        </w:rPr>
        <w:t>Journal of Economic Perspectives</w:t>
      </w:r>
      <w:r>
        <w:rPr>
          <w:rFonts w:ascii="Times New Roman" w:hAnsi="Times New Roman"/>
          <w:szCs w:val="24"/>
        </w:rPr>
        <w:t>, </w:t>
      </w:r>
      <w:r w:rsidRPr="005E450B">
        <w:rPr>
          <w:rFonts w:ascii="Times New Roman" w:hAnsi="Times New Roman"/>
          <w:szCs w:val="24"/>
        </w:rPr>
        <w:t>14</w:t>
      </w:r>
      <w:r>
        <w:rPr>
          <w:rFonts w:ascii="Times New Roman" w:hAnsi="Times New Roman"/>
          <w:szCs w:val="24"/>
        </w:rPr>
        <w:t>(4), pp. 123-140.</w:t>
      </w:r>
    </w:p>
    <w:p w14:paraId="302A46CF" w14:textId="77777777" w:rsidR="00503349" w:rsidRDefault="00503349" w:rsidP="00503349">
      <w:pPr>
        <w:spacing w:after="200"/>
        <w:jc w:val="both"/>
        <w:rPr>
          <w:rFonts w:ascii="Times New Roman" w:eastAsia="Calibri" w:hAnsi="Times New Roman"/>
          <w:szCs w:val="24"/>
          <w:lang w:eastAsia="en-US"/>
        </w:rPr>
      </w:pPr>
      <w:r w:rsidRPr="00CF1AE8">
        <w:rPr>
          <w:rFonts w:ascii="Times New Roman" w:hAnsi="Times New Roman"/>
          <w:szCs w:val="24"/>
        </w:rPr>
        <w:t>Folkman, S. and Lazarus, R.S., 1980. An analysis of coping in a middle</w:t>
      </w:r>
      <w:r>
        <w:rPr>
          <w:rFonts w:ascii="Times New Roman" w:hAnsi="Times New Roman"/>
          <w:szCs w:val="24"/>
        </w:rPr>
        <w:t xml:space="preserve"> </w:t>
      </w:r>
      <w:r w:rsidRPr="00CF1AE8">
        <w:rPr>
          <w:rFonts w:ascii="Times New Roman" w:hAnsi="Times New Roman"/>
          <w:szCs w:val="24"/>
        </w:rPr>
        <w:t>aged community sample. </w:t>
      </w:r>
      <w:r w:rsidRPr="00AA4983">
        <w:rPr>
          <w:rFonts w:ascii="Times New Roman" w:hAnsi="Times New Roman"/>
          <w:i/>
          <w:iCs/>
          <w:szCs w:val="24"/>
        </w:rPr>
        <w:t>Journal of Health &amp; Social Behavior</w:t>
      </w:r>
      <w:r w:rsidRPr="00CF1AE8">
        <w:rPr>
          <w:rFonts w:ascii="Times New Roman" w:hAnsi="Times New Roman"/>
          <w:szCs w:val="24"/>
        </w:rPr>
        <w:t>, 21, pp. 219-239.</w:t>
      </w:r>
    </w:p>
    <w:p w14:paraId="60EB4CF6"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Ford, S., 2016. Age simulation suit helps nursing staff ‘empathise’. </w:t>
      </w:r>
      <w:r w:rsidRPr="00DA2952">
        <w:rPr>
          <w:rFonts w:ascii="Times New Roman" w:hAnsi="Times New Roman"/>
          <w:i/>
          <w:iCs/>
          <w:szCs w:val="24"/>
        </w:rPr>
        <w:t>Nursing Times</w:t>
      </w:r>
      <w:r w:rsidRPr="00DA2952">
        <w:rPr>
          <w:rFonts w:ascii="Times New Roman" w:hAnsi="Times New Roman"/>
          <w:szCs w:val="24"/>
        </w:rPr>
        <w:t>, Editorial. Available at: &lt;https://www.nursingtimes.net/news/education/age-simulation-suit-helps-nursing-staff-empathise/7010943.article&gt;[Accessed 26 April 2019]</w:t>
      </w:r>
    </w:p>
    <w:p w14:paraId="3DF46A6F"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bCs/>
          <w:szCs w:val="24"/>
          <w:lang w:val="en"/>
        </w:rPr>
        <w:t xml:space="preserve">Fossey, E., Harvey, C., McDermott, F. and Davidson, L., 2002. </w:t>
      </w:r>
      <w:r w:rsidRPr="008101DD">
        <w:rPr>
          <w:rFonts w:ascii="Times New Roman" w:hAnsi="Times New Roman"/>
          <w:szCs w:val="24"/>
        </w:rPr>
        <w:t xml:space="preserve">Understanding and evaluating qualitative research. </w:t>
      </w:r>
      <w:r w:rsidRPr="008101DD">
        <w:rPr>
          <w:rFonts w:ascii="Times New Roman" w:hAnsi="Times New Roman"/>
          <w:i/>
          <w:szCs w:val="24"/>
        </w:rPr>
        <w:t>Australian and New Zealand Journal of Psychiatry</w:t>
      </w:r>
      <w:r w:rsidRPr="008101DD">
        <w:rPr>
          <w:rFonts w:ascii="Times New Roman" w:hAnsi="Times New Roman"/>
          <w:szCs w:val="24"/>
        </w:rPr>
        <w:t>, 36, pp. 717-732.</w:t>
      </w:r>
    </w:p>
    <w:p w14:paraId="64A401D5"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Frank, A.G., 1966. </w:t>
      </w:r>
      <w:r>
        <w:rPr>
          <w:rFonts w:ascii="Times New Roman" w:hAnsi="Times New Roman"/>
          <w:i/>
          <w:iCs/>
          <w:szCs w:val="24"/>
        </w:rPr>
        <w:t>The Development of Underdevelopment</w:t>
      </w:r>
      <w:r>
        <w:rPr>
          <w:rFonts w:ascii="Times New Roman" w:hAnsi="Times New Roman"/>
          <w:szCs w:val="24"/>
        </w:rPr>
        <w:t>. Boston: New England Free Press.</w:t>
      </w:r>
    </w:p>
    <w:p w14:paraId="02E73C99" w14:textId="77777777" w:rsidR="00503349" w:rsidRPr="004A2D6C" w:rsidRDefault="00503349" w:rsidP="00503349">
      <w:pPr>
        <w:tabs>
          <w:tab w:val="left" w:pos="5445"/>
        </w:tabs>
        <w:jc w:val="both"/>
        <w:rPr>
          <w:rFonts w:ascii="Times New Roman" w:hAnsi="Times New Roman"/>
          <w:szCs w:val="24"/>
        </w:rPr>
      </w:pPr>
      <w:r w:rsidRPr="004A2D6C">
        <w:rPr>
          <w:rFonts w:ascii="Times New Roman" w:hAnsi="Times New Roman"/>
          <w:szCs w:val="24"/>
        </w:rPr>
        <w:t>Frankish H</w:t>
      </w:r>
      <w:r>
        <w:rPr>
          <w:rFonts w:ascii="Times New Roman" w:hAnsi="Times New Roman"/>
          <w:szCs w:val="24"/>
        </w:rPr>
        <w:t>. and</w:t>
      </w:r>
      <w:r w:rsidRPr="004A2D6C">
        <w:rPr>
          <w:rFonts w:ascii="Times New Roman" w:hAnsi="Times New Roman"/>
          <w:szCs w:val="24"/>
        </w:rPr>
        <w:t xml:space="preserve"> Horton R</w:t>
      </w:r>
      <w:r>
        <w:rPr>
          <w:rFonts w:ascii="Times New Roman" w:hAnsi="Times New Roman"/>
          <w:szCs w:val="24"/>
        </w:rPr>
        <w:t xml:space="preserve">., </w:t>
      </w:r>
      <w:r w:rsidRPr="004A2D6C">
        <w:rPr>
          <w:rFonts w:ascii="Times New Roman" w:hAnsi="Times New Roman"/>
          <w:szCs w:val="24"/>
        </w:rPr>
        <w:t>2017</w:t>
      </w:r>
      <w:r>
        <w:rPr>
          <w:rFonts w:ascii="Times New Roman" w:hAnsi="Times New Roman"/>
          <w:szCs w:val="24"/>
        </w:rPr>
        <w:t>.</w:t>
      </w:r>
      <w:r w:rsidRPr="004A2D6C">
        <w:rPr>
          <w:rFonts w:ascii="Times New Roman" w:hAnsi="Times New Roman"/>
          <w:szCs w:val="24"/>
        </w:rPr>
        <w:t xml:space="preserve"> Prevention and management of dementia: A priority for public health. </w:t>
      </w:r>
      <w:r w:rsidRPr="004A2D6C">
        <w:rPr>
          <w:rFonts w:ascii="Times New Roman" w:hAnsi="Times New Roman"/>
          <w:i/>
          <w:iCs/>
          <w:szCs w:val="24"/>
        </w:rPr>
        <w:t>Lancet</w:t>
      </w:r>
      <w:r>
        <w:rPr>
          <w:rFonts w:ascii="Times New Roman" w:hAnsi="Times New Roman"/>
          <w:szCs w:val="24"/>
        </w:rPr>
        <w:t xml:space="preserve">, </w:t>
      </w:r>
      <w:r w:rsidRPr="004A2D6C">
        <w:rPr>
          <w:rFonts w:ascii="Times New Roman" w:hAnsi="Times New Roman"/>
          <w:szCs w:val="24"/>
        </w:rPr>
        <w:t xml:space="preserve">390, </w:t>
      </w:r>
      <w:r>
        <w:rPr>
          <w:rFonts w:ascii="Times New Roman" w:hAnsi="Times New Roman"/>
          <w:szCs w:val="24"/>
        </w:rPr>
        <w:t xml:space="preserve">pp. </w:t>
      </w:r>
      <w:r w:rsidRPr="004A2D6C">
        <w:rPr>
          <w:rFonts w:ascii="Times New Roman" w:hAnsi="Times New Roman"/>
          <w:szCs w:val="24"/>
        </w:rPr>
        <w:t>2614</w:t>
      </w:r>
      <w:r>
        <w:rPr>
          <w:rFonts w:ascii="Times New Roman" w:hAnsi="Times New Roman"/>
          <w:szCs w:val="24"/>
        </w:rPr>
        <w:t>-</w:t>
      </w:r>
      <w:r w:rsidRPr="004A2D6C">
        <w:rPr>
          <w:rFonts w:ascii="Times New Roman" w:hAnsi="Times New Roman"/>
          <w:szCs w:val="24"/>
        </w:rPr>
        <w:t>2615.</w:t>
      </w:r>
    </w:p>
    <w:p w14:paraId="7C0C627D" w14:textId="77777777" w:rsidR="00503349" w:rsidRDefault="00503349" w:rsidP="00503349">
      <w:pPr>
        <w:jc w:val="both"/>
        <w:rPr>
          <w:rFonts w:ascii="Times New Roman" w:hAnsi="Times New Roman"/>
          <w:szCs w:val="24"/>
        </w:rPr>
      </w:pPr>
      <w:bookmarkStart w:id="307" w:name="_Hlk52242015"/>
      <w:r w:rsidRPr="00E674FC">
        <w:rPr>
          <w:rFonts w:ascii="Times New Roman" w:hAnsi="Times New Roman"/>
          <w:szCs w:val="24"/>
        </w:rPr>
        <w:t>Freeman</w:t>
      </w:r>
      <w:bookmarkEnd w:id="307"/>
      <w:r w:rsidRPr="00E674FC">
        <w:rPr>
          <w:rFonts w:ascii="Times New Roman" w:hAnsi="Times New Roman"/>
          <w:szCs w:val="24"/>
        </w:rPr>
        <w:t>, M., Baumann, A., Blythe, J., Fisher, A. and Akhtar‐Danesh, N., 2012. Migration: a concept analysis from a nursing perspective. </w:t>
      </w:r>
      <w:r w:rsidRPr="00E674FC">
        <w:rPr>
          <w:rFonts w:ascii="Times New Roman" w:hAnsi="Times New Roman"/>
          <w:i/>
          <w:iCs/>
          <w:szCs w:val="24"/>
        </w:rPr>
        <w:t>Journal of Advanced Nursing</w:t>
      </w:r>
      <w:r w:rsidRPr="00E674FC">
        <w:rPr>
          <w:rFonts w:ascii="Times New Roman" w:hAnsi="Times New Roman"/>
          <w:szCs w:val="24"/>
        </w:rPr>
        <w:t>, 68(5), pp.1176-1186.</w:t>
      </w:r>
    </w:p>
    <w:p w14:paraId="022B5C5D" w14:textId="77777777" w:rsidR="00503349" w:rsidRPr="00DA2952" w:rsidRDefault="00503349" w:rsidP="00503349">
      <w:pPr>
        <w:jc w:val="both"/>
        <w:rPr>
          <w:rFonts w:ascii="Times New Roman" w:hAnsi="Times New Roman"/>
          <w:b/>
          <w:bCs/>
          <w:szCs w:val="24"/>
        </w:rPr>
      </w:pPr>
      <w:r w:rsidRPr="00DA2952">
        <w:rPr>
          <w:rFonts w:ascii="Times New Roman" w:hAnsi="Times New Roman"/>
          <w:szCs w:val="24"/>
        </w:rPr>
        <w:t xml:space="preserve">Frith, C.D., 2016. Understanding madness? </w:t>
      </w:r>
      <w:r w:rsidRPr="00DA2952">
        <w:rPr>
          <w:rFonts w:ascii="Times New Roman" w:hAnsi="Times New Roman"/>
          <w:i/>
          <w:iCs/>
          <w:szCs w:val="24"/>
        </w:rPr>
        <w:t>Brain</w:t>
      </w:r>
      <w:r w:rsidRPr="00DA2952">
        <w:rPr>
          <w:rFonts w:ascii="Times New Roman" w:hAnsi="Times New Roman"/>
          <w:szCs w:val="24"/>
        </w:rPr>
        <w:t>, 139(2), pp. 635-639.</w:t>
      </w:r>
    </w:p>
    <w:p w14:paraId="54830512"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Frowe, I., 2001. Language and educational research. </w:t>
      </w:r>
      <w:r w:rsidRPr="008101DD">
        <w:rPr>
          <w:rFonts w:ascii="Times New Roman" w:hAnsi="Times New Roman"/>
          <w:i/>
          <w:szCs w:val="24"/>
        </w:rPr>
        <w:t>Journal of Philosophy and Education</w:t>
      </w:r>
      <w:r w:rsidRPr="008101DD">
        <w:rPr>
          <w:rFonts w:ascii="Times New Roman" w:hAnsi="Times New Roman"/>
          <w:szCs w:val="24"/>
        </w:rPr>
        <w:t>, 35(2), pp. 175-186. http://dx.doi.org/10.1111/1467-9752.00219</w:t>
      </w:r>
    </w:p>
    <w:p w14:paraId="4166609A" w14:textId="77777777" w:rsidR="00503349" w:rsidRPr="003472D7" w:rsidRDefault="00503349" w:rsidP="00503349">
      <w:pPr>
        <w:spacing w:before="240"/>
        <w:jc w:val="both"/>
        <w:rPr>
          <w:rFonts w:ascii="Times New Roman" w:hAnsi="Times New Roman"/>
          <w:szCs w:val="24"/>
        </w:rPr>
      </w:pPr>
      <w:r>
        <w:rPr>
          <w:rFonts w:ascii="Times New Roman" w:hAnsi="Times New Roman"/>
          <w:szCs w:val="24"/>
        </w:rPr>
        <w:t>Fussell, E., 2012. Space, time, and volition: dimensions of migration theory. In M.R. Rosenblum and D.J. Tichenor, eds.</w:t>
      </w:r>
      <w:r>
        <w:rPr>
          <w:rFonts w:ascii="Times New Roman" w:hAnsi="Times New Roman"/>
          <w:i/>
          <w:iCs/>
          <w:szCs w:val="24"/>
        </w:rPr>
        <w:t xml:space="preserve"> The Oxford Handbook of the Politics of International Migration</w:t>
      </w:r>
      <w:r>
        <w:rPr>
          <w:rFonts w:ascii="Times New Roman" w:hAnsi="Times New Roman"/>
          <w:szCs w:val="24"/>
        </w:rPr>
        <w:t>. New York: Oxford University Press, pp. 25–52.</w:t>
      </w:r>
    </w:p>
    <w:p w14:paraId="0F94D55B" w14:textId="77777777" w:rsidR="00503349" w:rsidRPr="000A56C6" w:rsidRDefault="00503349" w:rsidP="00503349">
      <w:pPr>
        <w:spacing w:before="240"/>
        <w:rPr>
          <w:rFonts w:ascii="Times New Roman" w:hAnsi="Times New Roman"/>
          <w:szCs w:val="24"/>
        </w:rPr>
      </w:pPr>
      <w:r w:rsidRPr="004E3E8F">
        <w:rPr>
          <w:rFonts w:ascii="Times New Roman" w:hAnsi="Times New Roman"/>
          <w:szCs w:val="24"/>
        </w:rPr>
        <w:lastRenderedPageBreak/>
        <w:t xml:space="preserve">Gadamer, H.G., 1990. The universality of the hermeneutic problem. In: G.L. Ormiston &amp; A.D. Schrift, eds. 1990. </w:t>
      </w:r>
      <w:r w:rsidRPr="004E3E8F">
        <w:rPr>
          <w:rFonts w:ascii="Times New Roman" w:hAnsi="Times New Roman"/>
          <w:i/>
          <w:szCs w:val="24"/>
        </w:rPr>
        <w:t>The hermeneutic tradition: from Ast to Ricoeur</w:t>
      </w:r>
      <w:r w:rsidRPr="004E3E8F">
        <w:rPr>
          <w:rFonts w:ascii="Times New Roman" w:hAnsi="Times New Roman"/>
          <w:szCs w:val="24"/>
        </w:rPr>
        <w:t>. Albany NY: State University of New York Press. Ch.6.</w:t>
      </w:r>
    </w:p>
    <w:p w14:paraId="5BC9BCA1"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Gadamer, H.G., 2004. </w:t>
      </w:r>
      <w:r w:rsidRPr="008101DD">
        <w:rPr>
          <w:rFonts w:ascii="Times New Roman" w:hAnsi="Times New Roman"/>
          <w:i/>
          <w:szCs w:val="24"/>
        </w:rPr>
        <w:t>Truth and Method</w:t>
      </w:r>
      <w:r w:rsidRPr="008101DD">
        <w:rPr>
          <w:rFonts w:ascii="Times New Roman" w:hAnsi="Times New Roman"/>
          <w:szCs w:val="24"/>
        </w:rPr>
        <w:t>. 2nd. rev ed. Translated from German by J. Weinsheimer &amp; D. Marshall. London: Continuum.</w:t>
      </w:r>
    </w:p>
    <w:p w14:paraId="65564BA5" w14:textId="77777777" w:rsidR="00503349" w:rsidRPr="005A292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Gagné, M. and Deci, E.L., 2005. </w:t>
      </w:r>
      <w:r w:rsidRPr="00945DA4">
        <w:rPr>
          <w:rFonts w:ascii="Times New Roman" w:hAnsi="Times New Roman"/>
          <w:bCs/>
          <w:szCs w:val="24"/>
          <w:bdr w:val="none" w:sz="0" w:space="0" w:color="auto" w:frame="1"/>
        </w:rPr>
        <w:t>Self-determination theory and work motivation.</w:t>
      </w:r>
      <w:r w:rsidRPr="00945DA4">
        <w:rPr>
          <w:rFonts w:ascii="Times New Roman" w:hAnsi="Times New Roman"/>
          <w:szCs w:val="24"/>
          <w:bdr w:val="none" w:sz="0" w:space="0" w:color="auto" w:frame="1"/>
        </w:rPr>
        <w:t xml:space="preserve"> </w:t>
      </w:r>
      <w:r w:rsidRPr="00945DA4">
        <w:rPr>
          <w:rFonts w:ascii="Times New Roman" w:hAnsi="Times New Roman"/>
          <w:i/>
          <w:szCs w:val="24"/>
          <w:bdr w:val="none" w:sz="0" w:space="0" w:color="auto" w:frame="1"/>
        </w:rPr>
        <w:t>Journal of Organisational Behaviour</w:t>
      </w:r>
      <w:r w:rsidRPr="00945DA4">
        <w:rPr>
          <w:rFonts w:ascii="Times New Roman" w:hAnsi="Times New Roman"/>
          <w:szCs w:val="24"/>
          <w:bdr w:val="none" w:sz="0" w:space="0" w:color="auto" w:frame="1"/>
        </w:rPr>
        <w:t>, 26, pp. 331-362.</w:t>
      </w:r>
    </w:p>
    <w:p w14:paraId="3AA0ED02"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Gagné, M., Forest, J., Vansteenkiste, M., Crevier-Braud, L., Van den Broeck, A., Aspeli, A.K., Bellerose, J., Benabou, C., Chemolli, E., Güntert, S.T., Halvari, H., Indiyastuti, D.L., Johnson, P.A., Molstad, M.H., Naudin, M., Ndao, A., Olafsen, A.H., Roussel, P., Wang, Z. and Westbye, C., 2015. </w:t>
      </w:r>
      <w:r w:rsidRPr="00945DA4">
        <w:rPr>
          <w:rFonts w:ascii="Times New Roman" w:hAnsi="Times New Roman"/>
          <w:bCs/>
          <w:szCs w:val="24"/>
          <w:bdr w:val="none" w:sz="0" w:space="0" w:color="auto" w:frame="1"/>
        </w:rPr>
        <w:t>The multidimensional work motivation scale: validation evidence in seven languages and nine countries.</w:t>
      </w:r>
      <w:r w:rsidRPr="00945DA4">
        <w:rPr>
          <w:rFonts w:ascii="Times New Roman" w:hAnsi="Times New Roman"/>
          <w:szCs w:val="24"/>
          <w:bdr w:val="none" w:sz="0" w:space="0" w:color="auto" w:frame="1"/>
        </w:rPr>
        <w:t xml:space="preserve"> </w:t>
      </w:r>
      <w:r w:rsidRPr="00945DA4">
        <w:rPr>
          <w:rFonts w:ascii="Times New Roman" w:hAnsi="Times New Roman"/>
          <w:i/>
          <w:szCs w:val="24"/>
          <w:bdr w:val="none" w:sz="0" w:space="0" w:color="auto" w:frame="1"/>
        </w:rPr>
        <w:t>European Journal of Work and Organizational Psychology</w:t>
      </w:r>
      <w:r w:rsidRPr="00945DA4">
        <w:rPr>
          <w:rFonts w:ascii="Times New Roman" w:hAnsi="Times New Roman"/>
          <w:szCs w:val="24"/>
          <w:bdr w:val="none" w:sz="0" w:space="0" w:color="auto" w:frame="1"/>
        </w:rPr>
        <w:t>, 24, pp. 178-196.</w:t>
      </w:r>
    </w:p>
    <w:p w14:paraId="4AB12710"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Gall, M.D., Gall, J.P. and Borg, W.R., 2003. Action research. </w:t>
      </w:r>
      <w:r w:rsidRPr="004E3E8F">
        <w:rPr>
          <w:rFonts w:ascii="Times New Roman" w:hAnsi="Times New Roman"/>
          <w:i/>
          <w:iCs/>
          <w:szCs w:val="24"/>
        </w:rPr>
        <w:t>Educational Research: An Introduction</w:t>
      </w:r>
      <w:r w:rsidRPr="004E3E8F">
        <w:rPr>
          <w:rFonts w:ascii="Times New Roman" w:hAnsi="Times New Roman"/>
          <w:szCs w:val="24"/>
        </w:rPr>
        <w:t>. 7</w:t>
      </w:r>
      <w:r w:rsidRPr="004E3E8F">
        <w:rPr>
          <w:rFonts w:ascii="Times New Roman" w:hAnsi="Times New Roman"/>
          <w:szCs w:val="24"/>
          <w:vertAlign w:val="superscript"/>
        </w:rPr>
        <w:t>th</w:t>
      </w:r>
      <w:r w:rsidRPr="004E3E8F">
        <w:rPr>
          <w:rFonts w:ascii="Times New Roman" w:hAnsi="Times New Roman"/>
          <w:szCs w:val="24"/>
        </w:rPr>
        <w:t xml:space="preserve"> ed</w:t>
      </w:r>
      <w:r w:rsidRPr="004E3E8F">
        <w:rPr>
          <w:rFonts w:ascii="Times New Roman" w:hAnsi="Times New Roman"/>
          <w:iCs/>
          <w:szCs w:val="24"/>
        </w:rPr>
        <w:t>. Boston: Pearson Education Inc,</w:t>
      </w:r>
      <w:r w:rsidRPr="004E3E8F">
        <w:rPr>
          <w:rFonts w:ascii="Times New Roman" w:hAnsi="Times New Roman"/>
          <w:szCs w:val="24"/>
        </w:rPr>
        <w:t xml:space="preserve"> pp. 578-597.</w:t>
      </w:r>
    </w:p>
    <w:p w14:paraId="093479A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Gallagher, S., 2012. </w:t>
      </w:r>
      <w:r w:rsidRPr="008101DD">
        <w:rPr>
          <w:rFonts w:ascii="Times New Roman" w:hAnsi="Times New Roman"/>
          <w:i/>
          <w:szCs w:val="24"/>
        </w:rPr>
        <w:t>Phenomenology</w:t>
      </w:r>
      <w:r w:rsidRPr="008101DD">
        <w:rPr>
          <w:rFonts w:ascii="Times New Roman" w:hAnsi="Times New Roman"/>
          <w:szCs w:val="24"/>
        </w:rPr>
        <w:t>. London: Palgrave Macmillan.</w:t>
      </w:r>
    </w:p>
    <w:p w14:paraId="3D2B407A" w14:textId="77777777" w:rsidR="00503349" w:rsidRPr="005A2924" w:rsidRDefault="00503349" w:rsidP="00503349">
      <w:pPr>
        <w:rPr>
          <w:rFonts w:cs="Arial"/>
          <w:color w:val="333333"/>
          <w:sz w:val="26"/>
          <w:szCs w:val="26"/>
        </w:rPr>
      </w:pPr>
      <w:r w:rsidRPr="00D527D8">
        <w:rPr>
          <w:rFonts w:ascii="Times New Roman" w:hAnsi="Times New Roman"/>
          <w:szCs w:val="24"/>
        </w:rPr>
        <w:t xml:space="preserve">Gallagher-Thompson, D. and Coon, D.W., 2007. Evidence-based psychological treatments for distress in family caregivers of older adults. </w:t>
      </w:r>
      <w:r w:rsidRPr="00D527D8">
        <w:rPr>
          <w:rFonts w:ascii="Times New Roman" w:hAnsi="Times New Roman"/>
          <w:i/>
          <w:szCs w:val="24"/>
        </w:rPr>
        <w:t>Psychology and Aging</w:t>
      </w:r>
      <w:r w:rsidRPr="00D527D8">
        <w:rPr>
          <w:rFonts w:ascii="Times New Roman" w:hAnsi="Times New Roman"/>
          <w:szCs w:val="24"/>
        </w:rPr>
        <w:t>, 22, pp. 37-51.</w:t>
      </w:r>
    </w:p>
    <w:p w14:paraId="3F554F21" w14:textId="77777777" w:rsidR="00503349" w:rsidRPr="002B3011" w:rsidRDefault="00503349" w:rsidP="00503349">
      <w:pPr>
        <w:jc w:val="both"/>
        <w:rPr>
          <w:rFonts w:ascii="Times New Roman" w:hAnsi="Times New Roman"/>
          <w:szCs w:val="24"/>
          <w:bdr w:val="none" w:sz="0" w:space="0" w:color="auto" w:frame="1"/>
        </w:rPr>
      </w:pPr>
      <w:r w:rsidRPr="002B3011">
        <w:rPr>
          <w:rStyle w:val="citation"/>
          <w:rFonts w:ascii="Times New Roman" w:eastAsiaTheme="majorEastAsia" w:hAnsi="Times New Roman"/>
          <w:color w:val="000000"/>
          <w:szCs w:val="24"/>
        </w:rPr>
        <w:t xml:space="preserve">Gallagher-Thompson, D., Arean, P., Coon, D., Menendez, A., Takagi, K., Haley, W.E., </w:t>
      </w:r>
      <w:r w:rsidRPr="002B3011">
        <w:rPr>
          <w:rFonts w:ascii="Times New Roman" w:hAnsi="Times New Roman"/>
          <w:color w:val="000000"/>
          <w:szCs w:val="24"/>
        </w:rPr>
        <w:t xml:space="preserve">Argüelles, T., Rubert, M., Loewenstein, D. and Szapocznik, J., </w:t>
      </w:r>
      <w:r w:rsidRPr="002B3011">
        <w:rPr>
          <w:rStyle w:val="citation"/>
          <w:rFonts w:ascii="Times New Roman" w:eastAsiaTheme="majorEastAsia" w:hAnsi="Times New Roman"/>
          <w:color w:val="000000"/>
          <w:szCs w:val="24"/>
        </w:rPr>
        <w:t xml:space="preserve">2000. Development and implementation of intervention strategies for culturally diverse caregiving populations. In: R. Schulz, ed. 2000. </w:t>
      </w:r>
      <w:r w:rsidRPr="002B3011">
        <w:rPr>
          <w:rStyle w:val="ref-journal"/>
          <w:rFonts w:ascii="Times New Roman" w:hAnsi="Times New Roman"/>
          <w:i/>
          <w:color w:val="000000"/>
          <w:szCs w:val="24"/>
        </w:rPr>
        <w:t>Handbook on Dementia Caregiving: Evidence-Based Interventions for Family Caregivers</w:t>
      </w:r>
      <w:r w:rsidRPr="002B3011">
        <w:rPr>
          <w:rStyle w:val="ref-journal"/>
          <w:rFonts w:ascii="Times New Roman" w:hAnsi="Times New Roman"/>
          <w:color w:val="000000"/>
          <w:szCs w:val="24"/>
        </w:rPr>
        <w:t>.</w:t>
      </w:r>
      <w:r w:rsidRPr="002B3011">
        <w:rPr>
          <w:rStyle w:val="citation"/>
          <w:rFonts w:ascii="Times New Roman" w:eastAsiaTheme="majorEastAsia" w:hAnsi="Times New Roman"/>
          <w:color w:val="000000"/>
          <w:szCs w:val="24"/>
        </w:rPr>
        <w:t xml:space="preserve"> New York: Springer. pp. 151–185.</w:t>
      </w:r>
    </w:p>
    <w:p w14:paraId="46C9716A" w14:textId="77777777" w:rsidR="00503349" w:rsidRPr="002B3011" w:rsidRDefault="00503349" w:rsidP="00503349">
      <w:pPr>
        <w:jc w:val="both"/>
        <w:rPr>
          <w:rFonts w:ascii="Times New Roman" w:hAnsi="Times New Roman"/>
          <w:szCs w:val="24"/>
          <w:bdr w:val="none" w:sz="0" w:space="0" w:color="auto" w:frame="1"/>
        </w:rPr>
      </w:pPr>
      <w:r w:rsidRPr="002B3011">
        <w:rPr>
          <w:rStyle w:val="citation"/>
          <w:rFonts w:ascii="Times New Roman" w:eastAsiaTheme="majorEastAsia" w:hAnsi="Times New Roman"/>
          <w:color w:val="000000"/>
          <w:szCs w:val="24"/>
        </w:rPr>
        <w:t xml:space="preserve">Gallagher-Thompson, D., Coon, D.W., Solano, N., Ambler, C., Rabinowitz, Y. and Thompson L.W., 2003. Change in indices of distress among Latina and Caucasian female caregivers of elderly relatives with dementia: Site-specific results from the REACH national collaborative study. </w:t>
      </w:r>
      <w:r w:rsidRPr="002B3011">
        <w:rPr>
          <w:rStyle w:val="ref-journal"/>
          <w:rFonts w:ascii="Times New Roman" w:hAnsi="Times New Roman"/>
          <w:i/>
          <w:color w:val="000000"/>
          <w:szCs w:val="24"/>
        </w:rPr>
        <w:t>The Gerontologist</w:t>
      </w:r>
      <w:r w:rsidRPr="002B3011">
        <w:rPr>
          <w:rStyle w:val="citation"/>
          <w:rFonts w:ascii="Times New Roman" w:eastAsiaTheme="majorEastAsia" w:hAnsi="Times New Roman"/>
          <w:color w:val="000000"/>
          <w:szCs w:val="24"/>
        </w:rPr>
        <w:t xml:space="preserve">, </w:t>
      </w:r>
      <w:r w:rsidRPr="002B3011">
        <w:rPr>
          <w:rStyle w:val="ref-vol"/>
          <w:rFonts w:ascii="Times New Roman" w:eastAsiaTheme="minorEastAsia" w:hAnsi="Times New Roman"/>
          <w:color w:val="000000"/>
          <w:szCs w:val="24"/>
        </w:rPr>
        <w:t>43</w:t>
      </w:r>
      <w:r w:rsidRPr="002B3011">
        <w:rPr>
          <w:rStyle w:val="citation"/>
          <w:rFonts w:ascii="Times New Roman" w:eastAsiaTheme="majorEastAsia" w:hAnsi="Times New Roman"/>
          <w:color w:val="000000"/>
          <w:szCs w:val="24"/>
        </w:rPr>
        <w:t>, pp. 580-591.</w:t>
      </w:r>
    </w:p>
    <w:p w14:paraId="3910D3D6"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lastRenderedPageBreak/>
        <w:t xml:space="preserve">Galletta, A., 2013. </w:t>
      </w:r>
      <w:r w:rsidRPr="004E3E8F">
        <w:rPr>
          <w:rFonts w:ascii="Times New Roman" w:hAnsi="Times New Roman"/>
          <w:i/>
          <w:iCs/>
          <w:szCs w:val="24"/>
        </w:rPr>
        <w:t>Mastering the semi-structured interview and beyond: From research design to analysis and publication</w:t>
      </w:r>
      <w:r w:rsidRPr="004E3E8F">
        <w:rPr>
          <w:rFonts w:ascii="Times New Roman" w:hAnsi="Times New Roman"/>
          <w:szCs w:val="24"/>
        </w:rPr>
        <w:t xml:space="preserve">. New York: NYU Press. </w:t>
      </w:r>
    </w:p>
    <w:p w14:paraId="559B9AE6"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Gambino, K.M., 2010. Motivation for entry, occupational commitment and intent to remain: a survey regarding Registered Nurse retention. </w:t>
      </w:r>
      <w:r w:rsidRPr="00945DA4">
        <w:rPr>
          <w:rFonts w:ascii="Times New Roman" w:hAnsi="Times New Roman"/>
          <w:i/>
          <w:szCs w:val="24"/>
          <w:bdr w:val="none" w:sz="0" w:space="0" w:color="auto" w:frame="1"/>
        </w:rPr>
        <w:t>Journal of Advance Nursing</w:t>
      </w:r>
      <w:r w:rsidRPr="00945DA4">
        <w:rPr>
          <w:rFonts w:ascii="Times New Roman" w:hAnsi="Times New Roman"/>
          <w:szCs w:val="24"/>
          <w:bdr w:val="none" w:sz="0" w:space="0" w:color="auto" w:frame="1"/>
        </w:rPr>
        <w:t>, 66(11), pp. 2532-2541.</w:t>
      </w:r>
    </w:p>
    <w:p w14:paraId="4D924172"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Gamburd, M.R., 2000. </w:t>
      </w:r>
      <w:r>
        <w:rPr>
          <w:rFonts w:ascii="Times New Roman" w:hAnsi="Times New Roman"/>
          <w:i/>
          <w:iCs/>
          <w:szCs w:val="24"/>
        </w:rPr>
        <w:t>The Kitchen Spoon’s Handle: Transnationalism and Sri Lanka’s Migrant Housemaids</w:t>
      </w:r>
      <w:r>
        <w:rPr>
          <w:rFonts w:ascii="Times New Roman" w:hAnsi="Times New Roman"/>
          <w:szCs w:val="24"/>
        </w:rPr>
        <w:t>. Ithaca: Cornell University Press.</w:t>
      </w:r>
    </w:p>
    <w:p w14:paraId="7EE58EB9" w14:textId="77777777" w:rsidR="00503349" w:rsidRDefault="00503349" w:rsidP="00503349">
      <w:pPr>
        <w:rPr>
          <w:rFonts w:ascii="Times New Roman" w:hAnsi="Times New Roman"/>
          <w:szCs w:val="24"/>
        </w:rPr>
      </w:pPr>
      <w:r w:rsidRPr="003A5993">
        <w:rPr>
          <w:rFonts w:ascii="Times New Roman" w:hAnsi="Times New Roman"/>
          <w:szCs w:val="24"/>
        </w:rPr>
        <w:t>Gander, P., O’Keeffe, K., Santos-Fernandez, E., Huntington, A., Walker, L. and Willis, J., 2019. Fatigue and nurses’ work patterns: An online questionnaire survey. </w:t>
      </w:r>
      <w:r w:rsidRPr="003A5993">
        <w:rPr>
          <w:rFonts w:ascii="Times New Roman" w:hAnsi="Times New Roman"/>
          <w:i/>
          <w:iCs/>
          <w:szCs w:val="24"/>
        </w:rPr>
        <w:t>International Journal of Nursing Studies</w:t>
      </w:r>
      <w:r w:rsidRPr="003A5993">
        <w:rPr>
          <w:rFonts w:ascii="Times New Roman" w:hAnsi="Times New Roman"/>
          <w:szCs w:val="24"/>
        </w:rPr>
        <w:t>, 98, pp.</w:t>
      </w:r>
      <w:r>
        <w:rPr>
          <w:rFonts w:ascii="Times New Roman" w:hAnsi="Times New Roman"/>
          <w:szCs w:val="24"/>
        </w:rPr>
        <w:t xml:space="preserve"> </w:t>
      </w:r>
      <w:r w:rsidRPr="003A5993">
        <w:rPr>
          <w:rFonts w:ascii="Times New Roman" w:hAnsi="Times New Roman"/>
          <w:szCs w:val="24"/>
        </w:rPr>
        <w:t>67-74.</w:t>
      </w:r>
    </w:p>
    <w:p w14:paraId="47A1470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Gandesha, A., Souza, R., Chaplin, R. and Hood, C., 2012. Adequacy of training in dementia care for acute hospital staff. </w:t>
      </w:r>
      <w:r w:rsidRPr="00DA2952">
        <w:rPr>
          <w:rFonts w:ascii="Times New Roman" w:hAnsi="Times New Roman"/>
          <w:i/>
          <w:iCs/>
          <w:szCs w:val="24"/>
        </w:rPr>
        <w:t>Nursing Older People</w:t>
      </w:r>
      <w:r w:rsidRPr="00DA2952">
        <w:rPr>
          <w:rFonts w:ascii="Times New Roman" w:hAnsi="Times New Roman"/>
          <w:szCs w:val="24"/>
        </w:rPr>
        <w:t>, 24, 4,26-31. </w:t>
      </w:r>
    </w:p>
    <w:p w14:paraId="112E4F61"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 xml:space="preserve">Ganguli, M., Dodge, H.H., Shen, C. and DeKosky, S.T., 2004. </w:t>
      </w:r>
      <w:r w:rsidRPr="00D527D8">
        <w:rPr>
          <w:rFonts w:ascii="Times New Roman" w:hAnsi="Times New Roman"/>
          <w:bCs/>
          <w:szCs w:val="24"/>
          <w:bdr w:val="none" w:sz="0" w:space="0" w:color="auto" w:frame="1"/>
        </w:rPr>
        <w:t>Mild cognitive impairment, amnestic type: an epidemiologic study</w:t>
      </w:r>
      <w:r w:rsidRPr="00D527D8">
        <w:rPr>
          <w:rFonts w:ascii="Times New Roman" w:hAnsi="Times New Roman"/>
          <w:szCs w:val="24"/>
          <w:bdr w:val="none" w:sz="0" w:space="0" w:color="auto" w:frame="1"/>
        </w:rPr>
        <w:t xml:space="preserve">. </w:t>
      </w:r>
      <w:r w:rsidRPr="00D527D8">
        <w:rPr>
          <w:rFonts w:ascii="Times New Roman" w:hAnsi="Times New Roman"/>
          <w:i/>
          <w:szCs w:val="24"/>
          <w:bdr w:val="none" w:sz="0" w:space="0" w:color="auto" w:frame="1"/>
        </w:rPr>
        <w:t>Neurology</w:t>
      </w:r>
      <w:r w:rsidRPr="00D527D8">
        <w:rPr>
          <w:rFonts w:ascii="Times New Roman" w:hAnsi="Times New Roman"/>
          <w:szCs w:val="24"/>
          <w:bdr w:val="none" w:sz="0" w:space="0" w:color="auto" w:frame="1"/>
        </w:rPr>
        <w:t>, 63, pp. 115-121.</w:t>
      </w:r>
    </w:p>
    <w:p w14:paraId="38A7F76F"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Gao, F., Tilse, C., Wilson, J., Tuckett, A. and Newcombe, P., 2015. Perceptions and employment intentions among aged care nurses and nursing assistants from diverse cultural backgrounds: a qualitative interview study. </w:t>
      </w:r>
      <w:r w:rsidRPr="000A56C6">
        <w:rPr>
          <w:rFonts w:ascii="Times New Roman" w:hAnsi="Times New Roman"/>
          <w:i/>
          <w:iCs/>
          <w:szCs w:val="24"/>
        </w:rPr>
        <w:t>Journal of Aging Studies</w:t>
      </w:r>
      <w:r w:rsidRPr="000A56C6">
        <w:rPr>
          <w:rFonts w:ascii="Times New Roman" w:hAnsi="Times New Roman"/>
          <w:szCs w:val="24"/>
        </w:rPr>
        <w:t>, 35, pp. 111-122.</w:t>
      </w:r>
    </w:p>
    <w:p w14:paraId="1ECC23D6"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Garand, L., Dew, M.A., Urda, B., Lingler, J.H., Dekosky, S.T. and Reynolds, C.F., 2007. Marital quality in the context of mild cognitive impairment. </w:t>
      </w:r>
      <w:r w:rsidRPr="00945DA4">
        <w:rPr>
          <w:rFonts w:ascii="Times New Roman" w:hAnsi="Times New Roman"/>
          <w:i/>
          <w:szCs w:val="24"/>
          <w:bdr w:val="none" w:sz="0" w:space="0" w:color="auto" w:frame="1"/>
        </w:rPr>
        <w:t>Western Journal of Nursing Research</w:t>
      </w:r>
      <w:r w:rsidRPr="00945DA4">
        <w:rPr>
          <w:rFonts w:ascii="Times New Roman" w:hAnsi="Times New Roman"/>
          <w:szCs w:val="24"/>
          <w:bdr w:val="none" w:sz="0" w:space="0" w:color="auto" w:frame="1"/>
        </w:rPr>
        <w:t>, 29, pp. 976-992.</w:t>
      </w:r>
    </w:p>
    <w:p w14:paraId="1887794C" w14:textId="77777777" w:rsidR="00503349" w:rsidRDefault="00503349" w:rsidP="00503349">
      <w:pPr>
        <w:spacing w:before="240" w:after="0"/>
        <w:jc w:val="both"/>
        <w:rPr>
          <w:rFonts w:ascii="Times New Roman" w:eastAsia="MS Gothic" w:hAnsi="Times New Roman"/>
          <w:szCs w:val="24"/>
        </w:rPr>
      </w:pPr>
      <w:r>
        <w:rPr>
          <w:rFonts w:ascii="Times New Roman" w:eastAsia="MS Gothic" w:hAnsi="Times New Roman"/>
          <w:szCs w:val="24"/>
        </w:rPr>
        <w:t>Garapich, M.P., 2008. The migration industry and civil society: Polish immigrants in the United Kingdom before and after EU enlargement. </w:t>
      </w:r>
      <w:r>
        <w:rPr>
          <w:rFonts w:ascii="Times New Roman" w:eastAsia="MS Gothic" w:hAnsi="Times New Roman"/>
          <w:i/>
          <w:iCs/>
          <w:szCs w:val="24"/>
        </w:rPr>
        <w:t>Journal of Ethnic and Migration Studies</w:t>
      </w:r>
      <w:r>
        <w:rPr>
          <w:rFonts w:ascii="Times New Roman" w:eastAsia="MS Gothic" w:hAnsi="Times New Roman"/>
          <w:szCs w:val="24"/>
        </w:rPr>
        <w:t>, 34(5), pp. 735-752.</w:t>
      </w:r>
    </w:p>
    <w:p w14:paraId="20452710"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Gasperini, L., 2000. </w:t>
      </w:r>
      <w:r w:rsidRPr="006A1D36">
        <w:rPr>
          <w:rFonts w:ascii="Times New Roman" w:hAnsi="Times New Roman"/>
          <w:i/>
          <w:szCs w:val="24"/>
        </w:rPr>
        <w:t xml:space="preserve">Education for Rural People: Addressing </w:t>
      </w:r>
      <w:r>
        <w:rPr>
          <w:rFonts w:ascii="Times New Roman" w:hAnsi="Times New Roman"/>
          <w:i/>
          <w:szCs w:val="24"/>
        </w:rPr>
        <w:t>a</w:t>
      </w:r>
      <w:r w:rsidRPr="006A1D36">
        <w:rPr>
          <w:rFonts w:ascii="Times New Roman" w:hAnsi="Times New Roman"/>
          <w:i/>
          <w:szCs w:val="24"/>
        </w:rPr>
        <w:t xml:space="preserve"> Neglected Majority</w:t>
      </w:r>
      <w:r w:rsidRPr="00CF1AE8">
        <w:rPr>
          <w:rFonts w:ascii="Times New Roman" w:hAnsi="Times New Roman"/>
          <w:iCs/>
          <w:szCs w:val="24"/>
        </w:rPr>
        <w:t>. Rome</w:t>
      </w:r>
      <w:r>
        <w:rPr>
          <w:rFonts w:ascii="Times New Roman" w:hAnsi="Times New Roman"/>
          <w:iCs/>
          <w:szCs w:val="24"/>
        </w:rPr>
        <w:t>:</w:t>
      </w:r>
      <w:r w:rsidRPr="00CF1AE8">
        <w:rPr>
          <w:rFonts w:ascii="Times New Roman" w:hAnsi="Times New Roman"/>
          <w:iCs/>
          <w:szCs w:val="24"/>
        </w:rPr>
        <w:t xml:space="preserve"> </w:t>
      </w:r>
      <w:r>
        <w:rPr>
          <w:rFonts w:ascii="Times New Roman" w:hAnsi="Times New Roman"/>
          <w:iCs/>
          <w:szCs w:val="24"/>
        </w:rPr>
        <w:t>Food and Agriculture Organisation (</w:t>
      </w:r>
      <w:r w:rsidRPr="00CF1AE8">
        <w:rPr>
          <w:rFonts w:ascii="Times New Roman" w:hAnsi="Times New Roman"/>
          <w:iCs/>
          <w:szCs w:val="24"/>
        </w:rPr>
        <w:t>FAO</w:t>
      </w:r>
      <w:r>
        <w:rPr>
          <w:rFonts w:ascii="Times New Roman" w:hAnsi="Times New Roman"/>
          <w:iCs/>
          <w:szCs w:val="24"/>
        </w:rPr>
        <w:t>)</w:t>
      </w:r>
      <w:r w:rsidRPr="00CF1AE8">
        <w:rPr>
          <w:rFonts w:ascii="Times New Roman" w:hAnsi="Times New Roman"/>
          <w:iCs/>
          <w:szCs w:val="24"/>
        </w:rPr>
        <w:t>.</w:t>
      </w:r>
    </w:p>
    <w:p w14:paraId="17F84B1C" w14:textId="77777777" w:rsidR="00503349" w:rsidRPr="00CF1AE8" w:rsidRDefault="00503349" w:rsidP="00503349">
      <w:pPr>
        <w:rPr>
          <w:rFonts w:ascii="Times New Roman" w:hAnsi="Times New Roman"/>
          <w:szCs w:val="24"/>
        </w:rPr>
      </w:pPr>
      <w:r w:rsidRPr="00CF1AE8">
        <w:rPr>
          <w:rFonts w:ascii="Times New Roman" w:hAnsi="Times New Roman"/>
          <w:szCs w:val="24"/>
        </w:rPr>
        <w:lastRenderedPageBreak/>
        <w:t xml:space="preserve">Geddie, K., 2015. Policy mobilities in the race for talent: competitive state strategies in international student mobility. </w:t>
      </w:r>
      <w:r w:rsidRPr="00CF1AE8">
        <w:rPr>
          <w:rFonts w:ascii="Times New Roman" w:hAnsi="Times New Roman"/>
          <w:i/>
          <w:szCs w:val="24"/>
        </w:rPr>
        <w:t>Trans</w:t>
      </w:r>
      <w:r>
        <w:rPr>
          <w:rFonts w:ascii="Times New Roman" w:hAnsi="Times New Roman"/>
          <w:i/>
          <w:szCs w:val="24"/>
        </w:rPr>
        <w:t>actions of the</w:t>
      </w:r>
      <w:r w:rsidRPr="00CF1AE8">
        <w:rPr>
          <w:rFonts w:ascii="Times New Roman" w:hAnsi="Times New Roman"/>
          <w:i/>
          <w:szCs w:val="24"/>
        </w:rPr>
        <w:t xml:space="preserve"> Inst</w:t>
      </w:r>
      <w:r>
        <w:rPr>
          <w:rFonts w:ascii="Times New Roman" w:hAnsi="Times New Roman"/>
          <w:i/>
          <w:szCs w:val="24"/>
        </w:rPr>
        <w:t>itute of</w:t>
      </w:r>
      <w:r w:rsidRPr="00CF1AE8">
        <w:rPr>
          <w:rFonts w:ascii="Times New Roman" w:hAnsi="Times New Roman"/>
          <w:i/>
          <w:szCs w:val="24"/>
        </w:rPr>
        <w:t xml:space="preserve"> Br</w:t>
      </w:r>
      <w:r>
        <w:rPr>
          <w:rFonts w:ascii="Times New Roman" w:hAnsi="Times New Roman"/>
          <w:i/>
          <w:szCs w:val="24"/>
        </w:rPr>
        <w:t>itish</w:t>
      </w:r>
      <w:r w:rsidRPr="00CF1AE8">
        <w:rPr>
          <w:rFonts w:ascii="Times New Roman" w:hAnsi="Times New Roman"/>
          <w:i/>
          <w:szCs w:val="24"/>
        </w:rPr>
        <w:t xml:space="preserve"> Geogr</w:t>
      </w:r>
      <w:r>
        <w:rPr>
          <w:rFonts w:ascii="Times New Roman" w:hAnsi="Times New Roman"/>
          <w:i/>
          <w:szCs w:val="24"/>
        </w:rPr>
        <w:t>aphers</w:t>
      </w:r>
      <w:r w:rsidRPr="00CF1AE8">
        <w:rPr>
          <w:rFonts w:ascii="Times New Roman" w:hAnsi="Times New Roman"/>
          <w:szCs w:val="24"/>
        </w:rPr>
        <w:t>, 40, pp. 235-248.</w:t>
      </w:r>
    </w:p>
    <w:p w14:paraId="2B6630CA" w14:textId="77777777" w:rsidR="00503349" w:rsidRPr="00DA2952" w:rsidRDefault="00503349" w:rsidP="00503349">
      <w:pPr>
        <w:textAlignment w:val="baseline"/>
        <w:rPr>
          <w:rFonts w:ascii="Times New Roman" w:hAnsi="Times New Roman"/>
          <w:szCs w:val="24"/>
        </w:rPr>
      </w:pPr>
      <w:r w:rsidRPr="002B3011">
        <w:rPr>
          <w:rFonts w:ascii="Times New Roman" w:hAnsi="Times New Roman"/>
          <w:szCs w:val="24"/>
        </w:rPr>
        <w:t xml:space="preserve">Gelman, C.R., 2003. Learning from recruitment challenges: barriers to diagnosis, treatment, and research participation for Latinos with symptoms of Alzheimer’s disease. </w:t>
      </w:r>
      <w:r w:rsidRPr="002B3011">
        <w:rPr>
          <w:rFonts w:ascii="Times New Roman" w:hAnsi="Times New Roman"/>
          <w:i/>
          <w:iCs/>
          <w:szCs w:val="24"/>
        </w:rPr>
        <w:t>Journal of Gerontological Social Work</w:t>
      </w:r>
      <w:r w:rsidRPr="002B3011">
        <w:rPr>
          <w:rFonts w:ascii="Times New Roman" w:hAnsi="Times New Roman"/>
          <w:iCs/>
          <w:szCs w:val="24"/>
        </w:rPr>
        <w:t>, 53</w:t>
      </w:r>
      <w:r w:rsidRPr="002B3011">
        <w:rPr>
          <w:rFonts w:ascii="Times New Roman" w:hAnsi="Times New Roman"/>
          <w:szCs w:val="24"/>
        </w:rPr>
        <w:t>, pp. 94-113.</w:t>
      </w:r>
    </w:p>
    <w:p w14:paraId="0A6A710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Gendron, T.L., E.A. Welleford, J. Inker, and J.T. White. 2016. The language of ageism: Why we need to use words carefully. </w:t>
      </w:r>
      <w:r w:rsidRPr="00DA2952">
        <w:rPr>
          <w:rFonts w:ascii="Times New Roman" w:hAnsi="Times New Roman"/>
          <w:i/>
          <w:iCs/>
          <w:szCs w:val="24"/>
        </w:rPr>
        <w:t>The Gerontologist</w:t>
      </w:r>
      <w:r w:rsidRPr="00DA2952">
        <w:rPr>
          <w:rFonts w:ascii="Times New Roman" w:hAnsi="Times New Roman"/>
          <w:szCs w:val="24"/>
        </w:rPr>
        <w:t>, 56(6), pp. 997-1006.</w:t>
      </w:r>
    </w:p>
    <w:p w14:paraId="307EE380" w14:textId="77777777" w:rsidR="00503349" w:rsidRDefault="00503349" w:rsidP="00503349">
      <w:pPr>
        <w:spacing w:before="240" w:after="0"/>
        <w:jc w:val="both"/>
        <w:rPr>
          <w:rFonts w:ascii="Times New Roman" w:eastAsia="MS Gothic" w:hAnsi="Times New Roman"/>
          <w:szCs w:val="24"/>
        </w:rPr>
      </w:pPr>
      <w:r>
        <w:rPr>
          <w:rFonts w:ascii="Times New Roman" w:hAnsi="Times New Roman"/>
          <w:szCs w:val="24"/>
        </w:rPr>
        <w:t xml:space="preserve">General Social Care Council (GSCC), 2010. </w:t>
      </w:r>
      <w:r w:rsidRPr="002B46B4">
        <w:rPr>
          <w:rFonts w:ascii="Times New Roman" w:hAnsi="Times New Roman"/>
          <w:i/>
          <w:iCs/>
          <w:szCs w:val="24"/>
        </w:rPr>
        <w:t>General Social Care Council annual report and accounts 2009-2010</w:t>
      </w:r>
      <w:r>
        <w:rPr>
          <w:rFonts w:ascii="Times New Roman" w:hAnsi="Times New Roman"/>
          <w:szCs w:val="24"/>
        </w:rPr>
        <w:t>. London: The Stationery Office. Available at: &lt;https://www.gov.uk/government/uploads/system/uploads/attachment_data/file/247681/0201.pdf&gt;[Accessed 20 March 2019]</w:t>
      </w:r>
    </w:p>
    <w:p w14:paraId="0EEA63B2"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Gentles, S.J., Charles, C., Ploeg, J. and McKibbon, K.A., 2015. Sampling in qualitative research: insights from an overview of the methods literature. </w:t>
      </w:r>
      <w:r w:rsidRPr="004E3E8F">
        <w:rPr>
          <w:rFonts w:ascii="Times New Roman" w:hAnsi="Times New Roman"/>
          <w:i/>
          <w:iCs/>
          <w:szCs w:val="24"/>
        </w:rPr>
        <w:t>The Qualitative Report,</w:t>
      </w:r>
      <w:r w:rsidRPr="004E3E8F">
        <w:rPr>
          <w:rFonts w:ascii="Times New Roman" w:hAnsi="Times New Roman"/>
          <w:szCs w:val="24"/>
        </w:rPr>
        <w:t xml:space="preserve"> 20(11), pp. 1772-1789.</w:t>
      </w:r>
    </w:p>
    <w:p w14:paraId="50FF4DFF" w14:textId="77777777" w:rsidR="00503349" w:rsidRDefault="00503349" w:rsidP="00503349">
      <w:pPr>
        <w:rPr>
          <w:rFonts w:ascii="Times New Roman" w:hAnsi="Times New Roman"/>
          <w:szCs w:val="24"/>
        </w:rPr>
      </w:pPr>
      <w:r w:rsidRPr="00CF1AE8">
        <w:rPr>
          <w:rFonts w:ascii="Times New Roman" w:hAnsi="Times New Roman"/>
          <w:szCs w:val="24"/>
        </w:rPr>
        <w:t xml:space="preserve">Gewin, V., 2017. Student immigration: the gamble of going abroad. </w:t>
      </w:r>
      <w:r w:rsidRPr="00CF1AE8">
        <w:rPr>
          <w:rFonts w:ascii="Times New Roman" w:hAnsi="Times New Roman"/>
          <w:i/>
          <w:szCs w:val="24"/>
        </w:rPr>
        <w:t>Nature</w:t>
      </w:r>
      <w:r w:rsidRPr="00CF1AE8">
        <w:rPr>
          <w:rFonts w:ascii="Times New Roman" w:hAnsi="Times New Roman"/>
          <w:szCs w:val="24"/>
        </w:rPr>
        <w:t>, 548, pp. 361-363.</w:t>
      </w:r>
    </w:p>
    <w:p w14:paraId="6D602186" w14:textId="77777777" w:rsidR="00503349" w:rsidRPr="004E3E8F" w:rsidRDefault="00503349" w:rsidP="00503349">
      <w:pPr>
        <w:jc w:val="both"/>
        <w:rPr>
          <w:rFonts w:ascii="Times New Roman" w:hAnsi="Times New Roman"/>
          <w:color w:val="000000"/>
          <w:szCs w:val="24"/>
        </w:rPr>
      </w:pPr>
      <w:r w:rsidRPr="004E3E8F">
        <w:rPr>
          <w:rFonts w:ascii="Times New Roman" w:hAnsi="Times New Roman"/>
          <w:szCs w:val="24"/>
        </w:rPr>
        <w:t xml:space="preserve">Gibbs, G.R., Friese, S. and Manabeira, W.C., 2002. </w:t>
      </w:r>
      <w:bookmarkStart w:id="308" w:name="_Hlk79629781"/>
      <w:r w:rsidRPr="004E3E8F">
        <w:rPr>
          <w:rFonts w:ascii="Times New Roman" w:hAnsi="Times New Roman"/>
          <w:szCs w:val="24"/>
        </w:rPr>
        <w:t>The use of new technology in qualitative research: Introduction to issue 3(2) of FQS.</w:t>
      </w:r>
      <w:bookmarkEnd w:id="308"/>
      <w:r w:rsidRPr="004E3E8F">
        <w:rPr>
          <w:rFonts w:ascii="Times New Roman" w:hAnsi="Times New Roman"/>
          <w:szCs w:val="24"/>
        </w:rPr>
        <w:t xml:space="preserve"> </w:t>
      </w:r>
      <w:r w:rsidRPr="004E3E8F">
        <w:rPr>
          <w:rFonts w:ascii="Times New Roman" w:hAnsi="Times New Roman"/>
          <w:i/>
          <w:iCs/>
          <w:szCs w:val="24"/>
        </w:rPr>
        <w:t>Forum: Qualitative Social Research</w:t>
      </w:r>
      <w:r w:rsidRPr="004E3E8F">
        <w:rPr>
          <w:rFonts w:ascii="Times New Roman" w:hAnsi="Times New Roman"/>
          <w:szCs w:val="24"/>
        </w:rPr>
        <w:t xml:space="preserve">, 3(2). Art. 8. </w:t>
      </w:r>
      <w:r w:rsidRPr="004E3E8F">
        <w:rPr>
          <w:rFonts w:ascii="Times New Roman" w:hAnsi="Times New Roman"/>
          <w:szCs w:val="24"/>
          <w:lang w:val="en-AU"/>
        </w:rPr>
        <w:t>Available at: &lt;</w:t>
      </w:r>
      <w:r w:rsidRPr="004E3E8F">
        <w:rPr>
          <w:rFonts w:ascii="Times New Roman" w:hAnsi="Times New Roman"/>
          <w:szCs w:val="24"/>
        </w:rPr>
        <w:t xml:space="preserve"> https://www.qualitative-research.net/index.php/fqs/article/view/847/1840</w:t>
      </w:r>
      <w:r w:rsidRPr="004E3E8F">
        <w:rPr>
          <w:rFonts w:ascii="Times New Roman" w:hAnsi="Times New Roman"/>
          <w:szCs w:val="24"/>
          <w:lang w:val="en-AU"/>
        </w:rPr>
        <w:t>&gt;[Accessed 27 September 2018]</w:t>
      </w:r>
    </w:p>
    <w:p w14:paraId="1BF3157B" w14:textId="77777777" w:rsidR="00503349" w:rsidRDefault="00503349" w:rsidP="00503349">
      <w:pPr>
        <w:spacing w:before="240" w:after="0"/>
        <w:jc w:val="both"/>
        <w:rPr>
          <w:rFonts w:ascii="Times New Roman" w:eastAsia="MS Gothic" w:hAnsi="Times New Roman"/>
          <w:szCs w:val="24"/>
        </w:rPr>
      </w:pPr>
      <w:r>
        <w:rPr>
          <w:rFonts w:ascii="Times New Roman" w:hAnsi="Times New Roman"/>
          <w:szCs w:val="24"/>
        </w:rPr>
        <w:t>Giddens, A., 1984. </w:t>
      </w:r>
      <w:r>
        <w:rPr>
          <w:rFonts w:ascii="Times New Roman" w:hAnsi="Times New Roman"/>
          <w:i/>
          <w:iCs/>
          <w:szCs w:val="24"/>
        </w:rPr>
        <w:t>The Constitution of Society</w:t>
      </w:r>
      <w:r>
        <w:rPr>
          <w:rFonts w:ascii="Times New Roman" w:hAnsi="Times New Roman"/>
          <w:szCs w:val="24"/>
        </w:rPr>
        <w:t>. Cambridge: Polity press.</w:t>
      </w:r>
    </w:p>
    <w:p w14:paraId="578BD6A4"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Gilhooly, K.J., Gilhooly, M.L.M, Sullivan, M.P., McIntyre, A., Wilson, L., Harding, E., Woodbridge, R. and Crutch, S., 2016. A meta-review of stress, coping and interventions in dementia and dementia caregiving. </w:t>
      </w:r>
      <w:r w:rsidRPr="002B3011">
        <w:rPr>
          <w:rFonts w:ascii="Times New Roman" w:hAnsi="Times New Roman"/>
          <w:i/>
          <w:szCs w:val="24"/>
        </w:rPr>
        <w:t>BMC Geriatrics</w:t>
      </w:r>
      <w:r w:rsidRPr="002B3011">
        <w:rPr>
          <w:rFonts w:ascii="Times New Roman" w:hAnsi="Times New Roman"/>
          <w:szCs w:val="24"/>
        </w:rPr>
        <w:t>, [e-journal] 6(106). Available at: &lt;https://bmcgeriatr.biomedcentral.com/articles/10.1186/s12877-016-0280-8&gt;[03 April 2019]</w:t>
      </w:r>
    </w:p>
    <w:p w14:paraId="2AB62BF1" w14:textId="77777777" w:rsidR="00503349" w:rsidRPr="000A56C6" w:rsidRDefault="00503349" w:rsidP="00503349">
      <w:pPr>
        <w:rPr>
          <w:rFonts w:ascii="Times New Roman" w:hAnsi="Times New Roman"/>
          <w:szCs w:val="24"/>
        </w:rPr>
      </w:pPr>
      <w:r w:rsidRPr="000A56C6">
        <w:rPr>
          <w:rFonts w:ascii="Times New Roman" w:hAnsi="Times New Roman"/>
          <w:szCs w:val="24"/>
        </w:rPr>
        <w:lastRenderedPageBreak/>
        <w:t xml:space="preserve">Gilhooly, K.J., Gilhooly, M.L.M, Sullivan, M.P., McIntyre, A., Wilson, L., Harding, E., Woodbridge, R. and Crutch, S., 2016. A meta-review of stress, coping and interventions in dementia and dementia caregiving. </w:t>
      </w:r>
      <w:r w:rsidRPr="000A56C6">
        <w:rPr>
          <w:rFonts w:ascii="Times New Roman" w:hAnsi="Times New Roman"/>
          <w:i/>
          <w:szCs w:val="24"/>
        </w:rPr>
        <w:t>BMC Geriatrics</w:t>
      </w:r>
      <w:r w:rsidRPr="000A56C6">
        <w:rPr>
          <w:rFonts w:ascii="Times New Roman" w:hAnsi="Times New Roman"/>
          <w:szCs w:val="24"/>
        </w:rPr>
        <w:t>, [e-journal] 6(106). Available at: &lt;https://bmcgeriatr.biomedcentral.com/articles/10.1186/s12877-016-0280-8&gt;[03 April 2019]</w:t>
      </w:r>
    </w:p>
    <w:p w14:paraId="29C098A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Gillon, R., 1994. Medical ethics: four principles plus attention to scope. </w:t>
      </w:r>
      <w:r w:rsidRPr="004E3E8F">
        <w:rPr>
          <w:rFonts w:ascii="Times New Roman" w:hAnsi="Times New Roman"/>
          <w:i/>
          <w:iCs/>
          <w:szCs w:val="24"/>
        </w:rPr>
        <w:t>British Medical Journal</w:t>
      </w:r>
      <w:r w:rsidRPr="004E3E8F">
        <w:rPr>
          <w:rFonts w:ascii="Times New Roman" w:hAnsi="Times New Roman"/>
          <w:szCs w:val="24"/>
        </w:rPr>
        <w:t>, 309(6948), p.184.</w:t>
      </w:r>
    </w:p>
    <w:p w14:paraId="5CAC881E" w14:textId="77777777" w:rsidR="00503349" w:rsidRDefault="00503349" w:rsidP="00503349">
      <w:pPr>
        <w:jc w:val="both"/>
        <w:rPr>
          <w:rFonts w:ascii="Times New Roman" w:hAnsi="Times New Roman"/>
          <w:szCs w:val="24"/>
        </w:rPr>
      </w:pPr>
      <w:r w:rsidRPr="00CF1AE8">
        <w:rPr>
          <w:rFonts w:ascii="Times New Roman" w:hAnsi="Times New Roman"/>
          <w:szCs w:val="24"/>
        </w:rPr>
        <w:t>Gilmartin, M. and Migge, B. 2015. Migrant mothers and the geographies of belonging. </w:t>
      </w:r>
      <w:r w:rsidRPr="00CF1AE8">
        <w:rPr>
          <w:rFonts w:ascii="Times New Roman" w:hAnsi="Times New Roman"/>
          <w:i/>
          <w:szCs w:val="24"/>
        </w:rPr>
        <w:t>Gender, Place &amp; Culture</w:t>
      </w:r>
      <w:r w:rsidRPr="00CF1AE8">
        <w:rPr>
          <w:rFonts w:ascii="Times New Roman" w:hAnsi="Times New Roman"/>
          <w:szCs w:val="24"/>
        </w:rPr>
        <w:t>, 23(2), pp. 147-161.</w:t>
      </w:r>
    </w:p>
    <w:p w14:paraId="61EEDE1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Gilmour, J.A. and Brannelly, T., 2010. Representations of people with dementia–subaltern, person, citizen. </w:t>
      </w:r>
      <w:r w:rsidRPr="00DA2952">
        <w:rPr>
          <w:rFonts w:ascii="Times New Roman" w:hAnsi="Times New Roman"/>
          <w:i/>
          <w:iCs/>
          <w:szCs w:val="24"/>
        </w:rPr>
        <w:t>Nursing Inquiry</w:t>
      </w:r>
      <w:r w:rsidRPr="00DA2952">
        <w:rPr>
          <w:rFonts w:ascii="Times New Roman" w:hAnsi="Times New Roman"/>
          <w:szCs w:val="24"/>
        </w:rPr>
        <w:t>, 17(3), pp. 240-247.</w:t>
      </w:r>
    </w:p>
    <w:p w14:paraId="23CBB1A3" w14:textId="77777777" w:rsidR="00503349" w:rsidRPr="00DA2952" w:rsidRDefault="00503349" w:rsidP="00503349">
      <w:pPr>
        <w:rPr>
          <w:rFonts w:ascii="Times New Roman" w:hAnsi="Times New Roman"/>
          <w:szCs w:val="24"/>
        </w:rPr>
      </w:pPr>
      <w:r w:rsidRPr="00DA2952">
        <w:rPr>
          <w:rFonts w:ascii="Times New Roman" w:hAnsi="Times New Roman"/>
          <w:szCs w:val="24"/>
        </w:rPr>
        <w:t xml:space="preserve">Ginesi, L., Jenkins, C. and Keenan, B., 2016. Dementia 1: How dementia differs from normal ageing. </w:t>
      </w:r>
      <w:r w:rsidRPr="00DA2952">
        <w:rPr>
          <w:rStyle w:val="fulltext-it"/>
          <w:rFonts w:ascii="Times New Roman" w:eastAsiaTheme="majorEastAsia" w:hAnsi="Times New Roman"/>
          <w:i/>
          <w:szCs w:val="24"/>
        </w:rPr>
        <w:t>Nursing Times</w:t>
      </w:r>
      <w:r w:rsidRPr="00DA2952">
        <w:rPr>
          <w:rFonts w:ascii="Times New Roman" w:hAnsi="Times New Roman"/>
          <w:szCs w:val="24"/>
        </w:rPr>
        <w:t>, 112(24), pp. 12-15.</w:t>
      </w:r>
    </w:p>
    <w:p w14:paraId="586A8F68"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Glasberg, A.L., Eriksson, S. and Norberg, A., 2008. Factors associated with ‘stress of conscience’ in healthcare. </w:t>
      </w:r>
      <w:r w:rsidRPr="000A56C6">
        <w:rPr>
          <w:rFonts w:ascii="Times New Roman" w:hAnsi="Times New Roman"/>
          <w:i/>
          <w:szCs w:val="24"/>
        </w:rPr>
        <w:t>Scandinavian Journal of Caring Sciences</w:t>
      </w:r>
      <w:r w:rsidRPr="000A56C6">
        <w:rPr>
          <w:rFonts w:ascii="Times New Roman" w:hAnsi="Times New Roman"/>
          <w:szCs w:val="24"/>
        </w:rPr>
        <w:t>, 22(2), pp. 249-258.</w:t>
      </w:r>
    </w:p>
    <w:p w14:paraId="0B0C76C8"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Glaser, B.G. and Strauss, A.L., 1967. </w:t>
      </w:r>
      <w:r w:rsidRPr="004E3E8F">
        <w:rPr>
          <w:rFonts w:ascii="Times New Roman" w:hAnsi="Times New Roman"/>
          <w:i/>
          <w:szCs w:val="24"/>
        </w:rPr>
        <w:t>The discovery of grounded theory: Strategies for Qualitative Research</w:t>
      </w:r>
      <w:r w:rsidRPr="004E3E8F">
        <w:rPr>
          <w:rFonts w:ascii="Times New Roman" w:hAnsi="Times New Roman"/>
          <w:szCs w:val="24"/>
        </w:rPr>
        <w:t>. Chicago: Aldine Publishing Company.</w:t>
      </w:r>
    </w:p>
    <w:p w14:paraId="78357CA4"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Glasper, A., 2013. Making time to care by making social care fair. </w:t>
      </w:r>
      <w:r w:rsidRPr="00945DA4">
        <w:rPr>
          <w:rFonts w:ascii="Times New Roman" w:hAnsi="Times New Roman"/>
          <w:i/>
          <w:szCs w:val="24"/>
          <w:bdr w:val="none" w:sz="0" w:space="0" w:color="auto" w:frame="1"/>
        </w:rPr>
        <w:t>British Journal of Nursing</w:t>
      </w:r>
      <w:r w:rsidRPr="00945DA4">
        <w:rPr>
          <w:rFonts w:ascii="Times New Roman" w:hAnsi="Times New Roman"/>
          <w:szCs w:val="24"/>
          <w:bdr w:val="none" w:sz="0" w:space="0" w:color="auto" w:frame="1"/>
        </w:rPr>
        <w:t>, 22(21), pp. 1256-1257.</w:t>
      </w:r>
    </w:p>
    <w:p w14:paraId="36FBA34E"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Glasper, A., 2016. Will nursing shortages threaten the integrity and functioning of the NHS? </w:t>
      </w:r>
      <w:r w:rsidRPr="000A56C6">
        <w:rPr>
          <w:rFonts w:ascii="Times New Roman" w:hAnsi="Times New Roman"/>
          <w:i/>
          <w:iCs/>
          <w:szCs w:val="24"/>
        </w:rPr>
        <w:t>British Journal of Nursing</w:t>
      </w:r>
      <w:r w:rsidRPr="000A56C6">
        <w:rPr>
          <w:rFonts w:ascii="Times New Roman" w:hAnsi="Times New Roman"/>
          <w:szCs w:val="24"/>
        </w:rPr>
        <w:t>, 25, pp. 458-459.</w:t>
      </w:r>
    </w:p>
    <w:p w14:paraId="6EB4A766"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Gonçalves-Pereira, M., Carmo, I., da Silva, J.A., Papoila, A.L., Mateos, R. and Zarit, S.H., 2010. Caregiving experiences and knowledge about dementia in Portuguese clinical outpatient settings. </w:t>
      </w:r>
      <w:r w:rsidRPr="002B3011">
        <w:rPr>
          <w:rFonts w:ascii="Times New Roman" w:hAnsi="Times New Roman"/>
          <w:i/>
          <w:iCs/>
          <w:color w:val="000000"/>
          <w:szCs w:val="24"/>
        </w:rPr>
        <w:t>International Psychogeriatrics</w:t>
      </w:r>
      <w:r w:rsidRPr="002B3011">
        <w:rPr>
          <w:rFonts w:ascii="Times New Roman" w:hAnsi="Times New Roman"/>
          <w:color w:val="000000"/>
          <w:szCs w:val="24"/>
        </w:rPr>
        <w:t xml:space="preserve">, </w:t>
      </w:r>
      <w:r w:rsidRPr="002B3011">
        <w:rPr>
          <w:rFonts w:ascii="Times New Roman" w:hAnsi="Times New Roman"/>
          <w:iCs/>
          <w:color w:val="000000"/>
          <w:szCs w:val="24"/>
        </w:rPr>
        <w:t>22</w:t>
      </w:r>
      <w:r w:rsidRPr="002B3011">
        <w:rPr>
          <w:rFonts w:ascii="Times New Roman" w:hAnsi="Times New Roman"/>
          <w:color w:val="000000"/>
          <w:szCs w:val="24"/>
        </w:rPr>
        <w:t>(2), pp. 270-280.</w:t>
      </w:r>
    </w:p>
    <w:p w14:paraId="2386D982" w14:textId="77777777" w:rsidR="00503349" w:rsidRDefault="00503349" w:rsidP="00503349">
      <w:pPr>
        <w:textAlignment w:val="baseline"/>
        <w:rPr>
          <w:rFonts w:ascii="Times New Roman" w:eastAsia="MS Gothic" w:hAnsi="Times New Roman"/>
          <w:szCs w:val="24"/>
        </w:rPr>
      </w:pPr>
      <w:r>
        <w:rPr>
          <w:rFonts w:ascii="Times New Roman" w:hAnsi="Times New Roman"/>
          <w:bCs/>
          <w:szCs w:val="24"/>
        </w:rPr>
        <w:lastRenderedPageBreak/>
        <w:t xml:space="preserve">Gonzalez, G.G. and Fernandez, R.A., 2003. </w:t>
      </w:r>
      <w:r w:rsidRPr="002B46B4">
        <w:rPr>
          <w:rFonts w:ascii="Times New Roman" w:hAnsi="Times New Roman"/>
          <w:bCs/>
          <w:i/>
          <w:iCs/>
          <w:szCs w:val="24"/>
        </w:rPr>
        <w:t>A century of Chicano history: empire, nations, and migration</w:t>
      </w:r>
      <w:r>
        <w:rPr>
          <w:rFonts w:ascii="Times New Roman" w:hAnsi="Times New Roman"/>
          <w:bCs/>
          <w:szCs w:val="24"/>
        </w:rPr>
        <w:t>. New York: Routledge.</w:t>
      </w:r>
    </w:p>
    <w:p w14:paraId="075327F9" w14:textId="77777777" w:rsidR="00503349" w:rsidRPr="00664C2B" w:rsidRDefault="00503349" w:rsidP="00503349">
      <w:pPr>
        <w:rPr>
          <w:rFonts w:ascii="Times New Roman" w:hAnsi="Times New Roman"/>
          <w:szCs w:val="24"/>
        </w:rPr>
      </w:pPr>
      <w:r w:rsidRPr="002C3F41">
        <w:rPr>
          <w:rFonts w:ascii="Times New Roman" w:hAnsi="Times New Roman"/>
          <w:szCs w:val="24"/>
        </w:rPr>
        <w:t>Gopal, A.</w:t>
      </w:r>
      <w:r>
        <w:rPr>
          <w:rFonts w:ascii="Times New Roman" w:hAnsi="Times New Roman"/>
          <w:szCs w:val="24"/>
        </w:rPr>
        <w:t>,</w:t>
      </w:r>
      <w:r w:rsidRPr="002C3F41">
        <w:rPr>
          <w:rFonts w:ascii="Times New Roman" w:hAnsi="Times New Roman"/>
          <w:szCs w:val="24"/>
        </w:rPr>
        <w:t xml:space="preserve"> 2016. Visa and immigration trends: </w:t>
      </w:r>
      <w:r>
        <w:rPr>
          <w:rFonts w:ascii="Times New Roman" w:hAnsi="Times New Roman"/>
          <w:szCs w:val="24"/>
        </w:rPr>
        <w:t>a</w:t>
      </w:r>
      <w:r w:rsidRPr="002C3F41">
        <w:rPr>
          <w:rFonts w:ascii="Times New Roman" w:hAnsi="Times New Roman"/>
          <w:szCs w:val="24"/>
        </w:rPr>
        <w:t xml:space="preserve"> comparative examination of international student mobility in Canada, Australia, the United Kingdom, and the United States. </w:t>
      </w:r>
      <w:r w:rsidRPr="002C3F41">
        <w:rPr>
          <w:rFonts w:ascii="Times New Roman" w:hAnsi="Times New Roman"/>
          <w:i/>
          <w:iCs/>
          <w:szCs w:val="24"/>
        </w:rPr>
        <w:t>Strategic Enrollment Management Quarterly</w:t>
      </w:r>
      <w:r w:rsidRPr="002C3F41">
        <w:rPr>
          <w:rFonts w:ascii="Times New Roman" w:hAnsi="Times New Roman"/>
          <w:szCs w:val="24"/>
        </w:rPr>
        <w:t xml:space="preserve">, 4(3), </w:t>
      </w:r>
      <w:r>
        <w:rPr>
          <w:rFonts w:ascii="Times New Roman" w:hAnsi="Times New Roman"/>
          <w:szCs w:val="24"/>
        </w:rPr>
        <w:t xml:space="preserve">pp. </w:t>
      </w:r>
      <w:r w:rsidRPr="002C3F41">
        <w:rPr>
          <w:rFonts w:ascii="Times New Roman" w:hAnsi="Times New Roman"/>
          <w:szCs w:val="24"/>
        </w:rPr>
        <w:t>130</w:t>
      </w:r>
      <w:r>
        <w:rPr>
          <w:rFonts w:ascii="Times New Roman" w:hAnsi="Times New Roman"/>
          <w:szCs w:val="24"/>
        </w:rPr>
        <w:t>-</w:t>
      </w:r>
      <w:r w:rsidRPr="002C3F41">
        <w:rPr>
          <w:rFonts w:ascii="Times New Roman" w:hAnsi="Times New Roman"/>
          <w:szCs w:val="24"/>
        </w:rPr>
        <w:t>141.</w:t>
      </w:r>
    </w:p>
    <w:p w14:paraId="1C31237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Gordon, D., 2016. Secret film exposes care home failures, BBC Panorama, BBC News, 20 November 2016. Available at: &lt;https://www.bbc.co.uk/news/health-38019806&gt;[Accessed 14 February 2018)</w:t>
      </w:r>
    </w:p>
    <w:p w14:paraId="242A8C4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Gordon-Larsen, P., Griffiths, P., Bentley, M.E., Ward, D.S., Kelsey, K., Shields, K. and Ammerman, A., 2004. Barriers to physical activity: qualitative data on caregiver-daughter perceptions and practices. </w:t>
      </w:r>
      <w:r w:rsidRPr="004E3E8F">
        <w:rPr>
          <w:rFonts w:ascii="Times New Roman" w:hAnsi="Times New Roman"/>
          <w:i/>
          <w:iCs/>
          <w:szCs w:val="24"/>
        </w:rPr>
        <w:t>American Journal of Preventive Medicine</w:t>
      </w:r>
      <w:r w:rsidRPr="004E3E8F">
        <w:rPr>
          <w:rFonts w:ascii="Times New Roman" w:hAnsi="Times New Roman"/>
          <w:szCs w:val="24"/>
        </w:rPr>
        <w:t>, 27(3), pp. 218-223.</w:t>
      </w:r>
    </w:p>
    <w:p w14:paraId="0F549042"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Gorelick, P.B., Richardson, D., Hudson, E., Perry, C., Robinson, D., Brown, N. and Harris, Y., 1996. Establishing a community network for recruitment of African Americans into a clinical trial. The African-American antiplatelet stroke Prevention Study (AAASPS) experience. </w:t>
      </w:r>
      <w:r w:rsidRPr="004E3E8F">
        <w:rPr>
          <w:rFonts w:ascii="Times New Roman" w:hAnsi="Times New Roman"/>
          <w:i/>
          <w:iCs/>
          <w:szCs w:val="24"/>
        </w:rPr>
        <w:t>Journal of the National Medical Association</w:t>
      </w:r>
      <w:r w:rsidRPr="004E3E8F">
        <w:rPr>
          <w:rFonts w:ascii="Times New Roman" w:hAnsi="Times New Roman"/>
          <w:szCs w:val="24"/>
        </w:rPr>
        <w:t>, 88(11), p. 701.</w:t>
      </w:r>
    </w:p>
    <w:p w14:paraId="3A2EEF3F" w14:textId="77777777" w:rsidR="00503349" w:rsidRDefault="00503349" w:rsidP="00503349">
      <w:pPr>
        <w:spacing w:before="240"/>
        <w:rPr>
          <w:rFonts w:ascii="Times New Roman" w:eastAsia="MS Gothic" w:hAnsi="Times New Roman"/>
          <w:szCs w:val="24"/>
        </w:rPr>
      </w:pPr>
      <w:r>
        <w:rPr>
          <w:rFonts w:ascii="Times New Roman" w:hAnsi="Times New Roman"/>
          <w:szCs w:val="24"/>
        </w:rPr>
        <w:t xml:space="preserve">Gospel, H. and Lewis, P., 2011. The role and impact of the statutory framework for training policy in the care sector. </w:t>
      </w:r>
      <w:r>
        <w:rPr>
          <w:rFonts w:ascii="Times New Roman" w:hAnsi="Times New Roman"/>
          <w:i/>
          <w:szCs w:val="24"/>
        </w:rPr>
        <w:t>British Journal of Industrial Relations</w:t>
      </w:r>
      <w:r>
        <w:rPr>
          <w:rFonts w:ascii="Times New Roman" w:hAnsi="Times New Roman"/>
          <w:szCs w:val="24"/>
        </w:rPr>
        <w:t>, 49(4), pp. 602-622.</w:t>
      </w:r>
    </w:p>
    <w:p w14:paraId="359D115D" w14:textId="77777777" w:rsidR="00503349" w:rsidRDefault="00503349" w:rsidP="00503349">
      <w:pPr>
        <w:spacing w:before="240"/>
        <w:rPr>
          <w:rFonts w:ascii="Times New Roman" w:eastAsia="MS Gothic" w:hAnsi="Times New Roman"/>
          <w:szCs w:val="24"/>
        </w:rPr>
      </w:pPr>
      <w:r>
        <w:rPr>
          <w:rFonts w:ascii="Times New Roman" w:hAnsi="Times New Roman"/>
          <w:szCs w:val="24"/>
        </w:rPr>
        <w:t xml:space="preserve">Gospel, H., 2015. Varieties of qualifications, training, and skills in long-term care: a German, Japanese, and UK comparison. </w:t>
      </w:r>
      <w:r>
        <w:rPr>
          <w:rFonts w:ascii="Times New Roman" w:hAnsi="Times New Roman"/>
          <w:i/>
          <w:szCs w:val="24"/>
        </w:rPr>
        <w:t>Human Resource Management</w:t>
      </w:r>
      <w:r>
        <w:rPr>
          <w:rFonts w:ascii="Times New Roman" w:hAnsi="Times New Roman"/>
          <w:szCs w:val="24"/>
        </w:rPr>
        <w:t>, 54(5), pp. 833-850.</w:t>
      </w:r>
    </w:p>
    <w:p w14:paraId="65AFEF94" w14:textId="77777777" w:rsidR="00503349" w:rsidRDefault="00503349" w:rsidP="00503349">
      <w:pPr>
        <w:rPr>
          <w:rFonts w:ascii="Times New Roman" w:eastAsia="MS Gothic" w:hAnsi="Times New Roman"/>
          <w:szCs w:val="24"/>
        </w:rPr>
      </w:pPr>
      <w:r>
        <w:rPr>
          <w:rFonts w:ascii="Times New Roman" w:hAnsi="Times New Roman"/>
          <w:szCs w:val="24"/>
        </w:rPr>
        <w:t xml:space="preserve">Goss, J., Lindquist, B., Van Hear, N., Raijman, R. and Semynov, M., 1995. </w:t>
      </w:r>
      <w:r>
        <w:rPr>
          <w:rFonts w:ascii="Times New Roman" w:hAnsi="Times New Roman"/>
          <w:bCs/>
          <w:szCs w:val="24"/>
        </w:rPr>
        <w:t xml:space="preserve">Conceptualizing international labor migration: a structuration perspective. </w:t>
      </w:r>
      <w:r>
        <w:rPr>
          <w:rFonts w:ascii="Times New Roman" w:hAnsi="Times New Roman"/>
          <w:i/>
          <w:szCs w:val="24"/>
        </w:rPr>
        <w:t>International Migration Review</w:t>
      </w:r>
      <w:r>
        <w:rPr>
          <w:rFonts w:ascii="Times New Roman" w:hAnsi="Times New Roman"/>
          <w:szCs w:val="24"/>
        </w:rPr>
        <w:t>, 29(2), pp. 31-51.</w:t>
      </w:r>
    </w:p>
    <w:p w14:paraId="2986F5F5"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Gottfried, A.E., Fleming, J.S. and Gottfried, A.W., 1998. Role of cognitively stimulating home environment in children’s academic intrinsic motivation: A longitudinal study. </w:t>
      </w:r>
      <w:r w:rsidRPr="00945DA4">
        <w:rPr>
          <w:rFonts w:ascii="Times New Roman" w:hAnsi="Times New Roman"/>
          <w:i/>
          <w:szCs w:val="24"/>
          <w:bdr w:val="none" w:sz="0" w:space="0" w:color="auto" w:frame="1"/>
        </w:rPr>
        <w:t>Child Development</w:t>
      </w:r>
      <w:r w:rsidRPr="00945DA4">
        <w:rPr>
          <w:rFonts w:ascii="Times New Roman" w:hAnsi="Times New Roman"/>
          <w:szCs w:val="24"/>
          <w:bdr w:val="none" w:sz="0" w:space="0" w:color="auto" w:frame="1"/>
        </w:rPr>
        <w:t>, 69(5), pp. 1448-1460.</w:t>
      </w:r>
    </w:p>
    <w:p w14:paraId="39966EC7" w14:textId="77777777" w:rsidR="00503349" w:rsidRDefault="00503349" w:rsidP="00503349">
      <w:pPr>
        <w:jc w:val="both"/>
        <w:rPr>
          <w:rFonts w:ascii="Times New Roman" w:hAnsi="Times New Roman"/>
          <w:szCs w:val="24"/>
        </w:rPr>
      </w:pPr>
      <w:r>
        <w:rPr>
          <w:rFonts w:ascii="Times New Roman" w:hAnsi="Times New Roman"/>
          <w:szCs w:val="24"/>
        </w:rPr>
        <w:t xml:space="preserve">Goulbourne, H., 2009. </w:t>
      </w:r>
      <w:r>
        <w:rPr>
          <w:rFonts w:ascii="Times New Roman" w:hAnsi="Times New Roman"/>
          <w:i/>
          <w:iCs/>
          <w:szCs w:val="24"/>
        </w:rPr>
        <w:t>Ethnicity and Nationalism in Post-Imperial Britain</w:t>
      </w:r>
      <w:r>
        <w:rPr>
          <w:rFonts w:ascii="Times New Roman" w:hAnsi="Times New Roman"/>
          <w:szCs w:val="24"/>
        </w:rPr>
        <w:t>. Cambridge: Cambridge University Press.</w:t>
      </w:r>
    </w:p>
    <w:p w14:paraId="5B2499AA" w14:textId="77777777" w:rsidR="00503349" w:rsidRPr="00945DA4" w:rsidRDefault="00503349" w:rsidP="00503349">
      <w:pPr>
        <w:jc w:val="both"/>
        <w:rPr>
          <w:rFonts w:ascii="Times New Roman" w:hAnsi="Times New Roman"/>
          <w:szCs w:val="24"/>
          <w:bdr w:val="none" w:sz="0" w:space="0" w:color="auto" w:frame="1"/>
          <w:lang w:val="en-US"/>
        </w:rPr>
      </w:pPr>
      <w:r w:rsidRPr="00F11B68">
        <w:rPr>
          <w:rFonts w:ascii="Times New Roman" w:hAnsi="Times New Roman"/>
          <w:szCs w:val="24"/>
          <w:bdr w:val="none" w:sz="0" w:space="0" w:color="auto" w:frame="1"/>
          <w:lang w:val="en-US"/>
        </w:rPr>
        <w:t xml:space="preserve">Gouldner, A.W., 1960. The norm of reciprocity: a preliminary statement. </w:t>
      </w:r>
      <w:r w:rsidRPr="00F11B68">
        <w:rPr>
          <w:rFonts w:ascii="Times New Roman" w:hAnsi="Times New Roman"/>
          <w:i/>
          <w:szCs w:val="24"/>
          <w:bdr w:val="none" w:sz="0" w:space="0" w:color="auto" w:frame="1"/>
          <w:lang w:val="en-US"/>
        </w:rPr>
        <w:t>American Sociological Review</w:t>
      </w:r>
      <w:r w:rsidRPr="00F11B68">
        <w:rPr>
          <w:rFonts w:ascii="Times New Roman" w:hAnsi="Times New Roman"/>
          <w:szCs w:val="24"/>
          <w:bdr w:val="none" w:sz="0" w:space="0" w:color="auto" w:frame="1"/>
          <w:lang w:val="en-US"/>
        </w:rPr>
        <w:t>, 25(2</w:t>
      </w:r>
      <w:r w:rsidRPr="00945DA4">
        <w:rPr>
          <w:rFonts w:ascii="Times New Roman" w:hAnsi="Times New Roman"/>
          <w:szCs w:val="24"/>
          <w:bdr w:val="none" w:sz="0" w:space="0" w:color="auto" w:frame="1"/>
          <w:lang w:val="en-US"/>
        </w:rPr>
        <w:t>), pp. 161-178.</w:t>
      </w:r>
    </w:p>
    <w:p w14:paraId="2627F2A4" w14:textId="77777777" w:rsidR="00503349" w:rsidRPr="004E3E8F" w:rsidRDefault="00503349" w:rsidP="00503349">
      <w:pPr>
        <w:spacing w:before="240"/>
        <w:jc w:val="both"/>
        <w:rPr>
          <w:rFonts w:ascii="Times New Roman" w:hAnsi="Times New Roman"/>
          <w:szCs w:val="24"/>
        </w:rPr>
      </w:pPr>
      <w:r w:rsidRPr="004E3E8F">
        <w:rPr>
          <w:rFonts w:ascii="Times New Roman" w:hAnsi="Times New Roman"/>
          <w:szCs w:val="24"/>
        </w:rPr>
        <w:t>Granger, C., 2018. Data protection and the rules on retention. </w:t>
      </w:r>
      <w:r w:rsidRPr="004E3E8F">
        <w:rPr>
          <w:rFonts w:ascii="Times New Roman" w:hAnsi="Times New Roman"/>
          <w:i/>
          <w:iCs/>
          <w:szCs w:val="24"/>
        </w:rPr>
        <w:t>Practice Management</w:t>
      </w:r>
      <w:r w:rsidRPr="004E3E8F">
        <w:rPr>
          <w:rFonts w:ascii="Times New Roman" w:hAnsi="Times New Roman"/>
          <w:szCs w:val="24"/>
        </w:rPr>
        <w:t>, 28(6), pp. 40-41.</w:t>
      </w:r>
    </w:p>
    <w:p w14:paraId="659435EC" w14:textId="77777777" w:rsidR="00503349" w:rsidRPr="004E3E8F" w:rsidRDefault="00503349" w:rsidP="00503349">
      <w:pPr>
        <w:spacing w:after="200"/>
        <w:jc w:val="both"/>
        <w:rPr>
          <w:rFonts w:ascii="Times New Roman" w:hAnsi="Times New Roman"/>
          <w:szCs w:val="24"/>
        </w:rPr>
      </w:pPr>
      <w:r w:rsidRPr="008101DD">
        <w:rPr>
          <w:rFonts w:ascii="Times New Roman" w:hAnsi="Times New Roman"/>
          <w:szCs w:val="24"/>
        </w:rPr>
        <w:t xml:space="preserve">Gray, D.E., 2009. </w:t>
      </w:r>
      <w:r w:rsidRPr="008101DD">
        <w:rPr>
          <w:rFonts w:ascii="Times New Roman" w:hAnsi="Times New Roman"/>
          <w:i/>
          <w:szCs w:val="24"/>
        </w:rPr>
        <w:t>Doing research in the real world</w:t>
      </w:r>
      <w:r w:rsidRPr="008101DD">
        <w:rPr>
          <w:rFonts w:ascii="Times New Roman" w:hAnsi="Times New Roman"/>
          <w:szCs w:val="24"/>
        </w:rPr>
        <w:t>. 2</w:t>
      </w:r>
      <w:r w:rsidRPr="008101DD">
        <w:rPr>
          <w:rFonts w:ascii="Times New Roman" w:hAnsi="Times New Roman"/>
          <w:szCs w:val="24"/>
          <w:vertAlign w:val="superscript"/>
        </w:rPr>
        <w:t>nd</w:t>
      </w:r>
      <w:r w:rsidRPr="008101DD">
        <w:rPr>
          <w:rFonts w:ascii="Times New Roman" w:hAnsi="Times New Roman"/>
          <w:szCs w:val="24"/>
        </w:rPr>
        <w:t xml:space="preserve"> ed. London: Sage Publication.</w:t>
      </w:r>
      <w:r>
        <w:rPr>
          <w:rFonts w:ascii="Times New Roman" w:hAnsi="Times New Roman"/>
          <w:szCs w:val="24"/>
        </w:rPr>
        <w:t xml:space="preserve">                                                                                                                  </w:t>
      </w:r>
    </w:p>
    <w:p w14:paraId="01E58F5B"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Gray, H.L., Jimenez, D.E., Cucciare, M.A., Tong, H.Q. and Gallagher-Thompson, D., 2009. Ethnic differences in beliefs regarding Alzheimer disease among dementia family caregivers. </w:t>
      </w:r>
      <w:r w:rsidRPr="002B3011">
        <w:rPr>
          <w:rFonts w:ascii="Times New Roman" w:hAnsi="Times New Roman"/>
          <w:i/>
          <w:iCs/>
          <w:color w:val="000000"/>
          <w:szCs w:val="24"/>
        </w:rPr>
        <w:t>The American Journal of Geriatric Psychiatry</w:t>
      </w:r>
      <w:r w:rsidRPr="002B3011">
        <w:rPr>
          <w:rFonts w:ascii="Times New Roman" w:hAnsi="Times New Roman"/>
          <w:color w:val="000000"/>
          <w:szCs w:val="24"/>
        </w:rPr>
        <w:t>, </w:t>
      </w:r>
      <w:r w:rsidRPr="000C2CD1">
        <w:rPr>
          <w:rFonts w:ascii="Times New Roman" w:hAnsi="Times New Roman"/>
          <w:color w:val="000000"/>
          <w:szCs w:val="24"/>
        </w:rPr>
        <w:t>17</w:t>
      </w:r>
      <w:r w:rsidRPr="002B3011">
        <w:rPr>
          <w:rFonts w:ascii="Times New Roman" w:hAnsi="Times New Roman"/>
          <w:color w:val="000000"/>
          <w:szCs w:val="24"/>
        </w:rPr>
        <w:t>(11), pp.</w:t>
      </w:r>
      <w:r>
        <w:rPr>
          <w:rFonts w:ascii="Times New Roman" w:hAnsi="Times New Roman"/>
          <w:color w:val="000000"/>
          <w:szCs w:val="24"/>
        </w:rPr>
        <w:t xml:space="preserve"> </w:t>
      </w:r>
      <w:r w:rsidRPr="002B3011">
        <w:rPr>
          <w:rFonts w:ascii="Times New Roman" w:hAnsi="Times New Roman"/>
          <w:color w:val="000000"/>
          <w:szCs w:val="24"/>
        </w:rPr>
        <w:t>925-933.</w:t>
      </w:r>
    </w:p>
    <w:p w14:paraId="5EB949C2"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Gray, J. and Johnson, L., 2009. Intentions and motivations of nurses to migrate: a review of empirical studies. </w:t>
      </w:r>
      <w:r w:rsidRPr="000A56C6">
        <w:rPr>
          <w:rFonts w:ascii="Times New Roman" w:hAnsi="Times New Roman"/>
          <w:i/>
          <w:szCs w:val="24"/>
        </w:rPr>
        <w:t>International Journal of Migration, Health and Social Care</w:t>
      </w:r>
      <w:r w:rsidRPr="000A56C6">
        <w:rPr>
          <w:rFonts w:ascii="Times New Roman" w:hAnsi="Times New Roman"/>
          <w:szCs w:val="24"/>
        </w:rPr>
        <w:t>, 4(4), pp. 41-48.</w:t>
      </w:r>
    </w:p>
    <w:p w14:paraId="054F7E0F"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Gray-Stanley, J. and Muramatsu, N., 2011. Work stress, burnout, and social and personal resources among direct care workers. </w:t>
      </w:r>
      <w:r w:rsidRPr="000A56C6">
        <w:rPr>
          <w:rFonts w:ascii="Times New Roman" w:hAnsi="Times New Roman"/>
          <w:i/>
          <w:szCs w:val="24"/>
        </w:rPr>
        <w:t>Research in Developmental Disabilities</w:t>
      </w:r>
      <w:r w:rsidRPr="000A56C6">
        <w:rPr>
          <w:rFonts w:ascii="Times New Roman" w:hAnsi="Times New Roman"/>
          <w:szCs w:val="24"/>
        </w:rPr>
        <w:t>, 32, pp. 1065–1074.</w:t>
      </w:r>
    </w:p>
    <w:p w14:paraId="55A3C31D"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Great Britain, 1998. </w:t>
      </w:r>
      <w:r w:rsidRPr="004E3E8F">
        <w:rPr>
          <w:rFonts w:ascii="Times New Roman" w:hAnsi="Times New Roman"/>
          <w:i/>
          <w:szCs w:val="24"/>
        </w:rPr>
        <w:t>Data Protection Act</w:t>
      </w:r>
      <w:r w:rsidRPr="004E3E8F">
        <w:rPr>
          <w:rFonts w:ascii="Times New Roman" w:hAnsi="Times New Roman"/>
          <w:szCs w:val="24"/>
        </w:rPr>
        <w:t>. London: Stationery Office.</w:t>
      </w:r>
    </w:p>
    <w:p w14:paraId="06811C2F" w14:textId="77777777" w:rsidR="00503349" w:rsidRDefault="00503349" w:rsidP="00503349">
      <w:pPr>
        <w:spacing w:before="240"/>
        <w:rPr>
          <w:rFonts w:ascii="Times New Roman" w:eastAsia="MS Gothic" w:hAnsi="Times New Roman"/>
          <w:szCs w:val="24"/>
        </w:rPr>
      </w:pPr>
      <w:r>
        <w:rPr>
          <w:rFonts w:ascii="Times New Roman" w:hAnsi="Times New Roman"/>
          <w:szCs w:val="24"/>
        </w:rPr>
        <w:t xml:space="preserve">Green, A. and Hogarth, T., 2017. Attracting the best talent in the context of migration policy changes: the case of the UK. </w:t>
      </w:r>
      <w:r>
        <w:rPr>
          <w:rFonts w:ascii="Times New Roman" w:hAnsi="Times New Roman"/>
          <w:i/>
          <w:iCs/>
          <w:szCs w:val="24"/>
        </w:rPr>
        <w:t>Journal of Ethnic and Migration Studies</w:t>
      </w:r>
      <w:r>
        <w:rPr>
          <w:rFonts w:ascii="Times New Roman" w:hAnsi="Times New Roman"/>
          <w:szCs w:val="24"/>
        </w:rPr>
        <w:t>, 43(16), pp. 2806-2824.</w:t>
      </w:r>
    </w:p>
    <w:p w14:paraId="2222F917"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Greenberger, H. and Litwin, H., 2003. Can burdened caregivers be effective facilitators of elder care-recipient health care? </w:t>
      </w:r>
      <w:r w:rsidRPr="002B3011">
        <w:rPr>
          <w:rFonts w:ascii="Times New Roman" w:hAnsi="Times New Roman"/>
          <w:i/>
          <w:szCs w:val="24"/>
        </w:rPr>
        <w:t>Journal of Advanced Nursing</w:t>
      </w:r>
      <w:r w:rsidRPr="002B3011">
        <w:rPr>
          <w:rFonts w:ascii="Times New Roman" w:hAnsi="Times New Roman"/>
          <w:szCs w:val="24"/>
        </w:rPr>
        <w:t>, 41(4), pp. 332-341.</w:t>
      </w:r>
    </w:p>
    <w:p w14:paraId="32BA9BCE" w14:textId="77777777" w:rsidR="00503349" w:rsidRDefault="00503349" w:rsidP="00503349">
      <w:pPr>
        <w:rPr>
          <w:rFonts w:ascii="Times New Roman" w:hAnsi="Times New Roman"/>
          <w:szCs w:val="24"/>
        </w:rPr>
      </w:pPr>
      <w:r w:rsidRPr="00A21B56">
        <w:rPr>
          <w:rFonts w:ascii="Times New Roman" w:hAnsi="Times New Roman"/>
          <w:szCs w:val="24"/>
        </w:rPr>
        <w:t xml:space="preserve">Greenwood, N., Pound, C., Brearley, S. and Smith, R., 2019. A qualitative study of older informal carers’ experiences and perceptions of their caring role. </w:t>
      </w:r>
      <w:r w:rsidRPr="006E4D1D">
        <w:rPr>
          <w:rFonts w:ascii="Times New Roman" w:hAnsi="Times New Roman"/>
          <w:i/>
          <w:iCs/>
          <w:szCs w:val="24"/>
        </w:rPr>
        <w:t>Maturitas</w:t>
      </w:r>
      <w:r w:rsidRPr="00A21B56">
        <w:rPr>
          <w:rFonts w:ascii="Times New Roman" w:hAnsi="Times New Roman"/>
          <w:szCs w:val="24"/>
        </w:rPr>
        <w:t>, 124, pp.</w:t>
      </w:r>
      <w:r>
        <w:rPr>
          <w:rFonts w:ascii="Times New Roman" w:hAnsi="Times New Roman"/>
          <w:szCs w:val="24"/>
        </w:rPr>
        <w:t xml:space="preserve"> </w:t>
      </w:r>
      <w:r w:rsidRPr="00A21B56">
        <w:rPr>
          <w:rFonts w:ascii="Times New Roman" w:hAnsi="Times New Roman"/>
          <w:szCs w:val="24"/>
        </w:rPr>
        <w:t>1-7.</w:t>
      </w:r>
    </w:p>
    <w:p w14:paraId="3BF80D5F" w14:textId="77777777" w:rsidR="00503349" w:rsidRPr="00DA2952" w:rsidRDefault="00503349" w:rsidP="00503349">
      <w:pPr>
        <w:rPr>
          <w:rFonts w:ascii="Times" w:hAnsi="Times" w:cs="Times"/>
          <w:szCs w:val="24"/>
        </w:rPr>
      </w:pPr>
      <w:r w:rsidRPr="00DA2952">
        <w:rPr>
          <w:rFonts w:ascii="Times" w:hAnsi="Times" w:cs="Times"/>
          <w:szCs w:val="24"/>
        </w:rPr>
        <w:t xml:space="preserve">Griffiths, J., Speed, S., Horne, M. and Keeley, P. 2012. ‘A caring professional attitude’: What service users and carers seek in graduate nurses and the challenge for educators. </w:t>
      </w:r>
      <w:r w:rsidRPr="00DA2952">
        <w:rPr>
          <w:rFonts w:ascii="Times" w:hAnsi="Times" w:cs="Times"/>
          <w:i/>
          <w:iCs/>
          <w:szCs w:val="24"/>
        </w:rPr>
        <w:t>Nurse Education Today</w:t>
      </w:r>
      <w:r w:rsidRPr="00DA2952">
        <w:rPr>
          <w:rFonts w:ascii="Times" w:hAnsi="Times" w:cs="Times"/>
          <w:szCs w:val="24"/>
        </w:rPr>
        <w:t>, 32(2), pp. 121-127.</w:t>
      </w:r>
    </w:p>
    <w:p w14:paraId="3625BFB1" w14:textId="77777777" w:rsidR="00503349" w:rsidRPr="008101DD" w:rsidRDefault="00503349" w:rsidP="00503349">
      <w:pPr>
        <w:spacing w:before="100" w:beforeAutospacing="1" w:after="100" w:afterAutospacing="1"/>
        <w:jc w:val="both"/>
        <w:rPr>
          <w:rFonts w:ascii="Times New Roman" w:hAnsi="Times New Roman"/>
          <w:szCs w:val="24"/>
        </w:rPr>
      </w:pPr>
      <w:r w:rsidRPr="008101DD">
        <w:rPr>
          <w:rFonts w:ascii="Times New Roman" w:hAnsi="Times New Roman"/>
          <w:szCs w:val="24"/>
        </w:rPr>
        <w:t xml:space="preserve">Grix, J., 2019. </w:t>
      </w:r>
      <w:r w:rsidRPr="008101DD">
        <w:rPr>
          <w:rFonts w:ascii="Times New Roman" w:hAnsi="Times New Roman"/>
          <w:i/>
          <w:szCs w:val="24"/>
        </w:rPr>
        <w:t>The foundations of research</w:t>
      </w:r>
      <w:r w:rsidRPr="008101DD">
        <w:rPr>
          <w:rFonts w:ascii="Times New Roman" w:hAnsi="Times New Roman"/>
          <w:szCs w:val="24"/>
        </w:rPr>
        <w:t>. 3</w:t>
      </w:r>
      <w:r w:rsidRPr="008101DD">
        <w:rPr>
          <w:rFonts w:ascii="Times New Roman" w:hAnsi="Times New Roman"/>
          <w:szCs w:val="24"/>
          <w:vertAlign w:val="superscript"/>
        </w:rPr>
        <w:t>rd</w:t>
      </w:r>
      <w:r w:rsidRPr="008101DD">
        <w:rPr>
          <w:rFonts w:ascii="Times New Roman" w:hAnsi="Times New Roman"/>
          <w:szCs w:val="24"/>
        </w:rPr>
        <w:t xml:space="preserve"> ed. London: Red Globe Press, pp. 51-69.</w:t>
      </w:r>
    </w:p>
    <w:p w14:paraId="6137BC65"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Guay, F., Chanal, J., Ratelle, C. F., Marsh, H. W., Larose, S. and Boivin, M., 2010. Intrinsic, identified, and controlled types of motivation for school subjects in young elementary school children. </w:t>
      </w:r>
      <w:r w:rsidRPr="00945DA4">
        <w:rPr>
          <w:rFonts w:ascii="Times New Roman" w:hAnsi="Times New Roman"/>
          <w:i/>
          <w:iCs/>
          <w:szCs w:val="24"/>
          <w:bdr w:val="none" w:sz="0" w:space="0" w:color="auto" w:frame="1"/>
        </w:rPr>
        <w:t>British Journal of Educational Psychology</w:t>
      </w:r>
      <w:r w:rsidRPr="00945DA4">
        <w:rPr>
          <w:rFonts w:ascii="Times New Roman" w:hAnsi="Times New Roman"/>
          <w:szCs w:val="24"/>
          <w:bdr w:val="none" w:sz="0" w:space="0" w:color="auto" w:frame="1"/>
        </w:rPr>
        <w:t>, 80(4), pp. 711–735.</w:t>
      </w:r>
    </w:p>
    <w:p w14:paraId="3243596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Guba, E.G. and Lincoln, Y.S., 1994. Competing paradigms in qualitative research. In: N.K. Denzin &amp; Y.S. Lincoln, eds. </w:t>
      </w:r>
      <w:r w:rsidRPr="008101DD">
        <w:rPr>
          <w:rFonts w:ascii="Times New Roman" w:hAnsi="Times New Roman"/>
          <w:i/>
          <w:szCs w:val="24"/>
        </w:rPr>
        <w:t>Handbook of Qualitative Research</w:t>
      </w:r>
      <w:r w:rsidRPr="008101DD">
        <w:rPr>
          <w:rFonts w:ascii="Times New Roman" w:hAnsi="Times New Roman"/>
          <w:szCs w:val="24"/>
        </w:rPr>
        <w:t>. Thousand Oaks: Sage. pp. 105-117.</w:t>
      </w:r>
    </w:p>
    <w:p w14:paraId="5CC91DFA"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Guba, E.G. and Lincoln, Y.S., 1998. Competing paradigms in qualitative research. In: N.K. Denzin &amp; Y.S. Lincoln, eds. </w:t>
      </w:r>
      <w:r w:rsidRPr="008101DD">
        <w:rPr>
          <w:rFonts w:ascii="Times New Roman" w:hAnsi="Times New Roman"/>
          <w:i/>
          <w:szCs w:val="24"/>
        </w:rPr>
        <w:t>The landscape of qualitative research: theories and issues</w:t>
      </w:r>
      <w:r w:rsidRPr="008101DD">
        <w:rPr>
          <w:rFonts w:ascii="Times New Roman" w:hAnsi="Times New Roman"/>
          <w:szCs w:val="24"/>
        </w:rPr>
        <w:t>. Thousand Oaks, CA: Sage, pp.195-220.</w:t>
      </w:r>
    </w:p>
    <w:p w14:paraId="2A8FF90E" w14:textId="77777777" w:rsidR="00503349" w:rsidRPr="004E3E8F" w:rsidRDefault="00503349" w:rsidP="00503349">
      <w:pPr>
        <w:spacing w:before="240"/>
        <w:jc w:val="both"/>
        <w:rPr>
          <w:rFonts w:ascii="Times New Roman" w:hAnsi="Times New Roman"/>
          <w:bCs/>
          <w:szCs w:val="24"/>
        </w:rPr>
      </w:pPr>
      <w:r w:rsidRPr="004E3E8F">
        <w:rPr>
          <w:rFonts w:ascii="Times New Roman" w:hAnsi="Times New Roman"/>
          <w:bCs/>
          <w:szCs w:val="24"/>
        </w:rPr>
        <w:t>Guest, G., Bunce, A. and Johnson, L., 2006. How many interviews are enough? An experiment with data saturation and variability. </w:t>
      </w:r>
      <w:r w:rsidRPr="004E3E8F">
        <w:rPr>
          <w:rFonts w:ascii="Times New Roman" w:hAnsi="Times New Roman"/>
          <w:bCs/>
          <w:i/>
          <w:iCs/>
          <w:szCs w:val="24"/>
        </w:rPr>
        <w:t>Field Methods</w:t>
      </w:r>
      <w:r w:rsidRPr="004E3E8F">
        <w:rPr>
          <w:rFonts w:ascii="Times New Roman" w:hAnsi="Times New Roman"/>
          <w:bCs/>
          <w:szCs w:val="24"/>
        </w:rPr>
        <w:t>, 18, pp. 59-82.</w:t>
      </w:r>
    </w:p>
    <w:p w14:paraId="705263E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Guo, Z., Levy, B.R., Hinton, W.L., Witzman, P.F. and Levkoff, S.E., 2000. The power of labels: recruiting dementia-affected Chinese American elders and their caregivers. </w:t>
      </w:r>
      <w:r w:rsidRPr="002B3011">
        <w:rPr>
          <w:rFonts w:ascii="Times New Roman" w:hAnsi="Times New Roman"/>
          <w:i/>
          <w:szCs w:val="24"/>
        </w:rPr>
        <w:t>Journal of Mental Health &amp; Aging</w:t>
      </w:r>
      <w:r w:rsidRPr="002B3011">
        <w:rPr>
          <w:rFonts w:ascii="Times New Roman" w:hAnsi="Times New Roman"/>
          <w:szCs w:val="24"/>
        </w:rPr>
        <w:t>, 6, pp. 103-112.</w:t>
      </w:r>
    </w:p>
    <w:p w14:paraId="23CE87C1" w14:textId="77777777" w:rsidR="00503349" w:rsidRPr="00DA2952" w:rsidRDefault="00503349" w:rsidP="00503349">
      <w:pPr>
        <w:rPr>
          <w:rFonts w:ascii="Times" w:hAnsi="Times" w:cs="Times"/>
          <w:szCs w:val="24"/>
        </w:rPr>
      </w:pPr>
      <w:r w:rsidRPr="00DA2952">
        <w:rPr>
          <w:rFonts w:ascii="Times" w:hAnsi="Times" w:cs="Times"/>
          <w:szCs w:val="24"/>
        </w:rPr>
        <w:lastRenderedPageBreak/>
        <w:t xml:space="preserve">Gureje, O., Kola, L. and Afolabi, E., 2007. Epidemiology of major depressive disorder in the elderly Nigerians in the Ibadan study of ageing: a community-based survey. </w:t>
      </w:r>
      <w:r w:rsidRPr="00DA2952">
        <w:rPr>
          <w:rFonts w:ascii="Times" w:hAnsi="Times" w:cs="Times"/>
          <w:i/>
          <w:iCs/>
          <w:szCs w:val="24"/>
        </w:rPr>
        <w:t>Lancet</w:t>
      </w:r>
      <w:r w:rsidRPr="00DA2952">
        <w:rPr>
          <w:rFonts w:ascii="Times" w:hAnsi="Times" w:cs="Times"/>
          <w:szCs w:val="24"/>
        </w:rPr>
        <w:t>, 370, pp. 957-964.</w:t>
      </w:r>
    </w:p>
    <w:p w14:paraId="453AC8DC" w14:textId="77777777" w:rsidR="00503349" w:rsidRDefault="00503349" w:rsidP="00503349">
      <w:pPr>
        <w:rPr>
          <w:rFonts w:ascii="Times" w:hAnsi="Times" w:cs="Times"/>
          <w:szCs w:val="24"/>
        </w:rPr>
      </w:pPr>
      <w:r w:rsidRPr="008D6609">
        <w:rPr>
          <w:rFonts w:ascii="Times" w:hAnsi="Times" w:cs="Times"/>
          <w:szCs w:val="24"/>
        </w:rPr>
        <w:t>Gwernan‐Jones, R., Abbott, R., Lourida, I., Rogers, M., Green, C., Ball, S., Hemsley, A., Cheeseman, D., Clare, L., Moore, D.A.</w:t>
      </w:r>
      <w:r>
        <w:rPr>
          <w:rFonts w:ascii="Times" w:hAnsi="Times" w:cs="Times"/>
          <w:szCs w:val="24"/>
        </w:rPr>
        <w:t>,</w:t>
      </w:r>
      <w:r w:rsidRPr="008D6609">
        <w:rPr>
          <w:rFonts w:ascii="Times" w:hAnsi="Times" w:cs="Times"/>
          <w:szCs w:val="24"/>
        </w:rPr>
        <w:t xml:space="preserve"> Hussey, C., </w:t>
      </w:r>
      <w:r w:rsidRPr="00406769">
        <w:rPr>
          <w:rFonts w:ascii="Times" w:hAnsi="Times" w:cs="Times"/>
          <w:szCs w:val="24"/>
        </w:rPr>
        <w:t>Coxon</w:t>
      </w:r>
      <w:r>
        <w:rPr>
          <w:rFonts w:ascii="Times" w:hAnsi="Times" w:cs="Times"/>
          <w:szCs w:val="24"/>
        </w:rPr>
        <w:t>, G.,</w:t>
      </w:r>
      <w:r w:rsidRPr="00406769">
        <w:rPr>
          <w:rFonts w:ascii="Times" w:hAnsi="Times" w:cs="Times"/>
          <w:szCs w:val="24"/>
        </w:rPr>
        <w:t xml:space="preserve"> Llewellyn</w:t>
      </w:r>
      <w:r>
        <w:rPr>
          <w:rFonts w:ascii="Times" w:hAnsi="Times" w:cs="Times"/>
          <w:szCs w:val="24"/>
        </w:rPr>
        <w:t xml:space="preserve">, </w:t>
      </w:r>
      <w:r w:rsidRPr="00406769">
        <w:rPr>
          <w:rFonts w:ascii="Times" w:hAnsi="Times" w:cs="Times"/>
          <w:szCs w:val="24"/>
        </w:rPr>
        <w:t>D</w:t>
      </w:r>
      <w:r>
        <w:rPr>
          <w:rFonts w:ascii="Times" w:hAnsi="Times" w:cs="Times"/>
          <w:szCs w:val="24"/>
        </w:rPr>
        <w:t>.</w:t>
      </w:r>
      <w:r w:rsidRPr="00406769">
        <w:rPr>
          <w:rFonts w:ascii="Times" w:hAnsi="Times" w:cs="Times"/>
          <w:szCs w:val="24"/>
        </w:rPr>
        <w:t>J.</w:t>
      </w:r>
      <w:r>
        <w:rPr>
          <w:rFonts w:ascii="Times" w:hAnsi="Times" w:cs="Times"/>
          <w:szCs w:val="24"/>
        </w:rPr>
        <w:t xml:space="preserve">, </w:t>
      </w:r>
      <w:r w:rsidRPr="00406769">
        <w:rPr>
          <w:rFonts w:ascii="Times" w:hAnsi="Times" w:cs="Times"/>
          <w:szCs w:val="24"/>
        </w:rPr>
        <w:t>Naldrett</w:t>
      </w:r>
      <w:r>
        <w:rPr>
          <w:rFonts w:ascii="Times" w:hAnsi="Times" w:cs="Times"/>
          <w:szCs w:val="24"/>
        </w:rPr>
        <w:t xml:space="preserve">, </w:t>
      </w:r>
      <w:r w:rsidRPr="00406769">
        <w:rPr>
          <w:rFonts w:ascii="Times" w:hAnsi="Times" w:cs="Times"/>
          <w:szCs w:val="24"/>
        </w:rPr>
        <w:t>T</w:t>
      </w:r>
      <w:r>
        <w:rPr>
          <w:rFonts w:ascii="Times" w:hAnsi="Times" w:cs="Times"/>
          <w:szCs w:val="24"/>
        </w:rPr>
        <w:t>.</w:t>
      </w:r>
      <w:r w:rsidRPr="00406769">
        <w:rPr>
          <w:rFonts w:ascii="Times" w:hAnsi="Times" w:cs="Times"/>
          <w:szCs w:val="24"/>
        </w:rPr>
        <w:t xml:space="preserve"> </w:t>
      </w:r>
      <w:r>
        <w:rPr>
          <w:rFonts w:ascii="Times" w:hAnsi="Times" w:cs="Times"/>
          <w:szCs w:val="24"/>
        </w:rPr>
        <w:t xml:space="preserve">and </w:t>
      </w:r>
      <w:r w:rsidRPr="00406769">
        <w:rPr>
          <w:rFonts w:ascii="Times" w:hAnsi="Times" w:cs="Times"/>
          <w:szCs w:val="24"/>
        </w:rPr>
        <w:t>Coon</w:t>
      </w:r>
      <w:r>
        <w:rPr>
          <w:rFonts w:ascii="Times" w:hAnsi="Times" w:cs="Times"/>
          <w:szCs w:val="24"/>
        </w:rPr>
        <w:t xml:space="preserve">, J.T., </w:t>
      </w:r>
      <w:r w:rsidRPr="008D6609">
        <w:rPr>
          <w:rFonts w:ascii="Times" w:hAnsi="Times" w:cs="Times"/>
          <w:szCs w:val="24"/>
        </w:rPr>
        <w:t>2020. The experiences of hospital staff who provide care for people living with dementia: A systematic review and synthesis of qualitative studies. </w:t>
      </w:r>
      <w:r w:rsidRPr="008D6609">
        <w:rPr>
          <w:rFonts w:ascii="Times" w:hAnsi="Times" w:cs="Times"/>
          <w:i/>
          <w:iCs/>
          <w:szCs w:val="24"/>
        </w:rPr>
        <w:t>International Journal of Older People Nursing</w:t>
      </w:r>
      <w:r w:rsidRPr="008D6609">
        <w:rPr>
          <w:rFonts w:ascii="Times" w:hAnsi="Times" w:cs="Times"/>
          <w:szCs w:val="24"/>
        </w:rPr>
        <w:t xml:space="preserve">, </w:t>
      </w:r>
      <w:r>
        <w:rPr>
          <w:rFonts w:ascii="Times" w:hAnsi="Times" w:cs="Times"/>
          <w:szCs w:val="24"/>
        </w:rPr>
        <w:t xml:space="preserve">15(4), </w:t>
      </w:r>
      <w:r w:rsidRPr="008D6609">
        <w:rPr>
          <w:rFonts w:ascii="Times" w:hAnsi="Times" w:cs="Times"/>
          <w:szCs w:val="24"/>
        </w:rPr>
        <w:t>p.e12325.</w:t>
      </w:r>
      <w:r>
        <w:rPr>
          <w:rFonts w:ascii="Times" w:hAnsi="Times" w:cs="Times"/>
          <w:szCs w:val="24"/>
        </w:rPr>
        <w:t xml:space="preserve"> Available at: &lt;</w:t>
      </w:r>
      <w:r w:rsidRPr="008D6609">
        <w:rPr>
          <w:rFonts w:ascii="Times" w:hAnsi="Times" w:cs="Times"/>
          <w:szCs w:val="24"/>
        </w:rPr>
        <w:t>https://onlinelibrary.wiley.com/doi/pdf/10.1111/opn.12325</w:t>
      </w:r>
      <w:r>
        <w:rPr>
          <w:rFonts w:ascii="Times" w:hAnsi="Times" w:cs="Times"/>
          <w:szCs w:val="24"/>
        </w:rPr>
        <w:t>&gt;[Accessed 20 September 2020]</w:t>
      </w:r>
    </w:p>
    <w:p w14:paraId="7B388047" w14:textId="77777777" w:rsidR="00503349" w:rsidRPr="002B3011" w:rsidRDefault="00503349" w:rsidP="00503349">
      <w:pPr>
        <w:jc w:val="both"/>
        <w:textAlignment w:val="baseline"/>
        <w:rPr>
          <w:rFonts w:ascii="Times New Roman" w:hAnsi="Times New Roman"/>
          <w:szCs w:val="24"/>
        </w:rPr>
      </w:pPr>
      <w:r w:rsidRPr="002B3011">
        <w:rPr>
          <w:rFonts w:ascii="Times New Roman" w:hAnsi="Times New Roman"/>
          <w:szCs w:val="24"/>
        </w:rPr>
        <w:t xml:space="preserve">Haley, W.E, Gitlin, L.N., Wisniewski, S.R., Mahoney, D.F., Coon, D., Winter, L., Corcoran, M., Schinfeld, S. and Ory, M., 2004. Well-being, appraisal, and coping in African American and White dementia caregivers: Findings from the REACH study. </w:t>
      </w:r>
      <w:r w:rsidRPr="002B3011">
        <w:rPr>
          <w:rFonts w:ascii="Times New Roman" w:hAnsi="Times New Roman"/>
          <w:i/>
          <w:szCs w:val="24"/>
        </w:rPr>
        <w:t>Aging &amp; Mental Health</w:t>
      </w:r>
      <w:r w:rsidRPr="002B3011">
        <w:rPr>
          <w:rFonts w:ascii="Times New Roman" w:hAnsi="Times New Roman"/>
          <w:szCs w:val="24"/>
        </w:rPr>
        <w:t>, 8(4), pp. 316-329.</w:t>
      </w:r>
    </w:p>
    <w:p w14:paraId="419E1443" w14:textId="77777777" w:rsidR="00503349" w:rsidRPr="002B3011" w:rsidRDefault="00503349" w:rsidP="00503349">
      <w:pPr>
        <w:jc w:val="both"/>
        <w:textAlignment w:val="baseline"/>
        <w:rPr>
          <w:rFonts w:ascii="Times New Roman" w:hAnsi="Times New Roman"/>
          <w:szCs w:val="24"/>
          <w:lang w:val="en"/>
        </w:rPr>
      </w:pPr>
      <w:r w:rsidRPr="002B3011">
        <w:rPr>
          <w:rFonts w:ascii="Times New Roman" w:hAnsi="Times New Roman"/>
          <w:szCs w:val="24"/>
          <w:lang w:val="en"/>
        </w:rPr>
        <w:t>Haley, W.E., Roth, D.L., Coleton</w:t>
      </w:r>
      <w:r w:rsidRPr="002B3011">
        <w:rPr>
          <w:rFonts w:ascii="Times New Roman" w:hAnsi="Times New Roman"/>
          <w:szCs w:val="24"/>
        </w:rPr>
        <w:t>, M.I., Ford, G.R., West, C.A., Collins, R.P. and Isobe, T.L</w:t>
      </w:r>
      <w:r w:rsidRPr="002B3011">
        <w:rPr>
          <w:rFonts w:ascii="Times New Roman" w:hAnsi="Times New Roman"/>
          <w:szCs w:val="24"/>
          <w:lang w:val="en"/>
        </w:rPr>
        <w:t xml:space="preserve">., 1996. Appraisal, coping and social support as mediators of well-being in black and white Alzheimer's family caregivers. </w:t>
      </w:r>
      <w:r w:rsidRPr="002B3011">
        <w:rPr>
          <w:rFonts w:ascii="Times New Roman" w:hAnsi="Times New Roman"/>
          <w:i/>
          <w:iCs/>
          <w:szCs w:val="24"/>
          <w:lang w:val="en"/>
        </w:rPr>
        <w:t>Journal of Consulting &amp; Clinical Psychology</w:t>
      </w:r>
      <w:r w:rsidRPr="002B3011">
        <w:rPr>
          <w:rFonts w:ascii="Times New Roman" w:hAnsi="Times New Roman"/>
          <w:szCs w:val="24"/>
          <w:lang w:val="en"/>
        </w:rPr>
        <w:t xml:space="preserve"> 64, pp. 121-129.</w:t>
      </w:r>
    </w:p>
    <w:p w14:paraId="687C1A8A"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Ham, R.J., 1999. Evolving standards in patient and caregiver support. </w:t>
      </w:r>
      <w:r w:rsidRPr="002B3011">
        <w:rPr>
          <w:rFonts w:ascii="Times New Roman" w:hAnsi="Times New Roman"/>
          <w:i/>
          <w:szCs w:val="24"/>
        </w:rPr>
        <w:t>Alzheimer’s Disease &amp; Associated Disorders</w:t>
      </w:r>
      <w:r w:rsidRPr="002B3011">
        <w:rPr>
          <w:rFonts w:ascii="Times New Roman" w:hAnsi="Times New Roman"/>
          <w:szCs w:val="24"/>
        </w:rPr>
        <w:t>, 13(2), pp. S27-S35.</w:t>
      </w:r>
    </w:p>
    <w:p w14:paraId="7C1315EB"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Hammersley, M. and Atkinson, P., 2007. </w:t>
      </w:r>
      <w:r w:rsidRPr="004E3E8F">
        <w:rPr>
          <w:rFonts w:ascii="Times New Roman" w:hAnsi="Times New Roman"/>
          <w:i/>
          <w:szCs w:val="24"/>
        </w:rPr>
        <w:t>Ethnography: Principles in Practice</w:t>
      </w:r>
      <w:r w:rsidRPr="004E3E8F">
        <w:rPr>
          <w:rFonts w:ascii="Times New Roman" w:hAnsi="Times New Roman"/>
          <w:szCs w:val="24"/>
        </w:rPr>
        <w:t>. 3rd ed. London: Routledge.</w:t>
      </w:r>
    </w:p>
    <w:p w14:paraId="033CC6E5"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Harding, N. and Palfry, N., 1997. </w:t>
      </w:r>
      <w:r w:rsidRPr="00DA2952">
        <w:rPr>
          <w:rFonts w:ascii="Times New Roman" w:hAnsi="Times New Roman"/>
          <w:bCs/>
          <w:i/>
          <w:szCs w:val="24"/>
        </w:rPr>
        <w:t>The social construction of dementia: confused professionals</w:t>
      </w:r>
      <w:r w:rsidRPr="00DA2952">
        <w:rPr>
          <w:rFonts w:ascii="Times New Roman" w:hAnsi="Times New Roman"/>
          <w:bCs/>
          <w:szCs w:val="24"/>
        </w:rPr>
        <w:t>?</w:t>
      </w:r>
      <w:r w:rsidRPr="00DA2952">
        <w:rPr>
          <w:rFonts w:ascii="Times New Roman" w:hAnsi="Times New Roman"/>
          <w:szCs w:val="24"/>
        </w:rPr>
        <w:t xml:space="preserve"> London: Jessica Kingsley Publishers.</w:t>
      </w:r>
    </w:p>
    <w:p w14:paraId="4DA6EFAB" w14:textId="77777777" w:rsidR="00503349" w:rsidRDefault="00503349" w:rsidP="00503349">
      <w:pPr>
        <w:jc w:val="both"/>
        <w:rPr>
          <w:rFonts w:ascii="Times New Roman" w:eastAsia="MS Gothic" w:hAnsi="Times New Roman"/>
          <w:szCs w:val="24"/>
        </w:rPr>
      </w:pPr>
      <w:r>
        <w:rPr>
          <w:rFonts w:ascii="Times New Roman" w:hAnsi="Times New Roman"/>
          <w:bCs/>
          <w:szCs w:val="24"/>
        </w:rPr>
        <w:t xml:space="preserve">Harris, J.R. and Todaro, M.P., 1970. Migration, unemployment and development: a two-sector analysis. </w:t>
      </w:r>
      <w:r>
        <w:rPr>
          <w:rFonts w:ascii="Times New Roman" w:hAnsi="Times New Roman"/>
          <w:bCs/>
          <w:i/>
          <w:iCs/>
          <w:szCs w:val="24"/>
        </w:rPr>
        <w:t>American Economic Review</w:t>
      </w:r>
      <w:r>
        <w:rPr>
          <w:rFonts w:ascii="Times New Roman" w:hAnsi="Times New Roman"/>
          <w:bCs/>
          <w:szCs w:val="24"/>
        </w:rPr>
        <w:t>, 60, pp. 126-142.</w:t>
      </w:r>
    </w:p>
    <w:p w14:paraId="184560F9" w14:textId="77777777" w:rsidR="00503349" w:rsidRPr="00636BD8" w:rsidRDefault="00503349" w:rsidP="00503349">
      <w:pPr>
        <w:tabs>
          <w:tab w:val="left" w:pos="5445"/>
        </w:tabs>
        <w:jc w:val="both"/>
        <w:rPr>
          <w:rFonts w:ascii="Times New Roman" w:hAnsi="Times New Roman"/>
          <w:szCs w:val="24"/>
        </w:rPr>
      </w:pPr>
      <w:r w:rsidRPr="00636BD8">
        <w:rPr>
          <w:rFonts w:ascii="Times New Roman" w:hAnsi="Times New Roman"/>
          <w:szCs w:val="24"/>
        </w:rPr>
        <w:t>Harris, P.B., 2010. Dementia and dementia care: The contributions of a psychosocial perspective. </w:t>
      </w:r>
      <w:r w:rsidRPr="00636BD8">
        <w:rPr>
          <w:rFonts w:ascii="Times New Roman" w:hAnsi="Times New Roman"/>
          <w:i/>
          <w:iCs/>
          <w:szCs w:val="24"/>
        </w:rPr>
        <w:t>Sociology Compass</w:t>
      </w:r>
      <w:r w:rsidRPr="00636BD8">
        <w:rPr>
          <w:rFonts w:ascii="Times New Roman" w:hAnsi="Times New Roman"/>
          <w:szCs w:val="24"/>
        </w:rPr>
        <w:t>, 4(4), pp.</w:t>
      </w:r>
      <w:r>
        <w:rPr>
          <w:rFonts w:ascii="Times New Roman" w:hAnsi="Times New Roman"/>
          <w:szCs w:val="24"/>
        </w:rPr>
        <w:t xml:space="preserve"> </w:t>
      </w:r>
      <w:r w:rsidRPr="00636BD8">
        <w:rPr>
          <w:rFonts w:ascii="Times New Roman" w:hAnsi="Times New Roman"/>
          <w:szCs w:val="24"/>
        </w:rPr>
        <w:t>249-262.</w:t>
      </w:r>
    </w:p>
    <w:p w14:paraId="38A5DF83" w14:textId="77777777" w:rsidR="00503349" w:rsidRDefault="00503349" w:rsidP="00503349">
      <w:pPr>
        <w:spacing w:after="200"/>
        <w:jc w:val="both"/>
        <w:rPr>
          <w:rFonts w:ascii="Times New Roman" w:eastAsia="Calibri" w:hAnsi="Times New Roman"/>
          <w:szCs w:val="24"/>
          <w:lang w:eastAsia="en-US"/>
        </w:rPr>
      </w:pPr>
      <w:r w:rsidRPr="00AA4983">
        <w:rPr>
          <w:rFonts w:ascii="Times New Roman" w:eastAsia="Calibri" w:hAnsi="Times New Roman"/>
          <w:szCs w:val="24"/>
          <w:lang w:eastAsia="en-US"/>
        </w:rPr>
        <w:lastRenderedPageBreak/>
        <w:t>Harris, R., Sims, S., Parr, J. and Davies, N., 2015. Impact of 12h shift patterns in nursing: a scoping review. </w:t>
      </w:r>
      <w:r w:rsidRPr="00AA4983">
        <w:rPr>
          <w:rFonts w:ascii="Times New Roman" w:eastAsia="Calibri" w:hAnsi="Times New Roman"/>
          <w:i/>
          <w:iCs/>
          <w:szCs w:val="24"/>
          <w:lang w:eastAsia="en-US"/>
        </w:rPr>
        <w:t>International Journal of Nursing Studies</w:t>
      </w:r>
      <w:r w:rsidRPr="00AA4983">
        <w:rPr>
          <w:rFonts w:ascii="Times New Roman" w:eastAsia="Calibri" w:hAnsi="Times New Roman"/>
          <w:szCs w:val="24"/>
          <w:lang w:eastAsia="en-US"/>
        </w:rPr>
        <w:t>, 52(2), pp.</w:t>
      </w:r>
      <w:r>
        <w:rPr>
          <w:rFonts w:ascii="Times New Roman" w:eastAsia="Calibri" w:hAnsi="Times New Roman"/>
          <w:szCs w:val="24"/>
          <w:lang w:eastAsia="en-US"/>
        </w:rPr>
        <w:t xml:space="preserve"> </w:t>
      </w:r>
      <w:r w:rsidRPr="00AA4983">
        <w:rPr>
          <w:rFonts w:ascii="Times New Roman" w:eastAsia="Calibri" w:hAnsi="Times New Roman"/>
          <w:szCs w:val="24"/>
          <w:lang w:eastAsia="en-US"/>
        </w:rPr>
        <w:t>605-634.</w:t>
      </w:r>
    </w:p>
    <w:p w14:paraId="4E7C8120" w14:textId="77777777" w:rsidR="00503349" w:rsidRDefault="00503349" w:rsidP="00503349">
      <w:pPr>
        <w:jc w:val="both"/>
        <w:rPr>
          <w:rFonts w:ascii="Times New Roman" w:hAnsi="Times New Roman"/>
          <w:szCs w:val="24"/>
        </w:rPr>
      </w:pPr>
      <w:r w:rsidRPr="00A21B56">
        <w:rPr>
          <w:rFonts w:ascii="Times New Roman" w:hAnsi="Times New Roman"/>
          <w:bCs/>
          <w:szCs w:val="24"/>
        </w:rPr>
        <w:t>Harrison, J.K., Walesby, K.E., Hamilton, L., Armstrong, C., Starr, J.M., Reynish, E.L., MacLullich, A.M., Quinn, T.J. and Shenkin, S.D., 2017. Predicting discharge to institutional long-term care following acute hospitalisation: a systematic review and meta-analysis. </w:t>
      </w:r>
      <w:r w:rsidRPr="00A21B56">
        <w:rPr>
          <w:rFonts w:ascii="Times New Roman" w:hAnsi="Times New Roman"/>
          <w:bCs/>
          <w:i/>
          <w:iCs/>
          <w:szCs w:val="24"/>
        </w:rPr>
        <w:t xml:space="preserve">Age </w:t>
      </w:r>
      <w:r>
        <w:rPr>
          <w:rFonts w:ascii="Times New Roman" w:hAnsi="Times New Roman"/>
          <w:bCs/>
          <w:i/>
          <w:iCs/>
          <w:szCs w:val="24"/>
        </w:rPr>
        <w:t>&amp;</w:t>
      </w:r>
      <w:r w:rsidRPr="00A21B56">
        <w:rPr>
          <w:rFonts w:ascii="Times New Roman" w:hAnsi="Times New Roman"/>
          <w:bCs/>
          <w:i/>
          <w:iCs/>
          <w:szCs w:val="24"/>
        </w:rPr>
        <w:t xml:space="preserve"> Ageing</w:t>
      </w:r>
      <w:r w:rsidRPr="00A21B56">
        <w:rPr>
          <w:rFonts w:ascii="Times New Roman" w:hAnsi="Times New Roman"/>
          <w:bCs/>
          <w:szCs w:val="24"/>
        </w:rPr>
        <w:t>, 46(4), pp.</w:t>
      </w:r>
      <w:r>
        <w:rPr>
          <w:rFonts w:ascii="Times New Roman" w:hAnsi="Times New Roman"/>
          <w:bCs/>
          <w:szCs w:val="24"/>
        </w:rPr>
        <w:t xml:space="preserve"> </w:t>
      </w:r>
      <w:r w:rsidRPr="00A21B56">
        <w:rPr>
          <w:rFonts w:ascii="Times New Roman" w:hAnsi="Times New Roman"/>
          <w:bCs/>
          <w:szCs w:val="24"/>
        </w:rPr>
        <w:t>547-558.</w:t>
      </w:r>
    </w:p>
    <w:p w14:paraId="19728EFB"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Harwood, D.G. and Ownby, R.L., 2000. Ethnicity and dementia. </w:t>
      </w:r>
      <w:r w:rsidRPr="002B3011">
        <w:rPr>
          <w:rFonts w:ascii="Times New Roman" w:hAnsi="Times New Roman"/>
          <w:i/>
          <w:iCs/>
          <w:color w:val="000000"/>
          <w:szCs w:val="24"/>
        </w:rPr>
        <w:t>Current Psychiatry</w:t>
      </w:r>
      <w:r>
        <w:rPr>
          <w:rFonts w:ascii="Times New Roman" w:hAnsi="Times New Roman"/>
          <w:i/>
          <w:iCs/>
          <w:color w:val="000000"/>
          <w:szCs w:val="24"/>
        </w:rPr>
        <w:t xml:space="preserve"> </w:t>
      </w:r>
      <w:r w:rsidRPr="002B3011">
        <w:rPr>
          <w:rFonts w:ascii="Times New Roman" w:hAnsi="Times New Roman"/>
          <w:i/>
          <w:iCs/>
          <w:color w:val="000000"/>
          <w:szCs w:val="24"/>
        </w:rPr>
        <w:t>Reports</w:t>
      </w:r>
      <w:r w:rsidRPr="002B3011">
        <w:rPr>
          <w:rFonts w:ascii="Times New Roman" w:hAnsi="Times New Roman"/>
          <w:color w:val="000000"/>
          <w:szCs w:val="24"/>
        </w:rPr>
        <w:t>, </w:t>
      </w:r>
      <w:r w:rsidRPr="002B3011">
        <w:rPr>
          <w:rFonts w:ascii="Times New Roman" w:hAnsi="Times New Roman"/>
          <w:iCs/>
          <w:color w:val="000000"/>
          <w:szCs w:val="24"/>
        </w:rPr>
        <w:t>2</w:t>
      </w:r>
      <w:r w:rsidRPr="002B3011">
        <w:rPr>
          <w:rFonts w:ascii="Times New Roman" w:hAnsi="Times New Roman"/>
          <w:color w:val="000000"/>
          <w:szCs w:val="24"/>
        </w:rPr>
        <w:t>, pp. 40-45.</w:t>
      </w:r>
    </w:p>
    <w:p w14:paraId="5AE3EB4E"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Haslam, S.A., 2004. </w:t>
      </w:r>
      <w:r w:rsidRPr="00945DA4">
        <w:rPr>
          <w:rFonts w:ascii="Times New Roman" w:hAnsi="Times New Roman"/>
          <w:i/>
          <w:szCs w:val="24"/>
          <w:bdr w:val="none" w:sz="0" w:space="0" w:color="auto" w:frame="1"/>
        </w:rPr>
        <w:t>Psychology in organizations</w:t>
      </w:r>
      <w:r w:rsidRPr="00945DA4">
        <w:rPr>
          <w:rFonts w:ascii="Times New Roman" w:hAnsi="Times New Roman"/>
          <w:szCs w:val="24"/>
          <w:bdr w:val="none" w:sz="0" w:space="0" w:color="auto" w:frame="1"/>
        </w:rPr>
        <w:t>. London: Sage</w:t>
      </w:r>
    </w:p>
    <w:p w14:paraId="74C6EB0C" w14:textId="77777777" w:rsidR="00503349" w:rsidRPr="005A2924" w:rsidRDefault="00503349" w:rsidP="00503349">
      <w:pPr>
        <w:jc w:val="both"/>
        <w:rPr>
          <w:rFonts w:ascii="Times New Roman" w:eastAsia="MS Gothic" w:hAnsi="Times New Roman"/>
          <w:szCs w:val="24"/>
        </w:rPr>
      </w:pPr>
      <w:r>
        <w:rPr>
          <w:rFonts w:ascii="Times New Roman" w:hAnsi="Times New Roman"/>
          <w:szCs w:val="24"/>
        </w:rPr>
        <w:t>Hassan, F.A., Minato, N., Ishida, S. and Nor, N.M., 2017. Social environment determinants of life expectancy in developing countries: a panel data analysis. </w:t>
      </w:r>
      <w:r>
        <w:rPr>
          <w:rFonts w:ascii="Times New Roman" w:hAnsi="Times New Roman"/>
          <w:i/>
          <w:iCs/>
          <w:szCs w:val="24"/>
        </w:rPr>
        <w:t>Global Journal of Health Science</w:t>
      </w:r>
      <w:r>
        <w:rPr>
          <w:rFonts w:ascii="Times New Roman" w:hAnsi="Times New Roman"/>
          <w:szCs w:val="24"/>
        </w:rPr>
        <w:t>, 9(5), pp. 105-117.</w:t>
      </w:r>
    </w:p>
    <w:p w14:paraId="0E3411CA"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Hatton, C. and Emerson, E., 2003. Families with person with intellectual disabilities: stress and impact. </w:t>
      </w:r>
      <w:r w:rsidRPr="002B3011">
        <w:rPr>
          <w:rFonts w:ascii="Times New Roman" w:hAnsi="Times New Roman"/>
          <w:i/>
          <w:color w:val="000000"/>
          <w:szCs w:val="24"/>
        </w:rPr>
        <w:t>Current Opinion in Psychiatry</w:t>
      </w:r>
      <w:r w:rsidRPr="002B3011">
        <w:rPr>
          <w:rFonts w:ascii="Times New Roman" w:hAnsi="Times New Roman"/>
          <w:color w:val="000000"/>
          <w:szCs w:val="24"/>
        </w:rPr>
        <w:t>, 16(5), pp. 497-501.</w:t>
      </w:r>
    </w:p>
    <w:p w14:paraId="7E9B318B"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Hazelhof, T., Schoonhoven, L., van Gaal, B., Koopmans, R. and Gerritsen, D., 2016. </w:t>
      </w:r>
      <w:r w:rsidRPr="000A56C6">
        <w:rPr>
          <w:rFonts w:ascii="Times New Roman" w:hAnsi="Times New Roman"/>
          <w:bCs/>
          <w:szCs w:val="24"/>
        </w:rPr>
        <w:t>Nursing staff stress from challenging behaviour of residents with dementia: a concept analysis</w:t>
      </w:r>
      <w:r w:rsidRPr="000A56C6">
        <w:rPr>
          <w:rFonts w:ascii="Times New Roman" w:hAnsi="Times New Roman"/>
          <w:szCs w:val="24"/>
        </w:rPr>
        <w:t xml:space="preserve">. </w:t>
      </w:r>
      <w:r w:rsidRPr="000A56C6">
        <w:rPr>
          <w:rFonts w:ascii="Times New Roman" w:hAnsi="Times New Roman"/>
          <w:i/>
          <w:szCs w:val="24"/>
        </w:rPr>
        <w:t>International Nursing Review</w:t>
      </w:r>
      <w:r w:rsidRPr="000A56C6">
        <w:rPr>
          <w:rFonts w:ascii="Times New Roman" w:hAnsi="Times New Roman"/>
          <w:szCs w:val="24"/>
        </w:rPr>
        <w:t>, 63(3), pp. 507-516.</w:t>
      </w:r>
    </w:p>
    <w:p w14:paraId="22C8A66C"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Heidegger, M., 1962. </w:t>
      </w:r>
      <w:r w:rsidRPr="008101DD">
        <w:rPr>
          <w:rFonts w:ascii="Times New Roman" w:hAnsi="Times New Roman"/>
          <w:i/>
          <w:szCs w:val="24"/>
        </w:rPr>
        <w:t>Being and Time</w:t>
      </w:r>
      <w:r w:rsidRPr="008101DD">
        <w:rPr>
          <w:rFonts w:ascii="Times New Roman" w:hAnsi="Times New Roman"/>
          <w:szCs w:val="24"/>
        </w:rPr>
        <w:t>. New York: Harper and Row.</w:t>
      </w:r>
    </w:p>
    <w:p w14:paraId="06A539B5"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Heidegger, M., 2000. </w:t>
      </w:r>
      <w:r w:rsidRPr="008101DD">
        <w:rPr>
          <w:rFonts w:ascii="Times New Roman" w:hAnsi="Times New Roman"/>
          <w:i/>
          <w:iCs/>
          <w:szCs w:val="24"/>
        </w:rPr>
        <w:t>Introduction to Metaphysics</w:t>
      </w:r>
      <w:r w:rsidRPr="008101DD">
        <w:rPr>
          <w:rFonts w:ascii="Times New Roman" w:hAnsi="Times New Roman"/>
          <w:szCs w:val="24"/>
        </w:rPr>
        <w:t>. Translated by G. Fried and R. Polt. New Haven: Yale University Press.</w:t>
      </w:r>
    </w:p>
    <w:p w14:paraId="0BA37846"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Heinonen, K., 2015. van Manen’s method and reduction in a phenomenological hermeneutic study. </w:t>
      </w:r>
      <w:r w:rsidRPr="008101DD">
        <w:rPr>
          <w:rFonts w:ascii="Times New Roman" w:hAnsi="Times New Roman"/>
          <w:i/>
          <w:iCs/>
          <w:szCs w:val="24"/>
        </w:rPr>
        <w:t>Nurse Researcher</w:t>
      </w:r>
      <w:r w:rsidRPr="008101DD">
        <w:rPr>
          <w:rFonts w:ascii="Times New Roman" w:hAnsi="Times New Roman"/>
          <w:szCs w:val="24"/>
        </w:rPr>
        <w:t>, 22(4), pp. 35-41.</w:t>
      </w:r>
    </w:p>
    <w:p w14:paraId="1949CCA8"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Helbling, M., 2011. Why Swiss-Germans dislike Germans. </w:t>
      </w:r>
      <w:r w:rsidRPr="00CF1AE8">
        <w:rPr>
          <w:rFonts w:ascii="Times New Roman" w:hAnsi="Times New Roman"/>
          <w:i/>
          <w:iCs/>
          <w:szCs w:val="24"/>
        </w:rPr>
        <w:t>European Societies</w:t>
      </w:r>
      <w:r w:rsidRPr="00CF1AE8">
        <w:rPr>
          <w:rFonts w:ascii="Times New Roman" w:hAnsi="Times New Roman"/>
          <w:iCs/>
          <w:szCs w:val="24"/>
        </w:rPr>
        <w:t>, 13, pp. 5-27.</w:t>
      </w:r>
    </w:p>
    <w:p w14:paraId="3F3CF77D"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Heller, P.L., 1970. Familism scale: a measure of family solidarity. </w:t>
      </w:r>
      <w:r w:rsidRPr="002B3011">
        <w:rPr>
          <w:rFonts w:ascii="Times New Roman" w:hAnsi="Times New Roman"/>
          <w:i/>
          <w:szCs w:val="24"/>
        </w:rPr>
        <w:t>National Council on Family Relations</w:t>
      </w:r>
      <w:r w:rsidRPr="002B3011">
        <w:rPr>
          <w:rFonts w:ascii="Times New Roman" w:hAnsi="Times New Roman"/>
          <w:szCs w:val="24"/>
        </w:rPr>
        <w:t>, 32, pp. 73-80.</w:t>
      </w:r>
    </w:p>
    <w:p w14:paraId="20EF4191" w14:textId="77777777" w:rsidR="00503349" w:rsidRDefault="00503349" w:rsidP="00503349">
      <w:pPr>
        <w:textAlignment w:val="baseline"/>
        <w:rPr>
          <w:rFonts w:ascii="Times New Roman" w:eastAsia="MS Gothic" w:hAnsi="Times New Roman"/>
          <w:szCs w:val="24"/>
        </w:rPr>
      </w:pPr>
      <w:r>
        <w:rPr>
          <w:rFonts w:ascii="Times New Roman" w:hAnsi="Times New Roman"/>
          <w:szCs w:val="24"/>
        </w:rPr>
        <w:t xml:space="preserve">HelpAge International, 2015. </w:t>
      </w:r>
      <w:r>
        <w:rPr>
          <w:rFonts w:ascii="Times New Roman" w:hAnsi="Times New Roman"/>
          <w:i/>
          <w:iCs/>
          <w:szCs w:val="24"/>
        </w:rPr>
        <w:t>Global AgeWatch Index 2015: Insight report</w:t>
      </w:r>
      <w:r>
        <w:rPr>
          <w:rFonts w:ascii="Times New Roman" w:hAnsi="Times New Roman"/>
          <w:szCs w:val="24"/>
        </w:rPr>
        <w:t>. London: HelpAge International. Available at: &lt;https://www.helpage.org/global-agewatch/reports/global-agewatch-index-2015-insight-report-summary-and-methodology/&gt;[Accessed 21 February 2020]</w:t>
      </w:r>
    </w:p>
    <w:p w14:paraId="15B31246"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Helvik, A-S. Engedal, K., Benth, J.S. and Selbæk, G., 2015. </w:t>
      </w:r>
      <w:r w:rsidRPr="00AB40E2">
        <w:rPr>
          <w:rFonts w:ascii="Times New Roman" w:hAnsi="Times New Roman"/>
          <w:bCs/>
          <w:szCs w:val="24"/>
        </w:rPr>
        <w:t xml:space="preserve">Prevalence and severity of dementia in nursing home residents. </w:t>
      </w:r>
      <w:r w:rsidRPr="00AB40E2">
        <w:rPr>
          <w:rFonts w:ascii="Times New Roman" w:hAnsi="Times New Roman"/>
          <w:bCs/>
          <w:i/>
          <w:szCs w:val="24"/>
        </w:rPr>
        <w:t>Dementia and Geriatric Cognitive Disorders</w:t>
      </w:r>
      <w:r w:rsidRPr="00AB40E2">
        <w:rPr>
          <w:rFonts w:ascii="Times New Roman" w:hAnsi="Times New Roman"/>
          <w:bCs/>
          <w:szCs w:val="24"/>
        </w:rPr>
        <w:t>, 40, pp. 166-177.</w:t>
      </w:r>
    </w:p>
    <w:p w14:paraId="11D0BC8F"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Henderson, J.N. and Gutierrez-Mayka, M., 1992. Ethnocultural themes in caregiving to Alzheimer's disease patients in Hispanic families. </w:t>
      </w:r>
      <w:r w:rsidRPr="002B3011">
        <w:rPr>
          <w:rFonts w:ascii="Times New Roman" w:hAnsi="Times New Roman"/>
          <w:i/>
          <w:szCs w:val="24"/>
        </w:rPr>
        <w:t>Clinical Gerontologist</w:t>
      </w:r>
      <w:r w:rsidRPr="002B3011">
        <w:rPr>
          <w:rFonts w:ascii="Times New Roman" w:hAnsi="Times New Roman"/>
          <w:szCs w:val="24"/>
        </w:rPr>
        <w:t xml:space="preserve">, 11(3/4), pp. 59-74. </w:t>
      </w:r>
    </w:p>
    <w:p w14:paraId="0FDE651C" w14:textId="77777777" w:rsidR="00503349" w:rsidRPr="005A2924" w:rsidRDefault="00503349" w:rsidP="00503349">
      <w:pPr>
        <w:textAlignment w:val="baseline"/>
        <w:rPr>
          <w:rFonts w:ascii="Times New Roman" w:hAnsi="Times New Roman"/>
          <w:color w:val="000000"/>
          <w:szCs w:val="24"/>
        </w:rPr>
      </w:pPr>
      <w:r w:rsidRPr="002B3011">
        <w:rPr>
          <w:rFonts w:ascii="Times New Roman" w:hAnsi="Times New Roman"/>
          <w:bCs/>
          <w:szCs w:val="24"/>
          <w:bdr w:val="none" w:sz="0" w:space="0" w:color="auto" w:frame="1"/>
        </w:rPr>
        <w:t xml:space="preserve">Henderson, J.N. and Traphagan, J.W., 2005. Cultural factors in dementia: perspectives from the anthropology of aging. </w:t>
      </w:r>
      <w:r w:rsidRPr="002B3011">
        <w:rPr>
          <w:rFonts w:ascii="Times New Roman" w:hAnsi="Times New Roman"/>
          <w:bCs/>
          <w:i/>
          <w:szCs w:val="24"/>
          <w:bdr w:val="none" w:sz="0" w:space="0" w:color="auto" w:frame="1"/>
        </w:rPr>
        <w:t>Alzheimer Disease &amp; Associated Disorders</w:t>
      </w:r>
      <w:r w:rsidRPr="002B3011">
        <w:rPr>
          <w:rFonts w:ascii="Times New Roman" w:hAnsi="Times New Roman"/>
          <w:bCs/>
          <w:szCs w:val="24"/>
          <w:bdr w:val="none" w:sz="0" w:space="0" w:color="auto" w:frame="1"/>
        </w:rPr>
        <w:t>, 19(4), pp. 272-274.</w:t>
      </w:r>
    </w:p>
    <w:p w14:paraId="61D9AE9F"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Henn, M., Weinstein, M. and Foard, N., 2009. </w:t>
      </w:r>
      <w:r w:rsidRPr="008101DD">
        <w:rPr>
          <w:rFonts w:ascii="Times New Roman" w:hAnsi="Times New Roman"/>
          <w:i/>
          <w:szCs w:val="24"/>
        </w:rPr>
        <w:t>A critical introduction research</w:t>
      </w:r>
      <w:r w:rsidRPr="008101DD">
        <w:rPr>
          <w:rFonts w:ascii="Times New Roman" w:hAnsi="Times New Roman"/>
          <w:szCs w:val="24"/>
        </w:rPr>
        <w:t>. 2</w:t>
      </w:r>
      <w:r w:rsidRPr="008101DD">
        <w:rPr>
          <w:rFonts w:ascii="Times New Roman" w:hAnsi="Times New Roman"/>
          <w:szCs w:val="24"/>
          <w:vertAlign w:val="superscript"/>
        </w:rPr>
        <w:t>nd</w:t>
      </w:r>
      <w:r w:rsidRPr="008101DD">
        <w:rPr>
          <w:rFonts w:ascii="Times New Roman" w:hAnsi="Times New Roman"/>
          <w:szCs w:val="24"/>
        </w:rPr>
        <w:t xml:space="preserve"> ed. London: Sage.</w:t>
      </w:r>
    </w:p>
    <w:p w14:paraId="770D0697" w14:textId="77777777" w:rsidR="00503349" w:rsidRPr="00DA2952" w:rsidRDefault="00503349" w:rsidP="00503349">
      <w:pPr>
        <w:rPr>
          <w:rFonts w:ascii="Times New Roman" w:hAnsi="Times New Roman"/>
          <w:bCs/>
          <w:szCs w:val="24"/>
        </w:rPr>
      </w:pPr>
      <w:r w:rsidRPr="00DA2952">
        <w:rPr>
          <w:rFonts w:ascii="Times New Roman" w:hAnsi="Times New Roman"/>
          <w:szCs w:val="24"/>
        </w:rPr>
        <w:t xml:space="preserve">Henry, B., Douglass, C. and Kostiwa, I., 2007. Effects of participation in an aging game simulation activity on the attitudes of allied health students toward older adults. </w:t>
      </w:r>
      <w:r w:rsidRPr="00DA2952">
        <w:rPr>
          <w:rFonts w:ascii="Times New Roman" w:hAnsi="Times New Roman"/>
          <w:i/>
          <w:szCs w:val="24"/>
        </w:rPr>
        <w:t>Internet Journal of Allied Health Sciences and Practice</w:t>
      </w:r>
      <w:r w:rsidRPr="00DA2952">
        <w:rPr>
          <w:rFonts w:ascii="Times New Roman" w:hAnsi="Times New Roman"/>
          <w:szCs w:val="24"/>
        </w:rPr>
        <w:t>, 5(4), pp. 1-9.</w:t>
      </w:r>
    </w:p>
    <w:p w14:paraId="49C2C039" w14:textId="77777777" w:rsidR="00503349" w:rsidRPr="002C65B5" w:rsidRDefault="00503349" w:rsidP="00503349">
      <w:pPr>
        <w:rPr>
          <w:rFonts w:ascii="Times New Roman" w:hAnsi="Times New Roman"/>
          <w:szCs w:val="24"/>
        </w:rPr>
      </w:pPr>
      <w:bookmarkStart w:id="309" w:name="_Hlk49399464"/>
      <w:r w:rsidRPr="002C65B5">
        <w:rPr>
          <w:rFonts w:ascii="Times New Roman" w:hAnsi="Times New Roman"/>
          <w:szCs w:val="24"/>
        </w:rPr>
        <w:t>Hepburn, E., 2020.</w:t>
      </w:r>
      <w:bookmarkEnd w:id="309"/>
      <w:r w:rsidRPr="002C65B5">
        <w:rPr>
          <w:rFonts w:ascii="Times New Roman" w:hAnsi="Times New Roman"/>
          <w:szCs w:val="24"/>
        </w:rPr>
        <w:t xml:space="preserve"> Uncharted waters: The social and equality impacts of Brexit.</w:t>
      </w:r>
      <w:r>
        <w:rPr>
          <w:rFonts w:ascii="Times New Roman" w:hAnsi="Times New Roman"/>
          <w:szCs w:val="24"/>
        </w:rPr>
        <w:t xml:space="preserve"> </w:t>
      </w:r>
      <w:r w:rsidRPr="002C65B5">
        <w:rPr>
          <w:rFonts w:ascii="Times New Roman" w:hAnsi="Times New Roman"/>
          <w:i/>
          <w:iCs/>
          <w:szCs w:val="24"/>
        </w:rPr>
        <w:t>Scottish Affairs</w:t>
      </w:r>
      <w:r>
        <w:rPr>
          <w:rFonts w:ascii="Times New Roman" w:hAnsi="Times New Roman"/>
          <w:szCs w:val="24"/>
        </w:rPr>
        <w:t>,</w:t>
      </w:r>
      <w:r w:rsidRPr="002C65B5">
        <w:rPr>
          <w:rFonts w:ascii="Times New Roman" w:hAnsi="Times New Roman"/>
          <w:szCs w:val="24"/>
        </w:rPr>
        <w:t> 29</w:t>
      </w:r>
      <w:r>
        <w:rPr>
          <w:rFonts w:ascii="Times New Roman" w:hAnsi="Times New Roman"/>
          <w:szCs w:val="24"/>
        </w:rPr>
        <w:t>(</w:t>
      </w:r>
      <w:r w:rsidRPr="002C65B5">
        <w:rPr>
          <w:rFonts w:ascii="Times New Roman" w:hAnsi="Times New Roman"/>
          <w:szCs w:val="24"/>
        </w:rPr>
        <w:t>2</w:t>
      </w:r>
      <w:r>
        <w:rPr>
          <w:rFonts w:ascii="Times New Roman" w:hAnsi="Times New Roman"/>
          <w:szCs w:val="24"/>
        </w:rPr>
        <w:t>)</w:t>
      </w:r>
      <w:r w:rsidRPr="002C65B5">
        <w:rPr>
          <w:rFonts w:ascii="Times New Roman" w:hAnsi="Times New Roman"/>
          <w:szCs w:val="24"/>
        </w:rPr>
        <w:t>, </w:t>
      </w:r>
      <w:r>
        <w:rPr>
          <w:rFonts w:ascii="Times New Roman" w:hAnsi="Times New Roman"/>
          <w:szCs w:val="24"/>
        </w:rPr>
        <w:t xml:space="preserve">pp. </w:t>
      </w:r>
      <w:r w:rsidRPr="002C65B5">
        <w:rPr>
          <w:rFonts w:ascii="Times New Roman" w:hAnsi="Times New Roman"/>
          <w:szCs w:val="24"/>
        </w:rPr>
        <w:t>141-178</w:t>
      </w:r>
      <w:r>
        <w:rPr>
          <w:rFonts w:ascii="Times New Roman" w:hAnsi="Times New Roman"/>
          <w:szCs w:val="24"/>
        </w:rPr>
        <w:t>.</w:t>
      </w:r>
    </w:p>
    <w:p w14:paraId="4F551DCD" w14:textId="77777777" w:rsidR="00503349" w:rsidRPr="00C375C3" w:rsidRDefault="00503349" w:rsidP="00503349">
      <w:pPr>
        <w:tabs>
          <w:tab w:val="left" w:pos="5445"/>
        </w:tabs>
        <w:rPr>
          <w:rFonts w:ascii="Times New Roman" w:hAnsi="Times New Roman"/>
          <w:szCs w:val="24"/>
        </w:rPr>
      </w:pPr>
      <w:r w:rsidRPr="00944A32">
        <w:rPr>
          <w:rFonts w:ascii="Times New Roman" w:hAnsi="Times New Roman"/>
          <w:szCs w:val="24"/>
        </w:rPr>
        <w:t>Her Majesty’s</w:t>
      </w:r>
      <w:r w:rsidRPr="00C375C3">
        <w:rPr>
          <w:rFonts w:ascii="Times New Roman" w:hAnsi="Times New Roman"/>
          <w:szCs w:val="24"/>
        </w:rPr>
        <w:t xml:space="preserve"> Government</w:t>
      </w:r>
      <w:r>
        <w:rPr>
          <w:rFonts w:ascii="Times New Roman" w:hAnsi="Times New Roman"/>
          <w:szCs w:val="24"/>
        </w:rPr>
        <w:t>,</w:t>
      </w:r>
      <w:r w:rsidRPr="00C375C3">
        <w:rPr>
          <w:rFonts w:ascii="Times New Roman" w:hAnsi="Times New Roman"/>
          <w:szCs w:val="24"/>
        </w:rPr>
        <w:t xml:space="preserve"> 2008</w:t>
      </w:r>
      <w:r>
        <w:rPr>
          <w:rFonts w:ascii="Times New Roman" w:hAnsi="Times New Roman"/>
          <w:szCs w:val="24"/>
        </w:rPr>
        <w:t>.</w:t>
      </w:r>
      <w:r w:rsidRPr="00C375C3">
        <w:rPr>
          <w:rFonts w:ascii="Times New Roman" w:hAnsi="Times New Roman"/>
          <w:szCs w:val="24"/>
        </w:rPr>
        <w:t xml:space="preserve"> </w:t>
      </w:r>
      <w:r w:rsidRPr="00C375C3">
        <w:rPr>
          <w:rFonts w:ascii="Times New Roman" w:hAnsi="Times New Roman"/>
          <w:i/>
          <w:iCs/>
          <w:szCs w:val="24"/>
        </w:rPr>
        <w:t>Carers at the Heart of 21st-century Families and Communities</w:t>
      </w:r>
      <w:r w:rsidRPr="00C375C3">
        <w:rPr>
          <w:rFonts w:ascii="Times New Roman" w:hAnsi="Times New Roman"/>
          <w:szCs w:val="24"/>
        </w:rPr>
        <w:t xml:space="preserve">. London: </w:t>
      </w:r>
      <w:r>
        <w:rPr>
          <w:rFonts w:ascii="Times New Roman" w:hAnsi="Times New Roman"/>
          <w:szCs w:val="24"/>
        </w:rPr>
        <w:t>The Stationery Office</w:t>
      </w:r>
      <w:r w:rsidRPr="00C375C3">
        <w:rPr>
          <w:rFonts w:ascii="Times New Roman" w:hAnsi="Times New Roman"/>
          <w:szCs w:val="24"/>
        </w:rPr>
        <w:t>.</w:t>
      </w:r>
      <w:r>
        <w:rPr>
          <w:rFonts w:ascii="Times New Roman" w:hAnsi="Times New Roman"/>
          <w:szCs w:val="24"/>
        </w:rPr>
        <w:t xml:space="preserve"> Available at: &lt;</w:t>
      </w:r>
      <w:r w:rsidRPr="00C375C3">
        <w:rPr>
          <w:rFonts w:ascii="Times New Roman" w:hAnsi="Times New Roman"/>
          <w:szCs w:val="24"/>
        </w:rPr>
        <w:t>https://assets.publishing.service.gov.uk/government/uploads/system/uploads/attachment_data/file/136492/carers_at_the_heart_of_21_century_families.pdf</w:t>
      </w:r>
      <w:r>
        <w:rPr>
          <w:rFonts w:ascii="Times New Roman" w:hAnsi="Times New Roman"/>
          <w:szCs w:val="24"/>
        </w:rPr>
        <w:t>&gt;[Accessed 11 February 2019]</w:t>
      </w:r>
    </w:p>
    <w:p w14:paraId="0F652C2D" w14:textId="77777777" w:rsidR="00503349" w:rsidRPr="00944A32" w:rsidRDefault="00503349" w:rsidP="00503349">
      <w:pPr>
        <w:tabs>
          <w:tab w:val="left" w:pos="5445"/>
        </w:tabs>
        <w:rPr>
          <w:rFonts w:ascii="Times New Roman" w:hAnsi="Times New Roman"/>
          <w:szCs w:val="24"/>
        </w:rPr>
      </w:pPr>
      <w:bookmarkStart w:id="310" w:name="_Hlk76919898"/>
      <w:r w:rsidRPr="00944A32">
        <w:rPr>
          <w:rFonts w:ascii="Times New Roman" w:hAnsi="Times New Roman"/>
          <w:szCs w:val="24"/>
        </w:rPr>
        <w:lastRenderedPageBreak/>
        <w:t>Her Majesty’s</w:t>
      </w:r>
      <w:bookmarkEnd w:id="310"/>
      <w:r w:rsidRPr="00944A32">
        <w:rPr>
          <w:rFonts w:ascii="Times New Roman" w:hAnsi="Times New Roman"/>
          <w:szCs w:val="24"/>
        </w:rPr>
        <w:t xml:space="preserve"> Government</w:t>
      </w:r>
      <w:r>
        <w:rPr>
          <w:rFonts w:ascii="Times New Roman" w:hAnsi="Times New Roman"/>
          <w:szCs w:val="24"/>
        </w:rPr>
        <w:t xml:space="preserve">, </w:t>
      </w:r>
      <w:r w:rsidRPr="00944A32">
        <w:rPr>
          <w:rFonts w:ascii="Times New Roman" w:hAnsi="Times New Roman"/>
          <w:szCs w:val="24"/>
        </w:rPr>
        <w:t xml:space="preserve">2010. </w:t>
      </w:r>
      <w:r w:rsidRPr="00572A0E">
        <w:rPr>
          <w:rFonts w:ascii="Times New Roman" w:hAnsi="Times New Roman"/>
          <w:i/>
          <w:iCs/>
          <w:szCs w:val="24"/>
        </w:rPr>
        <w:t>Building the National Care Service</w:t>
      </w:r>
      <w:r w:rsidRPr="00572A0E">
        <w:rPr>
          <w:rFonts w:ascii="Times New Roman" w:hAnsi="Times New Roman"/>
          <w:szCs w:val="24"/>
        </w:rPr>
        <w:t>.</w:t>
      </w:r>
      <w:r w:rsidRPr="00944A32">
        <w:rPr>
          <w:rFonts w:ascii="Times New Roman" w:hAnsi="Times New Roman"/>
          <w:szCs w:val="24"/>
        </w:rPr>
        <w:t xml:space="preserve"> </w:t>
      </w:r>
      <w:r w:rsidRPr="00C375C3">
        <w:rPr>
          <w:rFonts w:ascii="Times New Roman" w:hAnsi="Times New Roman"/>
          <w:szCs w:val="24"/>
        </w:rPr>
        <w:t xml:space="preserve">London: </w:t>
      </w:r>
      <w:r>
        <w:rPr>
          <w:rFonts w:ascii="Times New Roman" w:hAnsi="Times New Roman"/>
          <w:szCs w:val="24"/>
        </w:rPr>
        <w:t>The Stationery Office</w:t>
      </w:r>
      <w:r w:rsidRPr="00C375C3">
        <w:rPr>
          <w:rFonts w:ascii="Times New Roman" w:hAnsi="Times New Roman"/>
          <w:szCs w:val="24"/>
        </w:rPr>
        <w:t>.</w:t>
      </w:r>
      <w:r>
        <w:rPr>
          <w:rFonts w:ascii="Times New Roman" w:hAnsi="Times New Roman"/>
          <w:szCs w:val="24"/>
        </w:rPr>
        <w:t xml:space="preserve"> Available at: &lt;</w:t>
      </w:r>
      <w:r w:rsidRPr="00572A0E">
        <w:rPr>
          <w:rFonts w:ascii="Times New Roman" w:hAnsi="Times New Roman"/>
          <w:szCs w:val="24"/>
        </w:rPr>
        <w:t>https://assets.publishing.service.gov.uk/government/uploads/system/uploads/attachment_data/file/238441/7854.pdf</w:t>
      </w:r>
      <w:r>
        <w:rPr>
          <w:rFonts w:ascii="Times New Roman" w:hAnsi="Times New Roman"/>
          <w:szCs w:val="24"/>
        </w:rPr>
        <w:t>&gt;[Accessed 11 February 2019]</w:t>
      </w:r>
      <w:r w:rsidRPr="00944A32">
        <w:rPr>
          <w:rFonts w:ascii="Times New Roman" w:hAnsi="Times New Roman"/>
          <w:szCs w:val="24"/>
        </w:rPr>
        <w:t>.</w:t>
      </w:r>
    </w:p>
    <w:p w14:paraId="375C60A3" w14:textId="77777777" w:rsidR="00503349" w:rsidRDefault="00503349" w:rsidP="00503349">
      <w:pPr>
        <w:tabs>
          <w:tab w:val="left" w:pos="5445"/>
        </w:tabs>
        <w:rPr>
          <w:rFonts w:ascii="Times New Roman" w:hAnsi="Times New Roman"/>
          <w:szCs w:val="24"/>
        </w:rPr>
      </w:pPr>
      <w:r w:rsidRPr="00A00D12">
        <w:rPr>
          <w:rFonts w:ascii="Times New Roman" w:hAnsi="Times New Roman"/>
          <w:szCs w:val="24"/>
        </w:rPr>
        <w:t>H</w:t>
      </w:r>
      <w:r>
        <w:rPr>
          <w:rFonts w:ascii="Times New Roman" w:hAnsi="Times New Roman"/>
          <w:szCs w:val="24"/>
        </w:rPr>
        <w:t>er Majesty’s</w:t>
      </w:r>
      <w:r w:rsidRPr="00A00D12">
        <w:rPr>
          <w:rFonts w:ascii="Times New Roman" w:hAnsi="Times New Roman"/>
          <w:szCs w:val="24"/>
        </w:rPr>
        <w:t xml:space="preserve"> Government</w:t>
      </w:r>
      <w:r>
        <w:rPr>
          <w:rFonts w:ascii="Times New Roman" w:hAnsi="Times New Roman"/>
          <w:szCs w:val="24"/>
        </w:rPr>
        <w:t>,</w:t>
      </w:r>
      <w:r w:rsidRPr="00A00D12">
        <w:rPr>
          <w:rFonts w:ascii="Times New Roman" w:hAnsi="Times New Roman"/>
          <w:szCs w:val="24"/>
        </w:rPr>
        <w:t xml:space="preserve"> 2012. </w:t>
      </w:r>
      <w:r w:rsidRPr="00A00D12">
        <w:rPr>
          <w:rFonts w:ascii="Times New Roman" w:hAnsi="Times New Roman"/>
          <w:i/>
          <w:iCs/>
          <w:szCs w:val="24"/>
        </w:rPr>
        <w:t>Caring for our future: reforming care and support</w:t>
      </w:r>
      <w:r w:rsidRPr="00A00D12">
        <w:rPr>
          <w:rFonts w:ascii="Times New Roman" w:hAnsi="Times New Roman"/>
          <w:szCs w:val="24"/>
        </w:rPr>
        <w:t xml:space="preserve">. London: The Stationery Office. </w:t>
      </w:r>
      <w:r>
        <w:rPr>
          <w:rFonts w:ascii="Times New Roman" w:hAnsi="Times New Roman"/>
          <w:szCs w:val="24"/>
        </w:rPr>
        <w:t>Available at: &lt;</w:t>
      </w:r>
      <w:r w:rsidRPr="00347B46">
        <w:rPr>
          <w:rFonts w:ascii="Times New Roman" w:hAnsi="Times New Roman"/>
          <w:szCs w:val="24"/>
        </w:rPr>
        <w:t>https://assets.publishing.service.gov.uk/government/uploads/system/uploads/attachment_data/file/136422/White-Paper-Caring-for-our-future-reforming-care-and-support-PDF-1580K.pdf</w:t>
      </w:r>
      <w:r>
        <w:rPr>
          <w:rFonts w:ascii="Times New Roman" w:hAnsi="Times New Roman"/>
          <w:szCs w:val="24"/>
        </w:rPr>
        <w:t>&gt;[Accessed 11 February 2019]</w:t>
      </w:r>
      <w:r w:rsidRPr="00944A32">
        <w:rPr>
          <w:rFonts w:ascii="Times New Roman" w:hAnsi="Times New Roman"/>
          <w:szCs w:val="24"/>
        </w:rPr>
        <w:t>.</w:t>
      </w:r>
    </w:p>
    <w:p w14:paraId="6DF42015" w14:textId="77777777" w:rsidR="00503349" w:rsidRDefault="00503349" w:rsidP="00503349">
      <w:pPr>
        <w:tabs>
          <w:tab w:val="left" w:pos="5445"/>
        </w:tabs>
        <w:rPr>
          <w:rFonts w:ascii="Times New Roman" w:hAnsi="Times New Roman"/>
          <w:szCs w:val="24"/>
        </w:rPr>
      </w:pPr>
      <w:r w:rsidRPr="00636BD8">
        <w:rPr>
          <w:rFonts w:ascii="Times New Roman" w:hAnsi="Times New Roman"/>
          <w:szCs w:val="24"/>
        </w:rPr>
        <w:t>Hermanns, M. and Mastel-Smith, B., 2012. Caregiving: A Qualitative Concept Analysis. </w:t>
      </w:r>
      <w:r w:rsidRPr="00636BD8">
        <w:rPr>
          <w:rFonts w:ascii="Times New Roman" w:hAnsi="Times New Roman"/>
          <w:i/>
          <w:iCs/>
          <w:szCs w:val="24"/>
        </w:rPr>
        <w:t>Qualitative Report</w:t>
      </w:r>
      <w:r w:rsidRPr="00636BD8">
        <w:rPr>
          <w:rFonts w:ascii="Times New Roman" w:hAnsi="Times New Roman"/>
          <w:szCs w:val="24"/>
        </w:rPr>
        <w:t>, </w:t>
      </w:r>
      <w:r w:rsidRPr="005D4C4C">
        <w:rPr>
          <w:rFonts w:ascii="Times New Roman" w:hAnsi="Times New Roman"/>
          <w:szCs w:val="24"/>
        </w:rPr>
        <w:t>17</w:t>
      </w:r>
      <w:r>
        <w:rPr>
          <w:rFonts w:ascii="Times New Roman" w:hAnsi="Times New Roman"/>
          <w:szCs w:val="24"/>
        </w:rPr>
        <w:t>(38)</w:t>
      </w:r>
      <w:r w:rsidRPr="005D4C4C">
        <w:rPr>
          <w:rFonts w:ascii="Times New Roman" w:hAnsi="Times New Roman"/>
          <w:szCs w:val="24"/>
        </w:rPr>
        <w:t>,</w:t>
      </w:r>
      <w:r w:rsidRPr="00636BD8">
        <w:rPr>
          <w:rFonts w:ascii="Times New Roman" w:hAnsi="Times New Roman"/>
          <w:szCs w:val="24"/>
        </w:rPr>
        <w:t xml:space="preserve"> p</w:t>
      </w:r>
      <w:r>
        <w:rPr>
          <w:rFonts w:ascii="Times New Roman" w:hAnsi="Times New Roman"/>
          <w:szCs w:val="24"/>
        </w:rPr>
        <w:t>p</w:t>
      </w:r>
      <w:r w:rsidRPr="00636BD8">
        <w:rPr>
          <w:rFonts w:ascii="Times New Roman" w:hAnsi="Times New Roman"/>
          <w:szCs w:val="24"/>
        </w:rPr>
        <w:t>.</w:t>
      </w:r>
      <w:r>
        <w:rPr>
          <w:rFonts w:ascii="Times New Roman" w:hAnsi="Times New Roman"/>
          <w:szCs w:val="24"/>
        </w:rPr>
        <w:t xml:space="preserve"> 1-18</w:t>
      </w:r>
      <w:r w:rsidRPr="00636BD8">
        <w:rPr>
          <w:rFonts w:ascii="Times New Roman" w:hAnsi="Times New Roman"/>
          <w:szCs w:val="24"/>
        </w:rPr>
        <w:t>.</w:t>
      </w:r>
      <w:r>
        <w:rPr>
          <w:rFonts w:ascii="Times New Roman" w:hAnsi="Times New Roman"/>
          <w:szCs w:val="24"/>
        </w:rPr>
        <w:t xml:space="preserve"> Available at: &lt;</w:t>
      </w:r>
      <w:r w:rsidRPr="00561091">
        <w:rPr>
          <w:rFonts w:ascii="Times New Roman" w:hAnsi="Times New Roman"/>
          <w:szCs w:val="24"/>
        </w:rPr>
        <w:t>https://nsuworks.nova.edu/cgi/viewcontent.cgi?article=1727&amp;context=tqr</w:t>
      </w:r>
      <w:r>
        <w:rPr>
          <w:rFonts w:ascii="Times New Roman" w:hAnsi="Times New Roman"/>
          <w:szCs w:val="24"/>
        </w:rPr>
        <w:t>&gt;[Accessed 15 February 2019]</w:t>
      </w:r>
    </w:p>
    <w:p w14:paraId="497FC1C9"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bCs/>
          <w:szCs w:val="24"/>
        </w:rPr>
        <w:t>Heron</w:t>
      </w:r>
      <w:r w:rsidRPr="008101DD">
        <w:rPr>
          <w:rFonts w:ascii="Times New Roman" w:hAnsi="Times New Roman"/>
          <w:szCs w:val="24"/>
        </w:rPr>
        <w:t xml:space="preserve">, J. and </w:t>
      </w:r>
      <w:r w:rsidRPr="008101DD">
        <w:rPr>
          <w:rFonts w:ascii="Times New Roman" w:hAnsi="Times New Roman"/>
          <w:bCs/>
          <w:szCs w:val="24"/>
        </w:rPr>
        <w:t>Reason</w:t>
      </w:r>
      <w:r w:rsidRPr="008101DD">
        <w:rPr>
          <w:rFonts w:ascii="Times New Roman" w:hAnsi="Times New Roman"/>
          <w:szCs w:val="24"/>
        </w:rPr>
        <w:t xml:space="preserve">, P., </w:t>
      </w:r>
      <w:r w:rsidRPr="008101DD">
        <w:rPr>
          <w:rFonts w:ascii="Times New Roman" w:hAnsi="Times New Roman"/>
          <w:bCs/>
          <w:szCs w:val="24"/>
        </w:rPr>
        <w:t>1997</w:t>
      </w:r>
      <w:r w:rsidRPr="008101DD">
        <w:rPr>
          <w:rFonts w:ascii="Times New Roman" w:hAnsi="Times New Roman"/>
          <w:szCs w:val="24"/>
        </w:rPr>
        <w:t xml:space="preserve">. A participatory inquiry paradigm. </w:t>
      </w:r>
      <w:r w:rsidRPr="008101DD">
        <w:rPr>
          <w:rFonts w:ascii="Times New Roman" w:hAnsi="Times New Roman"/>
          <w:i/>
          <w:szCs w:val="24"/>
        </w:rPr>
        <w:t>Qualitative Inquiry</w:t>
      </w:r>
      <w:r w:rsidRPr="008101DD">
        <w:rPr>
          <w:rFonts w:ascii="Times New Roman" w:hAnsi="Times New Roman"/>
          <w:szCs w:val="24"/>
        </w:rPr>
        <w:t>, 3(3), pp. 274-294.</w:t>
      </w:r>
    </w:p>
    <w:p w14:paraId="453A151C"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Herrero, Á. Martín, H., García de los Salmones, M., del Río Peña, A., 2015. </w:t>
      </w:r>
      <w:r w:rsidRPr="00CF1AE8">
        <w:rPr>
          <w:rFonts w:ascii="Times New Roman" w:hAnsi="Times New Roman"/>
          <w:szCs w:val="24"/>
          <w:lang w:val="en"/>
        </w:rPr>
        <w:t xml:space="preserve">Influence of country and city images on students’ perception of host universities and their satisfaction with the assigned destination for their exchange programmes. </w:t>
      </w:r>
      <w:r w:rsidRPr="00336063">
        <w:rPr>
          <w:rFonts w:ascii="Times New Roman" w:hAnsi="Times New Roman"/>
          <w:i/>
          <w:szCs w:val="24"/>
        </w:rPr>
        <w:t>Place Branding and Public Diplomacy</w:t>
      </w:r>
      <w:r w:rsidRPr="00CF1AE8">
        <w:rPr>
          <w:rFonts w:ascii="Times New Roman" w:hAnsi="Times New Roman"/>
          <w:szCs w:val="24"/>
        </w:rPr>
        <w:t>, 11(3), pp. 190-203.</w:t>
      </w:r>
    </w:p>
    <w:p w14:paraId="6048ABE3"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Herzberg, F., 1968. One more time: how do you motivate employees? </w:t>
      </w:r>
      <w:r w:rsidRPr="00945DA4">
        <w:rPr>
          <w:rFonts w:ascii="Times New Roman" w:hAnsi="Times New Roman"/>
          <w:i/>
          <w:szCs w:val="24"/>
          <w:bdr w:val="none" w:sz="0" w:space="0" w:color="auto" w:frame="1"/>
        </w:rPr>
        <w:t>Harvard Business Review</w:t>
      </w:r>
      <w:r w:rsidRPr="00945DA4">
        <w:rPr>
          <w:rFonts w:ascii="Times New Roman" w:hAnsi="Times New Roman"/>
          <w:szCs w:val="24"/>
          <w:bdr w:val="none" w:sz="0" w:space="0" w:color="auto" w:frame="1"/>
        </w:rPr>
        <w:t>, 46, pp. 53-62.</w:t>
      </w:r>
    </w:p>
    <w:p w14:paraId="5EF6FFB3"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Herzberg, F., 1974a. Motivation-hygiene profiles. </w:t>
      </w:r>
      <w:r w:rsidRPr="00945DA4">
        <w:rPr>
          <w:rFonts w:ascii="Times New Roman" w:hAnsi="Times New Roman"/>
          <w:i/>
          <w:szCs w:val="24"/>
          <w:bdr w:val="none" w:sz="0" w:space="0" w:color="auto" w:frame="1"/>
        </w:rPr>
        <w:t>Organizational Dynamics</w:t>
      </w:r>
      <w:r w:rsidRPr="00945DA4">
        <w:rPr>
          <w:rFonts w:ascii="Times New Roman" w:hAnsi="Times New Roman"/>
          <w:szCs w:val="24"/>
          <w:bdr w:val="none" w:sz="0" w:space="0" w:color="auto" w:frame="1"/>
        </w:rPr>
        <w:t xml:space="preserve">, 3(2), pp. 18-29. </w:t>
      </w:r>
    </w:p>
    <w:p w14:paraId="44BC66DF"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Herzberg, F., 1974b. New perspectives on the will to work. </w:t>
      </w:r>
      <w:r w:rsidRPr="00945DA4">
        <w:rPr>
          <w:rFonts w:ascii="Times New Roman" w:hAnsi="Times New Roman"/>
          <w:i/>
          <w:szCs w:val="24"/>
          <w:bdr w:val="none" w:sz="0" w:space="0" w:color="auto" w:frame="1"/>
        </w:rPr>
        <w:t>Management Review</w:t>
      </w:r>
      <w:r w:rsidRPr="00945DA4">
        <w:rPr>
          <w:rFonts w:ascii="Times New Roman" w:hAnsi="Times New Roman"/>
          <w:szCs w:val="24"/>
          <w:bdr w:val="none" w:sz="0" w:space="0" w:color="auto" w:frame="1"/>
        </w:rPr>
        <w:t>, 63(11), pp. 52-54.</w:t>
      </w:r>
    </w:p>
    <w:p w14:paraId="0AC3419F"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Herzberg, F., Mausner, B. and Snydermann, B., 1959. </w:t>
      </w:r>
      <w:r w:rsidRPr="00945DA4">
        <w:rPr>
          <w:rFonts w:ascii="Times New Roman" w:hAnsi="Times New Roman"/>
          <w:i/>
          <w:szCs w:val="24"/>
          <w:bdr w:val="none" w:sz="0" w:space="0" w:color="auto" w:frame="1"/>
        </w:rPr>
        <w:t>The motivation to work</w:t>
      </w:r>
      <w:r w:rsidRPr="00945DA4">
        <w:rPr>
          <w:rFonts w:ascii="Times New Roman" w:hAnsi="Times New Roman"/>
          <w:szCs w:val="24"/>
          <w:bdr w:val="none" w:sz="0" w:space="0" w:color="auto" w:frame="1"/>
        </w:rPr>
        <w:t>. New York: Wiley.</w:t>
      </w:r>
    </w:p>
    <w:p w14:paraId="7FB9249C" w14:textId="77777777" w:rsidR="00503349" w:rsidRPr="00DA2952"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Higgs, P. and Gilleard, C., 2015. </w:t>
      </w:r>
      <w:r w:rsidRPr="00945DA4">
        <w:rPr>
          <w:rFonts w:ascii="Times New Roman" w:hAnsi="Times New Roman"/>
          <w:i/>
          <w:szCs w:val="24"/>
          <w:bdr w:val="none" w:sz="0" w:space="0" w:color="auto" w:frame="1"/>
        </w:rPr>
        <w:t>Rethinking old age: theorising the fourth age</w:t>
      </w:r>
      <w:r w:rsidRPr="00945DA4">
        <w:rPr>
          <w:rFonts w:ascii="Times New Roman" w:hAnsi="Times New Roman"/>
          <w:szCs w:val="24"/>
          <w:bdr w:val="none" w:sz="0" w:space="0" w:color="auto" w:frame="1"/>
        </w:rPr>
        <w:t>. London: Palgrave.</w:t>
      </w:r>
    </w:p>
    <w:p w14:paraId="7CBE692F" w14:textId="77777777" w:rsidR="00503349" w:rsidRPr="00DA2952" w:rsidRDefault="00503349" w:rsidP="00503349">
      <w:pPr>
        <w:rPr>
          <w:rFonts w:ascii="Times New Roman" w:hAnsi="Times New Roman"/>
          <w:szCs w:val="24"/>
        </w:rPr>
      </w:pPr>
      <w:r w:rsidRPr="00DA2952">
        <w:rPr>
          <w:rFonts w:ascii="Times New Roman" w:hAnsi="Times New Roman"/>
          <w:szCs w:val="24"/>
        </w:rPr>
        <w:t>Higgs, P. and Gilleard, C., 2016. Interrogating personhood and dementia. </w:t>
      </w:r>
      <w:r w:rsidRPr="00DA2952">
        <w:rPr>
          <w:rFonts w:ascii="Times New Roman" w:hAnsi="Times New Roman"/>
          <w:i/>
          <w:iCs/>
          <w:szCs w:val="24"/>
        </w:rPr>
        <w:t>Aging &amp; Mental Health</w:t>
      </w:r>
      <w:r w:rsidRPr="00DA2952">
        <w:rPr>
          <w:rFonts w:ascii="Times New Roman" w:hAnsi="Times New Roman"/>
          <w:szCs w:val="24"/>
        </w:rPr>
        <w:t>, 20(8), pp. 773-780.</w:t>
      </w:r>
    </w:p>
    <w:p w14:paraId="2FD61B4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Hilgeman, M.M., Allen, R.S., DeCoster, J. and Burgio, L.D., 2007. Positive aspects of caregiving as a moderator of treatment outcome over 12 months. </w:t>
      </w:r>
      <w:r w:rsidRPr="002B3011">
        <w:rPr>
          <w:rFonts w:ascii="Times New Roman" w:hAnsi="Times New Roman"/>
          <w:i/>
          <w:iCs/>
          <w:szCs w:val="24"/>
        </w:rPr>
        <w:t>Psychology and aging</w:t>
      </w:r>
      <w:r w:rsidRPr="002B3011">
        <w:rPr>
          <w:rFonts w:ascii="Times New Roman" w:hAnsi="Times New Roman"/>
          <w:szCs w:val="24"/>
        </w:rPr>
        <w:t xml:space="preserve">, </w:t>
      </w:r>
      <w:r w:rsidRPr="002B3011">
        <w:rPr>
          <w:rFonts w:ascii="Times New Roman" w:hAnsi="Times New Roman"/>
          <w:iCs/>
          <w:szCs w:val="24"/>
        </w:rPr>
        <w:t>22</w:t>
      </w:r>
      <w:r w:rsidRPr="002B3011">
        <w:rPr>
          <w:rFonts w:ascii="Times New Roman" w:hAnsi="Times New Roman"/>
          <w:szCs w:val="24"/>
        </w:rPr>
        <w:t>(2), pp. 361–371.</w:t>
      </w:r>
    </w:p>
    <w:p w14:paraId="43E209C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Hindley, G., Kissima, J., Oates, L. L., Paddick, S.‐M., Kisoli, A., Brandsma, C., Gray, W.K., Walker, R.W., Mushi, D. and Dotchin, C.L., 2016. The role of traditional and faith healers in the treatment of dementia in Tanzania and the potential for collabo‐ ration with allopathic healthcare services. </w:t>
      </w:r>
      <w:r w:rsidRPr="00DA2952">
        <w:rPr>
          <w:rFonts w:ascii="Times New Roman" w:hAnsi="Times New Roman"/>
          <w:i/>
          <w:iCs/>
          <w:szCs w:val="24"/>
        </w:rPr>
        <w:t>Age and Ageing</w:t>
      </w:r>
      <w:r w:rsidRPr="00DA2952">
        <w:rPr>
          <w:rFonts w:ascii="Times New Roman" w:hAnsi="Times New Roman"/>
          <w:szCs w:val="24"/>
        </w:rPr>
        <w:t>, 46, pp. 130-137.</w:t>
      </w:r>
    </w:p>
    <w:p w14:paraId="519CEE1B"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Hinton, L., Franz, C. and Friend, J., 2004. Pathways to dementia diagnosis: evidence for cross-ethnic differences. </w:t>
      </w:r>
      <w:r w:rsidRPr="002B3011">
        <w:rPr>
          <w:rFonts w:ascii="Times New Roman" w:hAnsi="Times New Roman"/>
          <w:i/>
          <w:szCs w:val="24"/>
        </w:rPr>
        <w:t>Alzheimer’s Disease &amp; Associated Disorders</w:t>
      </w:r>
      <w:r w:rsidRPr="002B3011">
        <w:rPr>
          <w:rFonts w:ascii="Times New Roman" w:hAnsi="Times New Roman"/>
          <w:szCs w:val="24"/>
        </w:rPr>
        <w:t>, 18 (3), pp. 134-144.</w:t>
      </w:r>
    </w:p>
    <w:p w14:paraId="0C67561B"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Hinton, L., Franz, C.E., Yeo, G. and Levkoff, S.E., 2005. Conceptions of dementia in a multiethnic sample of family caregivers. </w:t>
      </w:r>
      <w:r w:rsidRPr="002B3011">
        <w:rPr>
          <w:rFonts w:ascii="Times New Roman" w:hAnsi="Times New Roman"/>
          <w:i/>
          <w:szCs w:val="24"/>
        </w:rPr>
        <w:t>Journal of the American Geriatrics Society</w:t>
      </w:r>
      <w:r w:rsidRPr="002B3011">
        <w:rPr>
          <w:rFonts w:ascii="Times New Roman" w:hAnsi="Times New Roman"/>
          <w:szCs w:val="24"/>
        </w:rPr>
        <w:t>, 53(8), pp. 1405-1410.</w:t>
      </w:r>
    </w:p>
    <w:p w14:paraId="735F0A8B" w14:textId="77777777" w:rsidR="00503349" w:rsidRPr="005A2924" w:rsidRDefault="00503349" w:rsidP="00503349">
      <w:pPr>
        <w:textAlignment w:val="baseline"/>
        <w:rPr>
          <w:rFonts w:ascii="Times New Roman" w:hAnsi="Times New Roman"/>
          <w:color w:val="000000"/>
          <w:szCs w:val="24"/>
        </w:rPr>
      </w:pPr>
      <w:r w:rsidRPr="002B3011">
        <w:rPr>
          <w:rFonts w:ascii="Times New Roman" w:hAnsi="Times New Roman"/>
          <w:szCs w:val="24"/>
          <w:bdr w:val="none" w:sz="0" w:space="0" w:color="auto" w:frame="1"/>
        </w:rPr>
        <w:t xml:space="preserve">Hinton, L., Guo, Z., Hillygus, J. and Levkoff, S., 2000. Working with culture: a qualitative analysis of barriers to the recruitment of Chinese-American family caregivers for dementia research. </w:t>
      </w:r>
      <w:r w:rsidRPr="002B3011">
        <w:rPr>
          <w:rFonts w:ascii="Times New Roman" w:hAnsi="Times New Roman"/>
          <w:i/>
          <w:iCs/>
          <w:szCs w:val="24"/>
          <w:bdr w:val="none" w:sz="0" w:space="0" w:color="auto" w:frame="1"/>
        </w:rPr>
        <w:t>Journal of Cross</w:t>
      </w:r>
      <w:r>
        <w:rPr>
          <w:rFonts w:ascii="Times New Roman" w:hAnsi="Times New Roman"/>
          <w:i/>
          <w:iCs/>
          <w:szCs w:val="24"/>
          <w:bdr w:val="none" w:sz="0" w:space="0" w:color="auto" w:frame="1"/>
        </w:rPr>
        <w:t>-</w:t>
      </w:r>
      <w:r w:rsidRPr="002B3011">
        <w:rPr>
          <w:rFonts w:ascii="Times New Roman" w:hAnsi="Times New Roman"/>
          <w:i/>
          <w:iCs/>
          <w:szCs w:val="24"/>
          <w:bdr w:val="none" w:sz="0" w:space="0" w:color="auto" w:frame="1"/>
        </w:rPr>
        <w:t>Cultural Gerontology</w:t>
      </w:r>
      <w:r w:rsidRPr="002B3011">
        <w:rPr>
          <w:rFonts w:ascii="Times New Roman" w:hAnsi="Times New Roman"/>
          <w:szCs w:val="24"/>
          <w:bdr w:val="none" w:sz="0" w:space="0" w:color="auto" w:frame="1"/>
        </w:rPr>
        <w:t>, 15(2), pp. 119-137.</w:t>
      </w:r>
    </w:p>
    <w:p w14:paraId="318E86EA" w14:textId="0B022792" w:rsidR="00503349" w:rsidRPr="00034E9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Hirsch, B. and Manzella, J., 2014. Who cares # and does it matter? Measuring wage penalties for caring work. IZA Discussion Papers, No. 8388. Bonn: Institute for the Study of Labor (IZA).</w:t>
      </w:r>
    </w:p>
    <w:p w14:paraId="43DA89C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Hirschfeld, M., 1983. Homecare versus institutionalization: family caregiving and senile brain disease. </w:t>
      </w:r>
      <w:r w:rsidRPr="002B3011">
        <w:rPr>
          <w:rFonts w:ascii="Times New Roman" w:hAnsi="Times New Roman"/>
          <w:i/>
          <w:szCs w:val="24"/>
        </w:rPr>
        <w:t>International Journal Nursing Studies</w:t>
      </w:r>
      <w:r w:rsidRPr="002B3011">
        <w:rPr>
          <w:rFonts w:ascii="Times New Roman" w:hAnsi="Times New Roman"/>
          <w:szCs w:val="24"/>
        </w:rPr>
        <w:t>, 20, pp. 23-32.</w:t>
      </w:r>
    </w:p>
    <w:p w14:paraId="31E4C88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Ho, K.H.M. and Chiang, V.C.L., 2015. A meta-ethnography of the acculturation and socialization experiences of migrant care workers. </w:t>
      </w:r>
      <w:r w:rsidRPr="00DA2952">
        <w:rPr>
          <w:rFonts w:ascii="Times New Roman" w:hAnsi="Times New Roman"/>
          <w:i/>
          <w:iCs/>
          <w:szCs w:val="24"/>
        </w:rPr>
        <w:t>Journal of Advanced Nursing</w:t>
      </w:r>
      <w:r w:rsidRPr="00DA2952">
        <w:rPr>
          <w:rFonts w:ascii="Times New Roman" w:hAnsi="Times New Roman"/>
          <w:szCs w:val="24"/>
        </w:rPr>
        <w:t>, 71(2), pp. 237-254.</w:t>
      </w:r>
    </w:p>
    <w:p w14:paraId="30ECA03B" w14:textId="77777777" w:rsidR="00503349" w:rsidRDefault="00503349" w:rsidP="00503349">
      <w:pPr>
        <w:spacing w:before="240" w:after="0"/>
        <w:jc w:val="both"/>
        <w:rPr>
          <w:rFonts w:ascii="Times New Roman" w:eastAsia="MS Gothic" w:hAnsi="Times New Roman"/>
          <w:szCs w:val="24"/>
        </w:rPr>
      </w:pPr>
      <w:r>
        <w:rPr>
          <w:rFonts w:ascii="Times New Roman" w:hAnsi="Times New Roman"/>
          <w:szCs w:val="24"/>
        </w:rPr>
        <w:t xml:space="preserve">Hofstede, G., 2001. </w:t>
      </w:r>
      <w:r>
        <w:rPr>
          <w:rFonts w:ascii="Times New Roman" w:hAnsi="Times New Roman"/>
          <w:i/>
          <w:iCs/>
          <w:szCs w:val="24"/>
        </w:rPr>
        <w:t>Culture’s consequences: comparing values, behaviors, and organizations across nations</w:t>
      </w:r>
      <w:r>
        <w:rPr>
          <w:rFonts w:ascii="Times New Roman" w:hAnsi="Times New Roman"/>
          <w:szCs w:val="24"/>
        </w:rPr>
        <w:t>. 2nd Edition. London: Sage Publications.</w:t>
      </w:r>
    </w:p>
    <w:p w14:paraId="00CBC716" w14:textId="77777777" w:rsidR="00503349" w:rsidRPr="005A2924" w:rsidRDefault="00503349" w:rsidP="00503349">
      <w:pPr>
        <w:spacing w:before="240"/>
        <w:jc w:val="both"/>
        <w:rPr>
          <w:rFonts w:ascii="Times New Roman" w:eastAsia="MS Gothic" w:hAnsi="Times New Roman"/>
          <w:szCs w:val="24"/>
        </w:rPr>
      </w:pPr>
      <w:r>
        <w:rPr>
          <w:rFonts w:ascii="Times New Roman" w:hAnsi="Times New Roman"/>
          <w:szCs w:val="24"/>
        </w:rPr>
        <w:t>Hofstede, G., 2011. Dimensionalizing cultures: The Hofstede model in context. </w:t>
      </w:r>
      <w:r>
        <w:rPr>
          <w:rFonts w:ascii="Times New Roman" w:hAnsi="Times New Roman"/>
          <w:i/>
          <w:iCs/>
          <w:szCs w:val="24"/>
        </w:rPr>
        <w:t>Online Readings in Psychology and Culture</w:t>
      </w:r>
      <w:r>
        <w:rPr>
          <w:rFonts w:ascii="Times New Roman" w:hAnsi="Times New Roman"/>
          <w:szCs w:val="24"/>
        </w:rPr>
        <w:t>, 2(1). Available at: &lt;https://scholarworks.gvsu.edu/orpc/vol2/iss1/8/&gt;[Accessed 21 January 2020]</w:t>
      </w:r>
    </w:p>
    <w:p w14:paraId="24A14DB1"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Holden, M.T. and Lynch, P., 2004. Choosing the appropriate methodology: understanding research philosophy. </w:t>
      </w:r>
      <w:r w:rsidRPr="008101DD">
        <w:rPr>
          <w:rFonts w:ascii="Times New Roman" w:hAnsi="Times New Roman"/>
          <w:i/>
          <w:szCs w:val="24"/>
        </w:rPr>
        <w:t>The Marketing Review</w:t>
      </w:r>
      <w:r w:rsidRPr="008101DD">
        <w:rPr>
          <w:rFonts w:ascii="Times New Roman" w:hAnsi="Times New Roman"/>
          <w:szCs w:val="24"/>
        </w:rPr>
        <w:t>, 4(4), pp. 397-409.</w:t>
      </w:r>
    </w:p>
    <w:p w14:paraId="5B2E49B4" w14:textId="77777777" w:rsidR="00503349" w:rsidRDefault="00503349" w:rsidP="00503349">
      <w:pPr>
        <w:spacing w:before="240"/>
        <w:rPr>
          <w:rFonts w:ascii="Times New Roman" w:hAnsi="Times New Roman"/>
          <w:szCs w:val="24"/>
        </w:rPr>
      </w:pPr>
      <w:r>
        <w:rPr>
          <w:rFonts w:ascii="Times New Roman" w:hAnsi="Times New Roman"/>
          <w:szCs w:val="24"/>
        </w:rPr>
        <w:t>Holland, D., Fic, T., Rincon-Aznar, A., Stokes, L. and Paluchowski, P., 2011. Labour mobility within the EU-The impact of enlargement and the functioning of the transitional arrangements. </w:t>
      </w:r>
      <w:r>
        <w:rPr>
          <w:rFonts w:ascii="Times New Roman" w:hAnsi="Times New Roman"/>
          <w:i/>
          <w:iCs/>
          <w:szCs w:val="24"/>
        </w:rPr>
        <w:t>National Institute of Economic and Social Research</w:t>
      </w:r>
      <w:r>
        <w:rPr>
          <w:rFonts w:ascii="Times New Roman" w:hAnsi="Times New Roman"/>
          <w:szCs w:val="24"/>
        </w:rPr>
        <w:t>, 2978.</w:t>
      </w:r>
      <w:r>
        <w:t xml:space="preserve"> </w:t>
      </w:r>
      <w:r>
        <w:rPr>
          <w:rFonts w:ascii="Times New Roman" w:hAnsi="Times New Roman"/>
          <w:szCs w:val="24"/>
        </w:rPr>
        <w:t>Available at: &lt;https://www.niesr.ac.uk/sites/default/files/publications/211211_153456.pdf&gt;[Accessed 24 January 2020]</w:t>
      </w:r>
    </w:p>
    <w:p w14:paraId="19CE71E5"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Holloway, I. and Galvin, K., 2016. </w:t>
      </w:r>
      <w:r w:rsidRPr="004E3E8F">
        <w:rPr>
          <w:rFonts w:ascii="Times New Roman" w:hAnsi="Times New Roman"/>
          <w:i/>
          <w:iCs/>
          <w:szCs w:val="24"/>
        </w:rPr>
        <w:t>Qualitative Research in Nursing and Healthcare</w:t>
      </w:r>
      <w:r w:rsidRPr="004E3E8F">
        <w:rPr>
          <w:rFonts w:ascii="Times New Roman" w:hAnsi="Times New Roman"/>
          <w:szCs w:val="24"/>
        </w:rPr>
        <w:t>. 4</w:t>
      </w:r>
      <w:r w:rsidRPr="004E3E8F">
        <w:rPr>
          <w:rFonts w:ascii="Times New Roman" w:hAnsi="Times New Roman"/>
          <w:szCs w:val="24"/>
          <w:vertAlign w:val="superscript"/>
        </w:rPr>
        <w:t>th</w:t>
      </w:r>
      <w:r w:rsidRPr="004E3E8F">
        <w:rPr>
          <w:rFonts w:ascii="Times New Roman" w:hAnsi="Times New Roman"/>
          <w:szCs w:val="24"/>
        </w:rPr>
        <w:t xml:space="preserve"> ed. John Wiley &amp; Sons.</w:t>
      </w:r>
    </w:p>
    <w:p w14:paraId="1FF424C7" w14:textId="77777777" w:rsidR="00503349" w:rsidRPr="004E3E8F" w:rsidRDefault="00503349" w:rsidP="00503349">
      <w:pPr>
        <w:spacing w:before="240"/>
        <w:rPr>
          <w:rFonts w:ascii="Times New Roman" w:hAnsi="Times New Roman"/>
          <w:szCs w:val="24"/>
        </w:rPr>
      </w:pPr>
      <w:r w:rsidRPr="008101DD">
        <w:rPr>
          <w:rFonts w:ascii="Times New Roman" w:hAnsi="Times New Roman"/>
          <w:szCs w:val="24"/>
        </w:rPr>
        <w:t xml:space="preserve">Holloway, I. and Wheeler, S., 2002. </w:t>
      </w:r>
      <w:r w:rsidRPr="008101DD">
        <w:rPr>
          <w:rFonts w:ascii="Times New Roman" w:hAnsi="Times New Roman"/>
          <w:i/>
          <w:szCs w:val="24"/>
        </w:rPr>
        <w:t>Qualitative Research in Nursing</w:t>
      </w:r>
      <w:r w:rsidRPr="008101DD">
        <w:rPr>
          <w:rFonts w:ascii="Times New Roman" w:hAnsi="Times New Roman"/>
          <w:szCs w:val="24"/>
        </w:rPr>
        <w:t>. 2nd ed. Oxford: Blackwell.</w:t>
      </w:r>
    </w:p>
    <w:p w14:paraId="74339DD0"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Holloway, I. and Wheeler, S., 2010. </w:t>
      </w:r>
      <w:r w:rsidRPr="004E3E8F">
        <w:rPr>
          <w:rFonts w:ascii="Times New Roman" w:hAnsi="Times New Roman"/>
          <w:i/>
          <w:iCs/>
          <w:szCs w:val="24"/>
        </w:rPr>
        <w:t>Qualitative Research in Nursing and Healthcare</w:t>
      </w:r>
      <w:r w:rsidRPr="004E3E8F">
        <w:rPr>
          <w:rFonts w:ascii="Times New Roman" w:hAnsi="Times New Roman"/>
          <w:szCs w:val="24"/>
        </w:rPr>
        <w:t>. 3</w:t>
      </w:r>
      <w:r w:rsidRPr="004E3E8F">
        <w:rPr>
          <w:rFonts w:ascii="Times New Roman" w:hAnsi="Times New Roman"/>
          <w:szCs w:val="24"/>
          <w:vertAlign w:val="superscript"/>
        </w:rPr>
        <w:t>rd</w:t>
      </w:r>
      <w:r w:rsidRPr="004E3E8F">
        <w:rPr>
          <w:rFonts w:ascii="Times New Roman" w:hAnsi="Times New Roman"/>
          <w:szCs w:val="24"/>
        </w:rPr>
        <w:t xml:space="preserve"> ed. Chichester: John Wiley &amp; Sons.</w:t>
      </w:r>
    </w:p>
    <w:p w14:paraId="7B3A2540"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Holloway, I., 1997. </w:t>
      </w:r>
      <w:r w:rsidRPr="008101DD">
        <w:rPr>
          <w:rFonts w:ascii="Times New Roman" w:hAnsi="Times New Roman"/>
          <w:i/>
          <w:szCs w:val="24"/>
        </w:rPr>
        <w:t>Basic Concepts for Qualitative Research</w:t>
      </w:r>
      <w:r w:rsidRPr="008101DD">
        <w:rPr>
          <w:rFonts w:ascii="Times New Roman" w:hAnsi="Times New Roman"/>
          <w:szCs w:val="24"/>
        </w:rPr>
        <w:t>. Oxford: Blackwell Science.</w:t>
      </w:r>
    </w:p>
    <w:p w14:paraId="00B40FA6" w14:textId="77777777" w:rsidR="00503349" w:rsidRPr="00DA2952" w:rsidRDefault="00503349" w:rsidP="00503349">
      <w:pPr>
        <w:jc w:val="both"/>
        <w:rPr>
          <w:rFonts w:ascii="Times New Roman" w:hAnsi="Times New Roman"/>
          <w:b/>
          <w:bCs/>
          <w:szCs w:val="24"/>
        </w:rPr>
      </w:pPr>
      <w:r w:rsidRPr="00DA2952">
        <w:rPr>
          <w:rFonts w:ascii="Times New Roman" w:hAnsi="Times New Roman"/>
          <w:szCs w:val="24"/>
        </w:rPr>
        <w:t>Holmes, D., Lauzon, S. and Gagnon, M., 2010. Encountering the other: nursing, dementia care and the self. In: T. Rudge &amp; D. Holmes, eds., 2016. </w:t>
      </w:r>
      <w:r w:rsidRPr="00DA2952">
        <w:rPr>
          <w:rFonts w:ascii="Times New Roman" w:hAnsi="Times New Roman"/>
          <w:i/>
          <w:iCs/>
          <w:szCs w:val="24"/>
        </w:rPr>
        <w:t>Abjectly boundless: boundaries, bodies and health work</w:t>
      </w:r>
      <w:r w:rsidRPr="00DA2952">
        <w:rPr>
          <w:rFonts w:ascii="Times New Roman" w:hAnsi="Times New Roman"/>
          <w:szCs w:val="24"/>
        </w:rPr>
        <w:t>. New York: Routledge, pp. 245-256.</w:t>
      </w:r>
    </w:p>
    <w:p w14:paraId="16C90F7A" w14:textId="77777777" w:rsidR="00503349" w:rsidRPr="00DA2952" w:rsidRDefault="00503349" w:rsidP="00503349">
      <w:pPr>
        <w:jc w:val="both"/>
        <w:rPr>
          <w:rFonts w:ascii="Times New Roman" w:hAnsi="Times New Roman"/>
          <w:szCs w:val="24"/>
        </w:rPr>
      </w:pPr>
      <w:bookmarkStart w:id="311" w:name="_Hlk80207153"/>
      <w:r w:rsidRPr="00DA2952">
        <w:rPr>
          <w:rFonts w:ascii="Times New Roman" w:hAnsi="Times New Roman"/>
          <w:szCs w:val="24"/>
        </w:rPr>
        <w:lastRenderedPageBreak/>
        <w:t>Holy Bible, 1983. New King James Version. Nashville, TN: Thomas Nelson, Genesis 9:20-27.</w:t>
      </w:r>
      <w:bookmarkEnd w:id="311"/>
    </w:p>
    <w:p w14:paraId="3A63695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Homan, R., 1991. </w:t>
      </w:r>
      <w:r w:rsidRPr="004E3E8F">
        <w:rPr>
          <w:rFonts w:ascii="Times New Roman" w:hAnsi="Times New Roman"/>
          <w:i/>
          <w:iCs/>
          <w:szCs w:val="24"/>
        </w:rPr>
        <w:t>The ethics of social research</w:t>
      </w:r>
      <w:r w:rsidRPr="004E3E8F">
        <w:rPr>
          <w:rFonts w:ascii="Times New Roman" w:hAnsi="Times New Roman"/>
          <w:szCs w:val="24"/>
        </w:rPr>
        <w:t>. New York: Addison-Wesley Longman Ltd.</w:t>
      </w:r>
    </w:p>
    <w:p w14:paraId="12CC8EBA" w14:textId="77777777" w:rsidR="00503349" w:rsidRDefault="00503349" w:rsidP="00503349">
      <w:pPr>
        <w:spacing w:before="240"/>
        <w:jc w:val="both"/>
        <w:rPr>
          <w:rFonts w:ascii="Times New Roman" w:hAnsi="Times New Roman"/>
          <w:szCs w:val="24"/>
        </w:rPr>
      </w:pPr>
      <w:r>
        <w:rPr>
          <w:rFonts w:ascii="Times New Roman" w:hAnsi="Times New Roman"/>
          <w:szCs w:val="24"/>
        </w:rPr>
        <w:t>Hondagneu-Sotelo, P., ed., 2007. </w:t>
      </w:r>
      <w:r>
        <w:rPr>
          <w:rFonts w:ascii="Times New Roman" w:hAnsi="Times New Roman"/>
          <w:i/>
          <w:iCs/>
          <w:szCs w:val="24"/>
        </w:rPr>
        <w:t>Doméstica: Immigrant Workers Cleaning and Caring in the Shadows of Affluence</w:t>
      </w:r>
      <w:r>
        <w:rPr>
          <w:rFonts w:ascii="Times New Roman" w:hAnsi="Times New Roman"/>
          <w:szCs w:val="24"/>
        </w:rPr>
        <w:t>. 2007 Edition. Berkeley: University of California Press.</w:t>
      </w:r>
    </w:p>
    <w:p w14:paraId="4C8C3136" w14:textId="77777777" w:rsidR="00503349" w:rsidRDefault="00503349" w:rsidP="00503349">
      <w:pPr>
        <w:jc w:val="both"/>
        <w:rPr>
          <w:rFonts w:ascii="Times New Roman" w:hAnsi="Times New Roman"/>
          <w:szCs w:val="24"/>
        </w:rPr>
      </w:pPr>
      <w:r w:rsidRPr="003A5993">
        <w:rPr>
          <w:rFonts w:ascii="Times New Roman" w:hAnsi="Times New Roman"/>
          <w:szCs w:val="24"/>
        </w:rPr>
        <w:t>Houghton, C., Murphy, K., Brooker, D.</w:t>
      </w:r>
      <w:r>
        <w:rPr>
          <w:rFonts w:ascii="Times New Roman" w:hAnsi="Times New Roman"/>
          <w:szCs w:val="24"/>
        </w:rPr>
        <w:t xml:space="preserve"> and</w:t>
      </w:r>
      <w:r w:rsidRPr="003A5993">
        <w:rPr>
          <w:rFonts w:ascii="Times New Roman" w:hAnsi="Times New Roman"/>
          <w:szCs w:val="24"/>
        </w:rPr>
        <w:t xml:space="preserve"> Casey, D., 2016. Healthcare staffs’ experiences and perceptions of caring for people with dementia in the acute setting: qualitative evidence synthesis. </w:t>
      </w:r>
      <w:r w:rsidRPr="002058F7">
        <w:rPr>
          <w:rFonts w:ascii="Times New Roman" w:hAnsi="Times New Roman"/>
          <w:i/>
          <w:iCs/>
          <w:szCs w:val="24"/>
        </w:rPr>
        <w:t>International Journal of Nursing Studies</w:t>
      </w:r>
      <w:r>
        <w:rPr>
          <w:rFonts w:ascii="Times New Roman" w:hAnsi="Times New Roman"/>
          <w:szCs w:val="24"/>
        </w:rPr>
        <w:t>,</w:t>
      </w:r>
      <w:r w:rsidRPr="003A5993">
        <w:rPr>
          <w:rFonts w:ascii="Times New Roman" w:hAnsi="Times New Roman"/>
          <w:szCs w:val="24"/>
        </w:rPr>
        <w:t xml:space="preserve"> 61, </w:t>
      </w:r>
      <w:r>
        <w:rPr>
          <w:rFonts w:ascii="Times New Roman" w:hAnsi="Times New Roman"/>
          <w:szCs w:val="24"/>
        </w:rPr>
        <w:t xml:space="preserve">pp. </w:t>
      </w:r>
      <w:r w:rsidRPr="003A5993">
        <w:rPr>
          <w:rFonts w:ascii="Times New Roman" w:hAnsi="Times New Roman"/>
          <w:szCs w:val="24"/>
        </w:rPr>
        <w:t>104–116</w:t>
      </w:r>
      <w:r>
        <w:rPr>
          <w:rFonts w:ascii="Times New Roman" w:hAnsi="Times New Roman"/>
          <w:szCs w:val="24"/>
        </w:rPr>
        <w:t>.</w:t>
      </w:r>
    </w:p>
    <w:p w14:paraId="3948D4EF" w14:textId="77777777" w:rsidR="00503349" w:rsidRDefault="00503349" w:rsidP="00503349">
      <w:pPr>
        <w:spacing w:before="240"/>
        <w:rPr>
          <w:rFonts w:ascii="Times New Roman" w:hAnsi="Times New Roman"/>
          <w:szCs w:val="24"/>
        </w:rPr>
      </w:pPr>
      <w:r>
        <w:rPr>
          <w:rFonts w:ascii="Times New Roman" w:hAnsi="Times New Roman"/>
          <w:szCs w:val="24"/>
        </w:rPr>
        <w:t xml:space="preserve">House of Common, 1962. </w:t>
      </w:r>
      <w:r w:rsidRPr="002B46B4">
        <w:rPr>
          <w:rFonts w:ascii="Times New Roman" w:hAnsi="Times New Roman"/>
          <w:i/>
          <w:iCs/>
          <w:szCs w:val="24"/>
        </w:rPr>
        <w:t>Commonwealth Immigrants Act 1962</w:t>
      </w:r>
      <w:r>
        <w:rPr>
          <w:rFonts w:ascii="Times New Roman" w:hAnsi="Times New Roman"/>
          <w:szCs w:val="24"/>
        </w:rPr>
        <w:t>. London: Her Majesty's Stationery Office. Available at: &lt;https://www.freemovement.org.uk/wp-content/uploads/2018/04/CIA1962.pdf&gt;[Accessed 15 March 2019]</w:t>
      </w:r>
    </w:p>
    <w:p w14:paraId="3A1DB961" w14:textId="77777777" w:rsidR="00503349" w:rsidRDefault="00503349" w:rsidP="00503349">
      <w:pPr>
        <w:spacing w:before="240"/>
        <w:rPr>
          <w:rFonts w:ascii="Times New Roman" w:hAnsi="Times New Roman"/>
          <w:szCs w:val="24"/>
        </w:rPr>
      </w:pPr>
      <w:r>
        <w:rPr>
          <w:rFonts w:ascii="Times New Roman" w:hAnsi="Times New Roman"/>
          <w:szCs w:val="24"/>
        </w:rPr>
        <w:t xml:space="preserve">House of Common, 1971. </w:t>
      </w:r>
      <w:r w:rsidRPr="002B46B4">
        <w:rPr>
          <w:rFonts w:ascii="Times New Roman" w:hAnsi="Times New Roman"/>
          <w:i/>
          <w:iCs/>
          <w:szCs w:val="24"/>
        </w:rPr>
        <w:t>Immigration Act 1971</w:t>
      </w:r>
      <w:r>
        <w:rPr>
          <w:rFonts w:ascii="Times New Roman" w:hAnsi="Times New Roman"/>
          <w:szCs w:val="24"/>
        </w:rPr>
        <w:t>. London: Her Majesty's Stationery Office. Available at: &lt;https://www.legislation.gov.uk/ukpga/1971/77/pdfs/ukpga_19710077_en.pdf&gt;[Accessed 15 March 2019]</w:t>
      </w:r>
    </w:p>
    <w:p w14:paraId="215D8EF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Hsueh, K.-H., Hu, J. and Clarke-Ekong, S., 2008. Acculturation in filial practices among U.S. Chinese caregivers.</w:t>
      </w:r>
      <w:r w:rsidRPr="002B3011">
        <w:rPr>
          <w:rFonts w:ascii="Times New Roman" w:hAnsi="Times New Roman"/>
          <w:i/>
          <w:szCs w:val="24"/>
        </w:rPr>
        <w:t xml:space="preserve"> Qualitative Health Research</w:t>
      </w:r>
      <w:r w:rsidRPr="002B3011">
        <w:rPr>
          <w:rFonts w:ascii="Times New Roman" w:hAnsi="Times New Roman"/>
          <w:szCs w:val="24"/>
        </w:rPr>
        <w:t>, 18, pp. 775-785.</w:t>
      </w:r>
    </w:p>
    <w:p w14:paraId="1D4158B8"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Hugh, F.H., McKenna, P. and Keeney, S., 2013. Delegating and supervising unregistered professionals: The student nurse experience. </w:t>
      </w:r>
      <w:r w:rsidRPr="00CF1AE8">
        <w:rPr>
          <w:rFonts w:ascii="Times New Roman" w:hAnsi="Times New Roman"/>
          <w:i/>
          <w:szCs w:val="24"/>
        </w:rPr>
        <w:t>Nurse Education Today</w:t>
      </w:r>
      <w:r w:rsidRPr="00CF1AE8">
        <w:rPr>
          <w:rFonts w:ascii="Times New Roman" w:hAnsi="Times New Roman"/>
          <w:szCs w:val="24"/>
        </w:rPr>
        <w:t>, 33(3), pp. 229-235.</w:t>
      </w:r>
    </w:p>
    <w:p w14:paraId="6EF541EA"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Hughes, J., Bagley, H., Reilly, S., Burns, A., and Challis, D., 2008. Care staff working with people with dementia: training, knowledge and confidence. </w:t>
      </w:r>
      <w:r w:rsidRPr="00DA2952">
        <w:rPr>
          <w:rFonts w:ascii="Times New Roman" w:hAnsi="Times New Roman"/>
          <w:i/>
          <w:iCs/>
          <w:szCs w:val="24"/>
        </w:rPr>
        <w:t>Dementia</w:t>
      </w:r>
      <w:r w:rsidRPr="00DA2952">
        <w:rPr>
          <w:rFonts w:ascii="Times New Roman" w:hAnsi="Times New Roman"/>
          <w:szCs w:val="24"/>
        </w:rPr>
        <w:t>, 7, pp. 227-232.</w:t>
      </w:r>
    </w:p>
    <w:p w14:paraId="51EE9B41" w14:textId="77777777" w:rsidR="00503349" w:rsidRPr="00347B46" w:rsidRDefault="00503349" w:rsidP="00503349">
      <w:pPr>
        <w:tabs>
          <w:tab w:val="left" w:pos="5445"/>
        </w:tabs>
        <w:jc w:val="both"/>
        <w:rPr>
          <w:rFonts w:ascii="Times New Roman" w:hAnsi="Times New Roman"/>
          <w:szCs w:val="24"/>
        </w:rPr>
      </w:pPr>
      <w:r w:rsidRPr="00347B46">
        <w:rPr>
          <w:rFonts w:ascii="Times New Roman" w:hAnsi="Times New Roman"/>
          <w:szCs w:val="24"/>
        </w:rPr>
        <w:lastRenderedPageBreak/>
        <w:t>Hughes, N., Locock, L. and Ziebland, S., 2013. Personal identity and the role of ‘carer’among relatives and friends of people with multiple sclerosis. </w:t>
      </w:r>
      <w:r w:rsidRPr="00347B46">
        <w:rPr>
          <w:rFonts w:ascii="Times New Roman" w:hAnsi="Times New Roman"/>
          <w:i/>
          <w:iCs/>
          <w:szCs w:val="24"/>
        </w:rPr>
        <w:t xml:space="preserve">Social Science </w:t>
      </w:r>
      <w:r>
        <w:rPr>
          <w:rFonts w:ascii="Times New Roman" w:hAnsi="Times New Roman"/>
          <w:i/>
          <w:iCs/>
          <w:szCs w:val="24"/>
        </w:rPr>
        <w:t>and</w:t>
      </w:r>
      <w:r w:rsidRPr="00347B46">
        <w:rPr>
          <w:rFonts w:ascii="Times New Roman" w:hAnsi="Times New Roman"/>
          <w:i/>
          <w:iCs/>
          <w:szCs w:val="24"/>
        </w:rPr>
        <w:t xml:space="preserve"> Medicine</w:t>
      </w:r>
      <w:r w:rsidRPr="00347B46">
        <w:rPr>
          <w:rFonts w:ascii="Times New Roman" w:hAnsi="Times New Roman"/>
          <w:szCs w:val="24"/>
        </w:rPr>
        <w:t>, 96, pp.</w:t>
      </w:r>
      <w:r>
        <w:rPr>
          <w:rFonts w:ascii="Times New Roman" w:hAnsi="Times New Roman"/>
          <w:szCs w:val="24"/>
        </w:rPr>
        <w:t xml:space="preserve"> </w:t>
      </w:r>
      <w:r w:rsidRPr="00347B46">
        <w:rPr>
          <w:rFonts w:ascii="Times New Roman" w:hAnsi="Times New Roman"/>
          <w:szCs w:val="24"/>
        </w:rPr>
        <w:t>78-85.</w:t>
      </w:r>
    </w:p>
    <w:p w14:paraId="49C6E02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Hughes, T., Tyler, K., Danner, D. and Carter, A., 2009. African American caregivers: An exploration of pathways and barriers to a diagnosis of Alzheimer’s disease for a family member with dementia. </w:t>
      </w:r>
      <w:r w:rsidRPr="002B3011">
        <w:rPr>
          <w:rFonts w:ascii="Times New Roman" w:hAnsi="Times New Roman"/>
          <w:i/>
          <w:szCs w:val="24"/>
        </w:rPr>
        <w:t>Dementia</w:t>
      </w:r>
      <w:r w:rsidRPr="002B3011">
        <w:rPr>
          <w:rFonts w:ascii="Times New Roman" w:hAnsi="Times New Roman"/>
          <w:szCs w:val="24"/>
        </w:rPr>
        <w:t>, 8, pp. 95-116.</w:t>
      </w:r>
    </w:p>
    <w:p w14:paraId="6D924CA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Huppert, F.A., 1994. Memory function in dementia and normal aging-dimension or dichotomy? In: F.A. Huppert, C. Brayne &amp; D.W. O’Connor, eds., 1994. </w:t>
      </w:r>
      <w:r w:rsidRPr="00DA2952">
        <w:rPr>
          <w:rFonts w:ascii="Times New Roman" w:hAnsi="Times New Roman"/>
          <w:i/>
          <w:iCs/>
          <w:szCs w:val="24"/>
        </w:rPr>
        <w:t>Dementia and Normal Aging</w:t>
      </w:r>
      <w:r w:rsidRPr="00DA2952">
        <w:rPr>
          <w:rFonts w:ascii="Times New Roman" w:hAnsi="Times New Roman"/>
          <w:szCs w:val="24"/>
        </w:rPr>
        <w:t>. Cambridge: Cambridge University Press, pp. 291-330.  </w:t>
      </w:r>
    </w:p>
    <w:p w14:paraId="20946323"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Huppert, F.A., and Brayne, C., 1994. What is the relationship between dementia and normal aging? In: F.A. Huppert, C. Brayne &amp; D.W. O’Connor, eds., 1994. </w:t>
      </w:r>
      <w:r w:rsidRPr="00DA2952">
        <w:rPr>
          <w:rFonts w:ascii="Times New Roman" w:hAnsi="Times New Roman"/>
          <w:i/>
          <w:iCs/>
          <w:szCs w:val="24"/>
        </w:rPr>
        <w:t>Dementia and Normal Aging</w:t>
      </w:r>
      <w:r w:rsidRPr="00DA2952">
        <w:rPr>
          <w:rFonts w:ascii="Times New Roman" w:hAnsi="Times New Roman"/>
          <w:szCs w:val="24"/>
        </w:rPr>
        <w:t>. Cambridge: Cambridge University Press, pp. 3-11.</w:t>
      </w:r>
    </w:p>
    <w:p w14:paraId="77AC0AE8" w14:textId="77777777" w:rsidR="00503349" w:rsidRDefault="00503349" w:rsidP="00503349">
      <w:pPr>
        <w:jc w:val="both"/>
        <w:rPr>
          <w:rFonts w:ascii="Times New Roman" w:hAnsi="Times New Roman"/>
          <w:szCs w:val="24"/>
        </w:rPr>
      </w:pPr>
      <w:r w:rsidRPr="000A56C6">
        <w:rPr>
          <w:rFonts w:ascii="Times New Roman" w:hAnsi="Times New Roman"/>
          <w:szCs w:val="24"/>
        </w:rPr>
        <w:t xml:space="preserve">Hussein, S. and Christensen, K., 2017. Migration, gender and low-paid work: on migrant men’s entry dynamics into the feminised social care work in the UK. </w:t>
      </w:r>
      <w:r w:rsidRPr="000C2CD1">
        <w:rPr>
          <w:rFonts w:ascii="Times New Roman" w:hAnsi="Times New Roman"/>
          <w:i/>
          <w:iCs/>
          <w:szCs w:val="24"/>
        </w:rPr>
        <w:t>Journal of Ethnic and Migration Studies</w:t>
      </w:r>
      <w:r w:rsidRPr="000A56C6">
        <w:rPr>
          <w:rFonts w:ascii="Times New Roman" w:hAnsi="Times New Roman"/>
          <w:szCs w:val="24"/>
        </w:rPr>
        <w:t>, 43, 749-765.</w:t>
      </w:r>
    </w:p>
    <w:p w14:paraId="1E2B5447" w14:textId="77777777" w:rsidR="00503349" w:rsidRPr="005A2924" w:rsidRDefault="00503349" w:rsidP="00503349">
      <w:pPr>
        <w:jc w:val="both"/>
        <w:rPr>
          <w:rFonts w:ascii="Times New Roman" w:hAnsi="Times New Roman"/>
          <w:szCs w:val="24"/>
        </w:rPr>
      </w:pPr>
      <w:r w:rsidRPr="000A56C6">
        <w:rPr>
          <w:rFonts w:ascii="Times New Roman" w:hAnsi="Times New Roman"/>
          <w:szCs w:val="24"/>
        </w:rPr>
        <w:t xml:space="preserve">Hussein, S., Manthorpe, J. and Stevens, M., 2011. The experiences of migrant social work and social care practitioners in the UK: ﬁndings from an online survey. </w:t>
      </w:r>
      <w:r w:rsidRPr="000A56C6">
        <w:rPr>
          <w:rFonts w:ascii="Times New Roman" w:hAnsi="Times New Roman"/>
          <w:i/>
          <w:szCs w:val="24"/>
        </w:rPr>
        <w:t>European Journal of Social Work</w:t>
      </w:r>
      <w:r w:rsidRPr="000A56C6">
        <w:rPr>
          <w:rFonts w:ascii="Times New Roman" w:hAnsi="Times New Roman"/>
          <w:szCs w:val="24"/>
        </w:rPr>
        <w:t>, 14(4), pp. 479-496.</w:t>
      </w:r>
    </w:p>
    <w:p w14:paraId="7F4CF424" w14:textId="77777777" w:rsidR="00503349" w:rsidRDefault="00503349" w:rsidP="00503349">
      <w:pPr>
        <w:jc w:val="both"/>
        <w:rPr>
          <w:rFonts w:ascii="Times New Roman" w:hAnsi="Times New Roman"/>
          <w:szCs w:val="24"/>
        </w:rPr>
      </w:pPr>
      <w:r w:rsidRPr="001F520C">
        <w:rPr>
          <w:rFonts w:ascii="Times New Roman" w:hAnsi="Times New Roman"/>
          <w:szCs w:val="24"/>
        </w:rPr>
        <w:t xml:space="preserve">Hussein, S., 2017. “We don't do it for the money”… The scale and reasons of poverty‐pay among frontline long‐term care workers in England. </w:t>
      </w:r>
      <w:r w:rsidRPr="00E455DA">
        <w:rPr>
          <w:rFonts w:ascii="Times New Roman" w:hAnsi="Times New Roman"/>
          <w:i/>
          <w:iCs/>
          <w:szCs w:val="24"/>
        </w:rPr>
        <w:t>Health &amp; Social Care in the Community</w:t>
      </w:r>
      <w:r w:rsidRPr="001F520C">
        <w:rPr>
          <w:rFonts w:ascii="Times New Roman" w:hAnsi="Times New Roman"/>
          <w:szCs w:val="24"/>
        </w:rPr>
        <w:t>, 25(6), pp.</w:t>
      </w:r>
      <w:r>
        <w:rPr>
          <w:rFonts w:ascii="Times New Roman" w:hAnsi="Times New Roman"/>
          <w:szCs w:val="24"/>
        </w:rPr>
        <w:t xml:space="preserve"> </w:t>
      </w:r>
      <w:r w:rsidRPr="001F520C">
        <w:rPr>
          <w:rFonts w:ascii="Times New Roman" w:hAnsi="Times New Roman"/>
          <w:szCs w:val="24"/>
        </w:rPr>
        <w:t>1817-1826.</w:t>
      </w:r>
    </w:p>
    <w:p w14:paraId="463F0CCD" w14:textId="77777777" w:rsidR="00503349" w:rsidRDefault="00503349" w:rsidP="00503349">
      <w:pPr>
        <w:spacing w:before="240" w:after="0"/>
        <w:jc w:val="both"/>
        <w:rPr>
          <w:rFonts w:ascii="Times New Roman" w:hAnsi="Times New Roman"/>
          <w:szCs w:val="24"/>
        </w:rPr>
      </w:pPr>
      <w:r>
        <w:rPr>
          <w:rFonts w:ascii="Times New Roman" w:hAnsi="Times New Roman"/>
          <w:szCs w:val="24"/>
        </w:rPr>
        <w:t>Hussein, S., 2018. The English social care workforce: the vexed question of low wages and stress. In: K. Christensen and D. Billing, eds. 2018. R</w:t>
      </w:r>
      <w:r>
        <w:rPr>
          <w:rFonts w:ascii="Times New Roman" w:hAnsi="Times New Roman"/>
          <w:i/>
          <w:szCs w:val="24"/>
        </w:rPr>
        <w:t>esearch companion to care work around the world</w:t>
      </w:r>
      <w:r>
        <w:rPr>
          <w:rFonts w:ascii="Times New Roman" w:hAnsi="Times New Roman"/>
          <w:szCs w:val="24"/>
        </w:rPr>
        <w:t>. London: Routledge.</w:t>
      </w:r>
    </w:p>
    <w:p w14:paraId="7BDAFAE5" w14:textId="77777777" w:rsidR="00503349" w:rsidRDefault="00503349" w:rsidP="00503349">
      <w:pPr>
        <w:spacing w:before="240" w:after="0"/>
        <w:jc w:val="both"/>
        <w:rPr>
          <w:rFonts w:ascii="Times New Roman" w:hAnsi="Times New Roman"/>
          <w:szCs w:val="24"/>
        </w:rPr>
      </w:pPr>
      <w:r>
        <w:rPr>
          <w:rFonts w:ascii="Times New Roman" w:hAnsi="Times New Roman"/>
          <w:szCs w:val="24"/>
        </w:rPr>
        <w:t xml:space="preserve">Hussein, S., Moriarty, J., Stevens, M., Sharpe, E. and Manthorpe, J., 2014. Organisational factors, job satisfaction and intention to leave among newly qualified social workers in England. </w:t>
      </w:r>
      <w:r>
        <w:rPr>
          <w:rFonts w:ascii="Times New Roman" w:hAnsi="Times New Roman"/>
          <w:i/>
          <w:iCs/>
          <w:szCs w:val="24"/>
        </w:rPr>
        <w:t>Social Work Education</w:t>
      </w:r>
      <w:r>
        <w:rPr>
          <w:rFonts w:ascii="Times New Roman" w:hAnsi="Times New Roman"/>
          <w:szCs w:val="24"/>
        </w:rPr>
        <w:t>, 33(3), pp. 381-396.</w:t>
      </w:r>
    </w:p>
    <w:p w14:paraId="1AD82F03" w14:textId="77777777" w:rsidR="00503349" w:rsidRPr="000A56C6" w:rsidRDefault="00503349" w:rsidP="00503349">
      <w:pPr>
        <w:spacing w:before="240"/>
        <w:jc w:val="both"/>
        <w:rPr>
          <w:rFonts w:ascii="Times New Roman" w:hAnsi="Times New Roman"/>
          <w:szCs w:val="24"/>
        </w:rPr>
      </w:pPr>
      <w:r w:rsidRPr="00AB40E2">
        <w:rPr>
          <w:rFonts w:ascii="Times New Roman" w:hAnsi="Times New Roman"/>
          <w:szCs w:val="24"/>
        </w:rPr>
        <w:lastRenderedPageBreak/>
        <w:t xml:space="preserve">Hussein, S., Stevens, M. and Manthorpe, J., 2011. What drives the recruitment of migrant workers to work in social care in England? </w:t>
      </w:r>
      <w:r w:rsidRPr="00AB40E2">
        <w:rPr>
          <w:rFonts w:ascii="Times New Roman" w:hAnsi="Times New Roman"/>
          <w:i/>
          <w:szCs w:val="24"/>
        </w:rPr>
        <w:t>Social Policy and Society</w:t>
      </w:r>
      <w:r w:rsidRPr="00AB40E2">
        <w:rPr>
          <w:rFonts w:ascii="Times New Roman" w:hAnsi="Times New Roman"/>
          <w:szCs w:val="24"/>
        </w:rPr>
        <w:t>, 10, pp. 285-298.</w:t>
      </w:r>
    </w:p>
    <w:p w14:paraId="72903777"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Hussein, S., Stevens, S. and Manthorpe, J., 2010. </w:t>
      </w:r>
      <w:r w:rsidRPr="000A56C6">
        <w:rPr>
          <w:rFonts w:ascii="Times New Roman" w:hAnsi="Times New Roman"/>
          <w:i/>
          <w:iCs/>
          <w:szCs w:val="24"/>
        </w:rPr>
        <w:t>International Social Care Workers in England: Profile, Motivations, Experiences and Future Expectations: Final Report</w:t>
      </w:r>
      <w:r w:rsidRPr="000A56C6">
        <w:rPr>
          <w:rFonts w:ascii="Times New Roman" w:hAnsi="Times New Roman"/>
          <w:szCs w:val="24"/>
        </w:rPr>
        <w:t>. London: Social Care Workforce Research Unit, King’s College London.</w:t>
      </w:r>
    </w:p>
    <w:p w14:paraId="21ACC4F9"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Hussein, S., Stevens, S. and Manthorpe, J., 2013. Migrants' motivations to work in the care sector: experiences from England within the Context of EU Enlargement. </w:t>
      </w:r>
      <w:r w:rsidRPr="000A56C6">
        <w:rPr>
          <w:rFonts w:ascii="Times New Roman" w:hAnsi="Times New Roman"/>
          <w:i/>
          <w:szCs w:val="24"/>
        </w:rPr>
        <w:t>European Journal of Ageing</w:t>
      </w:r>
      <w:r w:rsidRPr="000A56C6">
        <w:rPr>
          <w:rFonts w:ascii="Times New Roman" w:hAnsi="Times New Roman"/>
          <w:szCs w:val="24"/>
        </w:rPr>
        <w:t>, 10(2), pp. 101–109.</w:t>
      </w:r>
    </w:p>
    <w:p w14:paraId="7C0D37EE"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Husserl, E., 2000. Ideas Pertaining to a Pure Phenomenology and to a Phenomenological Philosophy: Second Book: Studies in the Phenomenology of Constitution. Translated by R. Rojcewicz &amp; A. Schuwer. Dordrecht: Kluwer Academic Publisher.</w:t>
      </w:r>
    </w:p>
    <w:p w14:paraId="22279D80"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Iavarone, A., Ziello, A.R., Pastore, F., Fasanaro, A.M. and Poderico, C., 2014. Caregiver burden and coping strategies in caregivers of patients with Alzheimer’s disease. </w:t>
      </w:r>
      <w:r w:rsidRPr="000A56C6">
        <w:rPr>
          <w:rFonts w:ascii="Times New Roman" w:hAnsi="Times New Roman"/>
          <w:i/>
          <w:szCs w:val="24"/>
        </w:rPr>
        <w:t>Neuropsychiatric Disease and Treatment</w:t>
      </w:r>
      <w:r w:rsidRPr="000A56C6">
        <w:rPr>
          <w:rFonts w:ascii="Times New Roman" w:hAnsi="Times New Roman"/>
          <w:szCs w:val="24"/>
        </w:rPr>
        <w:t>, 10, pp. 1407-1413.</w:t>
      </w:r>
    </w:p>
    <w:p w14:paraId="64D1EAAD" w14:textId="77777777" w:rsidR="00503349" w:rsidRPr="00DA2952" w:rsidRDefault="00503349" w:rsidP="00503349">
      <w:pPr>
        <w:rPr>
          <w:rFonts w:ascii="Times New Roman" w:hAnsi="Times New Roman"/>
          <w:szCs w:val="24"/>
        </w:rPr>
      </w:pPr>
      <w:r w:rsidRPr="00DA2952">
        <w:rPr>
          <w:rFonts w:ascii="Times" w:hAnsi="Times" w:cs="Times"/>
          <w:szCs w:val="24"/>
        </w:rPr>
        <w:t xml:space="preserve">Idogo, G., 2015. Impact of technology and social change on the family in Nigeria. In: S. Majumdar, S. Guha &amp; N. Marakkath, eds. </w:t>
      </w:r>
      <w:r w:rsidRPr="00DA2952">
        <w:rPr>
          <w:rFonts w:ascii="Times" w:hAnsi="Times" w:cs="Times"/>
          <w:i/>
          <w:iCs/>
          <w:szCs w:val="24"/>
        </w:rPr>
        <w:t>Technology and Innovation for Social Change</w:t>
      </w:r>
      <w:r w:rsidRPr="00DA2952">
        <w:rPr>
          <w:rFonts w:ascii="Times" w:hAnsi="Times" w:cs="Times"/>
          <w:szCs w:val="24"/>
        </w:rPr>
        <w:t>. New Delhi: Springer, pp. 1-3.</w:t>
      </w:r>
    </w:p>
    <w:p w14:paraId="6424CB02"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Iecovich, E., 2011. Quality of relationships between care recipients and their primary caregivers and its effect on caregivers' burden and satisfaction in Israel. </w:t>
      </w:r>
      <w:r w:rsidRPr="002B3011">
        <w:rPr>
          <w:rFonts w:ascii="Times New Roman" w:hAnsi="Times New Roman"/>
          <w:i/>
          <w:szCs w:val="24"/>
        </w:rPr>
        <w:t>Journal of Gerontological Social Work</w:t>
      </w:r>
      <w:r w:rsidRPr="002B3011">
        <w:rPr>
          <w:rFonts w:ascii="Times New Roman" w:hAnsi="Times New Roman"/>
          <w:szCs w:val="24"/>
        </w:rPr>
        <w:t>, 54(6), pp. 570-591.</w:t>
      </w:r>
    </w:p>
    <w:p w14:paraId="24B6E1AD" w14:textId="6CB4C176" w:rsidR="00503349" w:rsidRDefault="00503349" w:rsidP="00503349">
      <w:pPr>
        <w:jc w:val="both"/>
        <w:rPr>
          <w:rFonts w:ascii="Times New Roman" w:hAnsi="Times New Roman"/>
          <w:szCs w:val="24"/>
        </w:rPr>
      </w:pPr>
      <w:r w:rsidRPr="000A56C6">
        <w:rPr>
          <w:rFonts w:ascii="Times New Roman" w:hAnsi="Times New Roman"/>
          <w:szCs w:val="24"/>
        </w:rPr>
        <w:t xml:space="preserve">Ingebretsen, R. and Solem, P.E., 2002. Attachment, loss and coping in caring for a dementing spouse. In: B. Miesen &amp; G. Jones, eds. </w:t>
      </w:r>
      <w:r w:rsidRPr="000A56C6">
        <w:rPr>
          <w:rFonts w:ascii="Times New Roman" w:hAnsi="Times New Roman"/>
          <w:i/>
          <w:iCs/>
          <w:szCs w:val="24"/>
        </w:rPr>
        <w:t>Care giving in dementia – Research and Applications</w:t>
      </w:r>
      <w:r w:rsidRPr="000A56C6">
        <w:rPr>
          <w:rFonts w:ascii="Times New Roman" w:hAnsi="Times New Roman"/>
          <w:szCs w:val="24"/>
        </w:rPr>
        <w:t>. London: Routledge.</w:t>
      </w:r>
    </w:p>
    <w:p w14:paraId="16FC5D54" w14:textId="77777777" w:rsidR="00503349" w:rsidRDefault="00503349" w:rsidP="00503349">
      <w:pPr>
        <w:jc w:val="both"/>
        <w:rPr>
          <w:rFonts w:ascii="Times New Roman" w:hAnsi="Times New Roman"/>
          <w:szCs w:val="24"/>
        </w:rPr>
      </w:pPr>
      <w:r>
        <w:rPr>
          <w:rFonts w:ascii="Times New Roman" w:hAnsi="Times New Roman"/>
          <w:szCs w:val="24"/>
        </w:rPr>
        <w:t xml:space="preserve">International Organisation for Migration, IOM, 2011. Glossary on Migration. </w:t>
      </w:r>
      <w:r>
        <w:rPr>
          <w:rFonts w:ascii="Times New Roman" w:hAnsi="Times New Roman"/>
          <w:i/>
          <w:iCs/>
          <w:szCs w:val="24"/>
        </w:rPr>
        <w:t>International Migration Law Series</w:t>
      </w:r>
      <w:r>
        <w:rPr>
          <w:rFonts w:ascii="Times New Roman" w:hAnsi="Times New Roman"/>
          <w:szCs w:val="24"/>
        </w:rPr>
        <w:t>, No. 25.</w:t>
      </w:r>
    </w:p>
    <w:p w14:paraId="6A950AD2" w14:textId="77777777" w:rsidR="00503349" w:rsidRDefault="00503349" w:rsidP="00503349">
      <w:pPr>
        <w:rPr>
          <w:rFonts w:ascii="Times New Roman" w:hAnsi="Times New Roman"/>
          <w:szCs w:val="24"/>
        </w:rPr>
      </w:pPr>
      <w:r w:rsidRPr="00AB40E2">
        <w:rPr>
          <w:rFonts w:ascii="Times New Roman" w:hAnsi="Times New Roman"/>
          <w:szCs w:val="24"/>
        </w:rPr>
        <w:lastRenderedPageBreak/>
        <w:t xml:space="preserve">Irwin, M., Hauger, R., Patterson, T.L., Semple, S.J., Ziegler, M. and Grant, I., 1997. Alzheimer caregiver stress: basal natural killer cells activity, pituitary-adrenocortical function and sympathetic tone. </w:t>
      </w:r>
      <w:r w:rsidRPr="00AB40E2">
        <w:rPr>
          <w:rFonts w:ascii="Times New Roman" w:hAnsi="Times New Roman"/>
          <w:i/>
          <w:szCs w:val="24"/>
        </w:rPr>
        <w:t>Annals Behavioral Medicine</w:t>
      </w:r>
      <w:r w:rsidRPr="00AB40E2">
        <w:rPr>
          <w:rFonts w:ascii="Times New Roman" w:hAnsi="Times New Roman"/>
          <w:szCs w:val="24"/>
        </w:rPr>
        <w:t>, 19, pp. 83-90.</w:t>
      </w:r>
    </w:p>
    <w:p w14:paraId="72CD1A0A" w14:textId="77777777" w:rsidR="00503349" w:rsidRDefault="00503349" w:rsidP="00503349">
      <w:pPr>
        <w:tabs>
          <w:tab w:val="left" w:pos="5445"/>
        </w:tabs>
        <w:jc w:val="both"/>
        <w:rPr>
          <w:rFonts w:ascii="Times New Roman" w:hAnsi="Times New Roman"/>
          <w:szCs w:val="24"/>
        </w:rPr>
      </w:pPr>
      <w:r w:rsidRPr="00636BD8">
        <w:rPr>
          <w:rFonts w:ascii="Times New Roman" w:hAnsi="Times New Roman"/>
          <w:szCs w:val="24"/>
        </w:rPr>
        <w:t>Jagger, C., Matthews, R., Lindesay, J., Robinson, T., Croft, P. and Brayne, C., 2009. The effect of dementia trends and treatments on longevity and disability: a simulation model based on the MRC Cognitive Function and Ageing Study (MRC CFAS). </w:t>
      </w:r>
      <w:r w:rsidRPr="00636BD8">
        <w:rPr>
          <w:rFonts w:ascii="Times New Roman" w:hAnsi="Times New Roman"/>
          <w:i/>
          <w:iCs/>
          <w:szCs w:val="24"/>
        </w:rPr>
        <w:t>Age and Ageing</w:t>
      </w:r>
      <w:r w:rsidRPr="00636BD8">
        <w:rPr>
          <w:rFonts w:ascii="Times New Roman" w:hAnsi="Times New Roman"/>
          <w:szCs w:val="24"/>
        </w:rPr>
        <w:t>, </w:t>
      </w:r>
      <w:r w:rsidRPr="00B74555">
        <w:rPr>
          <w:rFonts w:ascii="Times New Roman" w:hAnsi="Times New Roman"/>
          <w:szCs w:val="24"/>
        </w:rPr>
        <w:t>38</w:t>
      </w:r>
      <w:r w:rsidRPr="00636BD8">
        <w:rPr>
          <w:rFonts w:ascii="Times New Roman" w:hAnsi="Times New Roman"/>
          <w:szCs w:val="24"/>
        </w:rPr>
        <w:t>(3), pp.</w:t>
      </w:r>
      <w:r>
        <w:rPr>
          <w:rFonts w:ascii="Times New Roman" w:hAnsi="Times New Roman"/>
          <w:szCs w:val="24"/>
        </w:rPr>
        <w:t xml:space="preserve"> </w:t>
      </w:r>
      <w:r w:rsidRPr="00636BD8">
        <w:rPr>
          <w:rFonts w:ascii="Times New Roman" w:hAnsi="Times New Roman"/>
          <w:szCs w:val="24"/>
        </w:rPr>
        <w:t>319-325.</w:t>
      </w:r>
    </w:p>
    <w:p w14:paraId="416CE639"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James, J., Butler‐Williams, C., Hunt, J. and Cox, H., 2010. Vital signs for vital people: an exploratory study into the role of the healthcare assistant in recognising, recording and responding to the acutely ill patient in the general ward setting. </w:t>
      </w:r>
      <w:r w:rsidRPr="00CF1AE8">
        <w:rPr>
          <w:rFonts w:ascii="Times New Roman" w:hAnsi="Times New Roman"/>
          <w:i/>
          <w:iCs/>
          <w:szCs w:val="24"/>
        </w:rPr>
        <w:t>Nursing Management</w:t>
      </w:r>
      <w:r w:rsidRPr="00CF1AE8">
        <w:rPr>
          <w:rFonts w:ascii="Times New Roman" w:hAnsi="Times New Roman"/>
          <w:szCs w:val="24"/>
        </w:rPr>
        <w:t xml:space="preserve">, </w:t>
      </w:r>
      <w:r w:rsidRPr="00CF1AE8">
        <w:rPr>
          <w:rFonts w:ascii="Times New Roman" w:hAnsi="Times New Roman"/>
          <w:bCs/>
          <w:szCs w:val="24"/>
        </w:rPr>
        <w:t>18</w:t>
      </w:r>
      <w:r w:rsidRPr="00CF1AE8">
        <w:rPr>
          <w:rFonts w:ascii="Times New Roman" w:hAnsi="Times New Roman"/>
          <w:szCs w:val="24"/>
        </w:rPr>
        <w:t>(5), pp. 548-555.</w:t>
      </w:r>
    </w:p>
    <w:p w14:paraId="09C8E477" w14:textId="77777777" w:rsidR="00503349" w:rsidRDefault="00503349" w:rsidP="00503349">
      <w:pPr>
        <w:jc w:val="both"/>
        <w:rPr>
          <w:rFonts w:ascii="Times New Roman" w:hAnsi="Times New Roman"/>
          <w:szCs w:val="24"/>
        </w:rPr>
      </w:pPr>
      <w:r>
        <w:rPr>
          <w:rFonts w:ascii="Times New Roman" w:hAnsi="Times New Roman"/>
          <w:szCs w:val="24"/>
        </w:rPr>
        <w:t>James, P. and Karmowska, J., 2012. Unions and migrant workers: strategic challenges in Britain. </w:t>
      </w:r>
      <w:r>
        <w:rPr>
          <w:rFonts w:ascii="Times New Roman" w:hAnsi="Times New Roman"/>
          <w:i/>
          <w:iCs/>
          <w:szCs w:val="24"/>
        </w:rPr>
        <w:t>Transfer: European Review of Labour and Research</w:t>
      </w:r>
      <w:r>
        <w:rPr>
          <w:rFonts w:ascii="Times New Roman" w:hAnsi="Times New Roman"/>
          <w:szCs w:val="24"/>
        </w:rPr>
        <w:t>, 18(2), pp. 201-212.</w:t>
      </w:r>
    </w:p>
    <w:p w14:paraId="7AF14ED7"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Janevic, M.R. and Connell, C.M., 2001. </w:t>
      </w:r>
      <w:r w:rsidRPr="002B3011">
        <w:rPr>
          <w:rFonts w:ascii="Times New Roman" w:hAnsi="Times New Roman"/>
          <w:bCs/>
          <w:szCs w:val="24"/>
        </w:rPr>
        <w:t xml:space="preserve">Racial, ethnic, and cultural differences in the dementia caregiving experience: recent findings. </w:t>
      </w:r>
      <w:r w:rsidRPr="002B3011">
        <w:rPr>
          <w:rFonts w:ascii="Times New Roman" w:hAnsi="Times New Roman"/>
          <w:i/>
          <w:szCs w:val="24"/>
        </w:rPr>
        <w:t>The Gerontologist</w:t>
      </w:r>
      <w:r w:rsidRPr="002B3011">
        <w:rPr>
          <w:rFonts w:ascii="Times New Roman" w:hAnsi="Times New Roman"/>
          <w:szCs w:val="24"/>
        </w:rPr>
        <w:t>, 41 (3), pp. 334-347.</w:t>
      </w:r>
    </w:p>
    <w:p w14:paraId="166A955B"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Jang, Y., Chiriboga, D.A. and Okazaki, S., 2009. Attitudes toward mental health services: Age group differences in Korean American adults. </w:t>
      </w:r>
      <w:r w:rsidRPr="00DA2952">
        <w:rPr>
          <w:rFonts w:ascii="Times New Roman" w:hAnsi="Times New Roman"/>
          <w:i/>
          <w:szCs w:val="24"/>
        </w:rPr>
        <w:t>Aging &amp; Mental Health</w:t>
      </w:r>
      <w:r w:rsidRPr="00DA2952">
        <w:rPr>
          <w:rFonts w:ascii="Times New Roman" w:hAnsi="Times New Roman"/>
          <w:szCs w:val="24"/>
        </w:rPr>
        <w:t>, 13, pp. 127-134.</w:t>
      </w:r>
    </w:p>
    <w:p w14:paraId="11F0724B"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Jansen, W.J., Wilson, R.S., Visser, P.J., Nag, S., Schneider, J.A., James, B.D., Leurgans, S.E., Capuano, A.W., Bennett, D.A. and Boyle, P.A., 2018. Age and the association of dementia-related pathology with trajectories of cognitive decline. </w:t>
      </w:r>
      <w:r w:rsidRPr="00DA2952">
        <w:rPr>
          <w:rFonts w:ascii="Times New Roman" w:hAnsi="Times New Roman"/>
          <w:i/>
          <w:iCs/>
          <w:szCs w:val="24"/>
        </w:rPr>
        <w:t>Neurobiology of Aging</w:t>
      </w:r>
      <w:r w:rsidRPr="00DA2952">
        <w:rPr>
          <w:rFonts w:ascii="Times New Roman" w:hAnsi="Times New Roman"/>
          <w:szCs w:val="24"/>
        </w:rPr>
        <w:t>, 61, pp. 138-145.</w:t>
      </w:r>
    </w:p>
    <w:p w14:paraId="505D5D7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Jansson, W., Almberg, B., Grafström, M. and Winblad, B., 1998. A daughter is a daughter for the whole of her life: a study of daughters’ responsibility for parents with dementia. </w:t>
      </w:r>
      <w:r w:rsidRPr="002B3011">
        <w:rPr>
          <w:rFonts w:ascii="Times New Roman" w:hAnsi="Times New Roman"/>
          <w:i/>
          <w:szCs w:val="24"/>
        </w:rPr>
        <w:t>Health Care in Later Life</w:t>
      </w:r>
      <w:r w:rsidRPr="002B3011">
        <w:rPr>
          <w:rFonts w:ascii="Times New Roman" w:hAnsi="Times New Roman"/>
          <w:szCs w:val="24"/>
        </w:rPr>
        <w:t>, 3, pp. 272-284.</w:t>
      </w:r>
    </w:p>
    <w:p w14:paraId="28D89818" w14:textId="77777777" w:rsidR="00503349" w:rsidRPr="005A2924" w:rsidRDefault="00503349" w:rsidP="00503349">
      <w:pPr>
        <w:jc w:val="both"/>
        <w:rPr>
          <w:rFonts w:ascii="Times New Roman" w:hAnsi="Times New Roman"/>
          <w:bCs/>
          <w:szCs w:val="24"/>
          <w:bdr w:val="none" w:sz="0" w:space="0" w:color="auto" w:frame="1"/>
        </w:rPr>
      </w:pPr>
      <w:r w:rsidRPr="002B3011">
        <w:rPr>
          <w:rFonts w:ascii="Times New Roman" w:hAnsi="Times New Roman"/>
          <w:szCs w:val="24"/>
          <w:bdr w:val="none" w:sz="0" w:space="0" w:color="auto" w:frame="1"/>
        </w:rPr>
        <w:lastRenderedPageBreak/>
        <w:t xml:space="preserve">Jervis, L., Boland, M. and Fickenscher, A., 2010. American Indian family caregivers’ experiences with helping elders. </w:t>
      </w:r>
      <w:r w:rsidRPr="002B3011">
        <w:rPr>
          <w:rFonts w:ascii="Times New Roman" w:hAnsi="Times New Roman"/>
          <w:i/>
          <w:szCs w:val="24"/>
          <w:bdr w:val="none" w:sz="0" w:space="0" w:color="auto" w:frame="1"/>
        </w:rPr>
        <w:t>Journal of Cross</w:t>
      </w:r>
      <w:r>
        <w:rPr>
          <w:rFonts w:ascii="Times New Roman" w:hAnsi="Times New Roman"/>
          <w:i/>
          <w:szCs w:val="24"/>
          <w:bdr w:val="none" w:sz="0" w:space="0" w:color="auto" w:frame="1"/>
        </w:rPr>
        <w:t>-</w:t>
      </w:r>
      <w:r w:rsidRPr="002B3011">
        <w:rPr>
          <w:rFonts w:ascii="Times New Roman" w:hAnsi="Times New Roman"/>
          <w:i/>
          <w:szCs w:val="24"/>
          <w:bdr w:val="none" w:sz="0" w:space="0" w:color="auto" w:frame="1"/>
        </w:rPr>
        <w:t>Cultural Gerontology</w:t>
      </w:r>
      <w:r w:rsidRPr="002B3011">
        <w:rPr>
          <w:rFonts w:ascii="Times New Roman" w:hAnsi="Times New Roman"/>
          <w:szCs w:val="24"/>
          <w:bdr w:val="none" w:sz="0" w:space="0" w:color="auto" w:frame="1"/>
        </w:rPr>
        <w:t>, 25, pp. 355-369.</w:t>
      </w:r>
    </w:p>
    <w:p w14:paraId="184FAB16" w14:textId="77777777" w:rsidR="00503349" w:rsidRDefault="00503349" w:rsidP="00503349">
      <w:pPr>
        <w:tabs>
          <w:tab w:val="left" w:pos="5445"/>
        </w:tabs>
        <w:rPr>
          <w:rFonts w:ascii="Times New Roman" w:hAnsi="Times New Roman"/>
          <w:szCs w:val="24"/>
        </w:rPr>
      </w:pPr>
      <w:r w:rsidRPr="00855DF3">
        <w:rPr>
          <w:rFonts w:ascii="Times New Roman" w:hAnsi="Times New Roman"/>
          <w:szCs w:val="24"/>
        </w:rPr>
        <w:t>Johnson M.R.D., Allsop J., Clark M.D.</w:t>
      </w:r>
      <w:r>
        <w:rPr>
          <w:rFonts w:ascii="Times New Roman" w:hAnsi="Times New Roman"/>
          <w:szCs w:val="24"/>
        </w:rPr>
        <w:t xml:space="preserve">, </w:t>
      </w:r>
      <w:r w:rsidRPr="00F25632">
        <w:rPr>
          <w:rFonts w:ascii="Times New Roman" w:hAnsi="Times New Roman"/>
          <w:szCs w:val="24"/>
        </w:rPr>
        <w:t>Davies</w:t>
      </w:r>
      <w:r>
        <w:rPr>
          <w:rFonts w:ascii="Times New Roman" w:hAnsi="Times New Roman"/>
          <w:szCs w:val="24"/>
        </w:rPr>
        <w:t>, C.,</w:t>
      </w:r>
      <w:r w:rsidRPr="00F25632">
        <w:rPr>
          <w:rFonts w:ascii="Times New Roman" w:hAnsi="Times New Roman"/>
          <w:szCs w:val="24"/>
        </w:rPr>
        <w:t xml:space="preserve"> Biggerstaff</w:t>
      </w:r>
      <w:r>
        <w:rPr>
          <w:rFonts w:ascii="Times New Roman" w:hAnsi="Times New Roman"/>
          <w:szCs w:val="24"/>
        </w:rPr>
        <w:t xml:space="preserve">, D., </w:t>
      </w:r>
      <w:r w:rsidRPr="00F25632">
        <w:rPr>
          <w:rFonts w:ascii="Times New Roman" w:hAnsi="Times New Roman"/>
          <w:szCs w:val="24"/>
        </w:rPr>
        <w:t>Genders</w:t>
      </w:r>
      <w:r>
        <w:rPr>
          <w:rFonts w:ascii="Times New Roman" w:hAnsi="Times New Roman"/>
          <w:szCs w:val="24"/>
        </w:rPr>
        <w:t>, N. and</w:t>
      </w:r>
      <w:r w:rsidRPr="00F25632">
        <w:rPr>
          <w:rFonts w:ascii="Times New Roman" w:hAnsi="Times New Roman"/>
          <w:szCs w:val="24"/>
        </w:rPr>
        <w:t xml:space="preserve"> Saks</w:t>
      </w:r>
      <w:r>
        <w:rPr>
          <w:rFonts w:ascii="Times New Roman" w:hAnsi="Times New Roman"/>
          <w:szCs w:val="24"/>
        </w:rPr>
        <w:t xml:space="preserve">, M., </w:t>
      </w:r>
      <w:r w:rsidRPr="00855DF3">
        <w:rPr>
          <w:rFonts w:ascii="Times New Roman" w:hAnsi="Times New Roman"/>
          <w:szCs w:val="24"/>
        </w:rPr>
        <w:t>2002</w:t>
      </w:r>
      <w:r>
        <w:rPr>
          <w:rFonts w:ascii="Times New Roman" w:hAnsi="Times New Roman"/>
          <w:szCs w:val="24"/>
        </w:rPr>
        <w:t>.</w:t>
      </w:r>
      <w:r w:rsidRPr="00855DF3">
        <w:rPr>
          <w:rFonts w:ascii="Times New Roman" w:hAnsi="Times New Roman"/>
          <w:szCs w:val="24"/>
        </w:rPr>
        <w:t xml:space="preserve"> </w:t>
      </w:r>
      <w:r w:rsidRPr="00B74555">
        <w:rPr>
          <w:rFonts w:ascii="Times New Roman" w:hAnsi="Times New Roman"/>
          <w:i/>
          <w:iCs/>
          <w:szCs w:val="24"/>
        </w:rPr>
        <w:t>Future Health Worker Project: Regulation of Health Care Assistants</w:t>
      </w:r>
      <w:r w:rsidRPr="00855DF3">
        <w:rPr>
          <w:rFonts w:ascii="Times New Roman" w:hAnsi="Times New Roman"/>
          <w:szCs w:val="24"/>
        </w:rPr>
        <w:t xml:space="preserve">. </w:t>
      </w:r>
      <w:r w:rsidRPr="003E3556">
        <w:rPr>
          <w:rFonts w:ascii="Times New Roman" w:hAnsi="Times New Roman"/>
          <w:szCs w:val="24"/>
        </w:rPr>
        <w:t>London: Institute for Public Policy Research</w:t>
      </w:r>
      <w:r>
        <w:rPr>
          <w:rFonts w:ascii="Times New Roman" w:hAnsi="Times New Roman"/>
          <w:szCs w:val="24"/>
        </w:rPr>
        <w:t xml:space="preserve"> (</w:t>
      </w:r>
      <w:r w:rsidRPr="00855DF3">
        <w:rPr>
          <w:rFonts w:ascii="Times New Roman" w:hAnsi="Times New Roman"/>
          <w:szCs w:val="24"/>
        </w:rPr>
        <w:t>IPPR</w:t>
      </w:r>
      <w:r>
        <w:rPr>
          <w:rFonts w:ascii="Times New Roman" w:hAnsi="Times New Roman"/>
          <w:szCs w:val="24"/>
        </w:rPr>
        <w:t>).</w:t>
      </w:r>
      <w:r w:rsidRPr="00855DF3">
        <w:rPr>
          <w:rFonts w:ascii="Times New Roman" w:hAnsi="Times New Roman"/>
          <w:szCs w:val="24"/>
        </w:rPr>
        <w:t xml:space="preserve"> Available at:</w:t>
      </w:r>
      <w:r>
        <w:rPr>
          <w:rFonts w:ascii="Times New Roman" w:hAnsi="Times New Roman"/>
          <w:szCs w:val="24"/>
        </w:rPr>
        <w:t xml:space="preserve"> &lt;</w:t>
      </w:r>
      <w:r w:rsidRPr="00F25632">
        <w:rPr>
          <w:rFonts w:ascii="Times New Roman" w:hAnsi="Times New Roman"/>
          <w:szCs w:val="24"/>
        </w:rPr>
        <w:t>https://www.ippr.org/files/uploadedFiles/projects/RegulationHealthCareAssis.PDF</w:t>
      </w:r>
      <w:r>
        <w:rPr>
          <w:rFonts w:ascii="Times New Roman" w:hAnsi="Times New Roman"/>
          <w:szCs w:val="24"/>
        </w:rPr>
        <w:t>&gt;[A</w:t>
      </w:r>
      <w:r w:rsidRPr="00855DF3">
        <w:rPr>
          <w:rFonts w:ascii="Times New Roman" w:hAnsi="Times New Roman"/>
          <w:szCs w:val="24"/>
        </w:rPr>
        <w:t xml:space="preserve">ccessed 23 </w:t>
      </w:r>
      <w:r>
        <w:rPr>
          <w:rFonts w:ascii="Times New Roman" w:hAnsi="Times New Roman"/>
          <w:szCs w:val="24"/>
        </w:rPr>
        <w:t>Dec</w:t>
      </w:r>
      <w:r w:rsidRPr="00855DF3">
        <w:rPr>
          <w:rFonts w:ascii="Times New Roman" w:hAnsi="Times New Roman"/>
          <w:szCs w:val="24"/>
        </w:rPr>
        <w:t>ember 20</w:t>
      </w:r>
      <w:r>
        <w:rPr>
          <w:rFonts w:ascii="Times New Roman" w:hAnsi="Times New Roman"/>
          <w:szCs w:val="24"/>
        </w:rPr>
        <w:t>19].</w:t>
      </w:r>
    </w:p>
    <w:p w14:paraId="436320B7" w14:textId="77777777" w:rsidR="00503349" w:rsidRDefault="00503349" w:rsidP="00503349">
      <w:pPr>
        <w:rPr>
          <w:rFonts w:ascii="Times" w:hAnsi="Times" w:cs="Times"/>
          <w:szCs w:val="24"/>
        </w:rPr>
      </w:pPr>
      <w:r w:rsidRPr="008D6609">
        <w:rPr>
          <w:rFonts w:ascii="Times" w:hAnsi="Times" w:cs="Times"/>
          <w:szCs w:val="24"/>
        </w:rPr>
        <w:t>Johnson, J., Hall, L.H., Berzins, K., Baker, J., Melling, K. and Thompson, C., 2018. Mental healthcare staff well‐being and burnout: A narrative review of trends, causes, implications, and recommendations for future interventions. </w:t>
      </w:r>
      <w:r w:rsidRPr="008D6609">
        <w:rPr>
          <w:rFonts w:ascii="Times" w:hAnsi="Times" w:cs="Times"/>
          <w:i/>
          <w:iCs/>
          <w:szCs w:val="24"/>
        </w:rPr>
        <w:t xml:space="preserve">International Journal </w:t>
      </w:r>
      <w:r>
        <w:rPr>
          <w:rFonts w:ascii="Times" w:hAnsi="Times" w:cs="Times"/>
          <w:i/>
          <w:iCs/>
          <w:szCs w:val="24"/>
        </w:rPr>
        <w:t>o</w:t>
      </w:r>
      <w:r w:rsidRPr="008D6609">
        <w:rPr>
          <w:rFonts w:ascii="Times" w:hAnsi="Times" w:cs="Times"/>
          <w:i/>
          <w:iCs/>
          <w:szCs w:val="24"/>
        </w:rPr>
        <w:t>f Mental Health Nursing</w:t>
      </w:r>
      <w:r w:rsidRPr="008D6609">
        <w:rPr>
          <w:rFonts w:ascii="Times" w:hAnsi="Times" w:cs="Times"/>
          <w:szCs w:val="24"/>
        </w:rPr>
        <w:t>, 27, pp.</w:t>
      </w:r>
      <w:r>
        <w:rPr>
          <w:rFonts w:ascii="Times" w:hAnsi="Times" w:cs="Times"/>
          <w:szCs w:val="24"/>
        </w:rPr>
        <w:t xml:space="preserve"> </w:t>
      </w:r>
      <w:r w:rsidRPr="008D6609">
        <w:rPr>
          <w:rFonts w:ascii="Times" w:hAnsi="Times" w:cs="Times"/>
          <w:szCs w:val="24"/>
        </w:rPr>
        <w:t>20-32.</w:t>
      </w:r>
    </w:p>
    <w:p w14:paraId="4CEAEF63"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Jones, R.S., Chow, T.W. and Gatz, M., 2006. Asian Americans and Alzheimer’s disease: assimilation, culture, and beliefs. </w:t>
      </w:r>
      <w:r w:rsidRPr="002B3011">
        <w:rPr>
          <w:rFonts w:ascii="Times New Roman" w:hAnsi="Times New Roman"/>
          <w:i/>
          <w:iCs/>
          <w:szCs w:val="24"/>
        </w:rPr>
        <w:t>Journal of Aging Studies, 20</w:t>
      </w:r>
      <w:r w:rsidRPr="002B3011">
        <w:rPr>
          <w:rFonts w:ascii="Times New Roman" w:hAnsi="Times New Roman"/>
          <w:szCs w:val="24"/>
        </w:rPr>
        <w:t>(1), pp. 11-25.</w:t>
      </w:r>
    </w:p>
    <w:p w14:paraId="6BEE79CF"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Jones-Berry, S., 2017. ‘No coherent workforce plan’ as NHS nurse shortage worsens. </w:t>
      </w:r>
      <w:r w:rsidRPr="000A56C6">
        <w:rPr>
          <w:rFonts w:ascii="Times New Roman" w:hAnsi="Times New Roman"/>
          <w:i/>
          <w:iCs/>
          <w:szCs w:val="24"/>
        </w:rPr>
        <w:t>Nursing Standard</w:t>
      </w:r>
      <w:r w:rsidRPr="000A56C6">
        <w:rPr>
          <w:rFonts w:ascii="Times New Roman" w:hAnsi="Times New Roman"/>
          <w:szCs w:val="24"/>
        </w:rPr>
        <w:t>, 32(11), pp.12-13.</w:t>
      </w:r>
    </w:p>
    <w:p w14:paraId="36C3FA07" w14:textId="77777777" w:rsidR="00503349" w:rsidRPr="00F91F4F" w:rsidRDefault="00503349" w:rsidP="00503349">
      <w:pPr>
        <w:jc w:val="both"/>
        <w:rPr>
          <w:rFonts w:ascii="Times New Roman" w:hAnsi="Times New Roman"/>
          <w:szCs w:val="24"/>
        </w:rPr>
      </w:pPr>
      <w:r w:rsidRPr="002058F7">
        <w:rPr>
          <w:rFonts w:ascii="Times New Roman" w:hAnsi="Times New Roman"/>
          <w:bCs/>
          <w:szCs w:val="24"/>
        </w:rPr>
        <w:t>Jönson, H., 2007. Is it racism? Skepticism and resistance towards ethnic minority care workers among older care recipients. </w:t>
      </w:r>
      <w:r w:rsidRPr="002058F7">
        <w:rPr>
          <w:rFonts w:ascii="Times New Roman" w:hAnsi="Times New Roman"/>
          <w:bCs/>
          <w:i/>
          <w:iCs/>
          <w:szCs w:val="24"/>
        </w:rPr>
        <w:t>Journal of Gerontological Social Work</w:t>
      </w:r>
      <w:r w:rsidRPr="002058F7">
        <w:rPr>
          <w:rFonts w:ascii="Times New Roman" w:hAnsi="Times New Roman"/>
          <w:bCs/>
          <w:szCs w:val="24"/>
        </w:rPr>
        <w:t>, 49(4), pp.79-96.</w:t>
      </w:r>
    </w:p>
    <w:p w14:paraId="175BB3E4"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Jootun, D. and Pryde, A., 2013. Moving and handling of patients with dementia. </w:t>
      </w:r>
      <w:r w:rsidRPr="00DA2952">
        <w:rPr>
          <w:rFonts w:ascii="Times New Roman" w:hAnsi="Times New Roman"/>
          <w:i/>
          <w:iCs/>
          <w:szCs w:val="24"/>
        </w:rPr>
        <w:t>Journal of Nursing Education and Practice</w:t>
      </w:r>
      <w:r w:rsidRPr="00DA2952">
        <w:rPr>
          <w:rFonts w:ascii="Times New Roman" w:hAnsi="Times New Roman"/>
          <w:szCs w:val="24"/>
        </w:rPr>
        <w:t>, 3(2), pp. 126-131. </w:t>
      </w:r>
    </w:p>
    <w:p w14:paraId="3410E10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Judge, K.S., Menne, H.L. and Whitlatch, C.J., 2010. </w:t>
      </w:r>
      <w:r w:rsidRPr="002B3011">
        <w:rPr>
          <w:rFonts w:ascii="Times New Roman" w:hAnsi="Times New Roman"/>
          <w:bCs/>
          <w:noProof/>
          <w:szCs w:val="24"/>
        </w:rPr>
        <w:t>Stress</w:t>
      </w:r>
      <w:r w:rsidRPr="002B3011">
        <w:rPr>
          <w:rFonts w:ascii="Times New Roman" w:hAnsi="Times New Roman"/>
          <w:bCs/>
          <w:szCs w:val="24"/>
        </w:rPr>
        <w:t xml:space="preserve"> process model for individuals with dementia. </w:t>
      </w:r>
      <w:r w:rsidRPr="002B3011">
        <w:rPr>
          <w:rFonts w:ascii="Times New Roman" w:hAnsi="Times New Roman"/>
          <w:i/>
          <w:szCs w:val="24"/>
        </w:rPr>
        <w:t>Gerontologist</w:t>
      </w:r>
      <w:r w:rsidRPr="002B3011">
        <w:rPr>
          <w:rFonts w:ascii="Times New Roman" w:hAnsi="Times New Roman"/>
          <w:szCs w:val="24"/>
        </w:rPr>
        <w:t>, 50(3), pp. 294-302.</w:t>
      </w:r>
    </w:p>
    <w:p w14:paraId="0695DA62"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Jütten, L.H., Mark, R.E. and Sitskoorn, M.M., 2018. Can the mixed virtual reality simulator Into D’mentia enhance empathy and understanding and decrease burden in informal dementia caregivers? </w:t>
      </w:r>
      <w:r w:rsidRPr="00DA2952">
        <w:rPr>
          <w:rFonts w:ascii="Times New Roman" w:hAnsi="Times New Roman"/>
          <w:i/>
          <w:szCs w:val="24"/>
        </w:rPr>
        <w:t>Dementia Geriatric Cognitive Disorders Extra</w:t>
      </w:r>
      <w:r w:rsidRPr="00DA2952">
        <w:rPr>
          <w:rFonts w:ascii="Times New Roman" w:hAnsi="Times New Roman"/>
          <w:szCs w:val="24"/>
        </w:rPr>
        <w:t>, 8, pp. 453-466.</w:t>
      </w:r>
    </w:p>
    <w:p w14:paraId="3DE79959" w14:textId="77777777" w:rsidR="00503349" w:rsidRPr="00945DA4" w:rsidRDefault="00503349" w:rsidP="00503349">
      <w:pPr>
        <w:jc w:val="both"/>
        <w:rPr>
          <w:rFonts w:ascii="Times New Roman" w:hAnsi="Times New Roman"/>
          <w:szCs w:val="24"/>
        </w:rPr>
      </w:pPr>
      <w:r w:rsidRPr="00945DA4">
        <w:rPr>
          <w:rFonts w:ascii="Times New Roman" w:hAnsi="Times New Roman"/>
          <w:szCs w:val="24"/>
        </w:rPr>
        <w:lastRenderedPageBreak/>
        <w:t>Kabitsi, N. and Powers, D.V., 2002. Spousal motivations of care for demented older adults: a cross-cultural comparison of Greek and American female caregivers. </w:t>
      </w:r>
      <w:r w:rsidRPr="00945DA4">
        <w:rPr>
          <w:rFonts w:ascii="Times New Roman" w:hAnsi="Times New Roman"/>
          <w:i/>
          <w:iCs/>
          <w:szCs w:val="24"/>
        </w:rPr>
        <w:t xml:space="preserve">Journal of Aging Studies, </w:t>
      </w:r>
      <w:r w:rsidRPr="000C2CD1">
        <w:rPr>
          <w:rFonts w:ascii="Times New Roman" w:hAnsi="Times New Roman"/>
          <w:szCs w:val="24"/>
        </w:rPr>
        <w:t>16</w:t>
      </w:r>
      <w:r w:rsidRPr="00945DA4">
        <w:rPr>
          <w:rFonts w:ascii="Times New Roman" w:hAnsi="Times New Roman"/>
          <w:szCs w:val="24"/>
        </w:rPr>
        <w:t>(4), pp. 383-399.</w:t>
      </w:r>
    </w:p>
    <w:p w14:paraId="78F2CA9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Kaiser, C.M., Williams, K.B., Mayberry, W., Braun, J. and Pozek, K.D., 2000. Effect of an oral health training program on knowledge and behavior of state agency long‐tern‐care surveyors. </w:t>
      </w:r>
      <w:r w:rsidRPr="00DA2952">
        <w:rPr>
          <w:rFonts w:ascii="Times New Roman" w:hAnsi="Times New Roman"/>
          <w:i/>
          <w:iCs/>
          <w:szCs w:val="24"/>
        </w:rPr>
        <w:t>Special Care in Dentistry</w:t>
      </w:r>
      <w:r w:rsidRPr="00DA2952">
        <w:rPr>
          <w:rFonts w:ascii="Times New Roman" w:hAnsi="Times New Roman"/>
          <w:szCs w:val="24"/>
        </w:rPr>
        <w:t>, 20, pp. 66–70. </w:t>
      </w:r>
    </w:p>
    <w:p w14:paraId="1551F159"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Kao, H. and McHugh, M., 2004. The role of caregiver gender and caregiver burden in nursing home placements for elderly Taiwanese survivors of stroke. </w:t>
      </w:r>
      <w:r w:rsidRPr="00CF1AE8">
        <w:rPr>
          <w:rFonts w:ascii="Times New Roman" w:hAnsi="Times New Roman"/>
          <w:i/>
          <w:iCs/>
          <w:szCs w:val="24"/>
        </w:rPr>
        <w:t>Res</w:t>
      </w:r>
      <w:r>
        <w:rPr>
          <w:rFonts w:ascii="Times New Roman" w:hAnsi="Times New Roman"/>
          <w:i/>
          <w:iCs/>
          <w:szCs w:val="24"/>
        </w:rPr>
        <w:t>earch in</w:t>
      </w:r>
      <w:r w:rsidRPr="00CF1AE8">
        <w:rPr>
          <w:rFonts w:ascii="Times New Roman" w:hAnsi="Times New Roman"/>
          <w:i/>
          <w:iCs/>
          <w:szCs w:val="24"/>
        </w:rPr>
        <w:t xml:space="preserve"> Nurs</w:t>
      </w:r>
      <w:r>
        <w:rPr>
          <w:rFonts w:ascii="Times New Roman" w:hAnsi="Times New Roman"/>
          <w:i/>
          <w:iCs/>
          <w:szCs w:val="24"/>
        </w:rPr>
        <w:t>ing &amp;</w:t>
      </w:r>
      <w:r w:rsidRPr="00CF1AE8">
        <w:rPr>
          <w:rFonts w:ascii="Times New Roman" w:hAnsi="Times New Roman"/>
          <w:i/>
          <w:iCs/>
          <w:szCs w:val="24"/>
        </w:rPr>
        <w:t xml:space="preserve"> Health</w:t>
      </w:r>
      <w:r w:rsidRPr="00CF1AE8">
        <w:rPr>
          <w:rFonts w:ascii="Times New Roman" w:hAnsi="Times New Roman"/>
          <w:iCs/>
          <w:szCs w:val="24"/>
        </w:rPr>
        <w:t>, 27, pp. 121-134.</w:t>
      </w:r>
    </w:p>
    <w:p w14:paraId="03A4A0B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Katz, R.V., Russell, S.L., Kegeles, S.S., Kressin, N.R., Green, B.L., Wang, M.Q., James, S.A. and Claudio, C., 2006. The Tuskegee Legacy Project: willingness of minorities to participate in biomedical research. </w:t>
      </w:r>
      <w:r w:rsidRPr="004E3E8F">
        <w:rPr>
          <w:rFonts w:ascii="Times New Roman" w:hAnsi="Times New Roman"/>
          <w:i/>
          <w:szCs w:val="24"/>
        </w:rPr>
        <w:t>Journal of Health Care of for the Poor &amp; Underserved</w:t>
      </w:r>
      <w:r w:rsidRPr="004E3E8F">
        <w:rPr>
          <w:rFonts w:ascii="Times New Roman" w:hAnsi="Times New Roman"/>
          <w:szCs w:val="24"/>
        </w:rPr>
        <w:t>, 17(4), pp. 698-715.</w:t>
      </w:r>
    </w:p>
    <w:p w14:paraId="5DB5C3CC" w14:textId="77777777" w:rsidR="00503349" w:rsidRPr="00DA2952" w:rsidRDefault="00503349" w:rsidP="00503349">
      <w:pPr>
        <w:jc w:val="both"/>
        <w:rPr>
          <w:rFonts w:ascii="Times New Roman" w:hAnsi="Times New Roman"/>
          <w:bCs/>
          <w:szCs w:val="24"/>
        </w:rPr>
      </w:pPr>
      <w:r w:rsidRPr="00DA2952">
        <w:rPr>
          <w:rFonts w:ascii="Times New Roman" w:hAnsi="Times New Roman"/>
          <w:bCs/>
          <w:szCs w:val="24"/>
        </w:rPr>
        <w:t>Keane, W.L., 1994. The patient's perspective: the Alzheimer's association. </w:t>
      </w:r>
      <w:r w:rsidRPr="00DA2952">
        <w:rPr>
          <w:rFonts w:ascii="Times New Roman" w:hAnsi="Times New Roman"/>
          <w:bCs/>
          <w:i/>
          <w:iCs/>
          <w:szCs w:val="24"/>
        </w:rPr>
        <w:t>Alzheimer Disease &amp; Associated Disorders</w:t>
      </w:r>
      <w:r w:rsidRPr="00DA2952">
        <w:rPr>
          <w:rFonts w:ascii="Times New Roman" w:hAnsi="Times New Roman"/>
          <w:bCs/>
          <w:szCs w:val="24"/>
        </w:rPr>
        <w:t>, 8, pp. 151-155.</w:t>
      </w:r>
    </w:p>
    <w:p w14:paraId="212561F9" w14:textId="77777777" w:rsidR="00503349" w:rsidRPr="00DA2952" w:rsidRDefault="00503349" w:rsidP="00503349">
      <w:pPr>
        <w:jc w:val="both"/>
        <w:rPr>
          <w:rFonts w:ascii="Times New Roman" w:hAnsi="Times New Roman"/>
          <w:bCs/>
          <w:szCs w:val="24"/>
        </w:rPr>
      </w:pPr>
      <w:r w:rsidRPr="00DA2952">
        <w:rPr>
          <w:rFonts w:ascii="Times New Roman" w:hAnsi="Times New Roman"/>
          <w:bCs/>
          <w:szCs w:val="24"/>
        </w:rPr>
        <w:t>Kehoua, G., Dubreuil, C.M., Ndamba-Bandzouzi, B., Guerchet, M., Mbelesso, P., Dartigues, J.F. and Preux, P.M., 2019. People with dementia in sub-Saharan Africa: from support to abuse by caregivers: results of EPIDEMCA-FU program in Congo. </w:t>
      </w:r>
      <w:r w:rsidRPr="00DA2952">
        <w:rPr>
          <w:rFonts w:ascii="Times New Roman" w:hAnsi="Times New Roman"/>
          <w:bCs/>
          <w:i/>
          <w:iCs/>
          <w:szCs w:val="24"/>
        </w:rPr>
        <w:t>Dementia and Geriatric Cognitive Disorders Extra</w:t>
      </w:r>
      <w:r w:rsidRPr="00DA2952">
        <w:rPr>
          <w:rFonts w:ascii="Times New Roman" w:hAnsi="Times New Roman"/>
          <w:bCs/>
          <w:szCs w:val="24"/>
        </w:rPr>
        <w:t>, 9, pp. 163-175.</w:t>
      </w:r>
    </w:p>
    <w:p w14:paraId="322C4069"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Kelley, J.D., 1994. African American caregivers: perceptions of the caregiving situation and factors influencing the delay of the institutionalization of elders with dementia. </w:t>
      </w:r>
      <w:r w:rsidRPr="002B3011">
        <w:rPr>
          <w:rFonts w:ascii="Times New Roman" w:hAnsi="Times New Roman"/>
          <w:i/>
          <w:iCs/>
          <w:szCs w:val="24"/>
        </w:rPr>
        <w:t>Association of Black</w:t>
      </w:r>
      <w:r w:rsidRPr="002B3011">
        <w:rPr>
          <w:rFonts w:ascii="Times New Roman" w:hAnsi="Times New Roman"/>
          <w:szCs w:val="24"/>
        </w:rPr>
        <w:t xml:space="preserve"> </w:t>
      </w:r>
      <w:r w:rsidRPr="002B3011">
        <w:rPr>
          <w:rFonts w:ascii="Times New Roman" w:hAnsi="Times New Roman"/>
          <w:i/>
          <w:iCs/>
          <w:szCs w:val="24"/>
        </w:rPr>
        <w:t>Nursing Faculty Journal</w:t>
      </w:r>
      <w:r w:rsidRPr="002B3011">
        <w:rPr>
          <w:rFonts w:ascii="Times New Roman" w:hAnsi="Times New Roman"/>
          <w:szCs w:val="24"/>
        </w:rPr>
        <w:t xml:space="preserve">, </w:t>
      </w:r>
      <w:r w:rsidRPr="002B3011">
        <w:rPr>
          <w:rFonts w:ascii="Times New Roman" w:hAnsi="Times New Roman"/>
          <w:iCs/>
          <w:szCs w:val="24"/>
        </w:rPr>
        <w:t xml:space="preserve">5, pp. </w:t>
      </w:r>
      <w:r w:rsidRPr="002B3011">
        <w:rPr>
          <w:rFonts w:ascii="Times New Roman" w:hAnsi="Times New Roman"/>
          <w:szCs w:val="24"/>
        </w:rPr>
        <w:t>106-109.</w:t>
      </w:r>
    </w:p>
    <w:p w14:paraId="66AFC366" w14:textId="77777777" w:rsidR="00503349" w:rsidRPr="008101DD" w:rsidRDefault="00503349" w:rsidP="00503349">
      <w:pPr>
        <w:spacing w:before="100" w:beforeAutospacing="1" w:after="100" w:afterAutospacing="1"/>
        <w:jc w:val="both"/>
        <w:rPr>
          <w:rFonts w:ascii="Times New Roman" w:hAnsi="Times New Roman"/>
          <w:szCs w:val="24"/>
        </w:rPr>
      </w:pPr>
      <w:r w:rsidRPr="008101DD">
        <w:rPr>
          <w:rFonts w:ascii="Times New Roman" w:hAnsi="Times New Roman"/>
          <w:szCs w:val="24"/>
        </w:rPr>
        <w:t>Kelly, M., Ellaway, R.H., Reid, H., Ganshorn, H., Yardley, S., Bennett, D. and Dornan</w:t>
      </w:r>
      <w:r w:rsidRPr="008101DD">
        <w:rPr>
          <w:rFonts w:ascii="Times New Roman" w:hAnsi="Times New Roman"/>
          <w:iCs/>
          <w:szCs w:val="24"/>
        </w:rPr>
        <w:t>, T., 2018.</w:t>
      </w:r>
      <w:r w:rsidRPr="008101DD">
        <w:rPr>
          <w:rFonts w:ascii="Times New Roman" w:hAnsi="Times New Roman"/>
          <w:szCs w:val="24"/>
        </w:rPr>
        <w:t xml:space="preserve"> Considering axiological integrity: a methodological analysis of qualitative evidence syntheses, and its implications for health professions education. </w:t>
      </w:r>
      <w:r w:rsidRPr="008101DD">
        <w:rPr>
          <w:rFonts w:ascii="Times New Roman" w:hAnsi="Times New Roman"/>
          <w:i/>
          <w:iCs/>
          <w:szCs w:val="24"/>
        </w:rPr>
        <w:t>Advance in Health Science Education</w:t>
      </w:r>
      <w:r w:rsidRPr="008101DD">
        <w:rPr>
          <w:rFonts w:ascii="Times New Roman" w:hAnsi="Times New Roman"/>
          <w:iCs/>
          <w:szCs w:val="24"/>
        </w:rPr>
        <w:t>,</w:t>
      </w:r>
      <w:r w:rsidRPr="008101DD">
        <w:rPr>
          <w:rFonts w:ascii="Times New Roman" w:hAnsi="Times New Roman"/>
          <w:szCs w:val="24"/>
        </w:rPr>
        <w:t xml:space="preserve"> </w:t>
      </w:r>
      <w:r w:rsidRPr="008101DD">
        <w:rPr>
          <w:rFonts w:ascii="Times New Roman" w:hAnsi="Times New Roman"/>
          <w:bCs/>
          <w:szCs w:val="24"/>
        </w:rPr>
        <w:t>23,</w:t>
      </w:r>
      <w:r w:rsidRPr="008101DD">
        <w:rPr>
          <w:rFonts w:ascii="Times New Roman" w:hAnsi="Times New Roman"/>
          <w:b/>
          <w:bCs/>
          <w:szCs w:val="24"/>
        </w:rPr>
        <w:t xml:space="preserve"> </w:t>
      </w:r>
      <w:r w:rsidRPr="008101DD">
        <w:rPr>
          <w:rFonts w:ascii="Times New Roman" w:hAnsi="Times New Roman"/>
          <w:bCs/>
          <w:szCs w:val="24"/>
        </w:rPr>
        <w:t xml:space="preserve">pp. </w:t>
      </w:r>
      <w:r w:rsidRPr="008101DD">
        <w:rPr>
          <w:rFonts w:ascii="Times New Roman" w:hAnsi="Times New Roman"/>
          <w:szCs w:val="24"/>
        </w:rPr>
        <w:t>833-851.</w:t>
      </w:r>
    </w:p>
    <w:p w14:paraId="7FE8164A" w14:textId="77777777" w:rsidR="00503349" w:rsidRDefault="00503349" w:rsidP="00503349">
      <w:pPr>
        <w:tabs>
          <w:tab w:val="left" w:pos="5445"/>
        </w:tabs>
        <w:jc w:val="both"/>
        <w:rPr>
          <w:rFonts w:ascii="Times New Roman" w:hAnsi="Times New Roman"/>
          <w:szCs w:val="24"/>
        </w:rPr>
      </w:pPr>
      <w:r w:rsidRPr="00855DF3">
        <w:rPr>
          <w:rFonts w:ascii="Times New Roman" w:hAnsi="Times New Roman"/>
          <w:szCs w:val="24"/>
        </w:rPr>
        <w:lastRenderedPageBreak/>
        <w:t>Kemp, C.L., Ball, M.M., Perkins, M.M., Hollingsworth, C. and Lepore, M.J., 2009. “I get along with most of them”: Direct care workers' relationships with residents' families in assisted living. </w:t>
      </w:r>
      <w:r w:rsidRPr="00855DF3">
        <w:rPr>
          <w:rFonts w:ascii="Times New Roman" w:hAnsi="Times New Roman"/>
          <w:i/>
          <w:iCs/>
          <w:szCs w:val="24"/>
        </w:rPr>
        <w:t>The Gerontologist</w:t>
      </w:r>
      <w:r w:rsidRPr="00855DF3">
        <w:rPr>
          <w:rFonts w:ascii="Times New Roman" w:hAnsi="Times New Roman"/>
          <w:szCs w:val="24"/>
        </w:rPr>
        <w:t>, 49(2), pp.</w:t>
      </w:r>
      <w:r>
        <w:rPr>
          <w:rFonts w:ascii="Times New Roman" w:hAnsi="Times New Roman"/>
          <w:szCs w:val="24"/>
        </w:rPr>
        <w:t xml:space="preserve"> </w:t>
      </w:r>
      <w:r w:rsidRPr="00855DF3">
        <w:rPr>
          <w:rFonts w:ascii="Times New Roman" w:hAnsi="Times New Roman"/>
          <w:szCs w:val="24"/>
        </w:rPr>
        <w:t>224-235.</w:t>
      </w:r>
    </w:p>
    <w:p w14:paraId="05AC06DA" w14:textId="77777777" w:rsidR="00503349" w:rsidRPr="00945DA4" w:rsidRDefault="00503349" w:rsidP="00503349">
      <w:pPr>
        <w:rPr>
          <w:rFonts w:ascii="Times New Roman" w:hAnsi="Times New Roman"/>
          <w:szCs w:val="24"/>
          <w:bdr w:val="none" w:sz="0" w:space="0" w:color="auto" w:frame="1"/>
        </w:rPr>
      </w:pPr>
      <w:r w:rsidRPr="00945DA4">
        <w:rPr>
          <w:rFonts w:ascii="Times New Roman" w:hAnsi="Times New Roman"/>
          <w:szCs w:val="24"/>
          <w:bdr w:val="none" w:sz="0" w:space="0" w:color="auto" w:frame="1"/>
        </w:rPr>
        <w:t>Kennedy, S. and Gheera, M., 2018. Carer’s allowance. Briefing Paper No. 00846. London: House of Commons Library. Available at: &lt;https://researchbriefings.files.parliament.uk/documents/SN00846/SN00846.pdf&gt;[Accessed 19 March 2019]</w:t>
      </w:r>
    </w:p>
    <w:p w14:paraId="338F975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Khachaturian, Z.S., 2012. Perspectives on Alzheimer’s disease: past, present and future. </w:t>
      </w:r>
      <w:r w:rsidRPr="00DA2952">
        <w:rPr>
          <w:rFonts w:ascii="Times New Roman" w:hAnsi="Times New Roman"/>
          <w:i/>
          <w:iCs/>
          <w:szCs w:val="24"/>
        </w:rPr>
        <w:t>Advances in Biological Psychiatry</w:t>
      </w:r>
      <w:bookmarkStart w:id="312" w:name="_Hlk80208974"/>
      <w:r w:rsidRPr="00DA2952">
        <w:rPr>
          <w:rFonts w:ascii="Times New Roman" w:hAnsi="Times New Roman"/>
          <w:szCs w:val="24"/>
        </w:rPr>
        <w:t>, 28, pp. 179-188.</w:t>
      </w:r>
    </w:p>
    <w:bookmarkEnd w:id="312"/>
    <w:p w14:paraId="5810D05B" w14:textId="77777777" w:rsidR="00034E94" w:rsidRDefault="00503349" w:rsidP="00034E94">
      <w:pPr>
        <w:rPr>
          <w:rFonts w:ascii="Times New Roman" w:hAnsi="Times New Roman"/>
          <w:szCs w:val="24"/>
        </w:rPr>
      </w:pPr>
      <w:r w:rsidRPr="002B3011">
        <w:rPr>
          <w:rFonts w:ascii="Times New Roman" w:hAnsi="Times New Roman"/>
          <w:szCs w:val="24"/>
        </w:rPr>
        <w:t xml:space="preserve">Khonje, V., Milligan, C., Yako, Y., Mabelane, M., Borochowitz, K.E. and de Jager, C.A., 2015. Knowledge, attitudes and beliefs about dementia in an Urban Xhosa-speaking community in South Africa. </w:t>
      </w:r>
      <w:r w:rsidRPr="002B3011">
        <w:rPr>
          <w:rFonts w:ascii="Times New Roman" w:hAnsi="Times New Roman"/>
          <w:i/>
          <w:iCs/>
          <w:szCs w:val="24"/>
        </w:rPr>
        <w:t>Advances in</w:t>
      </w:r>
      <w:r w:rsidRPr="002B3011">
        <w:rPr>
          <w:rFonts w:ascii="Times New Roman" w:hAnsi="Times New Roman"/>
          <w:szCs w:val="24"/>
        </w:rPr>
        <w:t xml:space="preserve"> </w:t>
      </w:r>
      <w:r w:rsidRPr="002B3011">
        <w:rPr>
          <w:rFonts w:ascii="Times New Roman" w:hAnsi="Times New Roman"/>
          <w:i/>
          <w:iCs/>
          <w:szCs w:val="24"/>
        </w:rPr>
        <w:t>Alzheimer’s Disease</w:t>
      </w:r>
      <w:r w:rsidRPr="002B3011">
        <w:rPr>
          <w:rFonts w:ascii="Times New Roman" w:hAnsi="Times New Roman"/>
          <w:szCs w:val="24"/>
        </w:rPr>
        <w:t xml:space="preserve">, </w:t>
      </w:r>
      <w:r w:rsidRPr="002B3011">
        <w:rPr>
          <w:rFonts w:ascii="Times New Roman" w:hAnsi="Times New Roman"/>
          <w:bCs/>
          <w:szCs w:val="24"/>
        </w:rPr>
        <w:t>4</w:t>
      </w:r>
      <w:r w:rsidRPr="002B3011">
        <w:rPr>
          <w:rFonts w:ascii="Times New Roman" w:hAnsi="Times New Roman"/>
          <w:szCs w:val="24"/>
        </w:rPr>
        <w:t>, pp. 21-36.</w:t>
      </w:r>
    </w:p>
    <w:p w14:paraId="7529BCA4" w14:textId="77777777" w:rsidR="00034E94" w:rsidRDefault="00503349" w:rsidP="00034E94">
      <w:pPr>
        <w:rPr>
          <w:rFonts w:ascii="Times New Roman" w:hAnsi="Times New Roman"/>
          <w:szCs w:val="24"/>
        </w:rPr>
      </w:pPr>
      <w:r>
        <w:rPr>
          <w:rFonts w:ascii="Times New Roman" w:hAnsi="Times New Roman"/>
          <w:szCs w:val="24"/>
        </w:rPr>
        <w:t xml:space="preserve">KhosraviNik, M., 2010. The Representation of Refugees, Asylum Seekers and Immigrants in British Newspapers: A Critical Discourse Analysis. </w:t>
      </w:r>
      <w:r>
        <w:rPr>
          <w:rFonts w:ascii="Times New Roman" w:hAnsi="Times New Roman"/>
          <w:i/>
          <w:szCs w:val="24"/>
        </w:rPr>
        <w:t>Journal of Language and Politics</w:t>
      </w:r>
      <w:r>
        <w:rPr>
          <w:rFonts w:ascii="Times New Roman" w:hAnsi="Times New Roman"/>
          <w:szCs w:val="24"/>
        </w:rPr>
        <w:t>, 9, pp. 1–28.</w:t>
      </w:r>
    </w:p>
    <w:p w14:paraId="53F9D7C0" w14:textId="20083018" w:rsidR="00503349" w:rsidRPr="00034E94" w:rsidRDefault="00503349" w:rsidP="00034E94">
      <w:pPr>
        <w:rPr>
          <w:rFonts w:ascii="Times New Roman" w:hAnsi="Times New Roman"/>
          <w:szCs w:val="24"/>
        </w:rPr>
      </w:pPr>
      <w:r w:rsidRPr="00945DA4">
        <w:rPr>
          <w:rFonts w:ascii="Times New Roman" w:hAnsi="Times New Roman"/>
          <w:szCs w:val="24"/>
          <w:bdr w:val="none" w:sz="0" w:space="0" w:color="auto" w:frame="1"/>
        </w:rPr>
        <w:t xml:space="preserve">Kietzman, K.G., Benjamin, A.E. and Matthias, R.E., 2013. Whose choice? Self-determination and the motivations of paid family and friend caregivers. </w:t>
      </w:r>
      <w:r w:rsidRPr="00945DA4">
        <w:rPr>
          <w:rFonts w:ascii="Times New Roman" w:hAnsi="Times New Roman"/>
          <w:i/>
          <w:iCs/>
          <w:szCs w:val="24"/>
          <w:bdr w:val="none" w:sz="0" w:space="0" w:color="auto" w:frame="1"/>
        </w:rPr>
        <w:t>Journal of Comparative Family Studies</w:t>
      </w:r>
      <w:r w:rsidRPr="00945DA4">
        <w:rPr>
          <w:rFonts w:ascii="Times New Roman" w:hAnsi="Times New Roman"/>
          <w:szCs w:val="24"/>
          <w:bdr w:val="none" w:sz="0" w:space="0" w:color="auto" w:frame="1"/>
        </w:rPr>
        <w:t>, 44</w:t>
      </w:r>
      <w:r w:rsidRPr="00EF189A">
        <w:rPr>
          <w:rFonts w:ascii="Times New Roman" w:hAnsi="Times New Roman"/>
          <w:szCs w:val="24"/>
          <w:bdr w:val="none" w:sz="0" w:space="0" w:color="auto" w:frame="1"/>
        </w:rPr>
        <w:t>, pp. 519-540.</w:t>
      </w:r>
    </w:p>
    <w:p w14:paraId="32D6D185"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Killian, T. and Ganong, L.H., 2002. Ideology, context, and obligations to assist older persons. </w:t>
      </w:r>
      <w:r w:rsidRPr="002B3011">
        <w:rPr>
          <w:rFonts w:ascii="Times New Roman" w:hAnsi="Times New Roman"/>
          <w:i/>
          <w:szCs w:val="24"/>
        </w:rPr>
        <w:t>Journal of Marriage and Family</w:t>
      </w:r>
      <w:r w:rsidRPr="002B3011">
        <w:rPr>
          <w:rFonts w:ascii="Times New Roman" w:hAnsi="Times New Roman"/>
          <w:szCs w:val="24"/>
        </w:rPr>
        <w:t>, 64(4), pp. 1080-1088.</w:t>
      </w:r>
    </w:p>
    <w:p w14:paraId="76309CF3" w14:textId="77777777" w:rsidR="00503349" w:rsidRPr="004C64C9" w:rsidRDefault="00503349" w:rsidP="00503349">
      <w:pPr>
        <w:jc w:val="both"/>
        <w:rPr>
          <w:rStyle w:val="authors"/>
          <w:rFonts w:ascii="Times New Roman" w:hAnsi="Times New Roman"/>
          <w:szCs w:val="24"/>
        </w:rPr>
      </w:pPr>
      <w:r w:rsidRPr="00CF1AE8">
        <w:rPr>
          <w:rFonts w:ascii="Times New Roman" w:hAnsi="Times New Roman"/>
          <w:szCs w:val="24"/>
        </w:rPr>
        <w:t xml:space="preserve">Kim, B.S.K., Hill, C.E., Gelso, C.J., Goates, M.K., Asay, P.A. and Harbin, J.M., 2003. Counselor self-disclosure, East Asian American client adherence to Asian cultural values, and counseling process. </w:t>
      </w:r>
      <w:r w:rsidRPr="00CF1AE8">
        <w:rPr>
          <w:rFonts w:ascii="Times New Roman" w:hAnsi="Times New Roman"/>
          <w:i/>
          <w:szCs w:val="24"/>
        </w:rPr>
        <w:t>Journal of Counseling Psychology</w:t>
      </w:r>
      <w:r w:rsidRPr="00CF1AE8">
        <w:rPr>
          <w:rFonts w:ascii="Times New Roman" w:hAnsi="Times New Roman"/>
          <w:szCs w:val="24"/>
        </w:rPr>
        <w:t>, 50(3), pp. 324-332.</w:t>
      </w:r>
    </w:p>
    <w:p w14:paraId="42021AFA"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Kim, J., Knight, B.G. and Longmire, F.CV., 2007.  The role of familism values in stress and coping processes among African American and White dementia caregivers: Effects on mental and physical health. </w:t>
      </w:r>
      <w:r w:rsidRPr="002B3011">
        <w:rPr>
          <w:rFonts w:ascii="Times New Roman" w:hAnsi="Times New Roman"/>
          <w:i/>
          <w:szCs w:val="24"/>
        </w:rPr>
        <w:t>Health Psychology</w:t>
      </w:r>
      <w:r w:rsidRPr="002B3011">
        <w:rPr>
          <w:rFonts w:ascii="Times New Roman" w:hAnsi="Times New Roman"/>
          <w:szCs w:val="24"/>
        </w:rPr>
        <w:t>, 26, pp. 564-576.</w:t>
      </w:r>
    </w:p>
    <w:p w14:paraId="65D1B6AB" w14:textId="77777777" w:rsidR="00503349" w:rsidRDefault="00503349" w:rsidP="00503349">
      <w:pPr>
        <w:jc w:val="both"/>
        <w:rPr>
          <w:rFonts w:ascii="Times New Roman" w:hAnsi="Times New Roman"/>
          <w:iCs/>
          <w:szCs w:val="24"/>
        </w:rPr>
      </w:pPr>
      <w:r w:rsidRPr="00CF1AE8">
        <w:rPr>
          <w:rFonts w:ascii="Times New Roman" w:hAnsi="Times New Roman"/>
          <w:szCs w:val="24"/>
        </w:rPr>
        <w:lastRenderedPageBreak/>
        <w:t xml:space="preserve">Kim, J.S., 2001. Daughters-in-law in Korean caregiving families. </w:t>
      </w:r>
      <w:r w:rsidRPr="00CF1AE8">
        <w:rPr>
          <w:rFonts w:ascii="Times New Roman" w:hAnsi="Times New Roman"/>
          <w:i/>
          <w:szCs w:val="24"/>
        </w:rPr>
        <w:t>J</w:t>
      </w:r>
      <w:r>
        <w:rPr>
          <w:rFonts w:ascii="Times New Roman" w:hAnsi="Times New Roman"/>
          <w:i/>
          <w:szCs w:val="24"/>
        </w:rPr>
        <w:t>ournal</w:t>
      </w:r>
      <w:r w:rsidRPr="00CF1AE8">
        <w:rPr>
          <w:rFonts w:ascii="Times New Roman" w:hAnsi="Times New Roman"/>
          <w:i/>
          <w:szCs w:val="24"/>
        </w:rPr>
        <w:t xml:space="preserve"> </w:t>
      </w:r>
      <w:r>
        <w:rPr>
          <w:rFonts w:ascii="Times New Roman" w:hAnsi="Times New Roman"/>
          <w:i/>
          <w:szCs w:val="24"/>
        </w:rPr>
        <w:t xml:space="preserve">of </w:t>
      </w:r>
      <w:r w:rsidRPr="00CF1AE8">
        <w:rPr>
          <w:rFonts w:ascii="Times New Roman" w:hAnsi="Times New Roman"/>
          <w:i/>
          <w:szCs w:val="24"/>
        </w:rPr>
        <w:t>Adv</w:t>
      </w:r>
      <w:r>
        <w:rPr>
          <w:rFonts w:ascii="Times New Roman" w:hAnsi="Times New Roman"/>
          <w:i/>
          <w:szCs w:val="24"/>
        </w:rPr>
        <w:t>ance</w:t>
      </w:r>
      <w:r w:rsidRPr="00CF1AE8">
        <w:rPr>
          <w:rFonts w:ascii="Times New Roman" w:hAnsi="Times New Roman"/>
          <w:i/>
          <w:szCs w:val="24"/>
        </w:rPr>
        <w:t xml:space="preserve"> Nurs</w:t>
      </w:r>
      <w:r>
        <w:rPr>
          <w:rFonts w:ascii="Times New Roman" w:hAnsi="Times New Roman"/>
          <w:i/>
          <w:szCs w:val="24"/>
        </w:rPr>
        <w:t>ing</w:t>
      </w:r>
      <w:r w:rsidRPr="00CF1AE8">
        <w:rPr>
          <w:rFonts w:ascii="Times New Roman" w:hAnsi="Times New Roman"/>
          <w:szCs w:val="24"/>
        </w:rPr>
        <w:t>, 36, pp. 399-408.</w:t>
      </w:r>
    </w:p>
    <w:p w14:paraId="3959B3C2" w14:textId="77777777" w:rsidR="00503349" w:rsidRDefault="00503349" w:rsidP="00503349">
      <w:pPr>
        <w:rPr>
          <w:rFonts w:ascii="Times New Roman" w:hAnsi="Times New Roman"/>
          <w:szCs w:val="24"/>
        </w:rPr>
      </w:pPr>
      <w:r w:rsidRPr="00AB40E2">
        <w:rPr>
          <w:rFonts w:ascii="Times New Roman" w:hAnsi="Times New Roman"/>
          <w:szCs w:val="24"/>
        </w:rPr>
        <w:t xml:space="preserve">Kim, S.C., Young, L. and Berry, B., 2017. </w:t>
      </w:r>
      <w:r w:rsidRPr="00AB40E2">
        <w:rPr>
          <w:rFonts w:ascii="Times New Roman" w:hAnsi="Times New Roman"/>
          <w:bCs/>
          <w:szCs w:val="24"/>
        </w:rPr>
        <w:t>Aggressive behaviour risk assessment tool for newly admitted residents of long-term care homes.</w:t>
      </w:r>
      <w:r w:rsidRPr="00AB40E2">
        <w:rPr>
          <w:rFonts w:ascii="Times New Roman" w:hAnsi="Times New Roman"/>
          <w:szCs w:val="24"/>
        </w:rPr>
        <w:t xml:space="preserve"> </w:t>
      </w:r>
      <w:r w:rsidRPr="00AB40E2">
        <w:rPr>
          <w:rFonts w:ascii="Times New Roman" w:hAnsi="Times New Roman"/>
          <w:i/>
          <w:szCs w:val="24"/>
        </w:rPr>
        <w:t>Journal of Advance Nursing</w:t>
      </w:r>
      <w:r w:rsidRPr="00AB40E2">
        <w:rPr>
          <w:rFonts w:ascii="Times New Roman" w:hAnsi="Times New Roman"/>
          <w:szCs w:val="24"/>
        </w:rPr>
        <w:t>, 73(7), pp. 1747-1756.</w:t>
      </w:r>
    </w:p>
    <w:p w14:paraId="4151FA0F" w14:textId="77777777" w:rsidR="00503349" w:rsidRPr="002B3011" w:rsidRDefault="00503349" w:rsidP="00503349">
      <w:pPr>
        <w:jc w:val="both"/>
        <w:textAlignment w:val="baseline"/>
        <w:rPr>
          <w:rFonts w:ascii="Times New Roman" w:hAnsi="Times New Roman"/>
          <w:color w:val="000000"/>
          <w:szCs w:val="24"/>
        </w:rPr>
      </w:pPr>
      <w:r w:rsidRPr="002B3011">
        <w:rPr>
          <w:rFonts w:ascii="Times New Roman" w:hAnsi="Times New Roman"/>
          <w:color w:val="000000"/>
          <w:szCs w:val="24"/>
        </w:rPr>
        <w:t>Kim, Y. and Schulz, R., 2008. Family caregivers' strains: comparative analysis of cancer caregiving with dementia, diabetes, and frail elderly caregiving. </w:t>
      </w:r>
      <w:r w:rsidRPr="002B3011">
        <w:rPr>
          <w:rFonts w:ascii="Times New Roman" w:hAnsi="Times New Roman"/>
          <w:i/>
          <w:iCs/>
          <w:color w:val="000000"/>
          <w:szCs w:val="24"/>
        </w:rPr>
        <w:t>Journal of Aging and Health</w:t>
      </w:r>
      <w:r w:rsidRPr="002B3011">
        <w:rPr>
          <w:rFonts w:ascii="Times New Roman" w:hAnsi="Times New Roman"/>
          <w:color w:val="000000"/>
          <w:szCs w:val="24"/>
        </w:rPr>
        <w:t>, 20(5), pp. 483-503.</w:t>
      </w:r>
    </w:p>
    <w:p w14:paraId="00F2F076" w14:textId="77777777" w:rsidR="00503349" w:rsidRPr="003472D7" w:rsidRDefault="00503349" w:rsidP="00503349">
      <w:pPr>
        <w:spacing w:before="240" w:after="0"/>
        <w:jc w:val="both"/>
        <w:rPr>
          <w:rFonts w:ascii="Times New Roman" w:hAnsi="Times New Roman"/>
          <w:szCs w:val="24"/>
        </w:rPr>
      </w:pPr>
      <w:r>
        <w:rPr>
          <w:rFonts w:ascii="Times New Roman" w:hAnsi="Times New Roman"/>
          <w:szCs w:val="24"/>
        </w:rPr>
        <w:t>King, R. and Skeldon, R., 2010. ‘Mind the Gap!’ Integrating approaches to internal and international migration. </w:t>
      </w:r>
      <w:r>
        <w:rPr>
          <w:rFonts w:ascii="Times New Roman" w:hAnsi="Times New Roman"/>
          <w:i/>
          <w:szCs w:val="24"/>
        </w:rPr>
        <w:t>Journal of Ethnic and Migration Studies</w:t>
      </w:r>
      <w:r>
        <w:rPr>
          <w:rFonts w:ascii="Times New Roman" w:hAnsi="Times New Roman"/>
          <w:szCs w:val="24"/>
        </w:rPr>
        <w:t>, 36(10), pp. 1619-1646.</w:t>
      </w:r>
    </w:p>
    <w:p w14:paraId="02FF9EA3" w14:textId="77777777" w:rsidR="00503349" w:rsidRDefault="00503349" w:rsidP="00503349">
      <w:pPr>
        <w:spacing w:before="240"/>
        <w:rPr>
          <w:rFonts w:ascii="Times New Roman" w:hAnsi="Times New Roman"/>
          <w:szCs w:val="24"/>
        </w:rPr>
      </w:pPr>
      <w:r>
        <w:rPr>
          <w:rFonts w:ascii="Times New Roman" w:hAnsi="Times New Roman"/>
          <w:szCs w:val="24"/>
        </w:rPr>
        <w:t xml:space="preserve">King-Dejardin, A., 2019. </w:t>
      </w:r>
      <w:r>
        <w:rPr>
          <w:rFonts w:ascii="Times New Roman" w:hAnsi="Times New Roman"/>
          <w:i/>
          <w:szCs w:val="24"/>
        </w:rPr>
        <w:t>The social construction of migrant care work - at the intersection of care, migration and gender</w:t>
      </w:r>
      <w:r>
        <w:rPr>
          <w:rFonts w:ascii="Times New Roman" w:hAnsi="Times New Roman"/>
          <w:szCs w:val="24"/>
        </w:rPr>
        <w:t>. Geneva: International Labour Office.</w:t>
      </w:r>
    </w:p>
    <w:p w14:paraId="2375766F"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rPr>
        <w:t xml:space="preserve">King-Hill, S., 2015. Critical analysis of Maslow’s Hierarchy of Need. </w:t>
      </w:r>
      <w:r w:rsidRPr="00EF189A">
        <w:rPr>
          <w:rFonts w:ascii="Times New Roman" w:hAnsi="Times New Roman"/>
          <w:i/>
          <w:szCs w:val="24"/>
          <w:bdr w:val="none" w:sz="0" w:space="0" w:color="auto" w:frame="1"/>
        </w:rPr>
        <w:t>The STeP Journal</w:t>
      </w:r>
      <w:r w:rsidRPr="00EF189A">
        <w:rPr>
          <w:rFonts w:ascii="Times New Roman" w:hAnsi="Times New Roman"/>
          <w:szCs w:val="24"/>
          <w:bdr w:val="none" w:sz="0" w:space="0" w:color="auto" w:frame="1"/>
        </w:rPr>
        <w:t>, 2(4), pp. 54-57.</w:t>
      </w:r>
    </w:p>
    <w:p w14:paraId="6C4D4D88"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Kinney, J.M. and Stephens, M.A.P., 1989. Hassles and uplifts of giving care to a family member with dementia. </w:t>
      </w:r>
      <w:r w:rsidRPr="002B3011">
        <w:rPr>
          <w:rFonts w:ascii="Times New Roman" w:hAnsi="Times New Roman"/>
          <w:i/>
          <w:szCs w:val="24"/>
        </w:rPr>
        <w:t>Psychology and Aging</w:t>
      </w:r>
      <w:r w:rsidRPr="002B3011">
        <w:rPr>
          <w:rFonts w:ascii="Times New Roman" w:hAnsi="Times New Roman"/>
          <w:szCs w:val="24"/>
        </w:rPr>
        <w:t>, 4, pp. 402-408.</w:t>
      </w:r>
    </w:p>
    <w:p w14:paraId="6CA45DB7"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Kitwood, T., 1997. The experience of dementia. </w:t>
      </w:r>
      <w:r w:rsidRPr="00DA2952">
        <w:rPr>
          <w:rFonts w:ascii="Times New Roman" w:hAnsi="Times New Roman"/>
          <w:i/>
          <w:iCs/>
          <w:szCs w:val="24"/>
        </w:rPr>
        <w:t>Aging &amp; Mental Health</w:t>
      </w:r>
      <w:r w:rsidRPr="00DA2952">
        <w:rPr>
          <w:rFonts w:ascii="Times New Roman" w:hAnsi="Times New Roman"/>
          <w:szCs w:val="24"/>
        </w:rPr>
        <w:t>, pp. 13-22 </w:t>
      </w:r>
    </w:p>
    <w:p w14:paraId="78AC2F16" w14:textId="77777777" w:rsidR="00503349" w:rsidRDefault="00503349" w:rsidP="00503349">
      <w:pPr>
        <w:rPr>
          <w:rFonts w:ascii="Times New Roman" w:hAnsi="Times New Roman"/>
          <w:szCs w:val="24"/>
        </w:rPr>
      </w:pPr>
      <w:r w:rsidRPr="00E116B8">
        <w:rPr>
          <w:rFonts w:ascii="Times New Roman" w:hAnsi="Times New Roman"/>
          <w:szCs w:val="24"/>
        </w:rPr>
        <w:t>Kiwan</w:t>
      </w:r>
      <w:r>
        <w:rPr>
          <w:rFonts w:ascii="Times New Roman" w:hAnsi="Times New Roman"/>
          <w:szCs w:val="24"/>
        </w:rPr>
        <w:t xml:space="preserve">, D., 2010. </w:t>
      </w:r>
      <w:r w:rsidRPr="00E116B8">
        <w:rPr>
          <w:rFonts w:ascii="Times New Roman" w:hAnsi="Times New Roman"/>
          <w:szCs w:val="24"/>
        </w:rPr>
        <w:t xml:space="preserve">Highly-skilled “guest-workers” in the UK: </w:t>
      </w:r>
      <w:r>
        <w:rPr>
          <w:rFonts w:ascii="Times New Roman" w:hAnsi="Times New Roman"/>
          <w:szCs w:val="24"/>
        </w:rPr>
        <w:t>i</w:t>
      </w:r>
      <w:r w:rsidRPr="00E116B8">
        <w:rPr>
          <w:rFonts w:ascii="Times New Roman" w:hAnsi="Times New Roman"/>
          <w:szCs w:val="24"/>
        </w:rPr>
        <w:t>mplications for</w:t>
      </w:r>
      <w:r>
        <w:rPr>
          <w:rFonts w:ascii="Times New Roman" w:hAnsi="Times New Roman"/>
          <w:szCs w:val="24"/>
        </w:rPr>
        <w:t xml:space="preserve"> </w:t>
      </w:r>
      <w:r w:rsidRPr="00E116B8">
        <w:rPr>
          <w:rFonts w:ascii="Times New Roman" w:hAnsi="Times New Roman"/>
          <w:szCs w:val="24"/>
        </w:rPr>
        <w:t>“citizenship” in naturalisation policy and integration policy</w:t>
      </w:r>
      <w:r>
        <w:rPr>
          <w:rFonts w:ascii="Times New Roman" w:hAnsi="Times New Roman"/>
          <w:szCs w:val="24"/>
        </w:rPr>
        <w:t xml:space="preserve">. </w:t>
      </w:r>
      <w:r w:rsidRPr="00E116B8">
        <w:rPr>
          <w:rFonts w:ascii="Times New Roman" w:hAnsi="Times New Roman"/>
          <w:i/>
          <w:iCs/>
          <w:szCs w:val="24"/>
        </w:rPr>
        <w:t>Policy and Society</w:t>
      </w:r>
      <w:r w:rsidRPr="00E116B8">
        <w:rPr>
          <w:rFonts w:ascii="Times New Roman" w:hAnsi="Times New Roman"/>
          <w:szCs w:val="24"/>
        </w:rPr>
        <w:t>, 29(4), pp. 333-343</w:t>
      </w:r>
      <w:r>
        <w:rPr>
          <w:rFonts w:ascii="Times New Roman" w:hAnsi="Times New Roman"/>
          <w:szCs w:val="24"/>
        </w:rPr>
        <w:t>.</w:t>
      </w:r>
    </w:p>
    <w:p w14:paraId="009757B5" w14:textId="77777777" w:rsidR="00503349" w:rsidRDefault="00503349" w:rsidP="00503349">
      <w:pPr>
        <w:spacing w:before="240"/>
        <w:jc w:val="both"/>
        <w:textAlignment w:val="baseline"/>
        <w:rPr>
          <w:rFonts w:ascii="Times New Roman" w:hAnsi="Times New Roman"/>
          <w:bCs/>
          <w:strike/>
          <w:szCs w:val="24"/>
        </w:rPr>
      </w:pPr>
      <w:r>
        <w:rPr>
          <w:rFonts w:ascii="Times New Roman" w:hAnsi="Times New Roman"/>
          <w:szCs w:val="24"/>
        </w:rPr>
        <w:t xml:space="preserve">Klein, R.G., 2009. Darwin and the recent African origin of modern humans. </w:t>
      </w:r>
      <w:r>
        <w:rPr>
          <w:rFonts w:ascii="Times New Roman" w:hAnsi="Times New Roman"/>
          <w:i/>
          <w:szCs w:val="24"/>
        </w:rPr>
        <w:t>Proceedings of the National Academy of Sciences</w:t>
      </w:r>
      <w:r>
        <w:rPr>
          <w:rFonts w:ascii="Times New Roman" w:hAnsi="Times New Roman"/>
          <w:szCs w:val="24"/>
        </w:rPr>
        <w:t>, 106 (38)</w:t>
      </w:r>
    </w:p>
    <w:p w14:paraId="490C5FD8" w14:textId="77777777" w:rsidR="00503349" w:rsidRDefault="00503349" w:rsidP="00503349">
      <w:pPr>
        <w:jc w:val="both"/>
        <w:rPr>
          <w:rFonts w:ascii="Times New Roman" w:hAnsi="Times New Roman"/>
          <w:szCs w:val="24"/>
        </w:rPr>
      </w:pPr>
      <w:r w:rsidRPr="00E674FC">
        <w:rPr>
          <w:rFonts w:ascii="Times New Roman" w:hAnsi="Times New Roman"/>
          <w:szCs w:val="24"/>
        </w:rPr>
        <w:t>Kline, D.S., 2003. Push and pull factors in international nurse migration. </w:t>
      </w:r>
      <w:r w:rsidRPr="00E674FC">
        <w:rPr>
          <w:rFonts w:ascii="Times New Roman" w:hAnsi="Times New Roman"/>
          <w:i/>
          <w:iCs/>
          <w:szCs w:val="24"/>
        </w:rPr>
        <w:t>Journal of nursing scholarship</w:t>
      </w:r>
      <w:r w:rsidRPr="00E674FC">
        <w:rPr>
          <w:rFonts w:ascii="Times New Roman" w:hAnsi="Times New Roman"/>
          <w:szCs w:val="24"/>
        </w:rPr>
        <w:t>, </w:t>
      </w:r>
      <w:r w:rsidRPr="00E674FC">
        <w:rPr>
          <w:rFonts w:ascii="Times New Roman" w:hAnsi="Times New Roman"/>
          <w:i/>
          <w:iCs/>
          <w:szCs w:val="24"/>
        </w:rPr>
        <w:t>35</w:t>
      </w:r>
      <w:r w:rsidRPr="00E674FC">
        <w:rPr>
          <w:rFonts w:ascii="Times New Roman" w:hAnsi="Times New Roman"/>
          <w:szCs w:val="24"/>
        </w:rPr>
        <w:t>(2), pp.107-111.</w:t>
      </w:r>
    </w:p>
    <w:p w14:paraId="7AC5B7EF" w14:textId="77777777" w:rsidR="00503349" w:rsidRPr="002B3011" w:rsidRDefault="00503349" w:rsidP="00503349">
      <w:pPr>
        <w:rPr>
          <w:rFonts w:ascii="Times New Roman" w:hAnsi="Times New Roman"/>
          <w:szCs w:val="24"/>
        </w:rPr>
      </w:pPr>
      <w:r w:rsidRPr="002B3011">
        <w:rPr>
          <w:rFonts w:ascii="Times New Roman" w:hAnsi="Times New Roman"/>
          <w:szCs w:val="24"/>
        </w:rPr>
        <w:lastRenderedPageBreak/>
        <w:t xml:space="preserve">Knight, B., Silverstein, M., McCallum, T. and Fox, L., 2000. A sociocultural stress and coping model for mental health outcomes among African-American caregivers in southern California.  </w:t>
      </w:r>
      <w:r w:rsidRPr="002B3011">
        <w:rPr>
          <w:rFonts w:ascii="Times New Roman" w:hAnsi="Times New Roman"/>
          <w:i/>
          <w:szCs w:val="24"/>
        </w:rPr>
        <w:t>Journal of Gerontology: Psychological Sciences</w:t>
      </w:r>
      <w:r w:rsidRPr="002B3011">
        <w:rPr>
          <w:rFonts w:ascii="Times New Roman" w:hAnsi="Times New Roman"/>
          <w:szCs w:val="24"/>
        </w:rPr>
        <w:t>, 55B, pp. 142-150.</w:t>
      </w:r>
    </w:p>
    <w:p w14:paraId="0E2E48A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Knight, B.G. and Sayegh, P., 2010. Cultural values and caregiving: The updated sociocultural stress and coping model. </w:t>
      </w:r>
      <w:r w:rsidRPr="002B3011">
        <w:rPr>
          <w:rFonts w:ascii="Times New Roman" w:hAnsi="Times New Roman"/>
          <w:i/>
          <w:iCs/>
          <w:color w:val="000000"/>
          <w:szCs w:val="24"/>
        </w:rPr>
        <w:t>Journal of Gerontology: Psychological Sciences,</w:t>
      </w:r>
      <w:r w:rsidRPr="002B3011">
        <w:rPr>
          <w:rFonts w:ascii="Times New Roman" w:hAnsi="Times New Roman"/>
          <w:iCs/>
          <w:color w:val="000000"/>
          <w:szCs w:val="24"/>
        </w:rPr>
        <w:t xml:space="preserve"> 65B, pp. </w:t>
      </w:r>
      <w:r w:rsidRPr="002B3011">
        <w:rPr>
          <w:rFonts w:ascii="Times New Roman" w:hAnsi="Times New Roman"/>
          <w:color w:val="000000"/>
          <w:szCs w:val="24"/>
        </w:rPr>
        <w:t>5-13.</w:t>
      </w:r>
    </w:p>
    <w:p w14:paraId="20A62030" w14:textId="77777777" w:rsidR="00503349" w:rsidRDefault="00503349" w:rsidP="00503349">
      <w:pPr>
        <w:tabs>
          <w:tab w:val="left" w:pos="5445"/>
        </w:tabs>
        <w:jc w:val="both"/>
        <w:rPr>
          <w:rFonts w:ascii="Times New Roman" w:hAnsi="Times New Roman"/>
          <w:szCs w:val="24"/>
        </w:rPr>
      </w:pPr>
      <w:r w:rsidRPr="00AB40E2">
        <w:rPr>
          <w:rFonts w:ascii="Times New Roman" w:hAnsi="Times New Roman"/>
          <w:szCs w:val="24"/>
        </w:rPr>
        <w:t xml:space="preserve">Knopman, D.S., Berg, J.D., Thomas, R., Grundman, M., Thal, L.J. and Sano, M., 1999. Nursing home placement is related to dementia progression: Experience from a clinical trial. </w:t>
      </w:r>
      <w:r w:rsidRPr="00AB40E2">
        <w:rPr>
          <w:rFonts w:ascii="Times New Roman" w:hAnsi="Times New Roman"/>
          <w:i/>
          <w:szCs w:val="24"/>
        </w:rPr>
        <w:t>Neurology</w:t>
      </w:r>
      <w:r w:rsidRPr="00AB40E2">
        <w:rPr>
          <w:rFonts w:ascii="Times New Roman" w:hAnsi="Times New Roman"/>
          <w:szCs w:val="24"/>
        </w:rPr>
        <w:t>, 52(4), pp. 714-718.</w:t>
      </w:r>
    </w:p>
    <w:p w14:paraId="202D8C09"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Knotts, M., 2014. Readers, texts and the fusion of horizons: theology and Gadamer’s hermeneutics. </w:t>
      </w:r>
      <w:r w:rsidRPr="008101DD">
        <w:rPr>
          <w:rFonts w:ascii="Times New Roman" w:hAnsi="Times New Roman"/>
          <w:i/>
          <w:szCs w:val="24"/>
        </w:rPr>
        <w:t>Theologica</w:t>
      </w:r>
      <w:r w:rsidRPr="008101DD">
        <w:rPr>
          <w:rFonts w:ascii="Times New Roman" w:hAnsi="Times New Roman"/>
          <w:szCs w:val="24"/>
        </w:rPr>
        <w:t>, 4(2), pp.233-246.</w:t>
      </w:r>
    </w:p>
    <w:p w14:paraId="0E61EA66"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Koh, E.K. and Koh, C.K., 2008. Caring for older adults - The parables in Confucian texts. </w:t>
      </w:r>
      <w:r w:rsidRPr="00CF1AE8">
        <w:rPr>
          <w:rFonts w:ascii="Times New Roman" w:hAnsi="Times New Roman"/>
          <w:i/>
          <w:szCs w:val="24"/>
        </w:rPr>
        <w:t>Nursing Science Quarterly</w:t>
      </w:r>
      <w:r w:rsidRPr="00CF1AE8">
        <w:rPr>
          <w:rFonts w:ascii="Times New Roman" w:hAnsi="Times New Roman"/>
          <w:szCs w:val="24"/>
        </w:rPr>
        <w:t>, 21, pp. 365-368.</w:t>
      </w:r>
    </w:p>
    <w:p w14:paraId="5D69F636"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Kokkonen, T-M., Cheston, R.I.L., Dallos, R. and Smart, C.A., 2014. Attachment and coping of dementia care staff: the role of staff attachment style, geriatric nursing self-efficacy, and approaches to dementia in burnout. </w:t>
      </w:r>
      <w:r w:rsidRPr="000A56C6">
        <w:rPr>
          <w:rFonts w:ascii="Times New Roman" w:hAnsi="Times New Roman"/>
          <w:i/>
          <w:szCs w:val="24"/>
        </w:rPr>
        <w:t>Dementia</w:t>
      </w:r>
      <w:r w:rsidRPr="000A56C6">
        <w:rPr>
          <w:rFonts w:ascii="Times New Roman" w:hAnsi="Times New Roman"/>
          <w:szCs w:val="24"/>
        </w:rPr>
        <w:t>, 13(4), pp. 544-568.</w:t>
      </w:r>
    </w:p>
    <w:p w14:paraId="4517676F"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Kolmer, D.B.G., Tellings, A., Gelissen, J., Garretsen, H. and Bongers, I., 2008. Ranked motives of long-term care providing family caregivers. </w:t>
      </w:r>
      <w:r w:rsidRPr="00EF189A">
        <w:rPr>
          <w:rFonts w:ascii="Times New Roman" w:hAnsi="Times New Roman"/>
          <w:i/>
          <w:szCs w:val="24"/>
          <w:bdr w:val="none" w:sz="0" w:space="0" w:color="auto" w:frame="1"/>
        </w:rPr>
        <w:t>Scandinavian Journal of Caring Sciences</w:t>
      </w:r>
      <w:r w:rsidRPr="00EF189A">
        <w:rPr>
          <w:rFonts w:ascii="Times New Roman" w:hAnsi="Times New Roman"/>
          <w:szCs w:val="24"/>
          <w:bdr w:val="none" w:sz="0" w:space="0" w:color="auto" w:frame="1"/>
        </w:rPr>
        <w:t>, 22, pp. 29-39.</w:t>
      </w:r>
    </w:p>
    <w:p w14:paraId="2DE7E3CB"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Kosmidis, M.H., Vlachos, G.S., Anastasiou, C.A., Yannakoulia, M., Dardiotis, E. </w:t>
      </w:r>
      <w:r>
        <w:rPr>
          <w:rFonts w:ascii="Times New Roman" w:hAnsi="Times New Roman"/>
          <w:szCs w:val="24"/>
        </w:rPr>
        <w:t>and</w:t>
      </w:r>
      <w:r w:rsidRPr="000A56C6">
        <w:rPr>
          <w:rFonts w:ascii="Times New Roman" w:hAnsi="Times New Roman"/>
          <w:szCs w:val="24"/>
        </w:rPr>
        <w:t> Hadjigeorgiou, G., Sakka, P., Ntanasi, E. and Scarmeas, N., 2018. Dementia prevalence in Greece: The Hellenic Longitudinal Investigation of Aging and Diet (HELIAD). </w:t>
      </w:r>
      <w:r w:rsidRPr="000A56C6">
        <w:rPr>
          <w:rFonts w:ascii="Times New Roman" w:hAnsi="Times New Roman"/>
          <w:i/>
          <w:iCs/>
          <w:szCs w:val="24"/>
        </w:rPr>
        <w:t>Alzheimer Disease and Associated Disorders</w:t>
      </w:r>
      <w:r w:rsidRPr="000A56C6">
        <w:rPr>
          <w:rFonts w:ascii="Times New Roman" w:hAnsi="Times New Roman"/>
          <w:szCs w:val="24"/>
        </w:rPr>
        <w:t>, 32(3), pp. 232-239.</w:t>
      </w:r>
    </w:p>
    <w:p w14:paraId="341AADC0"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Kramer, B.J., 1997. Gain in the caregiving experience: Where are we? What next? </w:t>
      </w:r>
      <w:r w:rsidRPr="002B3011">
        <w:rPr>
          <w:rFonts w:ascii="Times New Roman" w:hAnsi="Times New Roman"/>
          <w:i/>
          <w:szCs w:val="24"/>
        </w:rPr>
        <w:t>The Gerontologist</w:t>
      </w:r>
      <w:r w:rsidRPr="002B3011">
        <w:rPr>
          <w:rFonts w:ascii="Times New Roman" w:hAnsi="Times New Roman"/>
          <w:szCs w:val="24"/>
        </w:rPr>
        <w:t>, 37, pp. 218-232.</w:t>
      </w:r>
    </w:p>
    <w:p w14:paraId="7E8871C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lastRenderedPageBreak/>
        <w:t xml:space="preserve">Krauss, S.E., 2005. Research paradigm and making meaning making: a primer. </w:t>
      </w:r>
      <w:r w:rsidRPr="008101DD">
        <w:rPr>
          <w:rFonts w:ascii="Times New Roman" w:hAnsi="Times New Roman"/>
          <w:i/>
          <w:szCs w:val="24"/>
        </w:rPr>
        <w:t>The Qualitative Report</w:t>
      </w:r>
      <w:r w:rsidRPr="008101DD">
        <w:rPr>
          <w:rFonts w:ascii="Times New Roman" w:hAnsi="Times New Roman"/>
          <w:szCs w:val="24"/>
        </w:rPr>
        <w:t>, 10(4), pp. 758-770.</w:t>
      </w:r>
    </w:p>
    <w:p w14:paraId="5381764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Kullman, K., 2016. Prototyping bodies: a post-phenomenology of wearable simulations. </w:t>
      </w:r>
      <w:r w:rsidRPr="00DA2952">
        <w:rPr>
          <w:rFonts w:ascii="Times New Roman" w:hAnsi="Times New Roman"/>
          <w:i/>
          <w:iCs/>
          <w:szCs w:val="24"/>
        </w:rPr>
        <w:t>Design Studies</w:t>
      </w:r>
      <w:r w:rsidRPr="00DA2952">
        <w:rPr>
          <w:rFonts w:ascii="Times New Roman" w:hAnsi="Times New Roman"/>
          <w:szCs w:val="24"/>
        </w:rPr>
        <w:t>, 47(C), pp. 73-90.</w:t>
      </w:r>
    </w:p>
    <w:p w14:paraId="28A41275" w14:textId="77777777" w:rsidR="00503349" w:rsidRDefault="00503349" w:rsidP="00503349">
      <w:pPr>
        <w:rPr>
          <w:rFonts w:ascii="Times New Roman" w:hAnsi="Times New Roman"/>
          <w:szCs w:val="24"/>
        </w:rPr>
      </w:pPr>
      <w:r w:rsidRPr="00CF1AE8">
        <w:rPr>
          <w:rFonts w:ascii="Times New Roman" w:hAnsi="Times New Roman"/>
          <w:szCs w:val="24"/>
        </w:rPr>
        <w:t xml:space="preserve">Kunz, E.F., 1973. The refugee flight: Kinetic models and forms of displacement. </w:t>
      </w:r>
      <w:r w:rsidRPr="00CF1AE8">
        <w:rPr>
          <w:rFonts w:ascii="Times New Roman" w:hAnsi="Times New Roman"/>
          <w:i/>
          <w:szCs w:val="24"/>
        </w:rPr>
        <w:t>International Migration Review</w:t>
      </w:r>
      <w:r w:rsidRPr="00CF1AE8">
        <w:rPr>
          <w:rFonts w:ascii="Times New Roman" w:hAnsi="Times New Roman"/>
          <w:szCs w:val="24"/>
        </w:rPr>
        <w:t>, 7(2), pp. 125-146.</w:t>
      </w:r>
      <w:r w:rsidRPr="00BA6E2D">
        <w:rPr>
          <w:rFonts w:ascii="Times New Roman" w:hAnsi="Times New Roman"/>
          <w:szCs w:val="24"/>
        </w:rPr>
        <w:t xml:space="preserve"> </w:t>
      </w:r>
    </w:p>
    <w:p w14:paraId="3964EBF8" w14:textId="77777777" w:rsidR="00503349" w:rsidRDefault="00503349" w:rsidP="00503349">
      <w:pPr>
        <w:jc w:val="both"/>
        <w:rPr>
          <w:rFonts w:ascii="Times New Roman" w:hAnsi="Times New Roman"/>
          <w:szCs w:val="24"/>
        </w:rPr>
      </w:pPr>
      <w:r w:rsidRPr="00CF1AE8">
        <w:rPr>
          <w:rFonts w:ascii="Times New Roman" w:hAnsi="Times New Roman"/>
          <w:szCs w:val="24"/>
        </w:rPr>
        <w:t>Kuo, Y., 2015.</w:t>
      </w:r>
      <w:r w:rsidRPr="00CF1AE8">
        <w:rPr>
          <w:rFonts w:ascii="Times New Roman" w:hAnsi="Times New Roman"/>
          <w:bCs/>
          <w:szCs w:val="24"/>
        </w:rPr>
        <w:t xml:space="preserve"> Women’s experiences caring for their husbands’ siblings with developmental disabilities.</w:t>
      </w:r>
      <w:r w:rsidRPr="00CF1AE8">
        <w:rPr>
          <w:rFonts w:ascii="Times New Roman" w:hAnsi="Times New Roman"/>
          <w:i/>
          <w:iCs/>
          <w:szCs w:val="24"/>
        </w:rPr>
        <w:t xml:space="preserve"> Global Qualitative Nursing Research</w:t>
      </w:r>
      <w:r w:rsidRPr="00CF1AE8">
        <w:rPr>
          <w:rFonts w:ascii="Times New Roman" w:hAnsi="Times New Roman"/>
          <w:iCs/>
          <w:szCs w:val="24"/>
        </w:rPr>
        <w:t>, 2.</w:t>
      </w:r>
    </w:p>
    <w:p w14:paraId="6FBD5E49" w14:textId="77777777" w:rsidR="00503349" w:rsidRDefault="00503349" w:rsidP="00503349">
      <w:pPr>
        <w:spacing w:before="240"/>
        <w:rPr>
          <w:rFonts w:ascii="Times New Roman" w:hAnsi="Times New Roman"/>
          <w:szCs w:val="24"/>
        </w:rPr>
      </w:pPr>
      <w:r>
        <w:rPr>
          <w:rFonts w:ascii="Times New Roman" w:hAnsi="Times New Roman"/>
          <w:szCs w:val="24"/>
        </w:rPr>
        <w:t>Kurekova, L., 2011. Theories of migration: conceptual review and empirical testing in the context of the EU East-West flows. Paper prepared for the Interdisciplinary Conference on Migration, Economic Change, Social Challenge, April 6-9, 2011. University College, London. Available at: &lt;https://pdfs.semanticscholar.org/f6cd/407bb33dcee11d834a6dacb2d3ccdb99f972.pdf&gt;[Accessed 03 April 2019]</w:t>
      </w:r>
    </w:p>
    <w:p w14:paraId="4ED70484" w14:textId="77777777" w:rsidR="00503349" w:rsidRDefault="00503349" w:rsidP="00503349">
      <w:pPr>
        <w:jc w:val="both"/>
        <w:rPr>
          <w:rFonts w:ascii="Times New Roman" w:hAnsi="Times New Roman"/>
          <w:szCs w:val="24"/>
        </w:rPr>
      </w:pPr>
      <w:r w:rsidRPr="00CF1AE8">
        <w:rPr>
          <w:rFonts w:ascii="Times New Roman" w:hAnsi="Times New Roman"/>
          <w:szCs w:val="24"/>
        </w:rPr>
        <w:t>Kurniati, A., Chen, C.-M., Efendi, F. and Ogawa, R., 2017. A deskilling and challenging journey: the lived experience of Indonesian nurse returnees. </w:t>
      </w:r>
      <w:r w:rsidRPr="00CF1AE8">
        <w:rPr>
          <w:rFonts w:ascii="Times New Roman" w:hAnsi="Times New Roman"/>
          <w:i/>
          <w:iCs/>
          <w:szCs w:val="24"/>
        </w:rPr>
        <w:t>International Nursing Review</w:t>
      </w:r>
      <w:r w:rsidRPr="00CF1AE8">
        <w:rPr>
          <w:rFonts w:ascii="Times New Roman" w:hAnsi="Times New Roman"/>
          <w:szCs w:val="24"/>
        </w:rPr>
        <w:t>, 64, pp. 494–501.</w:t>
      </w:r>
    </w:p>
    <w:p w14:paraId="29D5084F" w14:textId="77777777" w:rsidR="00503349" w:rsidRDefault="00503349" w:rsidP="00503349">
      <w:pPr>
        <w:spacing w:before="240"/>
        <w:rPr>
          <w:rFonts w:ascii="Times New Roman" w:hAnsi="Times New Roman"/>
          <w:szCs w:val="24"/>
        </w:rPr>
      </w:pPr>
      <w:r>
        <w:rPr>
          <w:rFonts w:ascii="Times New Roman" w:hAnsi="Times New Roman"/>
          <w:szCs w:val="24"/>
        </w:rPr>
        <w:t xml:space="preserve">Lamura, G., Mnich, E., Nolan, M., Wojszel, B., Krevers, B., Mestheneos, L. and Döhner, H., 2008. Family carers' experiences using support services in Europe: empirical evidence from the EUROFAMCARE study. </w:t>
      </w:r>
      <w:r>
        <w:rPr>
          <w:rFonts w:ascii="Times New Roman" w:hAnsi="Times New Roman"/>
          <w:i/>
          <w:szCs w:val="24"/>
        </w:rPr>
        <w:t>The Gerontologist</w:t>
      </w:r>
      <w:r>
        <w:rPr>
          <w:rFonts w:ascii="Times New Roman" w:hAnsi="Times New Roman"/>
          <w:szCs w:val="24"/>
        </w:rPr>
        <w:t>, 48(6), pp. 752–771.</w:t>
      </w:r>
    </w:p>
    <w:p w14:paraId="6CAC75B2"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Lancaster, G.A., Dodd, S. and Williamson, P.R., 2004. Design and analysis of pilot studies: recommendations for good practice. </w:t>
      </w:r>
      <w:r w:rsidRPr="004E3E8F">
        <w:rPr>
          <w:rFonts w:ascii="Times New Roman" w:hAnsi="Times New Roman"/>
          <w:i/>
          <w:szCs w:val="24"/>
        </w:rPr>
        <w:t>Journal of Evaluation in Clinical Practice</w:t>
      </w:r>
      <w:r w:rsidRPr="004E3E8F">
        <w:rPr>
          <w:rFonts w:ascii="Times New Roman" w:hAnsi="Times New Roman"/>
          <w:szCs w:val="24"/>
        </w:rPr>
        <w:t>, 10(2), pp. 307-312.</w:t>
      </w:r>
    </w:p>
    <w:p w14:paraId="2F2C13F1" w14:textId="77777777" w:rsidR="00503349" w:rsidRDefault="00503349" w:rsidP="00503349">
      <w:pPr>
        <w:rPr>
          <w:rFonts w:ascii="Times New Roman" w:hAnsi="Times New Roman"/>
          <w:szCs w:val="24"/>
        </w:rPr>
      </w:pPr>
      <w:r w:rsidRPr="00E674FC">
        <w:rPr>
          <w:rFonts w:ascii="Times New Roman" w:hAnsi="Times New Roman"/>
          <w:szCs w:val="24"/>
        </w:rPr>
        <w:t>Landa, J.M.A., López-Zafra, E., Martos, M.P.B. and del Carmen Aguilar-Luzon, M., 2008. The relationship between emotional intelligence, occupational stress and health in nurses: a questionnaire survey. </w:t>
      </w:r>
      <w:r w:rsidRPr="00E674FC">
        <w:rPr>
          <w:rFonts w:ascii="Times New Roman" w:hAnsi="Times New Roman"/>
          <w:i/>
          <w:iCs/>
          <w:szCs w:val="24"/>
        </w:rPr>
        <w:t>International Journal of Nursing Studies</w:t>
      </w:r>
      <w:r w:rsidRPr="00E674FC">
        <w:rPr>
          <w:rFonts w:ascii="Times New Roman" w:hAnsi="Times New Roman"/>
          <w:szCs w:val="24"/>
        </w:rPr>
        <w:t>, 45(6), pp.888-901.</w:t>
      </w:r>
    </w:p>
    <w:p w14:paraId="4905DC24"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lastRenderedPageBreak/>
        <w:t xml:space="preserve">Landrine, H., 1992. Clinical implications of cultural differences: The referential versus the indexical self. </w:t>
      </w:r>
      <w:r w:rsidRPr="002B3011">
        <w:rPr>
          <w:rFonts w:ascii="Times New Roman" w:hAnsi="Times New Roman"/>
          <w:i/>
          <w:szCs w:val="24"/>
        </w:rPr>
        <w:t>Clinical Psychology Review</w:t>
      </w:r>
      <w:r w:rsidRPr="002B3011">
        <w:rPr>
          <w:rFonts w:ascii="Times New Roman" w:hAnsi="Times New Roman"/>
          <w:szCs w:val="24"/>
        </w:rPr>
        <w:t>, 12, pp. 401-415.</w:t>
      </w:r>
    </w:p>
    <w:p w14:paraId="00DB37E2" w14:textId="77777777" w:rsidR="00503349" w:rsidRDefault="00503349" w:rsidP="00503349">
      <w:pPr>
        <w:tabs>
          <w:tab w:val="left" w:pos="5445"/>
        </w:tabs>
        <w:rPr>
          <w:rFonts w:ascii="Times New Roman" w:hAnsi="Times New Roman"/>
          <w:szCs w:val="24"/>
        </w:rPr>
      </w:pPr>
      <w:r w:rsidRPr="00AB40E2">
        <w:rPr>
          <w:rFonts w:ascii="Times New Roman" w:hAnsi="Times New Roman"/>
          <w:szCs w:val="24"/>
        </w:rPr>
        <w:t xml:space="preserve">Langa, K.M, 2015. </w:t>
      </w:r>
      <w:r w:rsidRPr="00AB40E2">
        <w:rPr>
          <w:rFonts w:ascii="Times New Roman" w:hAnsi="Times New Roman"/>
          <w:bCs/>
          <w:szCs w:val="24"/>
        </w:rPr>
        <w:t>Is the risk of Alzheimer's disease and dementia declining?</w:t>
      </w:r>
      <w:r w:rsidRPr="00AB40E2">
        <w:rPr>
          <w:rFonts w:ascii="Times New Roman" w:hAnsi="Times New Roman"/>
          <w:szCs w:val="24"/>
        </w:rPr>
        <w:t xml:space="preserve"> </w:t>
      </w:r>
      <w:r w:rsidRPr="00AB40E2">
        <w:rPr>
          <w:rFonts w:ascii="Times New Roman" w:hAnsi="Times New Roman"/>
          <w:i/>
          <w:szCs w:val="24"/>
        </w:rPr>
        <w:t>Alzheimer</w:t>
      </w:r>
      <w:r>
        <w:rPr>
          <w:rFonts w:ascii="Times New Roman" w:hAnsi="Times New Roman"/>
          <w:i/>
          <w:szCs w:val="24"/>
        </w:rPr>
        <w:t>’</w:t>
      </w:r>
      <w:r w:rsidRPr="00AB40E2">
        <w:rPr>
          <w:rFonts w:ascii="Times New Roman" w:hAnsi="Times New Roman"/>
          <w:i/>
          <w:szCs w:val="24"/>
        </w:rPr>
        <w:t>s Research and Therapy</w:t>
      </w:r>
      <w:r w:rsidRPr="00AB40E2">
        <w:rPr>
          <w:rFonts w:ascii="Times New Roman" w:hAnsi="Times New Roman"/>
          <w:szCs w:val="24"/>
        </w:rPr>
        <w:t xml:space="preserve">, [e-journal] 7(34). </w:t>
      </w:r>
      <w:r>
        <w:rPr>
          <w:rFonts w:ascii="Times New Roman" w:hAnsi="Times New Roman"/>
          <w:szCs w:val="24"/>
        </w:rPr>
        <w:t>Available at: &lt;</w:t>
      </w:r>
      <w:r w:rsidRPr="00E177DA">
        <w:rPr>
          <w:rFonts w:ascii="Times New Roman" w:hAnsi="Times New Roman"/>
          <w:szCs w:val="24"/>
        </w:rPr>
        <w:t>https://alzres.biomedcentral.com/articles/10.1186/s13195-015-0118-1</w:t>
      </w:r>
      <w:r>
        <w:rPr>
          <w:rFonts w:ascii="Times New Roman" w:hAnsi="Times New Roman"/>
          <w:szCs w:val="24"/>
        </w:rPr>
        <w:t>&gt;[Accessed 19 February 2018]</w:t>
      </w:r>
      <w:r w:rsidRPr="00AB40E2">
        <w:rPr>
          <w:rFonts w:ascii="Times New Roman" w:hAnsi="Times New Roman"/>
          <w:szCs w:val="24"/>
        </w:rPr>
        <w:t>.</w:t>
      </w:r>
    </w:p>
    <w:p w14:paraId="74FB94AB" w14:textId="77777777" w:rsidR="00503349" w:rsidRPr="009A0573" w:rsidRDefault="00503349" w:rsidP="00503349">
      <w:pPr>
        <w:tabs>
          <w:tab w:val="left" w:pos="5445"/>
        </w:tabs>
        <w:jc w:val="both"/>
        <w:rPr>
          <w:rFonts w:ascii="Times New Roman" w:hAnsi="Times New Roman"/>
          <w:szCs w:val="24"/>
        </w:rPr>
      </w:pPr>
      <w:r w:rsidRPr="009A0573">
        <w:rPr>
          <w:rFonts w:ascii="Times New Roman" w:hAnsi="Times New Roman"/>
          <w:szCs w:val="24"/>
        </w:rPr>
        <w:t>Langa, K.M., Chernew, M.E., Kabeto, M.U., Regula Herzog, A., Beth Ofstedal, M., Willis, R.J., Wallace, R.B., Mucha, L.M., Straus, W.L. and Fendrick, A.M., 2001. National estimates of the quantity and cost of informal caregiving for the elderly with dementia. </w:t>
      </w:r>
      <w:r w:rsidRPr="009A0573">
        <w:rPr>
          <w:rFonts w:ascii="Times New Roman" w:hAnsi="Times New Roman"/>
          <w:i/>
          <w:iCs/>
          <w:szCs w:val="24"/>
        </w:rPr>
        <w:t>Journal of General Internal Medicine</w:t>
      </w:r>
      <w:r w:rsidRPr="009A0573">
        <w:rPr>
          <w:rFonts w:ascii="Times New Roman" w:hAnsi="Times New Roman"/>
          <w:szCs w:val="24"/>
        </w:rPr>
        <w:t>, 16(11), pp.</w:t>
      </w:r>
      <w:r>
        <w:rPr>
          <w:rFonts w:ascii="Times New Roman" w:hAnsi="Times New Roman"/>
          <w:szCs w:val="24"/>
        </w:rPr>
        <w:t xml:space="preserve"> </w:t>
      </w:r>
      <w:r w:rsidRPr="009A0573">
        <w:rPr>
          <w:rFonts w:ascii="Times New Roman" w:hAnsi="Times New Roman"/>
          <w:szCs w:val="24"/>
        </w:rPr>
        <w:t>770-778.</w:t>
      </w:r>
    </w:p>
    <w:p w14:paraId="72834D78"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Langdridge, D., 2007. </w:t>
      </w:r>
      <w:r w:rsidRPr="008101DD">
        <w:rPr>
          <w:rFonts w:ascii="Times New Roman" w:hAnsi="Times New Roman"/>
          <w:i/>
          <w:szCs w:val="24"/>
        </w:rPr>
        <w:t>Phenomenological psychology: theory, research and method</w:t>
      </w:r>
      <w:r w:rsidRPr="008101DD">
        <w:rPr>
          <w:rFonts w:ascii="Times New Roman" w:hAnsi="Times New Roman"/>
          <w:szCs w:val="24"/>
        </w:rPr>
        <w:t>. London: Pearson Education Limited.</w:t>
      </w:r>
    </w:p>
    <w:p w14:paraId="323FE8CF"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Lanting, S., Crossley, M., Morgan D. and Cammer, A., 2011. Aboriginal experiences of aging and dementia in a context of sociocultural change: qualitative analysis of key informant group interviews with Aboriginal seniors. </w:t>
      </w:r>
      <w:r w:rsidRPr="00DA2952">
        <w:rPr>
          <w:rFonts w:ascii="Times New Roman" w:hAnsi="Times New Roman"/>
          <w:i/>
          <w:iCs/>
          <w:szCs w:val="24"/>
        </w:rPr>
        <w:t>J Cross Cult Gerontol</w:t>
      </w:r>
      <w:r w:rsidRPr="00DA2952">
        <w:rPr>
          <w:rFonts w:ascii="Times New Roman" w:hAnsi="Times New Roman"/>
          <w:szCs w:val="24"/>
        </w:rPr>
        <w:t>, 26, pp. 103-117. </w:t>
      </w:r>
    </w:p>
    <w:p w14:paraId="58D31C8C"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Larsen, J., Allan, H., Bryan, K. and Smith, P., 2005. Overseas nurses' motivations for working in the UK: globalization and life politics. </w:t>
      </w:r>
      <w:r w:rsidRPr="000A56C6">
        <w:rPr>
          <w:rFonts w:ascii="Times New Roman" w:hAnsi="Times New Roman"/>
          <w:i/>
          <w:szCs w:val="24"/>
        </w:rPr>
        <w:t>Work, Employment &amp; Society</w:t>
      </w:r>
      <w:r w:rsidRPr="000A56C6">
        <w:rPr>
          <w:rFonts w:ascii="Times New Roman" w:hAnsi="Times New Roman"/>
          <w:szCs w:val="24"/>
        </w:rPr>
        <w:t xml:space="preserve">, 19, pp. 349-368. </w:t>
      </w:r>
    </w:p>
    <w:p w14:paraId="35FB0E69"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Lauenroth, A., Schulze, S., Ioannidis, A., Simm, A. and Schwesig, R., 2017. Effect of an age simulation suit on younger adults' gait performance compared to older adults' normal gait. </w:t>
      </w:r>
      <w:r w:rsidRPr="00DA2952">
        <w:rPr>
          <w:rFonts w:ascii="Times New Roman" w:hAnsi="Times New Roman"/>
          <w:i/>
          <w:iCs/>
          <w:szCs w:val="24"/>
        </w:rPr>
        <w:t>Research in Gerontological Nursing</w:t>
      </w:r>
      <w:r w:rsidRPr="00DA2952">
        <w:rPr>
          <w:rFonts w:ascii="Times New Roman" w:hAnsi="Times New Roman"/>
          <w:szCs w:val="24"/>
        </w:rPr>
        <w:t>, 10(5), pp. 227-233. </w:t>
      </w:r>
    </w:p>
    <w:p w14:paraId="7B64AD07"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Lavallière, M., D’Ambrosio, L., Gennis, A., Burstein, A., Godfrey, K.M., Waerstad, H., Puleo, R.M., Lauenroth, A. and Coughlin, J.F., 2016. Walking a mile in another’s shoes: the impact of wearing an age suit. </w:t>
      </w:r>
      <w:r w:rsidRPr="00DA2952">
        <w:rPr>
          <w:rFonts w:ascii="Times New Roman" w:hAnsi="Times New Roman"/>
          <w:i/>
          <w:szCs w:val="24"/>
        </w:rPr>
        <w:t>Gerontology &amp; Geriatrics Education</w:t>
      </w:r>
      <w:r w:rsidRPr="00DA2952">
        <w:rPr>
          <w:rFonts w:ascii="Times New Roman" w:hAnsi="Times New Roman"/>
          <w:szCs w:val="24"/>
        </w:rPr>
        <w:t>, pp.1-15</w:t>
      </w:r>
    </w:p>
    <w:p w14:paraId="604EF268"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Laverty, S.M., 2003. Hermeneutic phenomenology and phenomenology: a comparison of historical and methodological considerations. </w:t>
      </w:r>
      <w:r w:rsidRPr="008101DD">
        <w:rPr>
          <w:rFonts w:ascii="Times New Roman" w:hAnsi="Times New Roman"/>
          <w:i/>
          <w:iCs/>
          <w:szCs w:val="24"/>
        </w:rPr>
        <w:t xml:space="preserve">International Journal of Qualitative Methods, </w:t>
      </w:r>
      <w:r w:rsidRPr="008101DD">
        <w:rPr>
          <w:rFonts w:ascii="Times New Roman" w:hAnsi="Times New Roman"/>
          <w:iCs/>
          <w:szCs w:val="24"/>
        </w:rPr>
        <w:t>2</w:t>
      </w:r>
      <w:r w:rsidRPr="008101DD">
        <w:rPr>
          <w:rFonts w:ascii="Times New Roman" w:hAnsi="Times New Roman"/>
          <w:szCs w:val="24"/>
        </w:rPr>
        <w:t>(3), pp. 21-35.</w:t>
      </w:r>
    </w:p>
    <w:p w14:paraId="4FB66C34"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lang w:val="en-US"/>
        </w:rPr>
        <w:lastRenderedPageBreak/>
        <w:t xml:space="preserve">Lawler, E.J., 2001. An affect theory of social exchange. </w:t>
      </w:r>
      <w:r w:rsidRPr="00EF189A">
        <w:rPr>
          <w:rFonts w:ascii="Times New Roman" w:hAnsi="Times New Roman"/>
          <w:i/>
          <w:szCs w:val="24"/>
          <w:bdr w:val="none" w:sz="0" w:space="0" w:color="auto" w:frame="1"/>
          <w:lang w:val="en-US"/>
        </w:rPr>
        <w:t>American Journal of Sociology</w:t>
      </w:r>
      <w:r w:rsidRPr="00EF189A">
        <w:rPr>
          <w:rFonts w:ascii="Times New Roman" w:hAnsi="Times New Roman"/>
          <w:szCs w:val="24"/>
          <w:bdr w:val="none" w:sz="0" w:space="0" w:color="auto" w:frame="1"/>
          <w:lang w:val="en-US"/>
        </w:rPr>
        <w:t>, 107, pp.</w:t>
      </w:r>
      <w:r>
        <w:rPr>
          <w:rFonts w:ascii="Times New Roman" w:hAnsi="Times New Roman"/>
          <w:szCs w:val="24"/>
          <w:bdr w:val="none" w:sz="0" w:space="0" w:color="auto" w:frame="1"/>
          <w:lang w:val="en-US"/>
        </w:rPr>
        <w:t xml:space="preserve"> </w:t>
      </w:r>
      <w:r w:rsidRPr="00EF189A">
        <w:rPr>
          <w:rFonts w:ascii="Times New Roman" w:hAnsi="Times New Roman"/>
          <w:szCs w:val="24"/>
          <w:bdr w:val="none" w:sz="0" w:space="0" w:color="auto" w:frame="1"/>
          <w:lang w:val="en-US"/>
        </w:rPr>
        <w:t>321-352.</w:t>
      </w:r>
    </w:p>
    <w:p w14:paraId="2461DA5D" w14:textId="77777777" w:rsidR="00503349" w:rsidRPr="002B3011" w:rsidRDefault="00503349" w:rsidP="00503349">
      <w:pPr>
        <w:textAlignment w:val="baseline"/>
        <w:rPr>
          <w:rFonts w:ascii="Times New Roman" w:hAnsi="Times New Roman"/>
          <w:color w:val="000000"/>
          <w:szCs w:val="24"/>
        </w:rPr>
      </w:pPr>
      <w:r w:rsidRPr="002B3011">
        <w:rPr>
          <w:rStyle w:val="normaltextrun"/>
          <w:rFonts w:ascii="Times New Roman" w:eastAsiaTheme="minorEastAsia" w:hAnsi="Times New Roman"/>
          <w:szCs w:val="24"/>
        </w:rPr>
        <w:t xml:space="preserve">Lawton, M.P., Kleban, M.H., Moss, M., Rovine, M. and Clicksman, A., 1989. Measuring caregiving appraisal. </w:t>
      </w:r>
      <w:r w:rsidRPr="002B3011">
        <w:rPr>
          <w:rStyle w:val="normaltextrun"/>
          <w:rFonts w:ascii="Times New Roman" w:eastAsiaTheme="minorEastAsia" w:hAnsi="Times New Roman"/>
          <w:i/>
          <w:szCs w:val="24"/>
        </w:rPr>
        <w:t>Journal of Gerontology: Psychological Sciences</w:t>
      </w:r>
      <w:r w:rsidRPr="002B3011">
        <w:rPr>
          <w:rStyle w:val="normaltextrun"/>
          <w:rFonts w:ascii="Times New Roman" w:eastAsiaTheme="minorEastAsia" w:hAnsi="Times New Roman"/>
          <w:szCs w:val="24"/>
        </w:rPr>
        <w:t>, 44, pp. 61-71.</w:t>
      </w:r>
    </w:p>
    <w:p w14:paraId="5902E299" w14:textId="77777777" w:rsidR="00503349" w:rsidRPr="002B3011" w:rsidRDefault="00503349" w:rsidP="00503349">
      <w:pPr>
        <w:textAlignment w:val="baseline"/>
        <w:rPr>
          <w:rStyle w:val="normaltextrun"/>
          <w:rFonts w:ascii="Times New Roman" w:hAnsi="Times New Roman"/>
          <w:color w:val="000000"/>
          <w:szCs w:val="24"/>
        </w:rPr>
      </w:pPr>
      <w:r w:rsidRPr="002B3011">
        <w:rPr>
          <w:rStyle w:val="normaltextrun"/>
          <w:rFonts w:ascii="Times New Roman" w:eastAsiaTheme="minorEastAsia" w:hAnsi="Times New Roman"/>
          <w:szCs w:val="24"/>
        </w:rPr>
        <w:t xml:space="preserve">Lawton, M.P., Moss, M., Kleban, M.H., Clicksman, A. and Rovine, M., 1991. A two-factor model of caregiving appraisal and psychological wellbeing. </w:t>
      </w:r>
      <w:r w:rsidRPr="002B3011">
        <w:rPr>
          <w:rStyle w:val="normaltextrun"/>
          <w:rFonts w:ascii="Times New Roman" w:eastAsiaTheme="minorEastAsia" w:hAnsi="Times New Roman"/>
          <w:i/>
          <w:szCs w:val="24"/>
        </w:rPr>
        <w:t>Journal of Gerontology: Psychological Sciences</w:t>
      </w:r>
      <w:r w:rsidRPr="002B3011">
        <w:rPr>
          <w:rStyle w:val="normaltextrun"/>
          <w:rFonts w:ascii="Times New Roman" w:eastAsiaTheme="minorEastAsia" w:hAnsi="Times New Roman"/>
          <w:szCs w:val="24"/>
        </w:rPr>
        <w:t>, 46, pp. 181-189.</w:t>
      </w:r>
    </w:p>
    <w:p w14:paraId="5EBBE5FD" w14:textId="77777777" w:rsidR="00503349" w:rsidRPr="002B3011" w:rsidRDefault="00503349" w:rsidP="00503349">
      <w:pPr>
        <w:textAlignment w:val="baseline"/>
        <w:rPr>
          <w:rFonts w:ascii="Times New Roman" w:hAnsi="Times New Roman"/>
          <w:color w:val="000000"/>
          <w:szCs w:val="24"/>
        </w:rPr>
      </w:pPr>
      <w:r w:rsidRPr="002B3011">
        <w:rPr>
          <w:rStyle w:val="normaltextrun"/>
          <w:rFonts w:ascii="Times New Roman" w:eastAsiaTheme="minorEastAsia" w:hAnsi="Times New Roman"/>
          <w:szCs w:val="24"/>
        </w:rPr>
        <w:t xml:space="preserve">Lawton, M.P., Rajagopal, D., Brody, E. and Kleban, M., 1992. The dynamics of caregiving for a demented elder among black and white families. </w:t>
      </w:r>
      <w:r w:rsidRPr="002B3011">
        <w:rPr>
          <w:rStyle w:val="normaltextrun"/>
          <w:rFonts w:ascii="Times New Roman" w:eastAsiaTheme="minorEastAsia" w:hAnsi="Times New Roman"/>
          <w:i/>
          <w:szCs w:val="24"/>
        </w:rPr>
        <w:t>Journal of Gerontology: Social Sciences</w:t>
      </w:r>
      <w:r w:rsidRPr="002B3011">
        <w:rPr>
          <w:rStyle w:val="normaltextrun"/>
          <w:rFonts w:ascii="Times New Roman" w:eastAsiaTheme="minorEastAsia" w:hAnsi="Times New Roman"/>
          <w:szCs w:val="24"/>
        </w:rPr>
        <w:t>, 47, pp. S156-S164.</w:t>
      </w:r>
    </w:p>
    <w:p w14:paraId="69731604"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Lazarus, R.S. and Folkman, S., 1984. </w:t>
      </w:r>
      <w:r w:rsidRPr="002B3011">
        <w:rPr>
          <w:rFonts w:ascii="Times New Roman" w:hAnsi="Times New Roman"/>
          <w:i/>
          <w:iCs/>
          <w:szCs w:val="24"/>
        </w:rPr>
        <w:t>Stress Appraisal and Coping</w:t>
      </w:r>
      <w:r w:rsidRPr="002B3011">
        <w:rPr>
          <w:rFonts w:ascii="Times New Roman" w:hAnsi="Times New Roman"/>
          <w:szCs w:val="24"/>
        </w:rPr>
        <w:t>. New York: Springer Publishing Company</w:t>
      </w:r>
    </w:p>
    <w:p w14:paraId="7F2081FF"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Lazarus, R.S., 1993. Coping theory and research: past, present, and future. </w:t>
      </w:r>
      <w:r w:rsidRPr="002B3011">
        <w:rPr>
          <w:rFonts w:ascii="Times New Roman" w:hAnsi="Times New Roman"/>
          <w:i/>
          <w:szCs w:val="24"/>
        </w:rPr>
        <w:t>Psychosomatic Medicine</w:t>
      </w:r>
      <w:r w:rsidRPr="002B3011">
        <w:rPr>
          <w:rFonts w:ascii="Times New Roman" w:hAnsi="Times New Roman"/>
          <w:szCs w:val="24"/>
        </w:rPr>
        <w:t>, 55, pp. 234-247.</w:t>
      </w:r>
    </w:p>
    <w:p w14:paraId="1D281F15" w14:textId="77777777" w:rsidR="00503349" w:rsidRDefault="00503349" w:rsidP="00503349">
      <w:pPr>
        <w:rPr>
          <w:rFonts w:ascii="Times New Roman" w:hAnsi="Times New Roman"/>
          <w:szCs w:val="24"/>
        </w:rPr>
      </w:pPr>
      <w:r>
        <w:rPr>
          <w:rFonts w:ascii="Times New Roman" w:hAnsi="Times New Roman"/>
          <w:szCs w:val="24"/>
        </w:rPr>
        <w:t xml:space="preserve">Learner, S. and Nazarko, L., 2014. Adult social care: a rise in complaints. </w:t>
      </w:r>
      <w:r>
        <w:rPr>
          <w:rFonts w:ascii="Times New Roman" w:hAnsi="Times New Roman"/>
          <w:i/>
          <w:iCs/>
          <w:szCs w:val="24"/>
        </w:rPr>
        <w:t>Nursing and Residential Care</w:t>
      </w:r>
      <w:r>
        <w:rPr>
          <w:rFonts w:ascii="Times New Roman" w:hAnsi="Times New Roman"/>
          <w:szCs w:val="24"/>
        </w:rPr>
        <w:t>, 16(7), pp. 365-366.</w:t>
      </w:r>
    </w:p>
    <w:p w14:paraId="273D1D75" w14:textId="77777777" w:rsidR="00503349" w:rsidRDefault="00503349" w:rsidP="00503349">
      <w:pPr>
        <w:rPr>
          <w:rFonts w:ascii="Times New Roman" w:hAnsi="Times New Roman"/>
          <w:szCs w:val="24"/>
        </w:rPr>
      </w:pPr>
      <w:r w:rsidRPr="00CF1AE8">
        <w:rPr>
          <w:rFonts w:ascii="Times New Roman" w:hAnsi="Times New Roman"/>
          <w:szCs w:val="24"/>
        </w:rPr>
        <w:t xml:space="preserve">Lee, E., 1966. A Theory of Migration? </w:t>
      </w:r>
      <w:r w:rsidRPr="00CF1AE8">
        <w:rPr>
          <w:rFonts w:ascii="Times New Roman" w:hAnsi="Times New Roman"/>
          <w:i/>
          <w:szCs w:val="24"/>
        </w:rPr>
        <w:t>Demography</w:t>
      </w:r>
      <w:r w:rsidRPr="00CF1AE8">
        <w:rPr>
          <w:rFonts w:ascii="Times New Roman" w:hAnsi="Times New Roman"/>
          <w:szCs w:val="24"/>
        </w:rPr>
        <w:t>, 3, pp. 47-57</w:t>
      </w:r>
      <w:r>
        <w:rPr>
          <w:rFonts w:ascii="Times New Roman" w:hAnsi="Times New Roman"/>
          <w:szCs w:val="24"/>
        </w:rPr>
        <w:t>.</w:t>
      </w:r>
    </w:p>
    <w:p w14:paraId="6E9FC726"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Lee, S.E., Lee, H.Y. and Diwan, S., 2010. What do Korean American immigrants know about Alzheimer’s Disease (AD)? The impact of acculturation and exposure to the disease on AD knowledge. </w:t>
      </w:r>
      <w:r w:rsidRPr="002B3011">
        <w:rPr>
          <w:rFonts w:ascii="Times New Roman" w:hAnsi="Times New Roman"/>
          <w:i/>
          <w:szCs w:val="24"/>
        </w:rPr>
        <w:t>International Journal of Geriatric Psychiatry</w:t>
      </w:r>
      <w:r w:rsidRPr="002B3011">
        <w:rPr>
          <w:rFonts w:ascii="Times New Roman" w:hAnsi="Times New Roman"/>
          <w:szCs w:val="24"/>
        </w:rPr>
        <w:t>, 25, pp. 66-73.</w:t>
      </w:r>
    </w:p>
    <w:p w14:paraId="02A7FF1C" w14:textId="77777777" w:rsidR="00503349" w:rsidRPr="00EF189A" w:rsidRDefault="00503349" w:rsidP="00503349">
      <w:pPr>
        <w:jc w:val="both"/>
        <w:rPr>
          <w:rFonts w:ascii="Times New Roman" w:hAnsi="Times New Roman"/>
          <w:szCs w:val="24"/>
        </w:rPr>
      </w:pPr>
      <w:r w:rsidRPr="00EF189A">
        <w:rPr>
          <w:rFonts w:ascii="Times New Roman" w:hAnsi="Times New Roman"/>
          <w:szCs w:val="24"/>
        </w:rPr>
        <w:t>Lee, Y-R. and Sung, K-T., 1997. Cultural differences in caregiving motivations for demented parents: Korean caregivers versus American caregivers.</w:t>
      </w:r>
      <w:r w:rsidRPr="00EF189A">
        <w:rPr>
          <w:rFonts w:ascii="Times New Roman" w:hAnsi="Times New Roman"/>
          <w:i/>
          <w:iCs/>
          <w:szCs w:val="24"/>
        </w:rPr>
        <w:t xml:space="preserve"> International Journal of Aging &amp; Human Development</w:t>
      </w:r>
      <w:r w:rsidRPr="00EF189A">
        <w:rPr>
          <w:rFonts w:ascii="Times New Roman" w:hAnsi="Times New Roman"/>
          <w:szCs w:val="24"/>
        </w:rPr>
        <w:t>, 44(2), pp. 115-127.</w:t>
      </w:r>
    </w:p>
    <w:p w14:paraId="01F283DB" w14:textId="77777777" w:rsidR="00503349" w:rsidRPr="00347A4D" w:rsidRDefault="00503349" w:rsidP="00503349">
      <w:pPr>
        <w:jc w:val="both"/>
        <w:rPr>
          <w:rFonts w:ascii="Times New Roman" w:hAnsi="Times New Roman"/>
          <w:szCs w:val="24"/>
        </w:rPr>
      </w:pPr>
      <w:r w:rsidRPr="000B2FEC">
        <w:rPr>
          <w:rFonts w:ascii="Times New Roman" w:hAnsi="Times New Roman"/>
          <w:szCs w:val="24"/>
        </w:rPr>
        <w:lastRenderedPageBreak/>
        <w:t>Lee-Treweek</w:t>
      </w:r>
      <w:r>
        <w:rPr>
          <w:rFonts w:ascii="Times New Roman" w:hAnsi="Times New Roman"/>
          <w:szCs w:val="24"/>
        </w:rPr>
        <w:t>,</w:t>
      </w:r>
      <w:r w:rsidRPr="000B2FEC">
        <w:rPr>
          <w:rFonts w:ascii="Times New Roman" w:hAnsi="Times New Roman"/>
          <w:szCs w:val="24"/>
        </w:rPr>
        <w:t xml:space="preserve"> G</w:t>
      </w:r>
      <w:r>
        <w:rPr>
          <w:rFonts w:ascii="Times New Roman" w:hAnsi="Times New Roman"/>
          <w:szCs w:val="24"/>
        </w:rPr>
        <w:t>.</w:t>
      </w:r>
      <w:r w:rsidRPr="000B2FEC">
        <w:rPr>
          <w:rFonts w:ascii="Times New Roman" w:hAnsi="Times New Roman"/>
          <w:szCs w:val="24"/>
        </w:rPr>
        <w:t>, 1996</w:t>
      </w:r>
      <w:r>
        <w:rPr>
          <w:rFonts w:ascii="Times New Roman" w:hAnsi="Times New Roman"/>
          <w:szCs w:val="24"/>
        </w:rPr>
        <w:t>.</w:t>
      </w:r>
      <w:r w:rsidRPr="000B2FEC">
        <w:rPr>
          <w:rFonts w:ascii="Times New Roman" w:hAnsi="Times New Roman"/>
          <w:szCs w:val="24"/>
        </w:rPr>
        <w:t xml:space="preserve"> Emotion work, order and emotional power in care assistant work</w:t>
      </w:r>
      <w:r>
        <w:rPr>
          <w:rFonts w:ascii="Times New Roman" w:hAnsi="Times New Roman"/>
          <w:szCs w:val="24"/>
        </w:rPr>
        <w:t>.</w:t>
      </w:r>
      <w:r w:rsidRPr="000B2FEC">
        <w:rPr>
          <w:rFonts w:ascii="Times New Roman" w:hAnsi="Times New Roman"/>
          <w:szCs w:val="24"/>
        </w:rPr>
        <w:t xml:space="preserve"> </w:t>
      </w:r>
      <w:r>
        <w:rPr>
          <w:rFonts w:ascii="Times New Roman" w:hAnsi="Times New Roman"/>
          <w:szCs w:val="24"/>
        </w:rPr>
        <w:t>I</w:t>
      </w:r>
      <w:r w:rsidRPr="000B2FEC">
        <w:rPr>
          <w:rFonts w:ascii="Times New Roman" w:hAnsi="Times New Roman"/>
          <w:szCs w:val="24"/>
        </w:rPr>
        <w:t>n</w:t>
      </w:r>
      <w:r>
        <w:rPr>
          <w:rFonts w:ascii="Times New Roman" w:hAnsi="Times New Roman"/>
          <w:szCs w:val="24"/>
        </w:rPr>
        <w:t>:</w:t>
      </w:r>
      <w:r w:rsidRPr="000B2FEC">
        <w:rPr>
          <w:rFonts w:ascii="Times New Roman" w:hAnsi="Times New Roman"/>
          <w:szCs w:val="24"/>
        </w:rPr>
        <w:t xml:space="preserve"> V</w:t>
      </w:r>
      <w:r>
        <w:rPr>
          <w:rFonts w:ascii="Times New Roman" w:hAnsi="Times New Roman"/>
          <w:szCs w:val="24"/>
        </w:rPr>
        <w:t>.</w:t>
      </w:r>
      <w:r w:rsidRPr="000B2FEC">
        <w:rPr>
          <w:rFonts w:ascii="Times New Roman" w:hAnsi="Times New Roman"/>
          <w:szCs w:val="24"/>
        </w:rPr>
        <w:t xml:space="preserve"> James</w:t>
      </w:r>
      <w:r>
        <w:rPr>
          <w:rFonts w:ascii="Times New Roman" w:hAnsi="Times New Roman"/>
          <w:szCs w:val="24"/>
        </w:rPr>
        <w:t xml:space="preserve"> &amp;</w:t>
      </w:r>
      <w:r w:rsidRPr="000B2FEC">
        <w:rPr>
          <w:rFonts w:ascii="Times New Roman" w:hAnsi="Times New Roman"/>
          <w:szCs w:val="24"/>
        </w:rPr>
        <w:t xml:space="preserve"> J</w:t>
      </w:r>
      <w:r>
        <w:rPr>
          <w:rFonts w:ascii="Times New Roman" w:hAnsi="Times New Roman"/>
          <w:szCs w:val="24"/>
        </w:rPr>
        <w:t>.</w:t>
      </w:r>
      <w:r w:rsidRPr="000B2FEC">
        <w:rPr>
          <w:rFonts w:ascii="Times New Roman" w:hAnsi="Times New Roman"/>
          <w:szCs w:val="24"/>
        </w:rPr>
        <w:t xml:space="preserve"> Gabe</w:t>
      </w:r>
      <w:r>
        <w:rPr>
          <w:rFonts w:ascii="Times New Roman" w:hAnsi="Times New Roman"/>
          <w:szCs w:val="24"/>
        </w:rPr>
        <w:t>.</w:t>
      </w:r>
      <w:r w:rsidRPr="000B2FEC">
        <w:rPr>
          <w:rFonts w:ascii="Times New Roman" w:hAnsi="Times New Roman"/>
          <w:szCs w:val="24"/>
        </w:rPr>
        <w:t xml:space="preserve"> </w:t>
      </w:r>
      <w:r w:rsidRPr="000B2FEC">
        <w:rPr>
          <w:rFonts w:ascii="Times New Roman" w:hAnsi="Times New Roman"/>
          <w:i/>
          <w:iCs/>
          <w:szCs w:val="24"/>
        </w:rPr>
        <w:t>Health and the Sociology of Emotions</w:t>
      </w:r>
      <w:r>
        <w:rPr>
          <w:rFonts w:ascii="Times New Roman" w:hAnsi="Times New Roman"/>
          <w:szCs w:val="24"/>
        </w:rPr>
        <w:t xml:space="preserve">. </w:t>
      </w:r>
      <w:r w:rsidRPr="000B2FEC">
        <w:rPr>
          <w:rFonts w:ascii="Times New Roman" w:hAnsi="Times New Roman"/>
          <w:szCs w:val="24"/>
        </w:rPr>
        <w:t>Oxford</w:t>
      </w:r>
      <w:r>
        <w:rPr>
          <w:rFonts w:ascii="Times New Roman" w:hAnsi="Times New Roman"/>
          <w:szCs w:val="24"/>
        </w:rPr>
        <w:t xml:space="preserve">: </w:t>
      </w:r>
      <w:r w:rsidRPr="000B2FEC">
        <w:rPr>
          <w:rFonts w:ascii="Times New Roman" w:hAnsi="Times New Roman"/>
          <w:szCs w:val="24"/>
        </w:rPr>
        <w:t>Blackwell, pp</w:t>
      </w:r>
      <w:r>
        <w:rPr>
          <w:rFonts w:ascii="Times New Roman" w:hAnsi="Times New Roman"/>
          <w:szCs w:val="24"/>
        </w:rPr>
        <w:t>.</w:t>
      </w:r>
      <w:r w:rsidRPr="000B2FEC">
        <w:rPr>
          <w:rFonts w:ascii="Times New Roman" w:hAnsi="Times New Roman"/>
          <w:szCs w:val="24"/>
        </w:rPr>
        <w:t xml:space="preserve"> 115</w:t>
      </w:r>
      <w:r>
        <w:rPr>
          <w:rFonts w:ascii="Times New Roman" w:hAnsi="Times New Roman"/>
          <w:szCs w:val="24"/>
        </w:rPr>
        <w:t>-</w:t>
      </w:r>
      <w:r w:rsidRPr="000B2FEC">
        <w:rPr>
          <w:rFonts w:ascii="Times New Roman" w:hAnsi="Times New Roman"/>
          <w:szCs w:val="24"/>
        </w:rPr>
        <w:t>132</w:t>
      </w:r>
      <w:r>
        <w:rPr>
          <w:rFonts w:ascii="Times New Roman" w:hAnsi="Times New Roman"/>
          <w:szCs w:val="24"/>
        </w:rPr>
        <w:t>.</w:t>
      </w:r>
    </w:p>
    <w:p w14:paraId="4FB92241"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Lepore, M.J., 2008. Care workers' motivations for employment in long-term care, assisted living, and particular facilities: reconciling inconsistent values. PhD. Georgia State University. Available at: &lt;</w:t>
      </w:r>
      <w:r w:rsidRPr="002905A1">
        <w:rPr>
          <w:rFonts w:ascii="Times New Roman" w:hAnsi="Times New Roman"/>
          <w:szCs w:val="24"/>
        </w:rPr>
        <w:t>https://scholarworks.gsu.edu/cgi/viewcontent.cgi?referer=https://www.google.com/&amp;httpsredir=1&amp;article=1033&amp;context=sociology_diss</w:t>
      </w:r>
      <w:r w:rsidRPr="004E3E8F">
        <w:rPr>
          <w:rFonts w:ascii="Times New Roman" w:hAnsi="Times New Roman"/>
          <w:szCs w:val="24"/>
        </w:rPr>
        <w:t>&gt;[Accessed 15 March 2018].</w:t>
      </w:r>
    </w:p>
    <w:p w14:paraId="0C640336" w14:textId="77777777" w:rsidR="00503349" w:rsidRDefault="00503349" w:rsidP="00503349">
      <w:pPr>
        <w:spacing w:before="240"/>
        <w:jc w:val="both"/>
        <w:rPr>
          <w:rFonts w:ascii="Times New Roman" w:hAnsi="Times New Roman"/>
          <w:noProof/>
          <w:szCs w:val="24"/>
        </w:rPr>
      </w:pPr>
      <w:r>
        <w:rPr>
          <w:rFonts w:ascii="Times New Roman" w:hAnsi="Times New Roman"/>
          <w:noProof/>
          <w:szCs w:val="24"/>
        </w:rPr>
        <w:t>Leuven, E. and Oosterbeek, H., 2011. Overeducation and mismatch in the labor market. </w:t>
      </w:r>
      <w:r>
        <w:rPr>
          <w:rFonts w:ascii="Times New Roman" w:hAnsi="Times New Roman"/>
          <w:i/>
          <w:iCs/>
          <w:noProof/>
          <w:szCs w:val="24"/>
        </w:rPr>
        <w:t>Handbook of the Economics of Education</w:t>
      </w:r>
      <w:r>
        <w:rPr>
          <w:rFonts w:ascii="Times New Roman" w:hAnsi="Times New Roman"/>
          <w:noProof/>
          <w:szCs w:val="24"/>
        </w:rPr>
        <w:t>, 4, pp. 283-326.</w:t>
      </w:r>
    </w:p>
    <w:p w14:paraId="73DBD427"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Levkoff, S.E, Levy, B.R and Weitzman, P.F., 1999. The role of religion and ethnicity in the help seeking of family caregivers of elders with Alzheimer's disease and related disorders. </w:t>
      </w:r>
      <w:r w:rsidRPr="002B3011">
        <w:rPr>
          <w:rFonts w:ascii="Times New Roman" w:hAnsi="Times New Roman"/>
          <w:i/>
          <w:iCs/>
          <w:szCs w:val="24"/>
        </w:rPr>
        <w:t>Journal of Cross-Cultural Gerontology,</w:t>
      </w:r>
      <w:r w:rsidRPr="002B3011">
        <w:rPr>
          <w:rFonts w:ascii="Times New Roman" w:hAnsi="Times New Roman"/>
          <w:iCs/>
          <w:szCs w:val="24"/>
        </w:rPr>
        <w:t xml:space="preserve"> </w:t>
      </w:r>
      <w:r w:rsidRPr="002B3011">
        <w:rPr>
          <w:rFonts w:ascii="Times New Roman" w:hAnsi="Times New Roman"/>
          <w:szCs w:val="24"/>
        </w:rPr>
        <w:t>14, pp. 335-356.</w:t>
      </w:r>
    </w:p>
    <w:p w14:paraId="5366DC72" w14:textId="77777777" w:rsidR="00503349" w:rsidRPr="00F91F4F" w:rsidRDefault="00503349" w:rsidP="00503349">
      <w:pPr>
        <w:spacing w:before="240"/>
        <w:jc w:val="both"/>
        <w:rPr>
          <w:rFonts w:ascii="Times New Roman" w:eastAsia="Calibri" w:hAnsi="Times New Roman"/>
          <w:szCs w:val="24"/>
          <w:lang w:eastAsia="en-US"/>
        </w:rPr>
      </w:pPr>
      <w:r w:rsidRPr="00AC14FF">
        <w:rPr>
          <w:rFonts w:ascii="Times New Roman" w:hAnsi="Times New Roman"/>
          <w:bCs/>
          <w:szCs w:val="24"/>
        </w:rPr>
        <w:t xml:space="preserve">Levy, E.S. </w:t>
      </w:r>
      <w:r>
        <w:rPr>
          <w:rFonts w:ascii="Times New Roman" w:hAnsi="Times New Roman"/>
          <w:bCs/>
          <w:szCs w:val="24"/>
        </w:rPr>
        <w:t>and</w:t>
      </w:r>
      <w:r w:rsidRPr="00AC14FF">
        <w:rPr>
          <w:rFonts w:ascii="Times New Roman" w:hAnsi="Times New Roman"/>
          <w:bCs/>
          <w:szCs w:val="24"/>
        </w:rPr>
        <w:t xml:space="preserve"> Crowley, C.J.</w:t>
      </w:r>
      <w:r>
        <w:rPr>
          <w:rFonts w:ascii="Times New Roman" w:hAnsi="Times New Roman"/>
          <w:bCs/>
          <w:szCs w:val="24"/>
        </w:rPr>
        <w:t>,</w:t>
      </w:r>
      <w:r w:rsidRPr="00AC14FF">
        <w:rPr>
          <w:rFonts w:ascii="Times New Roman" w:hAnsi="Times New Roman"/>
          <w:bCs/>
          <w:szCs w:val="24"/>
        </w:rPr>
        <w:t xml:space="preserve"> 2012. Beliefs regarding the impact of accent within speech</w:t>
      </w:r>
      <w:r>
        <w:rPr>
          <w:rFonts w:ascii="Times New Roman" w:hAnsi="Times New Roman"/>
          <w:bCs/>
          <w:szCs w:val="24"/>
        </w:rPr>
        <w:t xml:space="preserve"> </w:t>
      </w:r>
      <w:r w:rsidRPr="00AC14FF">
        <w:rPr>
          <w:rFonts w:ascii="Times New Roman" w:hAnsi="Times New Roman"/>
          <w:bCs/>
          <w:szCs w:val="24"/>
        </w:rPr>
        <w:t xml:space="preserve">language pathology practice areas. </w:t>
      </w:r>
      <w:r w:rsidRPr="009F11AD">
        <w:rPr>
          <w:rFonts w:ascii="Times New Roman" w:hAnsi="Times New Roman"/>
          <w:bCs/>
          <w:i/>
          <w:iCs/>
          <w:szCs w:val="24"/>
        </w:rPr>
        <w:t>Communication Disorders Quarterly</w:t>
      </w:r>
      <w:r w:rsidRPr="00AC14FF">
        <w:rPr>
          <w:rFonts w:ascii="Times New Roman" w:hAnsi="Times New Roman"/>
          <w:bCs/>
          <w:szCs w:val="24"/>
        </w:rPr>
        <w:t xml:space="preserve">, 34, </w:t>
      </w:r>
      <w:r>
        <w:rPr>
          <w:rFonts w:ascii="Times New Roman" w:hAnsi="Times New Roman"/>
          <w:bCs/>
          <w:szCs w:val="24"/>
        </w:rPr>
        <w:t xml:space="preserve">pp. </w:t>
      </w:r>
      <w:r w:rsidRPr="00AC14FF">
        <w:rPr>
          <w:rFonts w:ascii="Times New Roman" w:hAnsi="Times New Roman"/>
          <w:bCs/>
          <w:szCs w:val="24"/>
        </w:rPr>
        <w:t>47-55.</w:t>
      </w:r>
    </w:p>
    <w:p w14:paraId="2C23DA0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Li, H., 2012. Unmet service needs: a comparison between dementia and non-dementia caregivers. </w:t>
      </w:r>
      <w:r w:rsidRPr="002B3011">
        <w:rPr>
          <w:rFonts w:ascii="Times New Roman" w:hAnsi="Times New Roman"/>
          <w:i/>
          <w:szCs w:val="24"/>
        </w:rPr>
        <w:t>Home Health Care Services Quarterly</w:t>
      </w:r>
      <w:r w:rsidRPr="002B3011">
        <w:rPr>
          <w:rFonts w:ascii="Times New Roman" w:hAnsi="Times New Roman"/>
          <w:szCs w:val="24"/>
        </w:rPr>
        <w:t>, 31, pp. 41-59.</w:t>
      </w:r>
    </w:p>
    <w:p w14:paraId="7671205A"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Li, R., Cooper, C., Bradley, J., Shulman, A. and Livingston, G., 2012. Coping strategies and psychological morbidity in family carers of people with dementia: a systematic review and meta-analysis. </w:t>
      </w:r>
      <w:r w:rsidRPr="000A56C6">
        <w:rPr>
          <w:rFonts w:ascii="Times New Roman" w:hAnsi="Times New Roman"/>
          <w:i/>
          <w:szCs w:val="24"/>
        </w:rPr>
        <w:t>Journal of Affective Disorders</w:t>
      </w:r>
      <w:r w:rsidRPr="000A56C6">
        <w:rPr>
          <w:rFonts w:ascii="Times New Roman" w:hAnsi="Times New Roman"/>
          <w:szCs w:val="24"/>
        </w:rPr>
        <w:t>, 139, pp. 1–11.</w:t>
      </w:r>
    </w:p>
    <w:p w14:paraId="6CF311A8"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Liaw, S.T. and Tam, C.W.M., 2015. Research ethics and approval process: a guide for new GP researchers. </w:t>
      </w:r>
      <w:r w:rsidRPr="004E3E8F">
        <w:rPr>
          <w:rFonts w:ascii="Times New Roman" w:hAnsi="Times New Roman"/>
          <w:i/>
          <w:iCs/>
          <w:szCs w:val="24"/>
        </w:rPr>
        <w:t>Australian Family Physician</w:t>
      </w:r>
      <w:r w:rsidRPr="004E3E8F">
        <w:rPr>
          <w:rFonts w:ascii="Times New Roman" w:hAnsi="Times New Roman"/>
          <w:szCs w:val="24"/>
        </w:rPr>
        <w:t xml:space="preserve">, </w:t>
      </w:r>
      <w:r w:rsidRPr="004E3E8F">
        <w:rPr>
          <w:rFonts w:ascii="Times New Roman" w:hAnsi="Times New Roman"/>
          <w:iCs/>
          <w:szCs w:val="24"/>
        </w:rPr>
        <w:t>44</w:t>
      </w:r>
      <w:r w:rsidRPr="004E3E8F">
        <w:rPr>
          <w:rFonts w:ascii="Times New Roman" w:hAnsi="Times New Roman"/>
          <w:szCs w:val="24"/>
        </w:rPr>
        <w:t>(6), p. 419.</w:t>
      </w:r>
    </w:p>
    <w:p w14:paraId="43F948B3" w14:textId="77777777" w:rsidR="00503349" w:rsidRDefault="00503349" w:rsidP="00503349">
      <w:pPr>
        <w:spacing w:before="240"/>
        <w:rPr>
          <w:rFonts w:ascii="Times New Roman" w:hAnsi="Times New Roman"/>
          <w:szCs w:val="24"/>
        </w:rPr>
      </w:pPr>
      <w:r>
        <w:rPr>
          <w:rFonts w:ascii="Times New Roman" w:hAnsi="Times New Roman"/>
          <w:szCs w:val="24"/>
        </w:rPr>
        <w:t>Liggins, E., 2005. 2Feminisms. </w:t>
      </w:r>
      <w:r>
        <w:rPr>
          <w:rFonts w:ascii="Times New Roman" w:hAnsi="Times New Roman"/>
          <w:i/>
          <w:iCs/>
          <w:szCs w:val="24"/>
        </w:rPr>
        <w:t>Year's Work in Critical &amp; Cultural Theory</w:t>
      </w:r>
      <w:r>
        <w:rPr>
          <w:rFonts w:ascii="Times New Roman" w:hAnsi="Times New Roman"/>
          <w:szCs w:val="24"/>
        </w:rPr>
        <w:t>, </w:t>
      </w:r>
      <w:r>
        <w:rPr>
          <w:rFonts w:ascii="Times New Roman" w:hAnsi="Times New Roman"/>
          <w:i/>
          <w:iCs/>
          <w:szCs w:val="24"/>
        </w:rPr>
        <w:t>13</w:t>
      </w:r>
      <w:r>
        <w:rPr>
          <w:rFonts w:ascii="Times New Roman" w:hAnsi="Times New Roman"/>
          <w:szCs w:val="24"/>
        </w:rPr>
        <w:t>(1).</w:t>
      </w:r>
    </w:p>
    <w:p w14:paraId="4D66DFCE" w14:textId="77777777" w:rsidR="00503349" w:rsidRDefault="00503349" w:rsidP="00503349">
      <w:pPr>
        <w:spacing w:before="240"/>
        <w:rPr>
          <w:rFonts w:ascii="Times New Roman" w:hAnsi="Times New Roman"/>
          <w:szCs w:val="24"/>
        </w:rPr>
      </w:pPr>
      <w:r>
        <w:rPr>
          <w:rFonts w:ascii="Times New Roman" w:hAnsi="Times New Roman"/>
          <w:szCs w:val="24"/>
        </w:rPr>
        <w:t xml:space="preserve">Likic-Brboric, B., Slavnic, Z. and Woolfson, C., 2013. Labour migration and informalisation: East meets West. </w:t>
      </w:r>
      <w:r>
        <w:rPr>
          <w:rFonts w:ascii="Times New Roman" w:hAnsi="Times New Roman"/>
          <w:i/>
          <w:szCs w:val="24"/>
        </w:rPr>
        <w:t>International Journal of Sociology and Social Policy</w:t>
      </w:r>
      <w:r>
        <w:rPr>
          <w:rFonts w:ascii="Times New Roman" w:hAnsi="Times New Roman"/>
          <w:szCs w:val="24"/>
        </w:rPr>
        <w:t>, 33(11/12), pp. 677-692.</w:t>
      </w:r>
    </w:p>
    <w:p w14:paraId="7EA4C76F" w14:textId="77777777" w:rsidR="00503349" w:rsidRPr="000A56C6" w:rsidRDefault="00503349" w:rsidP="00503349">
      <w:pPr>
        <w:rPr>
          <w:rFonts w:ascii="Times New Roman" w:hAnsi="Times New Roman"/>
          <w:szCs w:val="24"/>
        </w:rPr>
      </w:pPr>
      <w:r w:rsidRPr="000A56C6">
        <w:rPr>
          <w:rFonts w:ascii="Times" w:hAnsi="Times" w:cs="Times"/>
        </w:rPr>
        <w:lastRenderedPageBreak/>
        <w:t xml:space="preserve">Likupe, G., Baxter, C. and Jogi, M., 2018. Exploring health care workers’ perceptions and experiences of communication with ethnic minority elders. </w:t>
      </w:r>
      <w:r w:rsidRPr="000A56C6">
        <w:rPr>
          <w:rFonts w:ascii="Times" w:hAnsi="Times" w:cs="Times"/>
          <w:i/>
          <w:iCs/>
        </w:rPr>
        <w:t>Quality in Ageing &amp; Older Adults</w:t>
      </w:r>
      <w:r w:rsidRPr="000A56C6">
        <w:rPr>
          <w:rFonts w:ascii="Times" w:hAnsi="Times" w:cs="Times"/>
        </w:rPr>
        <w:t>, 19(3), pp. 180-190.</w:t>
      </w:r>
    </w:p>
    <w:p w14:paraId="1283F938" w14:textId="77777777" w:rsidR="00503349" w:rsidRPr="008101DD" w:rsidRDefault="00503349" w:rsidP="00503349">
      <w:pPr>
        <w:jc w:val="both"/>
        <w:rPr>
          <w:rFonts w:ascii="Times New Roman" w:hAnsi="Times New Roman"/>
          <w:b/>
          <w:bCs/>
          <w:szCs w:val="24"/>
        </w:rPr>
      </w:pPr>
      <w:r w:rsidRPr="008101DD">
        <w:rPr>
          <w:rFonts w:ascii="Times New Roman" w:hAnsi="Times New Roman"/>
          <w:szCs w:val="24"/>
        </w:rPr>
        <w:t xml:space="preserve">Lincoln, Y.S. and Guba, E.G., 1985. </w:t>
      </w:r>
      <w:r w:rsidRPr="008101DD">
        <w:rPr>
          <w:rFonts w:ascii="Times New Roman" w:hAnsi="Times New Roman"/>
          <w:i/>
          <w:szCs w:val="24"/>
        </w:rPr>
        <w:t>Naturalistic Inquiry</w:t>
      </w:r>
      <w:r w:rsidRPr="008101DD">
        <w:rPr>
          <w:rFonts w:ascii="Times New Roman" w:hAnsi="Times New Roman"/>
          <w:szCs w:val="24"/>
        </w:rPr>
        <w:t>. Newbury Park, CA: Sage.</w:t>
      </w:r>
    </w:p>
    <w:p w14:paraId="6BFC919D"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Lincoln, Y.S. and Guba, E.G., 2000. Paradigmatic controversies, contradictions, and emerging confluences. In: N.K. Denzin &amp; Y.S. Lincoln, eds. 2000. </w:t>
      </w:r>
      <w:r w:rsidRPr="008101DD">
        <w:rPr>
          <w:rFonts w:ascii="Times New Roman" w:hAnsi="Times New Roman"/>
          <w:i/>
          <w:szCs w:val="24"/>
        </w:rPr>
        <w:t>The handbook of qualitative research</w:t>
      </w:r>
      <w:r w:rsidRPr="008101DD">
        <w:rPr>
          <w:rFonts w:ascii="Times New Roman" w:hAnsi="Times New Roman"/>
          <w:szCs w:val="24"/>
        </w:rPr>
        <w:t>. Beverly Hills, CA: Sage, pp. 163-188.</w:t>
      </w:r>
    </w:p>
    <w:p w14:paraId="536B1DAF"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Lincoln, Y.S., Lynham, S.A. and Guba, E.G., 2011. Paradigmatic controversies, contradictions, and emerging confluences revisited. In N.K. Denzin &amp; Y.S. Lincoln, eds. 2011. </w:t>
      </w:r>
      <w:r w:rsidRPr="008101DD">
        <w:rPr>
          <w:rFonts w:ascii="Times New Roman" w:hAnsi="Times New Roman"/>
          <w:i/>
          <w:szCs w:val="24"/>
        </w:rPr>
        <w:t>The Sage Handbook of Qualitative Research</w:t>
      </w:r>
      <w:r w:rsidRPr="008101DD">
        <w:rPr>
          <w:rFonts w:ascii="Times New Roman" w:hAnsi="Times New Roman"/>
          <w:szCs w:val="24"/>
        </w:rPr>
        <w:t>. 4th ed. Thousand Oaks: Sage, pp. 97-129.</w:t>
      </w:r>
    </w:p>
    <w:p w14:paraId="4F5EA0E9" w14:textId="77777777" w:rsidR="00503349" w:rsidRPr="00347A4D" w:rsidRDefault="00503349" w:rsidP="00503349">
      <w:pPr>
        <w:spacing w:before="240"/>
        <w:jc w:val="both"/>
        <w:rPr>
          <w:rFonts w:ascii="Times New Roman" w:hAnsi="Times New Roman"/>
          <w:noProof/>
          <w:szCs w:val="24"/>
        </w:rPr>
      </w:pPr>
      <w:r>
        <w:rPr>
          <w:rFonts w:ascii="Times New Roman" w:hAnsi="Times New Roman"/>
          <w:noProof/>
          <w:szCs w:val="24"/>
        </w:rPr>
        <w:t>Lindley, A., 2006. Migration and financial transfers: UK-Somalia. </w:t>
      </w:r>
      <w:r>
        <w:rPr>
          <w:rFonts w:ascii="Times New Roman" w:hAnsi="Times New Roman"/>
          <w:i/>
          <w:iCs/>
          <w:noProof/>
          <w:szCs w:val="24"/>
        </w:rPr>
        <w:t>Refuge: Canada's Journal on Refugees</w:t>
      </w:r>
      <w:r>
        <w:rPr>
          <w:rFonts w:ascii="Times New Roman" w:hAnsi="Times New Roman"/>
          <w:noProof/>
          <w:szCs w:val="24"/>
        </w:rPr>
        <w:t>, pp. 20-27.</w:t>
      </w:r>
    </w:p>
    <w:p w14:paraId="7C4FD86B"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Lindquist, L.A., Tam, K., Friesema, E. and Martin, G.J., 2012. Paid caregiver motivation, work conditions, and falls among senior clients. </w:t>
      </w:r>
      <w:r w:rsidRPr="00CF1AE8">
        <w:rPr>
          <w:rFonts w:ascii="Times New Roman" w:hAnsi="Times New Roman"/>
          <w:i/>
          <w:szCs w:val="24"/>
        </w:rPr>
        <w:t>Archive of Gerontology &amp; Geriatrics</w:t>
      </w:r>
      <w:r w:rsidRPr="00CF1AE8">
        <w:rPr>
          <w:rFonts w:ascii="Times New Roman" w:hAnsi="Times New Roman"/>
          <w:szCs w:val="24"/>
        </w:rPr>
        <w:t>, 55(2), pp. 442-445.</w:t>
      </w:r>
    </w:p>
    <w:p w14:paraId="1E2E6F8B"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 xml:space="preserve">Livingston, G., Sommerlad, A., Orgeta, V., Costafreda, S.G., Huntley, H., Ames, D., Ballard, C., Banerjee, S., Burns, A., Cohen-Mansfield, J., Cooper, C., Fox, N., Gitlin, L.N., Howard, R., Kales, H.C., Larson, E.B., Ritchie, K., Rockwood, K., Sampson, E.L., Samus, Q., Schneider, L.S., Selbæk, G., Teri, L. and Mukadam, N., 2017. </w:t>
      </w:r>
      <w:r w:rsidRPr="00D527D8">
        <w:rPr>
          <w:rFonts w:ascii="Times New Roman" w:hAnsi="Times New Roman"/>
          <w:bCs/>
          <w:szCs w:val="24"/>
          <w:bdr w:val="none" w:sz="0" w:space="0" w:color="auto" w:frame="1"/>
        </w:rPr>
        <w:t>Dementia prevention, intervention, and care.</w:t>
      </w:r>
      <w:r w:rsidRPr="00D527D8">
        <w:rPr>
          <w:rFonts w:ascii="Times New Roman" w:hAnsi="Times New Roman"/>
          <w:szCs w:val="24"/>
          <w:bdr w:val="none" w:sz="0" w:space="0" w:color="auto" w:frame="1"/>
        </w:rPr>
        <w:t xml:space="preserve"> </w:t>
      </w:r>
      <w:r w:rsidRPr="00D527D8">
        <w:rPr>
          <w:rFonts w:ascii="Times New Roman" w:hAnsi="Times New Roman"/>
          <w:i/>
          <w:szCs w:val="24"/>
          <w:bdr w:val="none" w:sz="0" w:space="0" w:color="auto" w:frame="1"/>
        </w:rPr>
        <w:t>Lancet</w:t>
      </w:r>
      <w:r w:rsidRPr="00D527D8">
        <w:rPr>
          <w:rFonts w:ascii="Times New Roman" w:hAnsi="Times New Roman"/>
          <w:szCs w:val="24"/>
          <w:bdr w:val="none" w:sz="0" w:space="0" w:color="auto" w:frame="1"/>
        </w:rPr>
        <w:t>, 390(10113), pp. 2673-2734. Available at: &lt;https://www.sciencedirect.com/science/article/pii/S0140673617313636?via%3Dihub&gt;[Accessed 24 March 2019]</w:t>
      </w:r>
    </w:p>
    <w:p w14:paraId="7679E5E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Lloyd, J., Patterson, T. and Muers, J., 2016. The positive aspects of caregiving in dementia: a critical review of the qualitative literature. </w:t>
      </w:r>
      <w:r w:rsidRPr="002B3011">
        <w:rPr>
          <w:rFonts w:ascii="Times New Roman" w:hAnsi="Times New Roman"/>
          <w:i/>
          <w:iCs/>
          <w:szCs w:val="24"/>
        </w:rPr>
        <w:t>Dementia</w:t>
      </w:r>
      <w:r w:rsidRPr="002B3011">
        <w:rPr>
          <w:rFonts w:ascii="Times New Roman" w:hAnsi="Times New Roman"/>
          <w:szCs w:val="24"/>
        </w:rPr>
        <w:t>, </w:t>
      </w:r>
      <w:r w:rsidRPr="002B3011">
        <w:rPr>
          <w:rFonts w:ascii="Times New Roman" w:hAnsi="Times New Roman"/>
          <w:iCs/>
          <w:szCs w:val="24"/>
        </w:rPr>
        <w:t>15</w:t>
      </w:r>
      <w:r w:rsidRPr="002B3011">
        <w:rPr>
          <w:rFonts w:ascii="Times New Roman" w:hAnsi="Times New Roman"/>
          <w:szCs w:val="24"/>
        </w:rPr>
        <w:t>(6), pp. 1534-1561. </w:t>
      </w:r>
    </w:p>
    <w:p w14:paraId="3D76013F"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Loewenstein, G. and Small, D., 2007. The scarecrow and the tin man: The vicissitudes of human sympathy and caring. </w:t>
      </w:r>
      <w:r w:rsidRPr="00945DA4">
        <w:rPr>
          <w:rFonts w:ascii="Times New Roman" w:hAnsi="Times New Roman"/>
          <w:i/>
          <w:szCs w:val="24"/>
          <w:bdr w:val="none" w:sz="0" w:space="0" w:color="auto" w:frame="1"/>
        </w:rPr>
        <w:t>Review of General Psychology</w:t>
      </w:r>
      <w:r w:rsidRPr="00945DA4">
        <w:rPr>
          <w:rFonts w:ascii="Times New Roman" w:hAnsi="Times New Roman"/>
          <w:szCs w:val="24"/>
          <w:bdr w:val="none" w:sz="0" w:space="0" w:color="auto" w:frame="1"/>
        </w:rPr>
        <w:t>, 11, pp. 112-126.</w:t>
      </w:r>
    </w:p>
    <w:p w14:paraId="731AB369" w14:textId="77777777" w:rsidR="00503349" w:rsidRDefault="00503349" w:rsidP="00503349">
      <w:pPr>
        <w:spacing w:before="240"/>
        <w:jc w:val="both"/>
        <w:rPr>
          <w:rFonts w:ascii="Times New Roman" w:hAnsi="Times New Roman"/>
          <w:noProof/>
          <w:szCs w:val="24"/>
        </w:rPr>
      </w:pPr>
      <w:r>
        <w:rPr>
          <w:rFonts w:ascii="Times New Roman" w:hAnsi="Times New Roman"/>
          <w:szCs w:val="24"/>
        </w:rPr>
        <w:t xml:space="preserve">London School of Economics and Political Science, LSE, 2007. </w:t>
      </w:r>
      <w:r w:rsidRPr="002B46B4">
        <w:rPr>
          <w:rFonts w:ascii="Times New Roman" w:hAnsi="Times New Roman"/>
          <w:i/>
          <w:iCs/>
          <w:szCs w:val="24"/>
        </w:rPr>
        <w:t>The Impact of Recent Immigration on the London Economy</w:t>
      </w:r>
      <w:r>
        <w:rPr>
          <w:rFonts w:ascii="Times New Roman" w:hAnsi="Times New Roman"/>
          <w:szCs w:val="24"/>
        </w:rPr>
        <w:t>. London: LSE. Available at: &lt;http://eprints.lse.ac.uk/23536/1/Gordon_the_Impact_of_Recent_Immigration_On_The_London_Economy_author.pdf&gt;[Accessed 30 December 2018]</w:t>
      </w:r>
    </w:p>
    <w:p w14:paraId="6261C811" w14:textId="77777777" w:rsidR="00503349" w:rsidRDefault="00503349" w:rsidP="00503349">
      <w:pPr>
        <w:spacing w:before="240"/>
        <w:jc w:val="both"/>
        <w:rPr>
          <w:rFonts w:ascii="Times New Roman" w:hAnsi="Times New Roman"/>
          <w:noProof/>
          <w:szCs w:val="24"/>
        </w:rPr>
      </w:pPr>
      <w:r w:rsidRPr="00CF1AE8">
        <w:rPr>
          <w:rFonts w:ascii="Times New Roman" w:hAnsi="Times New Roman"/>
          <w:szCs w:val="24"/>
        </w:rPr>
        <w:t>Longino, C.F., 1992. The forest and the trees: micro-level considerations in the study of geographic mobility in old age. In</w:t>
      </w:r>
      <w:r>
        <w:rPr>
          <w:rFonts w:ascii="Times New Roman" w:hAnsi="Times New Roman"/>
          <w:szCs w:val="24"/>
        </w:rPr>
        <w:t>:</w:t>
      </w:r>
      <w:r w:rsidRPr="00CF1AE8">
        <w:rPr>
          <w:rFonts w:ascii="Times New Roman" w:hAnsi="Times New Roman"/>
          <w:szCs w:val="24"/>
        </w:rPr>
        <w:t xml:space="preserve"> A. Rogers (ed)</w:t>
      </w:r>
      <w:r>
        <w:rPr>
          <w:rFonts w:ascii="Times New Roman" w:hAnsi="Times New Roman"/>
          <w:szCs w:val="24"/>
        </w:rPr>
        <w:t>.</w:t>
      </w:r>
      <w:r w:rsidRPr="00CF1AE8">
        <w:rPr>
          <w:rFonts w:ascii="Times New Roman" w:hAnsi="Times New Roman"/>
          <w:szCs w:val="24"/>
        </w:rPr>
        <w:t xml:space="preserve"> </w:t>
      </w:r>
      <w:r w:rsidRPr="00CF1AE8">
        <w:rPr>
          <w:rFonts w:ascii="Times New Roman" w:hAnsi="Times New Roman"/>
          <w:i/>
          <w:szCs w:val="24"/>
        </w:rPr>
        <w:t>Elderly Migration and Population Redistribution</w:t>
      </w:r>
      <w:r w:rsidRPr="00CF1AE8">
        <w:rPr>
          <w:rFonts w:ascii="Times New Roman" w:hAnsi="Times New Roman"/>
          <w:szCs w:val="24"/>
        </w:rPr>
        <w:t>. Belhaven: London, pp. 23–34.</w:t>
      </w:r>
    </w:p>
    <w:p w14:paraId="5C451701"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Lopez, J., Lopez-Arrieta, J. and Crespo, M., 2005. Factors associated with the positive impact of caring for elderly and dependent relatives. </w:t>
      </w:r>
      <w:r w:rsidRPr="000C2CD1">
        <w:rPr>
          <w:rFonts w:ascii="Times New Roman" w:hAnsi="Times New Roman"/>
          <w:i/>
          <w:iCs/>
          <w:color w:val="000000"/>
          <w:szCs w:val="24"/>
        </w:rPr>
        <w:t>Archives of Gerontology and Geriatrics</w:t>
      </w:r>
      <w:r w:rsidRPr="002B3011">
        <w:rPr>
          <w:rFonts w:ascii="Times New Roman" w:hAnsi="Times New Roman"/>
          <w:color w:val="000000"/>
          <w:szCs w:val="24"/>
        </w:rPr>
        <w:t>, 41, pp. 81-94.</w:t>
      </w:r>
    </w:p>
    <w:p w14:paraId="6190719B"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Lopez, O.L., Kuller, L.H., Becker, J.T.,</w:t>
      </w:r>
      <w:r w:rsidRPr="00D527D8">
        <w:rPr>
          <w:rFonts w:ascii="Times New Roman" w:hAnsi="Times New Roman"/>
          <w:bCs/>
          <w:szCs w:val="24"/>
          <w:bdr w:val="none" w:sz="0" w:space="0" w:color="auto" w:frame="1"/>
        </w:rPr>
        <w:t xml:space="preserve"> Dulberg, C., Sweet, R.A., Gach, H.M. and Dekosky, S.T., 2007. Incidence of dementia in mild cognitive impairment in the cardiovascular health study cognition study.</w:t>
      </w:r>
      <w:r w:rsidRPr="00D527D8">
        <w:rPr>
          <w:rFonts w:ascii="Times New Roman" w:hAnsi="Times New Roman"/>
          <w:szCs w:val="24"/>
          <w:bdr w:val="none" w:sz="0" w:space="0" w:color="auto" w:frame="1"/>
        </w:rPr>
        <w:t xml:space="preserve"> </w:t>
      </w:r>
      <w:r w:rsidRPr="00D527D8">
        <w:rPr>
          <w:rFonts w:ascii="Times New Roman" w:hAnsi="Times New Roman"/>
          <w:i/>
          <w:szCs w:val="24"/>
          <w:bdr w:val="none" w:sz="0" w:space="0" w:color="auto" w:frame="1"/>
        </w:rPr>
        <w:t>Archives of Neurology</w:t>
      </w:r>
      <w:r w:rsidRPr="00D527D8">
        <w:rPr>
          <w:rFonts w:ascii="Times New Roman" w:hAnsi="Times New Roman"/>
          <w:szCs w:val="24"/>
          <w:bdr w:val="none" w:sz="0" w:space="0" w:color="auto" w:frame="1"/>
        </w:rPr>
        <w:t>, 64, pp. 416-420.</w:t>
      </w:r>
    </w:p>
    <w:p w14:paraId="7D6324E4"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Losada, A., Márquez-González, M., Knight, B. G., Yanguas, J., Sayegh, P. and Romero-Moreno, R., 2010. Psychosocial factors and caregivers’ distress: effects of familism and dysfunctional thoughts. </w:t>
      </w:r>
      <w:r w:rsidRPr="002B3011">
        <w:rPr>
          <w:rFonts w:ascii="Times New Roman" w:hAnsi="Times New Roman"/>
          <w:i/>
          <w:szCs w:val="24"/>
        </w:rPr>
        <w:t>Aging and Mental Health</w:t>
      </w:r>
      <w:r w:rsidRPr="002B3011">
        <w:rPr>
          <w:rFonts w:ascii="Times New Roman" w:hAnsi="Times New Roman"/>
          <w:szCs w:val="24"/>
        </w:rPr>
        <w:t>, 14, pp. 193-202.</w:t>
      </w:r>
    </w:p>
    <w:p w14:paraId="5F8B3A02" w14:textId="77777777" w:rsidR="00503349" w:rsidRPr="002B3011" w:rsidRDefault="00503349" w:rsidP="00503349">
      <w:pPr>
        <w:rPr>
          <w:rFonts w:ascii="Times New Roman" w:hAnsi="Times New Roman"/>
          <w:szCs w:val="24"/>
        </w:rPr>
      </w:pPr>
      <w:r w:rsidRPr="002B3011">
        <w:rPr>
          <w:rFonts w:ascii="Times New Roman" w:hAnsi="Times New Roman"/>
          <w:color w:val="000000"/>
          <w:szCs w:val="24"/>
        </w:rPr>
        <w:t>Losada, A., Márquez-González, M., Vara-García, C., Barrera-Caballero, S., Cabrera, I., Gallego-Alberto, L., Olmos, R. and Romero-Moreno, R., 2020. Measuring familism indementia family caregivers: the revised familism scale. </w:t>
      </w:r>
      <w:r w:rsidRPr="002B3011">
        <w:rPr>
          <w:rFonts w:ascii="Times New Roman" w:hAnsi="Times New Roman"/>
          <w:i/>
          <w:iCs/>
          <w:color w:val="000000"/>
          <w:szCs w:val="24"/>
        </w:rPr>
        <w:t>Aging &amp; Mental Health</w:t>
      </w:r>
      <w:r w:rsidRPr="002B3011">
        <w:rPr>
          <w:rFonts w:ascii="Times New Roman" w:hAnsi="Times New Roman"/>
          <w:color w:val="000000"/>
          <w:szCs w:val="24"/>
        </w:rPr>
        <w:t>, 24(5), pp. 784-788.</w:t>
      </w:r>
    </w:p>
    <w:p w14:paraId="7B3D503D" w14:textId="77777777" w:rsidR="00503349" w:rsidRPr="004E3E8F" w:rsidRDefault="00503349" w:rsidP="00503349">
      <w:pPr>
        <w:spacing w:before="240"/>
        <w:jc w:val="both"/>
        <w:rPr>
          <w:rFonts w:ascii="Times New Roman" w:hAnsi="Times New Roman"/>
          <w:szCs w:val="24"/>
        </w:rPr>
      </w:pPr>
      <w:r w:rsidRPr="004E3E8F">
        <w:rPr>
          <w:rFonts w:ascii="Times New Roman" w:hAnsi="Times New Roman"/>
          <w:szCs w:val="24"/>
        </w:rPr>
        <w:t xml:space="preserve">Lovell, M. and Foy, M.A., 2018. General Data Protection Regulation May 2018 (GDPR). </w:t>
      </w:r>
      <w:r w:rsidRPr="004E3E8F">
        <w:rPr>
          <w:rFonts w:ascii="Times New Roman" w:hAnsi="Times New Roman"/>
          <w:i/>
          <w:szCs w:val="24"/>
        </w:rPr>
        <w:t>Bone &amp; Joint</w:t>
      </w:r>
      <w:r w:rsidRPr="004E3E8F">
        <w:rPr>
          <w:rFonts w:ascii="Times New Roman" w:hAnsi="Times New Roman"/>
          <w:szCs w:val="24"/>
        </w:rPr>
        <w:t xml:space="preserve"> </w:t>
      </w:r>
      <w:r w:rsidRPr="004E3E8F">
        <w:rPr>
          <w:rFonts w:ascii="Times New Roman" w:hAnsi="Times New Roman"/>
          <w:i/>
          <w:szCs w:val="24"/>
        </w:rPr>
        <w:t>360</w:t>
      </w:r>
      <w:r w:rsidRPr="004E3E8F">
        <w:rPr>
          <w:rFonts w:ascii="Times New Roman" w:hAnsi="Times New Roman"/>
          <w:szCs w:val="24"/>
        </w:rPr>
        <w:t>, 7(4), pp. 41-42.</w:t>
      </w:r>
    </w:p>
    <w:p w14:paraId="7A3C3B7A" w14:textId="77777777" w:rsidR="00503349" w:rsidRPr="00EF189A" w:rsidRDefault="00503349" w:rsidP="00503349">
      <w:pPr>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Low Pay Commission, 2014. </w:t>
      </w:r>
      <w:r w:rsidRPr="00945DA4">
        <w:rPr>
          <w:rFonts w:ascii="Times New Roman" w:hAnsi="Times New Roman"/>
          <w:i/>
          <w:iCs/>
          <w:szCs w:val="24"/>
          <w:bdr w:val="none" w:sz="0" w:space="0" w:color="auto" w:frame="1"/>
        </w:rPr>
        <w:t>The future path of the national minimum wage</w:t>
      </w:r>
      <w:r w:rsidRPr="00EF189A">
        <w:rPr>
          <w:rFonts w:ascii="Times New Roman" w:hAnsi="Times New Roman"/>
          <w:szCs w:val="24"/>
          <w:bdr w:val="none" w:sz="0" w:space="0" w:color="auto" w:frame="1"/>
        </w:rPr>
        <w:t>. London: The Stationery Office. Available at: &lt;https://assets.publishing.service.gov.uk/government/uploads/system/uploads/attachm</w:t>
      </w:r>
      <w:r w:rsidRPr="00EF189A">
        <w:rPr>
          <w:rFonts w:ascii="Times New Roman" w:hAnsi="Times New Roman"/>
          <w:szCs w:val="24"/>
          <w:bdr w:val="none" w:sz="0" w:space="0" w:color="auto" w:frame="1"/>
        </w:rPr>
        <w:lastRenderedPageBreak/>
        <w:t>ent_data/file/288848/The_Future_Path_of_the_National_Minimum_Wage.pdf&gt;[Accessed 15 January 2019]</w:t>
      </w:r>
    </w:p>
    <w:p w14:paraId="73C2B951" w14:textId="77777777" w:rsidR="00503349" w:rsidRDefault="00503349" w:rsidP="00503349">
      <w:pPr>
        <w:spacing w:before="240"/>
        <w:jc w:val="both"/>
        <w:rPr>
          <w:rFonts w:ascii="Times New Roman" w:hAnsi="Times New Roman"/>
          <w:noProof/>
          <w:szCs w:val="24"/>
        </w:rPr>
      </w:pPr>
      <w:r>
        <w:rPr>
          <w:rFonts w:ascii="Times New Roman" w:hAnsi="Times New Roman"/>
          <w:szCs w:val="24"/>
        </w:rPr>
        <w:t xml:space="preserve">Lüdecke, D., Bien, B., McKee, K., Krevers, B., Mestheneos, E., Di Rosa, M., von dem Knesebeck, K. and Kofahl, C., 2018. For better or worse: factors predicting outcomes of family care of older people over a one-year period. A six-country European Study. </w:t>
      </w:r>
      <w:r>
        <w:rPr>
          <w:rFonts w:ascii="Times New Roman" w:hAnsi="Times New Roman"/>
          <w:i/>
          <w:szCs w:val="24"/>
        </w:rPr>
        <w:t>PloS One</w:t>
      </w:r>
      <w:r>
        <w:rPr>
          <w:rFonts w:ascii="Times New Roman" w:hAnsi="Times New Roman"/>
          <w:szCs w:val="24"/>
        </w:rPr>
        <w:t>, 13(4).</w:t>
      </w:r>
    </w:p>
    <w:p w14:paraId="104C5E53" w14:textId="77777777" w:rsidR="00503349" w:rsidRDefault="00503349" w:rsidP="00503349">
      <w:pPr>
        <w:jc w:val="both"/>
        <w:rPr>
          <w:rFonts w:ascii="Times New Roman" w:hAnsi="Times New Roman"/>
          <w:szCs w:val="24"/>
        </w:rPr>
      </w:pPr>
    </w:p>
    <w:p w14:paraId="5CCB6068" w14:textId="77777777" w:rsidR="00503349" w:rsidRPr="00A819B8" w:rsidRDefault="00503349" w:rsidP="00503349">
      <w:pPr>
        <w:rPr>
          <w:rFonts w:ascii="Times New Roman" w:hAnsi="Times New Roman"/>
          <w:szCs w:val="24"/>
        </w:rPr>
      </w:pPr>
      <w:r w:rsidRPr="00B851A7">
        <w:rPr>
          <w:rFonts w:ascii="Times New Roman" w:hAnsi="Times New Roman"/>
          <w:szCs w:val="24"/>
        </w:rPr>
        <w:t>Luff, R</w:t>
      </w:r>
      <w:r>
        <w:rPr>
          <w:rFonts w:ascii="Times New Roman" w:hAnsi="Times New Roman"/>
          <w:szCs w:val="24"/>
        </w:rPr>
        <w:t>.,</w:t>
      </w:r>
      <w:r w:rsidRPr="00B851A7">
        <w:rPr>
          <w:rFonts w:ascii="Times New Roman" w:hAnsi="Times New Roman"/>
          <w:szCs w:val="24"/>
        </w:rPr>
        <w:t xml:space="preserve"> 2010</w:t>
      </w:r>
      <w:r>
        <w:rPr>
          <w:rFonts w:ascii="Times New Roman" w:hAnsi="Times New Roman"/>
          <w:szCs w:val="24"/>
        </w:rPr>
        <w:t>.</w:t>
      </w:r>
      <w:r w:rsidRPr="00B851A7">
        <w:rPr>
          <w:rFonts w:ascii="Times New Roman" w:hAnsi="Times New Roman"/>
          <w:szCs w:val="24"/>
        </w:rPr>
        <w:t xml:space="preserve"> Forms of empathy of care home staff working with older people. </w:t>
      </w:r>
      <w:r w:rsidRPr="00B851A7">
        <w:rPr>
          <w:rFonts w:ascii="Times New Roman" w:hAnsi="Times New Roman"/>
          <w:i/>
          <w:iCs/>
          <w:szCs w:val="24"/>
        </w:rPr>
        <w:t xml:space="preserve">International Journal of Work Organisation </w:t>
      </w:r>
      <w:r>
        <w:rPr>
          <w:rFonts w:ascii="Times New Roman" w:hAnsi="Times New Roman"/>
          <w:i/>
          <w:iCs/>
          <w:szCs w:val="24"/>
        </w:rPr>
        <w:t>&amp;</w:t>
      </w:r>
      <w:r w:rsidRPr="00B851A7">
        <w:rPr>
          <w:rFonts w:ascii="Times New Roman" w:hAnsi="Times New Roman"/>
          <w:i/>
          <w:iCs/>
          <w:szCs w:val="24"/>
        </w:rPr>
        <w:t xml:space="preserve"> Emotion</w:t>
      </w:r>
      <w:r w:rsidRPr="00B851A7">
        <w:rPr>
          <w:rFonts w:ascii="Times New Roman" w:hAnsi="Times New Roman"/>
          <w:szCs w:val="24"/>
        </w:rPr>
        <w:t xml:space="preserve">, 3(3), </w:t>
      </w:r>
      <w:r>
        <w:rPr>
          <w:rFonts w:ascii="Times New Roman" w:hAnsi="Times New Roman"/>
          <w:szCs w:val="24"/>
        </w:rPr>
        <w:t xml:space="preserve">pp. </w:t>
      </w:r>
      <w:r w:rsidRPr="00B851A7">
        <w:rPr>
          <w:rFonts w:ascii="Times New Roman" w:hAnsi="Times New Roman"/>
          <w:szCs w:val="24"/>
        </w:rPr>
        <w:t>302-316.</w:t>
      </w:r>
    </w:p>
    <w:p w14:paraId="013E4FD9" w14:textId="77777777" w:rsidR="00503349" w:rsidRPr="002B3011" w:rsidRDefault="00503349" w:rsidP="00503349">
      <w:pPr>
        <w:textAlignment w:val="baseline"/>
        <w:rPr>
          <w:rFonts w:ascii="Times New Roman" w:hAnsi="Times New Roman"/>
          <w:bCs/>
          <w:color w:val="000000"/>
          <w:szCs w:val="24"/>
        </w:rPr>
      </w:pPr>
      <w:r w:rsidRPr="002B3011">
        <w:rPr>
          <w:rFonts w:ascii="Times New Roman" w:hAnsi="Times New Roman"/>
          <w:bCs/>
          <w:color w:val="000000"/>
          <w:szCs w:val="24"/>
        </w:rPr>
        <w:t>Lyons, K.S., Zarit, S.H., Sayer, A.G. and Whitlatch, C.J., 2002. Caregiving as a dyadic process: Perspectives from caregiver and receiver. </w:t>
      </w:r>
      <w:r w:rsidRPr="002B3011">
        <w:rPr>
          <w:rFonts w:ascii="Times New Roman" w:hAnsi="Times New Roman"/>
          <w:bCs/>
          <w:i/>
          <w:iCs/>
          <w:color w:val="000000"/>
          <w:szCs w:val="24"/>
        </w:rPr>
        <w:t>The Journals of Gerontology Series B: Psychological Sciences and Social Sciences</w:t>
      </w:r>
      <w:r w:rsidRPr="002B3011">
        <w:rPr>
          <w:rFonts w:ascii="Times New Roman" w:hAnsi="Times New Roman"/>
          <w:bCs/>
          <w:color w:val="000000"/>
          <w:szCs w:val="24"/>
        </w:rPr>
        <w:t>, 57(3), pp. P195-P204.</w:t>
      </w:r>
    </w:p>
    <w:p w14:paraId="4E89F80C" w14:textId="77777777" w:rsidR="00503349" w:rsidRPr="005D6DAC" w:rsidRDefault="00503349" w:rsidP="00503349">
      <w:pPr>
        <w:jc w:val="both"/>
        <w:rPr>
          <w:rFonts w:ascii="Times New Roman" w:hAnsi="Times New Roman"/>
          <w:noProof/>
          <w:szCs w:val="24"/>
        </w:rPr>
      </w:pPr>
      <w:r w:rsidRPr="005D6DAC">
        <w:rPr>
          <w:rFonts w:ascii="Times New Roman" w:hAnsi="Times New Roman"/>
          <w:noProof/>
          <w:szCs w:val="24"/>
        </w:rPr>
        <w:t>MacDonald, A. and Cooper, B., 2007. Long-term care and dementia services: an impending crisis. </w:t>
      </w:r>
      <w:r w:rsidRPr="005D6DAC">
        <w:rPr>
          <w:rFonts w:ascii="Times New Roman" w:hAnsi="Times New Roman"/>
          <w:i/>
          <w:iCs/>
          <w:noProof/>
          <w:szCs w:val="24"/>
        </w:rPr>
        <w:t>Age and Ageing</w:t>
      </w:r>
      <w:r w:rsidRPr="005D6DAC">
        <w:rPr>
          <w:rFonts w:ascii="Times New Roman" w:hAnsi="Times New Roman"/>
          <w:noProof/>
          <w:szCs w:val="24"/>
        </w:rPr>
        <w:t>, 36, pp.</w:t>
      </w:r>
      <w:r>
        <w:rPr>
          <w:rFonts w:ascii="Times New Roman" w:hAnsi="Times New Roman"/>
          <w:noProof/>
          <w:szCs w:val="24"/>
        </w:rPr>
        <w:t xml:space="preserve"> </w:t>
      </w:r>
      <w:r w:rsidRPr="005D6DAC">
        <w:rPr>
          <w:rFonts w:ascii="Times New Roman" w:hAnsi="Times New Roman"/>
          <w:noProof/>
          <w:szCs w:val="24"/>
        </w:rPr>
        <w:t>16-22.</w:t>
      </w:r>
    </w:p>
    <w:p w14:paraId="1DFDB16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MacDonald, P.S., 2001. Husserl's preemptive responses to existentialist critiques. </w:t>
      </w:r>
      <w:r w:rsidRPr="008101DD">
        <w:rPr>
          <w:rFonts w:ascii="Times New Roman" w:hAnsi="Times New Roman"/>
          <w:i/>
          <w:iCs/>
          <w:szCs w:val="24"/>
        </w:rPr>
        <w:t>Indo-Pacific Journal of Phenomenology</w:t>
      </w:r>
      <w:r w:rsidRPr="008101DD">
        <w:rPr>
          <w:rFonts w:ascii="Times New Roman" w:hAnsi="Times New Roman"/>
          <w:szCs w:val="24"/>
        </w:rPr>
        <w:t>, 1(1), pp. 1-15.</w:t>
      </w:r>
    </w:p>
    <w:p w14:paraId="288AFDC8" w14:textId="77777777" w:rsidR="00503349" w:rsidRDefault="00503349" w:rsidP="00503349">
      <w:pPr>
        <w:jc w:val="both"/>
        <w:rPr>
          <w:rFonts w:ascii="Times New Roman" w:hAnsi="Times New Roman"/>
          <w:szCs w:val="24"/>
        </w:rPr>
      </w:pPr>
      <w:r w:rsidRPr="004D2565">
        <w:rPr>
          <w:rFonts w:ascii="Times New Roman" w:hAnsi="Times New Roman"/>
          <w:szCs w:val="24"/>
        </w:rPr>
        <w:t>Machiels, M., Metzelthin, S.F., Hamers, J.P. and Zwakhalen, S.M., 2017. Interventions to improve communication between people with dementia and nursing staff during daily nursing care: a systematic review. </w:t>
      </w:r>
      <w:r w:rsidRPr="004D2565">
        <w:rPr>
          <w:rFonts w:ascii="Times New Roman" w:hAnsi="Times New Roman"/>
          <w:i/>
          <w:iCs/>
          <w:szCs w:val="24"/>
        </w:rPr>
        <w:t>International Journal of Nursing Studies</w:t>
      </w:r>
      <w:r w:rsidRPr="004D2565">
        <w:rPr>
          <w:rFonts w:ascii="Times New Roman" w:hAnsi="Times New Roman"/>
          <w:szCs w:val="24"/>
        </w:rPr>
        <w:t>, 66, pp.</w:t>
      </w:r>
      <w:r>
        <w:rPr>
          <w:rFonts w:ascii="Times New Roman" w:hAnsi="Times New Roman"/>
          <w:szCs w:val="24"/>
        </w:rPr>
        <w:t xml:space="preserve"> </w:t>
      </w:r>
      <w:r w:rsidRPr="004D2565">
        <w:rPr>
          <w:rFonts w:ascii="Times New Roman" w:hAnsi="Times New Roman"/>
          <w:szCs w:val="24"/>
        </w:rPr>
        <w:t>37-46.</w:t>
      </w:r>
    </w:p>
    <w:p w14:paraId="77369AD3"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MacKenzie, R. and Forde, C., 2009. The rhetoric of the `good worker' versus the realities of employers' use and the experiences of migrant workers. </w:t>
      </w:r>
      <w:r w:rsidRPr="00CF1AE8">
        <w:rPr>
          <w:rFonts w:ascii="Times New Roman" w:hAnsi="Times New Roman"/>
          <w:i/>
          <w:szCs w:val="24"/>
        </w:rPr>
        <w:t>Work, Employment and Society</w:t>
      </w:r>
      <w:r w:rsidRPr="00CF1AE8">
        <w:rPr>
          <w:rFonts w:ascii="Times New Roman" w:hAnsi="Times New Roman"/>
          <w:szCs w:val="24"/>
        </w:rPr>
        <w:t>, 23, pp. 142–159</w:t>
      </w:r>
      <w:r>
        <w:rPr>
          <w:rFonts w:ascii="Times New Roman" w:hAnsi="Times New Roman"/>
          <w:szCs w:val="24"/>
        </w:rPr>
        <w:t>.</w:t>
      </w:r>
    </w:p>
    <w:p w14:paraId="04DE8133" w14:textId="77777777" w:rsidR="00503349" w:rsidRDefault="00503349" w:rsidP="00503349">
      <w:pPr>
        <w:tabs>
          <w:tab w:val="left" w:pos="5445"/>
        </w:tabs>
        <w:jc w:val="both"/>
        <w:rPr>
          <w:rFonts w:ascii="Times New Roman" w:hAnsi="Times New Roman"/>
          <w:szCs w:val="24"/>
        </w:rPr>
      </w:pPr>
      <w:r w:rsidRPr="00855DF3">
        <w:rPr>
          <w:rFonts w:ascii="Times New Roman" w:hAnsi="Times New Roman"/>
          <w:szCs w:val="24"/>
        </w:rPr>
        <w:t>MacWilliams, B.R., Schmidt, B. and Bleich, M.R., 2013. Men in nursing. </w:t>
      </w:r>
      <w:r w:rsidRPr="00855DF3">
        <w:rPr>
          <w:rFonts w:ascii="Times New Roman" w:hAnsi="Times New Roman"/>
          <w:i/>
          <w:iCs/>
          <w:szCs w:val="24"/>
        </w:rPr>
        <w:t>AJN The American Journal of Nursing</w:t>
      </w:r>
      <w:r w:rsidRPr="00855DF3">
        <w:rPr>
          <w:rFonts w:ascii="Times New Roman" w:hAnsi="Times New Roman"/>
          <w:szCs w:val="24"/>
        </w:rPr>
        <w:t>, </w:t>
      </w:r>
      <w:r w:rsidRPr="00855DF3">
        <w:rPr>
          <w:rFonts w:ascii="Times New Roman" w:hAnsi="Times New Roman"/>
          <w:i/>
          <w:iCs/>
          <w:szCs w:val="24"/>
        </w:rPr>
        <w:t>113</w:t>
      </w:r>
      <w:r w:rsidRPr="00855DF3">
        <w:rPr>
          <w:rFonts w:ascii="Times New Roman" w:hAnsi="Times New Roman"/>
          <w:szCs w:val="24"/>
        </w:rPr>
        <w:t>(1), pp.38-44.</w:t>
      </w:r>
    </w:p>
    <w:p w14:paraId="670F2E68"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lastRenderedPageBreak/>
        <w:t xml:space="preserve">Madill, A. and Gough, B., 2008. </w:t>
      </w:r>
      <w:r w:rsidRPr="008101DD">
        <w:rPr>
          <w:rFonts w:ascii="Times New Roman" w:hAnsi="Times New Roman"/>
          <w:bCs/>
          <w:szCs w:val="24"/>
        </w:rPr>
        <w:t>Qualitative research and its place in psychological science.</w:t>
      </w:r>
      <w:r w:rsidRPr="008101DD">
        <w:rPr>
          <w:rFonts w:ascii="Times New Roman" w:hAnsi="Times New Roman"/>
          <w:szCs w:val="24"/>
        </w:rPr>
        <w:t xml:space="preserve"> </w:t>
      </w:r>
      <w:r w:rsidRPr="008101DD">
        <w:rPr>
          <w:rFonts w:ascii="Times New Roman" w:hAnsi="Times New Roman"/>
          <w:i/>
          <w:szCs w:val="24"/>
        </w:rPr>
        <w:t>Psychological Methods</w:t>
      </w:r>
      <w:r w:rsidRPr="008101DD">
        <w:rPr>
          <w:rFonts w:ascii="Times New Roman" w:hAnsi="Times New Roman"/>
          <w:szCs w:val="24"/>
        </w:rPr>
        <w:t>, 13, pp. 254-271.</w:t>
      </w:r>
    </w:p>
    <w:p w14:paraId="4C74446A" w14:textId="77777777" w:rsidR="00503349" w:rsidRPr="00D738A2" w:rsidRDefault="00503349" w:rsidP="00503349">
      <w:pPr>
        <w:rPr>
          <w:rFonts w:ascii="Times New Roman" w:hAnsi="Times New Roman"/>
          <w:iCs/>
          <w:szCs w:val="24"/>
        </w:rPr>
      </w:pPr>
      <w:r w:rsidRPr="00CF1AE8">
        <w:rPr>
          <w:rFonts w:ascii="Times New Roman" w:hAnsi="Times New Roman"/>
          <w:iCs/>
          <w:szCs w:val="24"/>
        </w:rPr>
        <w:t xml:space="preserve">Malhotra, N., Margalit, Y. and Mo, C.H., 2013. Economic explanations for opposition to immigration: distinguishing between prevalence and conditional impact. </w:t>
      </w:r>
      <w:r w:rsidRPr="00CF1AE8">
        <w:rPr>
          <w:rFonts w:ascii="Times New Roman" w:hAnsi="Times New Roman"/>
          <w:i/>
          <w:iCs/>
          <w:szCs w:val="24"/>
        </w:rPr>
        <w:t>American Journal of Political Science</w:t>
      </w:r>
      <w:r w:rsidRPr="00CF1AE8">
        <w:rPr>
          <w:rFonts w:ascii="Times New Roman" w:hAnsi="Times New Roman"/>
          <w:iCs/>
          <w:szCs w:val="24"/>
        </w:rPr>
        <w:t>, 57(2), pp. 391-410.</w:t>
      </w:r>
    </w:p>
    <w:p w14:paraId="23718148"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Malloy, D. and Hadjistavropoulos, T., 2004. The problem of pain management among persons with dementia, personhood, and the ontology of relationships. </w:t>
      </w:r>
      <w:r w:rsidRPr="00DA2952">
        <w:rPr>
          <w:rFonts w:ascii="Times New Roman" w:hAnsi="Times New Roman"/>
          <w:i/>
          <w:szCs w:val="24"/>
        </w:rPr>
        <w:t>Nursing Philosophy</w:t>
      </w:r>
      <w:r w:rsidRPr="00DA2952">
        <w:rPr>
          <w:rFonts w:ascii="Times New Roman" w:hAnsi="Times New Roman"/>
          <w:szCs w:val="24"/>
        </w:rPr>
        <w:t>, 5, pp. 147-159.</w:t>
      </w:r>
    </w:p>
    <w:p w14:paraId="54797AC6"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Malmsten, K., 1999. </w:t>
      </w:r>
      <w:r w:rsidRPr="00DA2952">
        <w:rPr>
          <w:rFonts w:ascii="Times New Roman" w:hAnsi="Times New Roman"/>
          <w:i/>
          <w:iCs/>
          <w:szCs w:val="24"/>
        </w:rPr>
        <w:t>Reflective Assent in Basic Care: A Study in Nursing Ethics</w:t>
      </w:r>
      <w:r w:rsidRPr="00DA2952">
        <w:rPr>
          <w:rFonts w:ascii="Times New Roman" w:hAnsi="Times New Roman"/>
          <w:szCs w:val="24"/>
        </w:rPr>
        <w:t>. Uppsala: Acta Universitatis Upsaliensis.</w:t>
      </w:r>
    </w:p>
    <w:p w14:paraId="5367F30B"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Malterud, K., 2001. The art and science of clinical knowledge: evidence beyond measures and numbers. </w:t>
      </w:r>
      <w:r w:rsidRPr="008101DD">
        <w:rPr>
          <w:rFonts w:ascii="Times New Roman" w:hAnsi="Times New Roman"/>
          <w:i/>
          <w:szCs w:val="24"/>
        </w:rPr>
        <w:t>The Lancet</w:t>
      </w:r>
      <w:r w:rsidRPr="008101DD">
        <w:rPr>
          <w:rFonts w:ascii="Times New Roman" w:hAnsi="Times New Roman"/>
          <w:szCs w:val="24"/>
        </w:rPr>
        <w:t>, 358, pp. 397-400.</w:t>
      </w:r>
    </w:p>
    <w:p w14:paraId="55E3C32A"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Maner, J.K. and Gailliot, M., 2007. </w:t>
      </w:r>
      <w:r w:rsidRPr="00EF189A">
        <w:rPr>
          <w:rFonts w:ascii="Times New Roman" w:hAnsi="Times New Roman"/>
          <w:bCs/>
          <w:szCs w:val="24"/>
          <w:bdr w:val="none" w:sz="0" w:space="0" w:color="auto" w:frame="1"/>
        </w:rPr>
        <w:t>Altruism and egoism: Prosocial motivations for helping depend on relationship context.</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European Journal of Social Psychology</w:t>
      </w:r>
      <w:r w:rsidRPr="00EF189A">
        <w:rPr>
          <w:rFonts w:ascii="Times New Roman" w:hAnsi="Times New Roman"/>
          <w:szCs w:val="24"/>
          <w:bdr w:val="none" w:sz="0" w:space="0" w:color="auto" w:frame="1"/>
        </w:rPr>
        <w:t>, 37, pp. 347-358</w:t>
      </w:r>
    </w:p>
    <w:p w14:paraId="1DC2F7C1"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Marcinowicz, L., Owlasiuk, A., Slusarska, B., Zarzycka, D. &amp; Pawlikowska, T., 2016. Choice and perception of the nursing profession from the perspective of Polish nursing students: a focus group study. </w:t>
      </w:r>
      <w:r w:rsidRPr="005E450B">
        <w:rPr>
          <w:rFonts w:ascii="Times New Roman" w:hAnsi="Times New Roman"/>
          <w:i/>
          <w:iCs/>
          <w:szCs w:val="24"/>
        </w:rPr>
        <w:t>BMC Medical Education</w:t>
      </w:r>
      <w:r w:rsidRPr="00CF1AE8">
        <w:rPr>
          <w:rFonts w:ascii="Times New Roman" w:hAnsi="Times New Roman"/>
          <w:szCs w:val="24"/>
        </w:rPr>
        <w:t>, [e-journal] 16(243). Available at: &lt;https://bmcmededuc.biomedcentral.com/articles/10.1186/s12909-016-0765-3&gt;[Accessed 03 April 2019]</w:t>
      </w:r>
    </w:p>
    <w:p w14:paraId="5BA76441" w14:textId="77777777" w:rsidR="00503349" w:rsidRDefault="00503349" w:rsidP="00503349">
      <w:pPr>
        <w:rPr>
          <w:rFonts w:ascii="Times New Roman" w:hAnsi="Times New Roman"/>
          <w:szCs w:val="24"/>
        </w:rPr>
      </w:pPr>
      <w:r w:rsidRPr="00CF1AE8">
        <w:rPr>
          <w:rFonts w:ascii="Times New Roman" w:hAnsi="Times New Roman"/>
          <w:szCs w:val="24"/>
        </w:rPr>
        <w:t xml:space="preserve">Maringe, F. and Carter, S., 2007. International students’ motivations for studying in the UK HE: Insights into the choice and decision making of Black African students. </w:t>
      </w:r>
      <w:r w:rsidRPr="00CF1AE8">
        <w:rPr>
          <w:rFonts w:ascii="Times New Roman" w:hAnsi="Times New Roman"/>
          <w:i/>
          <w:szCs w:val="24"/>
        </w:rPr>
        <w:t>International Journal of Educational Management</w:t>
      </w:r>
      <w:r w:rsidRPr="00CF1AE8">
        <w:rPr>
          <w:rFonts w:ascii="Times New Roman" w:hAnsi="Times New Roman"/>
          <w:szCs w:val="24"/>
        </w:rPr>
        <w:t>, 21(6), pp. 459-475.</w:t>
      </w:r>
    </w:p>
    <w:p w14:paraId="3FBDF3D8" w14:textId="77777777" w:rsidR="00503349" w:rsidRPr="003472D7" w:rsidRDefault="00503349" w:rsidP="00503349">
      <w:pPr>
        <w:spacing w:before="240"/>
        <w:jc w:val="both"/>
        <w:rPr>
          <w:rFonts w:ascii="Times New Roman" w:hAnsi="Times New Roman"/>
          <w:noProof/>
          <w:szCs w:val="24"/>
        </w:rPr>
      </w:pPr>
      <w:r>
        <w:rPr>
          <w:rFonts w:ascii="Times New Roman" w:hAnsi="Times New Roman"/>
          <w:szCs w:val="24"/>
        </w:rPr>
        <w:t xml:space="preserve">Markaki, Y., 2015. </w:t>
      </w:r>
      <w:r w:rsidRPr="003472D7">
        <w:rPr>
          <w:rFonts w:ascii="Times New Roman" w:hAnsi="Times New Roman"/>
          <w:i/>
          <w:iCs/>
          <w:szCs w:val="24"/>
        </w:rPr>
        <w:t>The demographics of young migrants in the UK. Migration Observatory briefing</w:t>
      </w:r>
      <w:r>
        <w:rPr>
          <w:rFonts w:ascii="Times New Roman" w:hAnsi="Times New Roman"/>
          <w:szCs w:val="24"/>
        </w:rPr>
        <w:t>. Oxford: COMPAS.</w:t>
      </w:r>
    </w:p>
    <w:p w14:paraId="75408453"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lang w:val="en-US"/>
        </w:rPr>
        <w:t xml:space="preserve">Markus, H.R. and Kitayama, S., 1991. Culture and the self: Implications for cognition, emotion, and motivation. </w:t>
      </w:r>
      <w:r w:rsidRPr="00EF189A">
        <w:rPr>
          <w:rFonts w:ascii="Times New Roman" w:hAnsi="Times New Roman"/>
          <w:i/>
          <w:szCs w:val="24"/>
          <w:bdr w:val="none" w:sz="0" w:space="0" w:color="auto" w:frame="1"/>
          <w:lang w:val="en-US"/>
        </w:rPr>
        <w:t>Psychological Review</w:t>
      </w:r>
      <w:r w:rsidRPr="00EF189A">
        <w:rPr>
          <w:rFonts w:ascii="Times New Roman" w:hAnsi="Times New Roman"/>
          <w:szCs w:val="24"/>
          <w:bdr w:val="none" w:sz="0" w:space="0" w:color="auto" w:frame="1"/>
          <w:lang w:val="en-US"/>
        </w:rPr>
        <w:t>, 98</w:t>
      </w:r>
      <w:r w:rsidRPr="00EF189A">
        <w:rPr>
          <w:rFonts w:ascii="Times New Roman" w:hAnsi="Times New Roman"/>
          <w:iCs/>
          <w:szCs w:val="24"/>
          <w:bdr w:val="none" w:sz="0" w:space="0" w:color="auto" w:frame="1"/>
          <w:lang w:val="en-US"/>
        </w:rPr>
        <w:t>,</w:t>
      </w:r>
      <w:r w:rsidRPr="00EF189A">
        <w:rPr>
          <w:rFonts w:ascii="Times New Roman" w:hAnsi="Times New Roman"/>
          <w:szCs w:val="24"/>
          <w:bdr w:val="none" w:sz="0" w:space="0" w:color="auto" w:frame="1"/>
          <w:lang w:val="en-US"/>
        </w:rPr>
        <w:t xml:space="preserve"> pp. 224-253.</w:t>
      </w:r>
    </w:p>
    <w:p w14:paraId="472162B5" w14:textId="77777777" w:rsidR="00503349" w:rsidRDefault="00503349" w:rsidP="00503349">
      <w:pPr>
        <w:spacing w:before="240"/>
        <w:jc w:val="both"/>
        <w:rPr>
          <w:rFonts w:ascii="Times New Roman" w:hAnsi="Times New Roman"/>
          <w:szCs w:val="24"/>
        </w:rPr>
      </w:pPr>
      <w:r>
        <w:rPr>
          <w:rFonts w:ascii="Times New Roman" w:hAnsi="Times New Roman"/>
          <w:szCs w:val="24"/>
        </w:rPr>
        <w:lastRenderedPageBreak/>
        <w:t xml:space="preserve">Marx, K., 1947. </w:t>
      </w:r>
      <w:r>
        <w:rPr>
          <w:rFonts w:ascii="Times New Roman" w:hAnsi="Times New Roman"/>
          <w:i/>
          <w:iCs/>
          <w:szCs w:val="24"/>
        </w:rPr>
        <w:t>Capital</w:t>
      </w:r>
      <w:r>
        <w:rPr>
          <w:rFonts w:ascii="Times New Roman" w:hAnsi="Times New Roman"/>
          <w:szCs w:val="24"/>
        </w:rPr>
        <w:t>. New York: International Publisher.</w:t>
      </w:r>
    </w:p>
    <w:p w14:paraId="66D48BA6"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Maslow, A.H., 1943. A theory of human motivation. </w:t>
      </w:r>
      <w:r w:rsidRPr="00EF189A">
        <w:rPr>
          <w:rFonts w:ascii="Times New Roman" w:hAnsi="Times New Roman"/>
          <w:i/>
          <w:iCs/>
          <w:szCs w:val="24"/>
          <w:bdr w:val="none" w:sz="0" w:space="0" w:color="auto" w:frame="1"/>
        </w:rPr>
        <w:t>Psychological Review</w:t>
      </w:r>
      <w:r w:rsidRPr="00EF189A">
        <w:rPr>
          <w:rFonts w:ascii="Times New Roman" w:hAnsi="Times New Roman"/>
          <w:iCs/>
          <w:szCs w:val="24"/>
          <w:bdr w:val="none" w:sz="0" w:space="0" w:color="auto" w:frame="1"/>
        </w:rPr>
        <w:t>, 50(4)</w:t>
      </w:r>
      <w:r w:rsidRPr="00EF189A">
        <w:rPr>
          <w:rFonts w:ascii="Times New Roman" w:hAnsi="Times New Roman"/>
          <w:szCs w:val="24"/>
          <w:bdr w:val="none" w:sz="0" w:space="0" w:color="auto" w:frame="1"/>
        </w:rPr>
        <w:t>, pp. 370-396.</w:t>
      </w:r>
    </w:p>
    <w:p w14:paraId="02FE4D9A" w14:textId="77777777" w:rsidR="00503349" w:rsidRPr="004E3E8F" w:rsidRDefault="00503349" w:rsidP="00503349">
      <w:pPr>
        <w:spacing w:before="240"/>
        <w:rPr>
          <w:rFonts w:ascii="Times New Roman" w:hAnsi="Times New Roman"/>
          <w:szCs w:val="24"/>
          <w:lang w:val="en-AU"/>
        </w:rPr>
      </w:pPr>
      <w:r w:rsidRPr="004E3E8F">
        <w:rPr>
          <w:rFonts w:ascii="Times New Roman" w:hAnsi="Times New Roman"/>
          <w:bCs/>
          <w:iCs/>
          <w:szCs w:val="24"/>
          <w:lang w:val="en-AU"/>
        </w:rPr>
        <w:t xml:space="preserve">Mason, M., 2010. </w:t>
      </w:r>
      <w:r w:rsidRPr="004E3E8F">
        <w:rPr>
          <w:rFonts w:ascii="Times New Roman" w:hAnsi="Times New Roman"/>
          <w:bCs/>
          <w:szCs w:val="24"/>
          <w:lang w:val="en-AU"/>
        </w:rPr>
        <w:t xml:space="preserve">Sample size and saturation in PhD studies using qualitative interviews. </w:t>
      </w:r>
      <w:r w:rsidRPr="004E3E8F">
        <w:rPr>
          <w:rFonts w:ascii="Times New Roman" w:hAnsi="Times New Roman"/>
          <w:bCs/>
          <w:i/>
          <w:szCs w:val="24"/>
          <w:lang w:val="en-AU"/>
        </w:rPr>
        <w:t>Forum: Qualitative Social Research</w:t>
      </w:r>
      <w:r w:rsidRPr="004E3E8F">
        <w:rPr>
          <w:rFonts w:ascii="Times New Roman" w:hAnsi="Times New Roman"/>
          <w:bCs/>
          <w:szCs w:val="24"/>
          <w:lang w:val="en-AU"/>
        </w:rPr>
        <w:t>, 11(3),</w:t>
      </w:r>
      <w:r w:rsidRPr="004E3E8F">
        <w:rPr>
          <w:rFonts w:ascii="Times New Roman" w:hAnsi="Times New Roman"/>
          <w:b/>
          <w:bCs/>
          <w:szCs w:val="24"/>
          <w:lang w:val="en-AU"/>
        </w:rPr>
        <w:t xml:space="preserve"> </w:t>
      </w:r>
      <w:r w:rsidRPr="004E3E8F">
        <w:rPr>
          <w:rFonts w:ascii="Times New Roman" w:hAnsi="Times New Roman"/>
          <w:szCs w:val="24"/>
          <w:lang w:val="en-AU"/>
        </w:rPr>
        <w:t>Art. 8. Available at: &lt;http://www.qualitative-research.net/index.php/fqs/article/view/1428/3027&gt;[Accessed 17 December 2017]</w:t>
      </w:r>
    </w:p>
    <w:p w14:paraId="70F3CECE" w14:textId="77777777" w:rsidR="00503349" w:rsidRPr="003472D7" w:rsidRDefault="00503349" w:rsidP="00503349">
      <w:pPr>
        <w:spacing w:before="240"/>
        <w:jc w:val="both"/>
        <w:rPr>
          <w:rFonts w:ascii="Times New Roman" w:hAnsi="Times New Roman"/>
          <w:szCs w:val="24"/>
        </w:rPr>
      </w:pPr>
      <w:r>
        <w:rPr>
          <w:rFonts w:ascii="Times New Roman" w:hAnsi="Times New Roman"/>
          <w:szCs w:val="24"/>
        </w:rPr>
        <w:t xml:space="preserve">Massey, D.S. 2001. Theory of Migration. In N.J. Smelser &amp; P.B. Baltes, </w:t>
      </w:r>
      <w:r>
        <w:rPr>
          <w:rFonts w:ascii="Times New Roman" w:hAnsi="Times New Roman"/>
          <w:i/>
          <w:iCs/>
          <w:szCs w:val="24"/>
        </w:rPr>
        <w:t>International Encyclopedia of the Social &amp; Behavioral Sciences</w:t>
      </w:r>
      <w:r>
        <w:rPr>
          <w:rFonts w:ascii="Times New Roman" w:hAnsi="Times New Roman"/>
          <w:szCs w:val="24"/>
        </w:rPr>
        <w:t xml:space="preserve"> (pp. 9828–9834). Amsterdam: Elsevier Ltd.</w:t>
      </w:r>
    </w:p>
    <w:p w14:paraId="5451A814" w14:textId="77777777" w:rsidR="00503349" w:rsidRDefault="00503349" w:rsidP="00503349">
      <w:pPr>
        <w:spacing w:before="240"/>
        <w:rPr>
          <w:rFonts w:ascii="Times New Roman" w:hAnsi="Times New Roman"/>
          <w:strike/>
          <w:szCs w:val="24"/>
        </w:rPr>
      </w:pPr>
      <w:r>
        <w:rPr>
          <w:rFonts w:ascii="Times New Roman" w:hAnsi="Times New Roman"/>
          <w:szCs w:val="24"/>
        </w:rPr>
        <w:t xml:space="preserve">Massey, D.S., 1999. Why Does Immigration Occur? A Theoretical Synthesis. In C. Hirschman, P. Kasinitz, &amp; J. DeWind, </w:t>
      </w:r>
      <w:r>
        <w:rPr>
          <w:rFonts w:ascii="Times New Roman" w:hAnsi="Times New Roman"/>
          <w:i/>
          <w:iCs/>
          <w:szCs w:val="24"/>
        </w:rPr>
        <w:t>The Handbook of International Migration: The American Experience</w:t>
      </w:r>
      <w:r>
        <w:rPr>
          <w:rFonts w:ascii="Times New Roman" w:hAnsi="Times New Roman"/>
          <w:szCs w:val="24"/>
        </w:rPr>
        <w:t>. New York: Russell Sage Foundation, pp. 34-52.</w:t>
      </w:r>
    </w:p>
    <w:p w14:paraId="5BA9DFC1" w14:textId="77777777" w:rsidR="00503349" w:rsidRDefault="00503349" w:rsidP="00503349">
      <w:pPr>
        <w:spacing w:before="240"/>
        <w:jc w:val="both"/>
        <w:rPr>
          <w:rFonts w:ascii="Times New Roman" w:hAnsi="Times New Roman"/>
          <w:bCs/>
          <w:szCs w:val="24"/>
        </w:rPr>
      </w:pPr>
      <w:r>
        <w:rPr>
          <w:rFonts w:ascii="Times New Roman" w:hAnsi="Times New Roman"/>
          <w:bCs/>
          <w:szCs w:val="24"/>
        </w:rPr>
        <w:t>Massey, D.S., 2015. A missing element in migration theories. </w:t>
      </w:r>
      <w:r>
        <w:rPr>
          <w:rFonts w:ascii="Times New Roman" w:hAnsi="Times New Roman"/>
          <w:bCs/>
          <w:i/>
          <w:iCs/>
          <w:szCs w:val="24"/>
        </w:rPr>
        <w:t>Migration Letters</w:t>
      </w:r>
      <w:r>
        <w:rPr>
          <w:rFonts w:ascii="Times New Roman" w:hAnsi="Times New Roman"/>
          <w:bCs/>
          <w:szCs w:val="24"/>
        </w:rPr>
        <w:t>, 12(3), pp. 279-299.</w:t>
      </w:r>
    </w:p>
    <w:p w14:paraId="1EF9DCD0" w14:textId="77777777" w:rsidR="00503349" w:rsidRPr="003472D7" w:rsidRDefault="00503349" w:rsidP="00503349">
      <w:pPr>
        <w:spacing w:before="240"/>
        <w:jc w:val="both"/>
        <w:rPr>
          <w:rFonts w:ascii="Times New Roman" w:hAnsi="Times New Roman"/>
          <w:bCs/>
          <w:szCs w:val="24"/>
        </w:rPr>
      </w:pPr>
      <w:r>
        <w:rPr>
          <w:rFonts w:ascii="Times New Roman" w:hAnsi="Times New Roman"/>
          <w:szCs w:val="24"/>
        </w:rPr>
        <w:t>Massey, D.S., Arango, J., Hugo, G., Kouaouci, A., Pellegrino, A. and Taylor, J.E., 1993. Theories of international migration: A review and appraisal. </w:t>
      </w:r>
      <w:r>
        <w:rPr>
          <w:rFonts w:ascii="Times New Roman" w:hAnsi="Times New Roman"/>
          <w:i/>
          <w:iCs/>
          <w:szCs w:val="24"/>
        </w:rPr>
        <w:t>Population and Development Review</w:t>
      </w:r>
      <w:r>
        <w:rPr>
          <w:rFonts w:ascii="Times New Roman" w:hAnsi="Times New Roman"/>
          <w:szCs w:val="24"/>
        </w:rPr>
        <w:t>, pp. 431-466.</w:t>
      </w:r>
    </w:p>
    <w:p w14:paraId="7298C80A" w14:textId="77777777" w:rsidR="00503349" w:rsidRDefault="00503349" w:rsidP="00503349">
      <w:pPr>
        <w:tabs>
          <w:tab w:val="left" w:pos="5445"/>
        </w:tabs>
        <w:jc w:val="both"/>
        <w:rPr>
          <w:rFonts w:ascii="Times New Roman" w:hAnsi="Times New Roman"/>
          <w:szCs w:val="24"/>
        </w:rPr>
      </w:pPr>
      <w:r w:rsidRPr="00855DF3">
        <w:rPr>
          <w:rFonts w:ascii="Times New Roman" w:hAnsi="Times New Roman"/>
          <w:szCs w:val="24"/>
        </w:rPr>
        <w:t xml:space="preserve">Matthews, F.E., Arthur, A., Barnes, L.E., Bond, J., Jagger, C., Robinson, L. and Brayne, C., 2013. A two-decade comparison of prevalence of dementia in individuals aged 65 years and older from three geographical areas of England: results of the Cognitive Function and Ageing Study I and II. </w:t>
      </w:r>
      <w:r w:rsidRPr="00855DF3">
        <w:rPr>
          <w:rFonts w:ascii="Times New Roman" w:hAnsi="Times New Roman"/>
          <w:i/>
          <w:szCs w:val="24"/>
        </w:rPr>
        <w:t>The Lancet</w:t>
      </w:r>
      <w:r w:rsidRPr="00855DF3">
        <w:rPr>
          <w:rFonts w:ascii="Times New Roman" w:hAnsi="Times New Roman"/>
          <w:szCs w:val="24"/>
        </w:rPr>
        <w:t>, 382(9902), pp. 1405-1412.</w:t>
      </w:r>
    </w:p>
    <w:p w14:paraId="6A3F157A" w14:textId="77777777" w:rsidR="00503349" w:rsidRPr="002B3011" w:rsidRDefault="00503349" w:rsidP="00503349">
      <w:pPr>
        <w:textAlignment w:val="baseline"/>
        <w:rPr>
          <w:rFonts w:ascii="Times New Roman" w:hAnsi="Times New Roman"/>
          <w:szCs w:val="24"/>
        </w:rPr>
      </w:pPr>
      <w:r w:rsidRPr="002B3011">
        <w:rPr>
          <w:rFonts w:ascii="Times New Roman" w:hAnsi="Times New Roman"/>
          <w:szCs w:val="24"/>
        </w:rPr>
        <w:t xml:space="preserve">Mausbach, B.T., Aschbacher, K., Patterson, T.L., Ancoli-Israel, S., van Känel, R., Mills, P.J., Dimsdale, J.E. and Grant, I., 2006. Avoidant coping partially mediates the relationship between patient problem behaviours and depressive symptoms in spousal Alzheimer caregivers. </w:t>
      </w:r>
      <w:r w:rsidRPr="002B3011">
        <w:rPr>
          <w:rFonts w:ascii="Times New Roman" w:hAnsi="Times New Roman"/>
          <w:i/>
          <w:szCs w:val="24"/>
        </w:rPr>
        <w:t>American Journal of Geriatric Psychiatry</w:t>
      </w:r>
      <w:r w:rsidRPr="002B3011">
        <w:rPr>
          <w:rFonts w:ascii="Times New Roman" w:hAnsi="Times New Roman"/>
          <w:szCs w:val="24"/>
        </w:rPr>
        <w:t>, 14(4), pp. 299-306.</w:t>
      </w:r>
    </w:p>
    <w:p w14:paraId="1127CE40" w14:textId="77777777" w:rsidR="00503349" w:rsidRDefault="00503349" w:rsidP="00503349">
      <w:pPr>
        <w:jc w:val="both"/>
        <w:rPr>
          <w:rFonts w:ascii="Times New Roman" w:hAnsi="Times New Roman"/>
          <w:szCs w:val="24"/>
        </w:rPr>
      </w:pPr>
      <w:r w:rsidRPr="00CF1AE8">
        <w:rPr>
          <w:rFonts w:ascii="Times New Roman" w:hAnsi="Times New Roman"/>
          <w:szCs w:val="24"/>
        </w:rPr>
        <w:lastRenderedPageBreak/>
        <w:t xml:space="preserve">Mazzarol, T. and Soutar, G.N., 2002. “Push-pull” factors influencing international student destination choice. </w:t>
      </w:r>
      <w:r w:rsidRPr="00CF1AE8">
        <w:rPr>
          <w:rFonts w:ascii="Times New Roman" w:hAnsi="Times New Roman"/>
          <w:i/>
          <w:szCs w:val="24"/>
        </w:rPr>
        <w:t>International Journal of Educational Management</w:t>
      </w:r>
      <w:r w:rsidRPr="00CF1AE8">
        <w:rPr>
          <w:rFonts w:ascii="Times New Roman" w:hAnsi="Times New Roman"/>
          <w:szCs w:val="24"/>
        </w:rPr>
        <w:t>, 16(2), pp. 82-90.</w:t>
      </w:r>
    </w:p>
    <w:p w14:paraId="3F203A6D"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McCann, J.J., Hebert, L.E., Beckett, L.A., Morris, M.C., Scherr, P.A. and Evans, D.A., 2000. Comparison of informal caregiving by black and white older adults in a community population. </w:t>
      </w:r>
      <w:r w:rsidRPr="002B3011">
        <w:rPr>
          <w:rFonts w:ascii="Times New Roman" w:hAnsi="Times New Roman"/>
          <w:i/>
          <w:iCs/>
          <w:szCs w:val="24"/>
        </w:rPr>
        <w:t>Journal of the American Geriatrics Society</w:t>
      </w:r>
      <w:r w:rsidRPr="002B3011">
        <w:rPr>
          <w:rFonts w:ascii="Times New Roman" w:hAnsi="Times New Roman"/>
          <w:szCs w:val="24"/>
        </w:rPr>
        <w:t>, 48, pp. 1612-1617.</w:t>
      </w:r>
    </w:p>
    <w:p w14:paraId="526E44E2"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bCs/>
          <w:szCs w:val="24"/>
        </w:rPr>
        <w:t>McCauley, K. and Irwin R.S., 2006. Changing the work environment in intensive care units to achieve patient-focused care: the time has come. </w:t>
      </w:r>
      <w:r w:rsidRPr="002B3011">
        <w:rPr>
          <w:rFonts w:ascii="Times New Roman" w:hAnsi="Times New Roman"/>
          <w:bCs/>
          <w:i/>
          <w:szCs w:val="24"/>
        </w:rPr>
        <w:t>American Journal of Critical Care</w:t>
      </w:r>
      <w:r w:rsidRPr="002B3011">
        <w:rPr>
          <w:rFonts w:ascii="Times New Roman" w:hAnsi="Times New Roman"/>
          <w:bCs/>
          <w:szCs w:val="24"/>
        </w:rPr>
        <w:t>, 15, pp. 541–518.</w:t>
      </w:r>
    </w:p>
    <w:p w14:paraId="6B557168" w14:textId="77777777" w:rsidR="00503349" w:rsidRPr="004E3E8F" w:rsidRDefault="00503349" w:rsidP="00503349">
      <w:pPr>
        <w:jc w:val="both"/>
        <w:rPr>
          <w:rFonts w:ascii="Times New Roman" w:hAnsi="Times New Roman"/>
          <w:color w:val="000000"/>
          <w:szCs w:val="24"/>
        </w:rPr>
      </w:pPr>
      <w:r w:rsidRPr="004E3E8F">
        <w:rPr>
          <w:rFonts w:ascii="Times New Roman" w:hAnsi="Times New Roman"/>
          <w:color w:val="000000"/>
          <w:szCs w:val="24"/>
        </w:rPr>
        <w:t>McDonach, E., Barbour, R.S. and Williams, B., 2009. Reflections on applying for NHS ethical approval and governance in a climate of rapid change: prioritising process over principles. </w:t>
      </w:r>
      <w:r w:rsidRPr="004E3E8F">
        <w:rPr>
          <w:rFonts w:ascii="Times New Roman" w:hAnsi="Times New Roman"/>
          <w:i/>
          <w:iCs/>
          <w:color w:val="000000"/>
          <w:szCs w:val="24"/>
        </w:rPr>
        <w:t>International Journal of Social Research Methodology</w:t>
      </w:r>
      <w:r w:rsidRPr="004E3E8F">
        <w:rPr>
          <w:rFonts w:ascii="Times New Roman" w:hAnsi="Times New Roman"/>
          <w:color w:val="000000"/>
          <w:szCs w:val="24"/>
        </w:rPr>
        <w:t>, 12(3), pp. 227-241.</w:t>
      </w:r>
    </w:p>
    <w:p w14:paraId="47ECA4C8" w14:textId="77777777" w:rsidR="00503349" w:rsidRDefault="00503349" w:rsidP="00503349">
      <w:pPr>
        <w:spacing w:before="240"/>
        <w:jc w:val="both"/>
        <w:rPr>
          <w:rFonts w:ascii="Times New Roman" w:hAnsi="Times New Roman"/>
          <w:noProof/>
          <w:szCs w:val="24"/>
        </w:rPr>
      </w:pPr>
      <w:r>
        <w:rPr>
          <w:rFonts w:ascii="Times New Roman" w:hAnsi="Times New Roman"/>
          <w:noProof/>
          <w:szCs w:val="24"/>
        </w:rPr>
        <w:t>McDowell, L., 2013. </w:t>
      </w:r>
      <w:r>
        <w:rPr>
          <w:rFonts w:ascii="Times New Roman" w:hAnsi="Times New Roman"/>
          <w:i/>
          <w:iCs/>
          <w:noProof/>
          <w:szCs w:val="24"/>
        </w:rPr>
        <w:t>Working lives: Gender, migration and employment in Britain, 1945-2007</w:t>
      </w:r>
      <w:r>
        <w:rPr>
          <w:rFonts w:ascii="Times New Roman" w:hAnsi="Times New Roman"/>
          <w:noProof/>
          <w:szCs w:val="24"/>
        </w:rPr>
        <w:t>. Chichester: John Wiley &amp; Sons.</w:t>
      </w:r>
    </w:p>
    <w:p w14:paraId="5C7A6C30"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McGovern, J., 2011. Couple meaning-making and Dementia: Challenges to the deficit model. </w:t>
      </w:r>
      <w:r w:rsidRPr="00DA2952">
        <w:rPr>
          <w:rFonts w:ascii="Times New Roman" w:hAnsi="Times New Roman"/>
          <w:i/>
          <w:iCs/>
          <w:szCs w:val="24"/>
        </w:rPr>
        <w:t>Journal of Gerontological Social Work</w:t>
      </w:r>
      <w:r w:rsidRPr="00DA2952">
        <w:rPr>
          <w:rFonts w:ascii="Times New Roman" w:hAnsi="Times New Roman"/>
          <w:szCs w:val="24"/>
        </w:rPr>
        <w:t>, 54 (7), 678-690. </w:t>
      </w:r>
    </w:p>
    <w:p w14:paraId="5F955DFA" w14:textId="77777777" w:rsidR="00503349" w:rsidRPr="000A56C6" w:rsidRDefault="00503349" w:rsidP="00503349">
      <w:pPr>
        <w:spacing w:line="240" w:lineRule="auto"/>
        <w:rPr>
          <w:rFonts w:ascii="Times New Roman" w:hAnsi="Times New Roman"/>
          <w:szCs w:val="24"/>
        </w:rPr>
      </w:pPr>
      <w:r w:rsidRPr="000A56C6">
        <w:rPr>
          <w:rFonts w:ascii="Times New Roman" w:hAnsi="Times New Roman"/>
          <w:szCs w:val="24"/>
        </w:rPr>
        <w:t xml:space="preserve">McGreevy, J., 2015. Dementia and the person-centred care approach. </w:t>
      </w:r>
      <w:r w:rsidRPr="000A56C6">
        <w:rPr>
          <w:rFonts w:ascii="Times New Roman" w:hAnsi="Times New Roman"/>
          <w:i/>
          <w:szCs w:val="24"/>
        </w:rPr>
        <w:t>Nursing Older People</w:t>
      </w:r>
      <w:r w:rsidRPr="000A56C6">
        <w:rPr>
          <w:rFonts w:ascii="Times New Roman" w:hAnsi="Times New Roman"/>
          <w:szCs w:val="24"/>
        </w:rPr>
        <w:t>, 27(8), pp. 27-31. </w:t>
      </w:r>
    </w:p>
    <w:p w14:paraId="00433949" w14:textId="77777777" w:rsidR="00503349" w:rsidRDefault="00503349" w:rsidP="00503349">
      <w:pPr>
        <w:jc w:val="both"/>
        <w:rPr>
          <w:rFonts w:ascii="Times New Roman" w:hAnsi="Times New Roman"/>
          <w:szCs w:val="24"/>
        </w:rPr>
      </w:pPr>
      <w:r w:rsidRPr="00AB40E2">
        <w:rPr>
          <w:rFonts w:ascii="Times New Roman" w:hAnsi="Times New Roman"/>
          <w:szCs w:val="24"/>
        </w:rPr>
        <w:t>McGregor</w:t>
      </w:r>
      <w:r w:rsidRPr="00AB40E2">
        <w:rPr>
          <w:rFonts w:ascii="Times New Roman" w:hAnsi="Times New Roman"/>
          <w:bCs/>
          <w:szCs w:val="24"/>
        </w:rPr>
        <w:t xml:space="preserve">, </w:t>
      </w:r>
      <w:r w:rsidRPr="00AB40E2">
        <w:rPr>
          <w:rFonts w:ascii="Times New Roman" w:hAnsi="Times New Roman"/>
          <w:szCs w:val="24"/>
        </w:rPr>
        <w:t xml:space="preserve">J., 2007. </w:t>
      </w:r>
      <w:r>
        <w:rPr>
          <w:rFonts w:ascii="Times New Roman" w:hAnsi="Times New Roman"/>
          <w:szCs w:val="24"/>
        </w:rPr>
        <w:t>‘</w:t>
      </w:r>
      <w:r w:rsidRPr="00AB40E2">
        <w:rPr>
          <w:rFonts w:ascii="Times New Roman" w:hAnsi="Times New Roman"/>
          <w:bCs/>
          <w:szCs w:val="24"/>
        </w:rPr>
        <w:t>Joining the BBC (British Bottom Cleaners)</w:t>
      </w:r>
      <w:r>
        <w:rPr>
          <w:rFonts w:ascii="Times New Roman" w:hAnsi="Times New Roman"/>
          <w:bCs/>
          <w:szCs w:val="24"/>
        </w:rPr>
        <w:t>’</w:t>
      </w:r>
      <w:r w:rsidRPr="00AB40E2">
        <w:rPr>
          <w:rFonts w:ascii="Times New Roman" w:hAnsi="Times New Roman"/>
          <w:bCs/>
          <w:szCs w:val="24"/>
        </w:rPr>
        <w:t xml:space="preserve">: Zimbabwean migrants and the UK care industry. </w:t>
      </w:r>
      <w:r w:rsidRPr="00AB40E2">
        <w:rPr>
          <w:rFonts w:ascii="Times New Roman" w:hAnsi="Times New Roman"/>
          <w:bCs/>
          <w:i/>
          <w:szCs w:val="24"/>
        </w:rPr>
        <w:t>Journal of Ethnic and Migration Studies</w:t>
      </w:r>
      <w:r w:rsidRPr="00AB40E2">
        <w:rPr>
          <w:rFonts w:ascii="Times New Roman" w:hAnsi="Times New Roman"/>
          <w:bCs/>
          <w:szCs w:val="24"/>
        </w:rPr>
        <w:t>, 33(5), pp. 801-824.</w:t>
      </w:r>
    </w:p>
    <w:p w14:paraId="2DF9437E" w14:textId="77777777" w:rsidR="00503349" w:rsidRPr="000A56C6" w:rsidRDefault="00503349" w:rsidP="00503349">
      <w:pPr>
        <w:rPr>
          <w:rFonts w:ascii="Times New Roman" w:hAnsi="Times New Roman"/>
          <w:szCs w:val="24"/>
        </w:rPr>
      </w:pPr>
      <w:r w:rsidRPr="000A56C6">
        <w:rPr>
          <w:rFonts w:ascii="Times New Roman" w:eastAsiaTheme="minorEastAsia" w:hAnsi="Times New Roman"/>
        </w:rPr>
        <w:t>McKay</w:t>
      </w:r>
      <w:r w:rsidRPr="000A56C6">
        <w:rPr>
          <w:rFonts w:ascii="Times New Roman" w:hAnsi="Times New Roman"/>
        </w:rPr>
        <w:t>, P.F.</w:t>
      </w:r>
      <w:r w:rsidRPr="000A56C6">
        <w:rPr>
          <w:rFonts w:ascii="Times New Roman" w:eastAsiaTheme="majorEastAsia" w:hAnsi="Times New Roman"/>
        </w:rPr>
        <w:t> and </w:t>
      </w:r>
      <w:r w:rsidRPr="000A56C6">
        <w:rPr>
          <w:rFonts w:ascii="Times New Roman" w:eastAsiaTheme="minorEastAsia" w:hAnsi="Times New Roman"/>
        </w:rPr>
        <w:t>Avery</w:t>
      </w:r>
      <w:r w:rsidRPr="000A56C6">
        <w:rPr>
          <w:rFonts w:ascii="Times New Roman" w:hAnsi="Times New Roman"/>
        </w:rPr>
        <w:t>, D.R., 2015. Diversity climate in organizations: current wisdom and domains of uncertainty. In: M.R.</w:t>
      </w:r>
      <w:r w:rsidRPr="000A56C6">
        <w:rPr>
          <w:rFonts w:ascii="Times New Roman" w:eastAsiaTheme="majorEastAsia" w:hAnsi="Times New Roman"/>
        </w:rPr>
        <w:t xml:space="preserve"> </w:t>
      </w:r>
      <w:r w:rsidRPr="000A56C6">
        <w:rPr>
          <w:rFonts w:ascii="Times New Roman" w:eastAsiaTheme="minorEastAsia" w:hAnsi="Times New Roman"/>
        </w:rPr>
        <w:t>Buckley</w:t>
      </w:r>
      <w:r w:rsidRPr="000A56C6">
        <w:rPr>
          <w:rFonts w:ascii="Times New Roman" w:hAnsi="Times New Roman"/>
        </w:rPr>
        <w:t>, J.R.B.</w:t>
      </w:r>
      <w:r w:rsidRPr="000A56C6">
        <w:rPr>
          <w:rFonts w:ascii="Times New Roman" w:eastAsiaTheme="majorEastAsia" w:hAnsi="Times New Roman"/>
        </w:rPr>
        <w:t>  </w:t>
      </w:r>
      <w:r w:rsidRPr="000A56C6">
        <w:rPr>
          <w:rFonts w:ascii="Times New Roman" w:eastAsiaTheme="minorEastAsia" w:hAnsi="Times New Roman"/>
        </w:rPr>
        <w:t>Halbesleben</w:t>
      </w:r>
      <w:r w:rsidRPr="000A56C6">
        <w:rPr>
          <w:rFonts w:ascii="Times New Roman" w:hAnsi="Times New Roman"/>
        </w:rPr>
        <w:t xml:space="preserve"> &amp;</w:t>
      </w:r>
      <w:r w:rsidRPr="000A56C6">
        <w:rPr>
          <w:rFonts w:ascii="Times New Roman" w:eastAsiaTheme="majorEastAsia" w:hAnsi="Times New Roman"/>
        </w:rPr>
        <w:t> </w:t>
      </w:r>
      <w:r w:rsidRPr="000A56C6">
        <w:rPr>
          <w:rFonts w:ascii="Times New Roman" w:hAnsi="Times New Roman"/>
        </w:rPr>
        <w:t>A.R. </w:t>
      </w:r>
      <w:r w:rsidRPr="000A56C6">
        <w:rPr>
          <w:rFonts w:ascii="Times New Roman" w:eastAsiaTheme="minorEastAsia" w:hAnsi="Times New Roman"/>
        </w:rPr>
        <w:t>Wheeler</w:t>
      </w:r>
      <w:r w:rsidRPr="000A56C6">
        <w:rPr>
          <w:rFonts w:ascii="Times New Roman" w:hAnsi="Times New Roman"/>
        </w:rPr>
        <w:t xml:space="preserve"> (eds). </w:t>
      </w:r>
      <w:r w:rsidRPr="000A56C6">
        <w:rPr>
          <w:rFonts w:ascii="Times New Roman" w:hAnsi="Times New Roman"/>
          <w:i/>
          <w:iCs/>
        </w:rPr>
        <w:t>Research in Personnel and Human Resource Management</w:t>
      </w:r>
      <w:r w:rsidRPr="000A56C6">
        <w:rPr>
          <w:rFonts w:ascii="Times New Roman" w:hAnsi="Times New Roman"/>
        </w:rPr>
        <w:t>. Bingley: Emerald Publishing, pp. 191-233.</w:t>
      </w:r>
    </w:p>
    <w:p w14:paraId="4E9F056D"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 xml:space="preserve">McKhann, G.M., Knopman, D.S., Chertkow, H., Hyman, B.T., Jack Jr, C.R., Kawas, C.H., Klunk, W.E., Koroshetz, W.J., Manly, J.J., Mayeux, R. and Mohs, R.C., 2011. </w:t>
      </w:r>
      <w:r w:rsidRPr="00DA2952">
        <w:rPr>
          <w:rFonts w:ascii="Times New Roman" w:hAnsi="Times New Roman"/>
          <w:szCs w:val="24"/>
        </w:rPr>
        <w:lastRenderedPageBreak/>
        <w:t>The diagnosis of dementia due to Alzheimer's disease: recommendations from the National Institute on Aging‐Alzheimer's Association workgroups on diagnostic guidelines for Alzheimer's disease. </w:t>
      </w:r>
      <w:r w:rsidRPr="00DA2952">
        <w:rPr>
          <w:rFonts w:ascii="Times New Roman" w:hAnsi="Times New Roman"/>
          <w:i/>
          <w:iCs/>
          <w:szCs w:val="24"/>
        </w:rPr>
        <w:t>Alzheimer's &amp; Dementia</w:t>
      </w:r>
      <w:r w:rsidRPr="00DA2952">
        <w:rPr>
          <w:rFonts w:ascii="Times New Roman" w:hAnsi="Times New Roman"/>
          <w:szCs w:val="24"/>
        </w:rPr>
        <w:t>, 7(3), pp. 263-269.</w:t>
      </w:r>
    </w:p>
    <w:p w14:paraId="45A007DB"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McKie, L. and Jyrkinen, M., 2018. Early to mid-career women managers: experiences of gendered age, care and work. In A.M. Broadbridge and S.L. Fielden, eds. </w:t>
      </w:r>
      <w:r>
        <w:rPr>
          <w:rFonts w:ascii="Times New Roman" w:hAnsi="Times New Roman"/>
          <w:i/>
          <w:szCs w:val="24"/>
        </w:rPr>
        <w:t>Research Handbook of Diversity and Careers</w:t>
      </w:r>
      <w:r>
        <w:rPr>
          <w:rFonts w:ascii="Times New Roman" w:hAnsi="Times New Roman"/>
          <w:szCs w:val="24"/>
        </w:rPr>
        <w:t>. Cheltenham: Edward Elgar Publishing. Ch.2.</w:t>
      </w:r>
    </w:p>
    <w:p w14:paraId="275A2D8F" w14:textId="77777777" w:rsidR="00503349" w:rsidRPr="00945DA4" w:rsidRDefault="00503349" w:rsidP="00503349">
      <w:pPr>
        <w:jc w:val="both"/>
        <w:rPr>
          <w:rFonts w:ascii="Times New Roman" w:hAnsi="Times New Roman"/>
          <w:szCs w:val="24"/>
          <w:bdr w:val="none" w:sz="0" w:space="0" w:color="auto" w:frame="1"/>
        </w:rPr>
      </w:pPr>
      <w:r w:rsidRPr="00F11B68">
        <w:rPr>
          <w:rFonts w:ascii="Times New Roman" w:hAnsi="Times New Roman"/>
          <w:szCs w:val="24"/>
          <w:bdr w:val="none" w:sz="0" w:space="0" w:color="auto" w:frame="1"/>
        </w:rPr>
        <w:t xml:space="preserve">McLeod, S.A., 2018. </w:t>
      </w:r>
      <w:r w:rsidRPr="00F11B68">
        <w:rPr>
          <w:rFonts w:ascii="Times New Roman" w:hAnsi="Times New Roman"/>
          <w:iCs/>
          <w:szCs w:val="24"/>
          <w:bdr w:val="none" w:sz="0" w:space="0" w:color="auto" w:frame="1"/>
        </w:rPr>
        <w:t>Maslow's hierarchy of needs</w:t>
      </w:r>
      <w:r w:rsidRPr="00F11B68">
        <w:rPr>
          <w:rFonts w:ascii="Times New Roman" w:hAnsi="Times New Roman"/>
          <w:szCs w:val="24"/>
          <w:bdr w:val="none" w:sz="0" w:space="0" w:color="auto" w:frame="1"/>
        </w:rPr>
        <w:t>. Available at: &lt;http</w:t>
      </w:r>
      <w:r w:rsidRPr="00945DA4">
        <w:rPr>
          <w:rFonts w:ascii="Times New Roman" w:hAnsi="Times New Roman"/>
          <w:szCs w:val="24"/>
          <w:bdr w:val="none" w:sz="0" w:space="0" w:color="auto" w:frame="1"/>
        </w:rPr>
        <w:t>s://www.simplypsychology.org/maslow.html&gt;[18 December 2018]</w:t>
      </w:r>
    </w:p>
    <w:p w14:paraId="499287FD" w14:textId="77777777" w:rsidR="00503349" w:rsidRPr="00481809" w:rsidRDefault="00503349" w:rsidP="00503349">
      <w:pPr>
        <w:jc w:val="both"/>
        <w:rPr>
          <w:rFonts w:ascii="Times New Roman" w:hAnsi="Times New Roman"/>
          <w:szCs w:val="24"/>
        </w:rPr>
      </w:pPr>
      <w:r w:rsidRPr="00481809">
        <w:rPr>
          <w:rFonts w:ascii="Times New Roman" w:hAnsi="Times New Roman"/>
          <w:szCs w:val="24"/>
        </w:rPr>
        <w:t xml:space="preserve">McPherson, S., Hiskey, S. and Alderson, Z., 2016. Distress in working on dementia wards - a threat to compassionate care: a grounded theory study. </w:t>
      </w:r>
      <w:r w:rsidRPr="00481809">
        <w:rPr>
          <w:rFonts w:ascii="Times New Roman" w:hAnsi="Times New Roman"/>
          <w:i/>
          <w:iCs/>
          <w:szCs w:val="24"/>
        </w:rPr>
        <w:t>International Journal of Nursing Studies</w:t>
      </w:r>
      <w:r w:rsidRPr="00481809">
        <w:rPr>
          <w:rFonts w:ascii="Times New Roman" w:hAnsi="Times New Roman"/>
          <w:szCs w:val="24"/>
        </w:rPr>
        <w:t>, 53, pp. 95-104.</w:t>
      </w:r>
    </w:p>
    <w:p w14:paraId="1577C1DD"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McVicar, A., 2003. Workplace stress in nursing: a literature review. </w:t>
      </w:r>
      <w:r w:rsidRPr="000A56C6">
        <w:rPr>
          <w:rFonts w:ascii="Times New Roman" w:hAnsi="Times New Roman"/>
          <w:i/>
          <w:szCs w:val="24"/>
        </w:rPr>
        <w:t>Journal of Advanced Nursing</w:t>
      </w:r>
      <w:r w:rsidRPr="000A56C6">
        <w:rPr>
          <w:rFonts w:ascii="Times New Roman" w:hAnsi="Times New Roman"/>
          <w:szCs w:val="24"/>
        </w:rPr>
        <w:t>, 44, pp. 633-642.</w:t>
      </w:r>
    </w:p>
    <w:p w14:paraId="2E5503AB" w14:textId="77777777" w:rsidR="00503349" w:rsidRPr="000A56C6" w:rsidRDefault="00503349" w:rsidP="00503349">
      <w:pPr>
        <w:jc w:val="both"/>
        <w:rPr>
          <w:rFonts w:ascii="Times New Roman" w:hAnsi="Times New Roman"/>
          <w:szCs w:val="24"/>
        </w:rPr>
      </w:pPr>
      <w:r w:rsidRPr="00CF1AE8">
        <w:rPr>
          <w:rFonts w:ascii="Times New Roman" w:hAnsi="Times New Roman"/>
          <w:szCs w:val="24"/>
        </w:rPr>
        <w:t xml:space="preserve">McWilliams, L.A., Cox, B.J. and Enns, M.W., 2003. Mood and anxiety disorders associated with chronic pain: an examination in a nationally representative sample. </w:t>
      </w:r>
      <w:r w:rsidRPr="00941D38">
        <w:rPr>
          <w:rFonts w:ascii="Times New Roman" w:hAnsi="Times New Roman"/>
          <w:i/>
          <w:iCs/>
          <w:szCs w:val="24"/>
        </w:rPr>
        <w:t>Pain</w:t>
      </w:r>
      <w:r w:rsidRPr="00CF1AE8">
        <w:rPr>
          <w:rFonts w:ascii="Times New Roman" w:hAnsi="Times New Roman"/>
          <w:szCs w:val="24"/>
        </w:rPr>
        <w:t>, 106, pp. 127-133.</w:t>
      </w:r>
    </w:p>
    <w:p w14:paraId="0E7A7C6F" w14:textId="77777777" w:rsidR="00503349" w:rsidRPr="00945DA4" w:rsidRDefault="00503349" w:rsidP="00503349">
      <w:pPr>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Menninghaus, W., Wagner, V., Hanich, J., Wassiliwizky, E., Kuehnast, M. and Jacobsen, T., 2015. Towards a psychological construct of being moved. </w:t>
      </w:r>
      <w:r w:rsidRPr="00945DA4">
        <w:rPr>
          <w:rFonts w:ascii="Times New Roman" w:hAnsi="Times New Roman"/>
          <w:i/>
          <w:szCs w:val="24"/>
          <w:bdr w:val="none" w:sz="0" w:space="0" w:color="auto" w:frame="1"/>
        </w:rPr>
        <w:t>PLoS ONE</w:t>
      </w:r>
      <w:r w:rsidRPr="00945DA4">
        <w:rPr>
          <w:rFonts w:ascii="Times New Roman" w:hAnsi="Times New Roman"/>
          <w:szCs w:val="24"/>
          <w:bdr w:val="none" w:sz="0" w:space="0" w:color="auto" w:frame="1"/>
        </w:rPr>
        <w:t>, [e-journal] 10(6). Available at: &lt;https://journals.plos.org/plosone/article?id=10.1371/journal.pone.0128451&gt; [Accessed 6 April 2019]</w:t>
      </w:r>
    </w:p>
    <w:p w14:paraId="0C04627A" w14:textId="77777777" w:rsidR="00503349" w:rsidRPr="003619E2" w:rsidRDefault="00503349" w:rsidP="00503349">
      <w:pPr>
        <w:jc w:val="both"/>
        <w:rPr>
          <w:rFonts w:ascii="Times New Roman" w:hAnsi="Times New Roman"/>
          <w:szCs w:val="24"/>
        </w:rPr>
      </w:pPr>
      <w:r w:rsidRPr="00A00B9F">
        <w:rPr>
          <w:rFonts w:ascii="Times New Roman" w:hAnsi="Times New Roman"/>
          <w:bCs/>
          <w:szCs w:val="24"/>
        </w:rPr>
        <w:t>Mercer, S.O., Heacock, P. and Beck, C.K., 1994. Nurse's aides in nursing homes: Perceptions of training, work loads, racism, and abuse issues. </w:t>
      </w:r>
      <w:r w:rsidRPr="00A00B9F">
        <w:rPr>
          <w:rFonts w:ascii="Times New Roman" w:hAnsi="Times New Roman"/>
          <w:bCs/>
          <w:i/>
          <w:iCs/>
          <w:szCs w:val="24"/>
        </w:rPr>
        <w:t>Journal of Gerontological Social Work</w:t>
      </w:r>
      <w:r w:rsidRPr="00A00B9F">
        <w:rPr>
          <w:rFonts w:ascii="Times New Roman" w:hAnsi="Times New Roman"/>
          <w:bCs/>
          <w:szCs w:val="24"/>
        </w:rPr>
        <w:t>, 21(1-2), pp.</w:t>
      </w:r>
      <w:r>
        <w:rPr>
          <w:rFonts w:ascii="Times New Roman" w:hAnsi="Times New Roman"/>
          <w:bCs/>
          <w:szCs w:val="24"/>
        </w:rPr>
        <w:t xml:space="preserve"> </w:t>
      </w:r>
      <w:r w:rsidRPr="00A00B9F">
        <w:rPr>
          <w:rFonts w:ascii="Times New Roman" w:hAnsi="Times New Roman"/>
          <w:bCs/>
          <w:szCs w:val="24"/>
        </w:rPr>
        <w:t>95-112.</w:t>
      </w:r>
    </w:p>
    <w:p w14:paraId="1F42A5FC" w14:textId="77777777" w:rsidR="00503349" w:rsidRPr="00DA2952" w:rsidRDefault="00503349" w:rsidP="00503349">
      <w:pPr>
        <w:jc w:val="both"/>
        <w:rPr>
          <w:rFonts w:ascii="Times New Roman" w:hAnsi="Times New Roman"/>
          <w:bCs/>
          <w:szCs w:val="24"/>
        </w:rPr>
      </w:pPr>
      <w:r w:rsidRPr="00DA2952">
        <w:rPr>
          <w:rFonts w:ascii="Times New Roman" w:hAnsi="Times New Roman"/>
          <w:szCs w:val="24"/>
        </w:rPr>
        <w:t>Mercer, S.W. and Reynolds, W.J., 2002. Empathy and quality of care. </w:t>
      </w:r>
      <w:r w:rsidRPr="00DA2952">
        <w:rPr>
          <w:rFonts w:ascii="Times New Roman" w:hAnsi="Times New Roman"/>
          <w:i/>
          <w:iCs/>
          <w:szCs w:val="24"/>
        </w:rPr>
        <w:t>British Journal of General Practice</w:t>
      </w:r>
      <w:r w:rsidRPr="00DA2952">
        <w:rPr>
          <w:rFonts w:ascii="Times New Roman" w:hAnsi="Times New Roman"/>
          <w:szCs w:val="24"/>
        </w:rPr>
        <w:t>, 52(Suppl), pp. S9-S12.</w:t>
      </w:r>
    </w:p>
    <w:p w14:paraId="5AE668D8"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lastRenderedPageBreak/>
        <w:t xml:space="preserve">Mertens, D.M., 2010. </w:t>
      </w:r>
      <w:r w:rsidRPr="008101DD">
        <w:rPr>
          <w:rFonts w:ascii="Times New Roman" w:hAnsi="Times New Roman"/>
          <w:i/>
          <w:szCs w:val="24"/>
        </w:rPr>
        <w:t>Research and evaluation in education and psychology: integrating diversity with qualitative, and mixed methods</w:t>
      </w:r>
      <w:r w:rsidRPr="008101DD">
        <w:rPr>
          <w:rFonts w:ascii="Times New Roman" w:hAnsi="Times New Roman"/>
          <w:iCs/>
          <w:szCs w:val="24"/>
        </w:rPr>
        <w:t>.</w:t>
      </w:r>
      <w:r w:rsidRPr="008101DD">
        <w:rPr>
          <w:rFonts w:ascii="Times New Roman" w:hAnsi="Times New Roman"/>
          <w:szCs w:val="24"/>
        </w:rPr>
        <w:t xml:space="preserve"> 3</w:t>
      </w:r>
      <w:r w:rsidRPr="008101DD">
        <w:rPr>
          <w:rFonts w:ascii="Times New Roman" w:hAnsi="Times New Roman"/>
          <w:szCs w:val="24"/>
          <w:vertAlign w:val="superscript"/>
        </w:rPr>
        <w:t>rd</w:t>
      </w:r>
      <w:r w:rsidRPr="008101DD">
        <w:rPr>
          <w:rFonts w:ascii="Times New Roman" w:hAnsi="Times New Roman"/>
          <w:szCs w:val="24"/>
        </w:rPr>
        <w:t xml:space="preserve"> ed. Thousand Oaks, CA: Sage.</w:t>
      </w:r>
    </w:p>
    <w:p w14:paraId="54511E6E" w14:textId="77777777" w:rsidR="00503349" w:rsidRPr="00945DA4" w:rsidRDefault="00503349" w:rsidP="00503349">
      <w:pPr>
        <w:rPr>
          <w:rFonts w:ascii="Times New Roman" w:hAnsi="Times New Roman"/>
          <w:szCs w:val="24"/>
          <w:bdr w:val="none" w:sz="0" w:space="0" w:color="auto" w:frame="1"/>
        </w:rPr>
      </w:pPr>
      <w:r w:rsidRPr="00945DA4">
        <w:rPr>
          <w:rFonts w:ascii="Times New Roman" w:hAnsi="Times New Roman"/>
          <w:szCs w:val="24"/>
          <w:bdr w:val="none" w:sz="0" w:space="0" w:color="auto" w:frame="1"/>
        </w:rPr>
        <w:t>Mickus, M., Luz, C. and Hogan, A., 2004. Voices from the front: recruitment and retention of direct care workers in long term care across Michigan. Lansing, MI: Michigan State University. Available at: &lt;https://phinational.org/wp-content/uploads/legacy/clearinghouse/MI_vocices_from_the_front.pdf&gt;[Accessed 21 March 2019]</w:t>
      </w:r>
    </w:p>
    <w:p w14:paraId="47093462" w14:textId="77777777" w:rsidR="00503349" w:rsidRDefault="00503349" w:rsidP="00503349">
      <w:pPr>
        <w:spacing w:before="240"/>
        <w:rPr>
          <w:rFonts w:ascii="Times New Roman" w:hAnsi="Times New Roman"/>
          <w:szCs w:val="24"/>
        </w:rPr>
      </w:pPr>
      <w:r>
        <w:rPr>
          <w:rFonts w:ascii="Times New Roman" w:hAnsi="Times New Roman"/>
          <w:szCs w:val="24"/>
        </w:rPr>
        <w:t xml:space="preserve">Migration Observatory, 2016. </w:t>
      </w:r>
      <w:r>
        <w:rPr>
          <w:rFonts w:ascii="Times New Roman" w:hAnsi="Times New Roman"/>
          <w:i/>
          <w:szCs w:val="24"/>
        </w:rPr>
        <w:t>Young People and Migration in the UK: An Overview. Migrant Observatory Report.</w:t>
      </w:r>
      <w:r>
        <w:rPr>
          <w:rFonts w:ascii="Times New Roman" w:hAnsi="Times New Roman"/>
          <w:szCs w:val="24"/>
        </w:rPr>
        <w:t xml:space="preserve"> Oxford: COMPAS, University of Oxford. Available at: &lt;https://migrationobservatory.ox.ac.uk/resources/reports/young-people-migration-uk-overview/&gt;[Accessed 15 December 2019]</w:t>
      </w:r>
    </w:p>
    <w:p w14:paraId="472B65F3" w14:textId="77777777" w:rsidR="00503349" w:rsidRDefault="00503349" w:rsidP="00503349">
      <w:pPr>
        <w:spacing w:before="240"/>
        <w:rPr>
          <w:rFonts w:ascii="Times New Roman" w:hAnsi="Times New Roman"/>
          <w:szCs w:val="24"/>
        </w:rPr>
      </w:pPr>
      <w:r>
        <w:rPr>
          <w:rFonts w:ascii="Times New Roman" w:hAnsi="Times New Roman"/>
          <w:szCs w:val="24"/>
        </w:rPr>
        <w:t xml:space="preserve">Migration Observatory, 2019. </w:t>
      </w:r>
      <w:r>
        <w:rPr>
          <w:rFonts w:ascii="Times New Roman" w:hAnsi="Times New Roman"/>
          <w:i/>
          <w:szCs w:val="24"/>
        </w:rPr>
        <w:t>Migrants in the UK: An Overview. Migrant Observatory Report.</w:t>
      </w:r>
      <w:r>
        <w:rPr>
          <w:rFonts w:ascii="Times New Roman" w:hAnsi="Times New Roman"/>
          <w:szCs w:val="24"/>
        </w:rPr>
        <w:t xml:space="preserve"> Oxford: COMPAS, University of Oxford. Available at: &lt;https://migrationobservatory.ox.ac.uk/resources/reports/young-people-migration-uk-overview/&gt;[Accessed 15 August 2020]</w:t>
      </w:r>
    </w:p>
    <w:p w14:paraId="66F2E6A7" w14:textId="77777777" w:rsidR="00503349" w:rsidRPr="004C64C9" w:rsidRDefault="00503349" w:rsidP="00503349">
      <w:pPr>
        <w:jc w:val="both"/>
        <w:rPr>
          <w:rFonts w:ascii="Times New Roman" w:hAnsi="Times New Roman"/>
          <w:szCs w:val="24"/>
        </w:rPr>
      </w:pPr>
      <w:r w:rsidRPr="001C3F17">
        <w:rPr>
          <w:rFonts w:ascii="Times New Roman" w:hAnsi="Times New Roman"/>
          <w:szCs w:val="24"/>
        </w:rPr>
        <w:t xml:space="preserve">Miller, P.W., 2008. Downgrading and discounting the qualifications of migrant professionals in England: the case of overseas-trained teachers. </w:t>
      </w:r>
      <w:r w:rsidRPr="001C3F17">
        <w:rPr>
          <w:rFonts w:ascii="Times New Roman" w:hAnsi="Times New Roman"/>
          <w:i/>
          <w:iCs/>
          <w:szCs w:val="24"/>
        </w:rPr>
        <w:t>Education, Knowledge and Economy</w:t>
      </w:r>
      <w:r w:rsidRPr="001C3F17">
        <w:rPr>
          <w:rFonts w:ascii="Times New Roman" w:hAnsi="Times New Roman"/>
          <w:szCs w:val="24"/>
        </w:rPr>
        <w:t>, 2, pp. 15-25.</w:t>
      </w:r>
    </w:p>
    <w:p w14:paraId="0F878A89"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Mills, P.J., Adler, K.A., Dimsdale, J.E., Perez, C.J., Ziegler, M.G., Ancoli-Israel, S., Patterson, T.L. and Grant, I., 2004. Vulnerable caregivers of Alzheimer’s disease patients have a deficit in beta 2-adrenergic receptor sensitivity and density. </w:t>
      </w:r>
      <w:r w:rsidRPr="00AB40E2">
        <w:rPr>
          <w:rFonts w:ascii="Times New Roman" w:hAnsi="Times New Roman"/>
          <w:i/>
          <w:szCs w:val="24"/>
        </w:rPr>
        <w:t>American Journal of Geriatric Psychiatry</w:t>
      </w:r>
      <w:r w:rsidRPr="00AB40E2">
        <w:rPr>
          <w:rFonts w:ascii="Times New Roman" w:hAnsi="Times New Roman"/>
          <w:szCs w:val="24"/>
        </w:rPr>
        <w:t>, 12(3), pp. 281-286.</w:t>
      </w:r>
    </w:p>
    <w:p w14:paraId="5DDA5287"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Milne, A. and Chryssanthopoulou, C., 2005. Dementia care-giving in Black and Asian populations: reviewing and refining the research agenda. </w:t>
      </w:r>
      <w:r w:rsidRPr="002B3011">
        <w:rPr>
          <w:rFonts w:ascii="Times New Roman" w:hAnsi="Times New Roman"/>
          <w:i/>
          <w:szCs w:val="24"/>
        </w:rPr>
        <w:t>Journal of Community Applied Social Psychology</w:t>
      </w:r>
      <w:r w:rsidRPr="002B3011">
        <w:rPr>
          <w:rFonts w:ascii="Times New Roman" w:hAnsi="Times New Roman"/>
          <w:szCs w:val="24"/>
        </w:rPr>
        <w:t>, 15, pp. 319-337.</w:t>
      </w:r>
    </w:p>
    <w:p w14:paraId="1B9CFE0E" w14:textId="77777777" w:rsidR="00503349" w:rsidRPr="008101DD" w:rsidRDefault="00503349" w:rsidP="00503349">
      <w:pPr>
        <w:spacing w:after="200"/>
        <w:jc w:val="both"/>
        <w:rPr>
          <w:rFonts w:ascii="Times New Roman" w:hAnsi="Times New Roman"/>
          <w:bCs/>
          <w:szCs w:val="24"/>
        </w:rPr>
      </w:pPr>
      <w:r w:rsidRPr="008101DD">
        <w:rPr>
          <w:rFonts w:ascii="Times New Roman" w:hAnsi="Times New Roman"/>
          <w:szCs w:val="24"/>
        </w:rPr>
        <w:lastRenderedPageBreak/>
        <w:t xml:space="preserve">Milton, M., 2016. Forming a relationship: a phenomenological encounter. In: B. Douglas, R. Woolfe, S. Strawbridge, E. Kasket &amp; V. Galbraith, ed. 2016. </w:t>
      </w:r>
      <w:r w:rsidRPr="008101DD">
        <w:rPr>
          <w:rFonts w:ascii="Times New Roman" w:hAnsi="Times New Roman"/>
          <w:bCs/>
          <w:i/>
          <w:szCs w:val="24"/>
        </w:rPr>
        <w:t>The Handbook of Counselling Psychology</w:t>
      </w:r>
      <w:r w:rsidRPr="008101DD">
        <w:rPr>
          <w:rFonts w:ascii="Times New Roman" w:hAnsi="Times New Roman"/>
          <w:bCs/>
          <w:szCs w:val="24"/>
        </w:rPr>
        <w:t>. London: Sage, pp. 184-197.</w:t>
      </w:r>
    </w:p>
    <w:p w14:paraId="70CB1FF9" w14:textId="77777777" w:rsidR="00503349" w:rsidRPr="000A56C6" w:rsidRDefault="00503349" w:rsidP="00503349">
      <w:pPr>
        <w:rPr>
          <w:rFonts w:ascii="Times New Roman" w:hAnsi="Times New Roman"/>
          <w:szCs w:val="24"/>
        </w:rPr>
      </w:pPr>
      <w:r w:rsidRPr="000A56C6">
        <w:rPr>
          <w:rFonts w:ascii="Times New Roman" w:hAnsi="Times New Roman"/>
          <w:szCs w:val="24"/>
        </w:rPr>
        <w:t>Mincey, K., Alfonso, M., Hackney, A. and Luque, J., 2015. The influence of masculinity on coping in undergraduate Black men. </w:t>
      </w:r>
      <w:r w:rsidRPr="000A56C6">
        <w:rPr>
          <w:rFonts w:ascii="Times New Roman" w:hAnsi="Times New Roman"/>
          <w:i/>
          <w:iCs/>
          <w:szCs w:val="24"/>
        </w:rPr>
        <w:t>The Journal of Men’s Studies</w:t>
      </w:r>
      <w:r w:rsidRPr="000A56C6">
        <w:rPr>
          <w:rFonts w:ascii="Times New Roman" w:hAnsi="Times New Roman"/>
          <w:szCs w:val="24"/>
        </w:rPr>
        <w:t>, </w:t>
      </w:r>
      <w:r w:rsidRPr="000A56C6">
        <w:rPr>
          <w:rFonts w:ascii="Times New Roman" w:hAnsi="Times New Roman"/>
          <w:iCs/>
          <w:szCs w:val="24"/>
        </w:rPr>
        <w:t>23</w:t>
      </w:r>
      <w:r w:rsidRPr="000A56C6">
        <w:rPr>
          <w:rFonts w:ascii="Times New Roman" w:hAnsi="Times New Roman"/>
          <w:szCs w:val="24"/>
        </w:rPr>
        <w:t>(3), pp. 315-330.</w:t>
      </w:r>
    </w:p>
    <w:p w14:paraId="3B9678D6" w14:textId="77777777" w:rsidR="00503349" w:rsidRPr="00F11B68"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lang w:val="en-US"/>
        </w:rPr>
        <w:t>Mitchell, M.S., Cropanzano, R.S. and Quisenberry, D.M., 2012</w:t>
      </w:r>
      <w:r w:rsidRPr="00945DA4">
        <w:rPr>
          <w:rFonts w:ascii="Times New Roman" w:hAnsi="Times New Roman"/>
          <w:szCs w:val="24"/>
          <w:bdr w:val="none" w:sz="0" w:space="0" w:color="auto" w:frame="1"/>
        </w:rPr>
        <w:t xml:space="preserve">. </w:t>
      </w:r>
      <w:r w:rsidRPr="00945DA4">
        <w:rPr>
          <w:rFonts w:ascii="Times New Roman" w:hAnsi="Times New Roman"/>
          <w:bCs/>
          <w:szCs w:val="24"/>
          <w:bdr w:val="none" w:sz="0" w:space="0" w:color="auto" w:frame="1"/>
        </w:rPr>
        <w:t>Social exchange theory, exchange resources, and interpersonal relationships: a modest resolution of theoretical difficulties.</w:t>
      </w:r>
      <w:r w:rsidRPr="00945DA4">
        <w:rPr>
          <w:rFonts w:ascii="Times New Roman" w:hAnsi="Times New Roman"/>
          <w:szCs w:val="24"/>
          <w:bdr w:val="none" w:sz="0" w:space="0" w:color="auto" w:frame="1"/>
        </w:rPr>
        <w:t xml:space="preserve"> In: K. Törnblom &amp; Kazemi, A. eds. </w:t>
      </w:r>
      <w:r w:rsidRPr="00945DA4">
        <w:rPr>
          <w:rFonts w:ascii="Times New Roman" w:hAnsi="Times New Roman"/>
          <w:i/>
          <w:szCs w:val="24"/>
          <w:bdr w:val="none" w:sz="0" w:space="0" w:color="auto" w:frame="1"/>
        </w:rPr>
        <w:t>Handbook of social resource theory: theoretical extensions, empirical insights, and social applications</w:t>
      </w:r>
      <w:r w:rsidRPr="00945DA4">
        <w:rPr>
          <w:rFonts w:ascii="Times New Roman" w:hAnsi="Times New Roman"/>
          <w:szCs w:val="24"/>
          <w:bdr w:val="none" w:sz="0" w:space="0" w:color="auto" w:frame="1"/>
        </w:rPr>
        <w:t>. New York: Springer</w:t>
      </w:r>
      <w:r>
        <w:rPr>
          <w:rFonts w:ascii="Times New Roman" w:hAnsi="Times New Roman"/>
          <w:szCs w:val="24"/>
          <w:bdr w:val="none" w:sz="0" w:space="0" w:color="auto" w:frame="1"/>
        </w:rPr>
        <w:t>.</w:t>
      </w:r>
    </w:p>
    <w:p w14:paraId="16A67A71" w14:textId="77777777" w:rsidR="00503349" w:rsidRPr="00DA2952" w:rsidRDefault="00503349" w:rsidP="00503349">
      <w:pPr>
        <w:jc w:val="both"/>
        <w:rPr>
          <w:rFonts w:ascii="Times New Roman" w:hAnsi="Times New Roman"/>
          <w:b/>
          <w:bCs/>
          <w:szCs w:val="24"/>
        </w:rPr>
      </w:pPr>
      <w:r w:rsidRPr="00DA2952">
        <w:rPr>
          <w:rFonts w:ascii="Times New Roman" w:hAnsi="Times New Roman"/>
          <w:szCs w:val="24"/>
        </w:rPr>
        <w:t>Mitoku, K., Masaki, N., Ogata, Y. and Okamoto, K., 2016. Vision and hearing impairments, cognitive impairment and mortality among long-term care recipients: a population-based cohort study. </w:t>
      </w:r>
      <w:r w:rsidRPr="00DA2952">
        <w:rPr>
          <w:rFonts w:ascii="Times New Roman" w:hAnsi="Times New Roman"/>
          <w:i/>
          <w:iCs/>
          <w:szCs w:val="24"/>
        </w:rPr>
        <w:t>BMC Geriatrics</w:t>
      </w:r>
      <w:r w:rsidRPr="00DA2952">
        <w:rPr>
          <w:rFonts w:ascii="Times New Roman" w:hAnsi="Times New Roman"/>
          <w:szCs w:val="24"/>
        </w:rPr>
        <w:t>, 16, pp. 1-7.</w:t>
      </w:r>
    </w:p>
    <w:p w14:paraId="0BB40C95"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Miyamoto, Y., Tachimori, H. and Ito, H., 2010. Formal caregiver burden in dementia: impact of behavioral and psychological symptoms of dementia and activities of daily living. </w:t>
      </w:r>
      <w:r w:rsidRPr="00AB40E2">
        <w:rPr>
          <w:rFonts w:ascii="Times New Roman" w:hAnsi="Times New Roman"/>
          <w:i/>
          <w:szCs w:val="24"/>
        </w:rPr>
        <w:t>Geriatric Nursing</w:t>
      </w:r>
      <w:r w:rsidRPr="00AB40E2">
        <w:rPr>
          <w:rFonts w:ascii="Times New Roman" w:hAnsi="Times New Roman"/>
          <w:szCs w:val="24"/>
        </w:rPr>
        <w:t>, 31(4), pp. 246-253.</w:t>
      </w:r>
    </w:p>
    <w:p w14:paraId="1553673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Mkhonto, F. and Hanssen, I., 2018. When people with dementia are perceived as witches. Consequences for patients and nurse education in South Africa. </w:t>
      </w:r>
      <w:r w:rsidRPr="00DA2952">
        <w:rPr>
          <w:rFonts w:ascii="Times New Roman" w:hAnsi="Times New Roman"/>
          <w:i/>
          <w:iCs/>
          <w:szCs w:val="24"/>
        </w:rPr>
        <w:t>Journal of Clinical Nursing</w:t>
      </w:r>
      <w:r w:rsidRPr="00DA2952">
        <w:rPr>
          <w:rFonts w:ascii="Times New Roman" w:hAnsi="Times New Roman"/>
          <w:szCs w:val="24"/>
        </w:rPr>
        <w:t>, 27(1-2), pp. e169-e176.</w:t>
      </w:r>
    </w:p>
    <w:p w14:paraId="3BAAFCC6" w14:textId="77777777" w:rsidR="00503349" w:rsidRPr="00DA2952" w:rsidRDefault="00503349" w:rsidP="00503349">
      <w:pPr>
        <w:jc w:val="both"/>
        <w:rPr>
          <w:rFonts w:ascii="Times New Roman" w:hAnsi="Times New Roman"/>
          <w:b/>
          <w:bCs/>
          <w:szCs w:val="24"/>
        </w:rPr>
      </w:pPr>
      <w:r w:rsidRPr="00DA2952">
        <w:rPr>
          <w:rFonts w:ascii="Times" w:hAnsi="Times" w:cs="Times"/>
          <w:szCs w:val="24"/>
          <w:shd w:val="clear" w:color="auto" w:fill="FFFFFF"/>
        </w:rPr>
        <w:t>Mohammed, A., Said, J. M., Wakil, M. A., Rabbebe, I. B., Sheikh, T. and Agunbiade, S., 2014. Unrecognized psychiatric disorders among adult patients admitted into a general hospital in Maiduguri, Northeastern Nigeria. </w:t>
      </w:r>
      <w:r w:rsidRPr="00DA2952">
        <w:rPr>
          <w:rFonts w:ascii="Times" w:hAnsi="Times" w:cs="Times"/>
          <w:i/>
          <w:iCs/>
          <w:szCs w:val="24"/>
          <w:shd w:val="clear" w:color="auto" w:fill="FFFFFF"/>
        </w:rPr>
        <w:t>The Pan African Medical Journal</w:t>
      </w:r>
      <w:r w:rsidRPr="00DA2952">
        <w:rPr>
          <w:rFonts w:ascii="Times" w:hAnsi="Times" w:cs="Times"/>
          <w:szCs w:val="24"/>
          <w:shd w:val="clear" w:color="auto" w:fill="FFFFFF"/>
        </w:rPr>
        <w:t>, 19(197). Available at: &lt;https://www.panafrican-med-journal.com/content/article/19/197/full/&gt;[Accessed 20 June 2020]</w:t>
      </w:r>
    </w:p>
    <w:p w14:paraId="29B00B54" w14:textId="77777777" w:rsidR="00503349" w:rsidRPr="00DA2952" w:rsidRDefault="00503349" w:rsidP="00503349">
      <w:pPr>
        <w:jc w:val="both"/>
        <w:rPr>
          <w:rFonts w:ascii="Times New Roman" w:hAnsi="Times New Roman"/>
          <w:szCs w:val="24"/>
        </w:rPr>
      </w:pPr>
      <w:r w:rsidRPr="00DA2952">
        <w:rPr>
          <w:rFonts w:ascii="Times" w:hAnsi="Times" w:cs="Times"/>
          <w:szCs w:val="24"/>
        </w:rPr>
        <w:t xml:space="preserve">Mokomane, Z. 2011. </w:t>
      </w:r>
      <w:r w:rsidRPr="00DA2952">
        <w:rPr>
          <w:rFonts w:ascii="Times" w:hAnsi="Times" w:cs="Times"/>
          <w:i/>
          <w:iCs/>
          <w:szCs w:val="24"/>
        </w:rPr>
        <w:t>Work-family balance: overview of policies in developing countries</w:t>
      </w:r>
      <w:r w:rsidRPr="00DA2952">
        <w:rPr>
          <w:rFonts w:ascii="Times" w:hAnsi="Times" w:cs="Times"/>
          <w:szCs w:val="24"/>
        </w:rPr>
        <w:t>. New York: UNDESPA Publication United Nations.</w:t>
      </w:r>
    </w:p>
    <w:p w14:paraId="61AF4F5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Monin, J.K., Schulz, R. and Feeney, B.C., 2015. </w:t>
      </w:r>
      <w:r w:rsidRPr="002B3011">
        <w:rPr>
          <w:rFonts w:ascii="Times New Roman" w:hAnsi="Times New Roman"/>
          <w:bCs/>
          <w:szCs w:val="24"/>
        </w:rPr>
        <w:t>Compassionate love in individuals with Alzheimer's disease and their spousal caregivers: associations with caregivers' psychological health</w:t>
      </w:r>
      <w:r w:rsidRPr="002B3011">
        <w:rPr>
          <w:rFonts w:ascii="Times New Roman" w:hAnsi="Times New Roman"/>
          <w:szCs w:val="24"/>
        </w:rPr>
        <w:t xml:space="preserve">. </w:t>
      </w:r>
      <w:r w:rsidRPr="002B3011">
        <w:rPr>
          <w:rFonts w:ascii="Times New Roman" w:hAnsi="Times New Roman"/>
          <w:i/>
          <w:szCs w:val="24"/>
        </w:rPr>
        <w:t>Gerontologist</w:t>
      </w:r>
      <w:r w:rsidRPr="002B3011">
        <w:rPr>
          <w:rFonts w:ascii="Times New Roman" w:hAnsi="Times New Roman"/>
          <w:szCs w:val="24"/>
        </w:rPr>
        <w:t>, 55, pp. 981-989.</w:t>
      </w:r>
    </w:p>
    <w:p w14:paraId="1D845EF4"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Moody, R.C. and Pesut, D.J., 2006. The motivation to care: application and extension of motivation theory to professional nursing work. </w:t>
      </w:r>
      <w:r w:rsidRPr="00945DA4">
        <w:rPr>
          <w:rFonts w:ascii="Times New Roman" w:hAnsi="Times New Roman"/>
          <w:bCs/>
          <w:i/>
          <w:szCs w:val="24"/>
          <w:bdr w:val="none" w:sz="0" w:space="0" w:color="auto" w:frame="1"/>
        </w:rPr>
        <w:t>Journal of Health</w:t>
      </w:r>
      <w:r w:rsidRPr="00945DA4">
        <w:rPr>
          <w:rFonts w:ascii="Times New Roman" w:hAnsi="Times New Roman"/>
          <w:i/>
          <w:szCs w:val="24"/>
          <w:bdr w:val="none" w:sz="0" w:space="0" w:color="auto" w:frame="1"/>
        </w:rPr>
        <w:t xml:space="preserve"> Organization and </w:t>
      </w:r>
      <w:r w:rsidRPr="00945DA4">
        <w:rPr>
          <w:rFonts w:ascii="Times New Roman" w:hAnsi="Times New Roman"/>
          <w:bCs/>
          <w:i/>
          <w:szCs w:val="24"/>
          <w:bdr w:val="none" w:sz="0" w:space="0" w:color="auto" w:frame="1"/>
        </w:rPr>
        <w:t>Management</w:t>
      </w:r>
      <w:r w:rsidRPr="00945DA4">
        <w:rPr>
          <w:rFonts w:ascii="Times New Roman" w:hAnsi="Times New Roman"/>
          <w:szCs w:val="24"/>
          <w:bdr w:val="none" w:sz="0" w:space="0" w:color="auto" w:frame="1"/>
        </w:rPr>
        <w:t>, 20, pp. 15-48.</w:t>
      </w:r>
    </w:p>
    <w:p w14:paraId="7A3B8B02" w14:textId="77777777" w:rsidR="00503349" w:rsidRPr="00DE2160" w:rsidRDefault="00503349" w:rsidP="00503349">
      <w:pPr>
        <w:jc w:val="both"/>
        <w:rPr>
          <w:rFonts w:ascii="Times New Roman" w:hAnsi="Times New Roman"/>
          <w:szCs w:val="24"/>
        </w:rPr>
      </w:pPr>
      <w:r w:rsidRPr="00DE2160">
        <w:rPr>
          <w:rFonts w:ascii="Times New Roman" w:hAnsi="Times New Roman"/>
          <w:szCs w:val="24"/>
        </w:rPr>
        <w:t>Moon, B.</w:t>
      </w:r>
      <w:r>
        <w:rPr>
          <w:rFonts w:ascii="Times New Roman" w:hAnsi="Times New Roman"/>
          <w:szCs w:val="24"/>
        </w:rPr>
        <w:t>,</w:t>
      </w:r>
      <w:r w:rsidRPr="00DE2160">
        <w:rPr>
          <w:rFonts w:ascii="Times New Roman" w:hAnsi="Times New Roman"/>
          <w:szCs w:val="24"/>
        </w:rPr>
        <w:t> 1995</w:t>
      </w:r>
      <w:r>
        <w:rPr>
          <w:rFonts w:ascii="Times New Roman" w:hAnsi="Times New Roman"/>
          <w:szCs w:val="24"/>
        </w:rPr>
        <w:t>.</w:t>
      </w:r>
      <w:r w:rsidRPr="00DE2160">
        <w:rPr>
          <w:rFonts w:ascii="Times New Roman" w:hAnsi="Times New Roman"/>
          <w:szCs w:val="24"/>
        </w:rPr>
        <w:t> Paradigms in migration research: exploring ‘moorings’ as a schema. </w:t>
      </w:r>
      <w:r w:rsidRPr="00DE2160">
        <w:rPr>
          <w:rFonts w:ascii="Times New Roman" w:hAnsi="Times New Roman"/>
          <w:i/>
          <w:iCs/>
          <w:szCs w:val="24"/>
        </w:rPr>
        <w:t>Progress in Human Geography</w:t>
      </w:r>
      <w:r w:rsidRPr="00DE2160">
        <w:rPr>
          <w:rFonts w:ascii="Times New Roman" w:hAnsi="Times New Roman"/>
          <w:szCs w:val="24"/>
        </w:rPr>
        <w:t>, 19, </w:t>
      </w:r>
      <w:r>
        <w:rPr>
          <w:rFonts w:ascii="Times New Roman" w:hAnsi="Times New Roman"/>
          <w:szCs w:val="24"/>
        </w:rPr>
        <w:t xml:space="preserve">pp. </w:t>
      </w:r>
      <w:r w:rsidRPr="00DE2160">
        <w:rPr>
          <w:rFonts w:ascii="Times New Roman" w:hAnsi="Times New Roman"/>
          <w:szCs w:val="24"/>
        </w:rPr>
        <w:t>504</w:t>
      </w:r>
      <w:r>
        <w:rPr>
          <w:rFonts w:ascii="Times New Roman" w:hAnsi="Times New Roman"/>
          <w:szCs w:val="24"/>
        </w:rPr>
        <w:t>-</w:t>
      </w:r>
      <w:r w:rsidRPr="00DE2160">
        <w:rPr>
          <w:rFonts w:ascii="Times New Roman" w:hAnsi="Times New Roman"/>
          <w:szCs w:val="24"/>
        </w:rPr>
        <w:t>524.</w:t>
      </w:r>
    </w:p>
    <w:p w14:paraId="5950B9CC"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Moore, S. and Tailby, S., 2015. The changing face of employment relations: equality and diversity. </w:t>
      </w:r>
      <w:r w:rsidRPr="000A56C6">
        <w:rPr>
          <w:rFonts w:ascii="Times New Roman" w:hAnsi="Times New Roman"/>
          <w:i/>
          <w:szCs w:val="24"/>
        </w:rPr>
        <w:t>Employee Relations</w:t>
      </w:r>
      <w:r w:rsidRPr="000A56C6">
        <w:rPr>
          <w:rFonts w:ascii="Times New Roman" w:hAnsi="Times New Roman"/>
          <w:szCs w:val="24"/>
        </w:rPr>
        <w:t>, 37(6), pp. 705-719.</w:t>
      </w:r>
    </w:p>
    <w:p w14:paraId="08F49A82" w14:textId="77777777" w:rsidR="00503349" w:rsidRPr="00DA2952" w:rsidRDefault="00503349" w:rsidP="00503349">
      <w:pPr>
        <w:jc w:val="both"/>
        <w:rPr>
          <w:rFonts w:ascii="Times New Roman" w:hAnsi="Times New Roman"/>
          <w:bCs/>
          <w:szCs w:val="24"/>
        </w:rPr>
      </w:pPr>
      <w:r w:rsidRPr="00DA2952">
        <w:rPr>
          <w:rFonts w:ascii="Times New Roman" w:hAnsi="Times New Roman"/>
          <w:bCs/>
          <w:szCs w:val="24"/>
        </w:rPr>
        <w:t>Moore, T., Hollett, J., Pilkington, F.B. and Jonas-Simpson, C., 2003. A pilot study of the lived experience for persons with dementia residing on a locked unit. </w:t>
      </w:r>
      <w:r w:rsidRPr="00DA2952">
        <w:rPr>
          <w:rFonts w:ascii="Times New Roman" w:hAnsi="Times New Roman"/>
          <w:bCs/>
          <w:i/>
          <w:iCs/>
          <w:szCs w:val="24"/>
        </w:rPr>
        <w:t>Perspectives (Gerontological Nursing Association (Canada))</w:t>
      </w:r>
      <w:r w:rsidRPr="00DA2952">
        <w:rPr>
          <w:rFonts w:ascii="Times New Roman" w:hAnsi="Times New Roman"/>
          <w:bCs/>
          <w:szCs w:val="24"/>
        </w:rPr>
        <w:t>, 27(2), p.5.</w:t>
      </w:r>
    </w:p>
    <w:p w14:paraId="2AD82713" w14:textId="77777777" w:rsidR="00503349"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Morgan, J.C., Dill, J. and Kalleberg, A.L., 2013. </w:t>
      </w:r>
      <w:r w:rsidRPr="00945DA4">
        <w:rPr>
          <w:rFonts w:ascii="Times New Roman" w:hAnsi="Times New Roman"/>
          <w:bCs/>
          <w:szCs w:val="24"/>
          <w:bdr w:val="none" w:sz="0" w:space="0" w:color="auto" w:frame="1"/>
        </w:rPr>
        <w:t>The quality of healthcare jobs: can intrinsic rewards compensate for low extrinsic rewards?</w:t>
      </w:r>
      <w:r w:rsidRPr="00945DA4">
        <w:rPr>
          <w:rFonts w:ascii="Times New Roman" w:hAnsi="Times New Roman"/>
          <w:szCs w:val="24"/>
          <w:bdr w:val="none" w:sz="0" w:space="0" w:color="auto" w:frame="1"/>
        </w:rPr>
        <w:t xml:space="preserve"> </w:t>
      </w:r>
      <w:r w:rsidRPr="00945DA4">
        <w:rPr>
          <w:rFonts w:ascii="Times New Roman" w:hAnsi="Times New Roman"/>
          <w:i/>
          <w:szCs w:val="24"/>
          <w:bdr w:val="none" w:sz="0" w:space="0" w:color="auto" w:frame="1"/>
        </w:rPr>
        <w:t>Work, Employment &amp; Society</w:t>
      </w:r>
      <w:r w:rsidRPr="00945DA4">
        <w:rPr>
          <w:rFonts w:ascii="Times New Roman" w:hAnsi="Times New Roman"/>
          <w:szCs w:val="24"/>
          <w:bdr w:val="none" w:sz="0" w:space="0" w:color="auto" w:frame="1"/>
        </w:rPr>
        <w:t>, 27(5), pp. 802-822.</w:t>
      </w:r>
    </w:p>
    <w:p w14:paraId="415FC012"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Moriarty, J., Manthorpe, J., Hussein, S. and Cornes, M., 2008. </w:t>
      </w:r>
      <w:r w:rsidRPr="002B46B4">
        <w:rPr>
          <w:rFonts w:ascii="Times New Roman" w:hAnsi="Times New Roman"/>
          <w:i/>
          <w:iCs/>
          <w:szCs w:val="24"/>
        </w:rPr>
        <w:t>Staff shortages and immigration in the social care sector</w:t>
      </w:r>
      <w:r>
        <w:rPr>
          <w:rFonts w:ascii="Times New Roman" w:hAnsi="Times New Roman"/>
          <w:szCs w:val="24"/>
        </w:rPr>
        <w:t>. London: Migration Advisory Committee. Available at: &lt;https://www.researchgate.net/profile/Shereen-Hussein/publication/231521252_Staff_Shortages_and_Immigration_in_the_Social_Care_Sector/links/09e4150b478dcc0976000000/Staff-Shortages-and-Immigration-in-the-Social-Care-Sector.pdf&gt;[Accessed 16 January 2019]</w:t>
      </w:r>
    </w:p>
    <w:p w14:paraId="115846E9"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Morris, J.C., 1999. Is Alzheimer’s disease inevitable with age? Lessons from clinicopathologic studies of healthy aging and very mild Alzheimer’s disease. </w:t>
      </w:r>
      <w:r w:rsidRPr="00DA2952">
        <w:rPr>
          <w:rFonts w:ascii="Times New Roman" w:hAnsi="Times New Roman"/>
          <w:i/>
          <w:iCs/>
          <w:szCs w:val="24"/>
        </w:rPr>
        <w:t>Journal of Clinical Investigation</w:t>
      </w:r>
      <w:r w:rsidRPr="00DA2952">
        <w:rPr>
          <w:rFonts w:ascii="Times New Roman" w:hAnsi="Times New Roman"/>
          <w:szCs w:val="24"/>
        </w:rPr>
        <w:t>, 104, pp. 1171-1173.</w:t>
      </w:r>
    </w:p>
    <w:p w14:paraId="02A5205B"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Morse, J.M., Barrett, M., Mayan, M., Olson, K. and Jude Spiers, J., 2002. Verification strategies for establishing reliability and validity in qualitative research. </w:t>
      </w:r>
      <w:r w:rsidRPr="004E3E8F">
        <w:rPr>
          <w:rFonts w:ascii="Times New Roman" w:hAnsi="Times New Roman"/>
          <w:i/>
          <w:szCs w:val="24"/>
        </w:rPr>
        <w:t>International Journal of Qualitative Methods</w:t>
      </w:r>
      <w:r w:rsidRPr="004E3E8F">
        <w:rPr>
          <w:rFonts w:ascii="Times New Roman" w:hAnsi="Times New Roman"/>
          <w:szCs w:val="24"/>
        </w:rPr>
        <w:t>, 1(2), pp. 1-19.</w:t>
      </w:r>
    </w:p>
    <w:p w14:paraId="13D6F005"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lastRenderedPageBreak/>
        <w:t xml:space="preserve">Moustakas, C., 1994. </w:t>
      </w:r>
      <w:r w:rsidRPr="008101DD">
        <w:rPr>
          <w:rFonts w:ascii="Times New Roman" w:hAnsi="Times New Roman"/>
          <w:i/>
          <w:szCs w:val="24"/>
        </w:rPr>
        <w:t>Phenomenological research methods.</w:t>
      </w:r>
      <w:r w:rsidRPr="008101DD">
        <w:rPr>
          <w:rFonts w:ascii="Times New Roman" w:hAnsi="Times New Roman"/>
          <w:szCs w:val="24"/>
        </w:rPr>
        <w:t xml:space="preserve"> Thousand Oaks, CA: Sage.</w:t>
      </w:r>
    </w:p>
    <w:p w14:paraId="37C2A2B2"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Mouton, C.P. and Southerland, J.H., 2017. Elder Abuse in the African diaspora: A review. </w:t>
      </w:r>
      <w:r w:rsidRPr="00DA2952">
        <w:rPr>
          <w:rFonts w:ascii="Times New Roman" w:hAnsi="Times New Roman"/>
          <w:i/>
          <w:iCs/>
          <w:szCs w:val="24"/>
        </w:rPr>
        <w:t>Journal of the National Medical Association</w:t>
      </w:r>
      <w:r w:rsidRPr="00DA2952">
        <w:rPr>
          <w:rFonts w:ascii="Times New Roman" w:hAnsi="Times New Roman"/>
          <w:szCs w:val="24"/>
        </w:rPr>
        <w:t>, 109(4), pp. 262-271.</w:t>
      </w:r>
    </w:p>
    <w:p w14:paraId="40E85DF5" w14:textId="77777777" w:rsidR="00503349" w:rsidRPr="002E05E3" w:rsidRDefault="00503349" w:rsidP="00503349">
      <w:pPr>
        <w:jc w:val="both"/>
        <w:rPr>
          <w:rFonts w:ascii="Times New Roman" w:hAnsi="Times New Roman"/>
          <w:szCs w:val="24"/>
        </w:rPr>
      </w:pPr>
      <w:r w:rsidRPr="002C17CC">
        <w:rPr>
          <w:rFonts w:ascii="Times New Roman" w:hAnsi="Times New Roman"/>
          <w:bCs/>
          <w:szCs w:val="24"/>
        </w:rPr>
        <w:t>Mueller, C.,</w:t>
      </w:r>
      <w:r>
        <w:rPr>
          <w:rFonts w:ascii="Times New Roman" w:hAnsi="Times New Roman"/>
          <w:bCs/>
          <w:szCs w:val="24"/>
        </w:rPr>
        <w:t xml:space="preserve"> </w:t>
      </w:r>
      <w:r w:rsidRPr="002C17CC">
        <w:rPr>
          <w:rFonts w:ascii="Times New Roman" w:hAnsi="Times New Roman"/>
          <w:bCs/>
          <w:szCs w:val="24"/>
        </w:rPr>
        <w:t>Perera, G., Rajkumar, A.P., Bhattarai, M., Price, P., O'Brien, J.T., Ballard, C., Stewart, R. and Aarsland, D., 2017. Risk and duration of hospitalization in dementia with Lewy bodies.</w:t>
      </w:r>
      <w:r>
        <w:rPr>
          <w:rFonts w:ascii="Times New Roman" w:hAnsi="Times New Roman"/>
          <w:bCs/>
          <w:szCs w:val="24"/>
        </w:rPr>
        <w:t xml:space="preserve"> </w:t>
      </w:r>
      <w:r w:rsidRPr="002C17CC">
        <w:rPr>
          <w:rFonts w:ascii="Times New Roman" w:hAnsi="Times New Roman"/>
          <w:bCs/>
          <w:i/>
          <w:iCs/>
          <w:szCs w:val="24"/>
        </w:rPr>
        <w:t>Alzheimer</w:t>
      </w:r>
      <w:r>
        <w:rPr>
          <w:rFonts w:ascii="Times New Roman" w:hAnsi="Times New Roman"/>
          <w:bCs/>
          <w:i/>
          <w:iCs/>
          <w:szCs w:val="24"/>
        </w:rPr>
        <w:t>’</w:t>
      </w:r>
      <w:r w:rsidRPr="002C17CC">
        <w:rPr>
          <w:rFonts w:ascii="Times New Roman" w:hAnsi="Times New Roman"/>
          <w:bCs/>
          <w:i/>
          <w:iCs/>
          <w:szCs w:val="24"/>
        </w:rPr>
        <w:t xml:space="preserve">s </w:t>
      </w:r>
      <w:r>
        <w:rPr>
          <w:rFonts w:ascii="Times New Roman" w:hAnsi="Times New Roman"/>
          <w:bCs/>
          <w:i/>
          <w:iCs/>
          <w:szCs w:val="24"/>
        </w:rPr>
        <w:t xml:space="preserve">&amp; </w:t>
      </w:r>
      <w:r w:rsidRPr="002C17CC">
        <w:rPr>
          <w:rFonts w:ascii="Times New Roman" w:hAnsi="Times New Roman"/>
          <w:bCs/>
          <w:i/>
          <w:iCs/>
          <w:szCs w:val="24"/>
        </w:rPr>
        <w:t>Dementia</w:t>
      </w:r>
      <w:r w:rsidRPr="002C17CC">
        <w:rPr>
          <w:rFonts w:ascii="Times New Roman" w:hAnsi="Times New Roman"/>
          <w:bCs/>
          <w:szCs w:val="24"/>
        </w:rPr>
        <w:t>, 13(7), pp. 510-511.</w:t>
      </w:r>
    </w:p>
    <w:p w14:paraId="2D694AEF" w14:textId="77777777" w:rsidR="00503349" w:rsidRPr="002B3011" w:rsidRDefault="00503349" w:rsidP="00503349">
      <w:pPr>
        <w:jc w:val="both"/>
        <w:textAlignment w:val="baseline"/>
        <w:rPr>
          <w:rFonts w:ascii="Times New Roman" w:hAnsi="Times New Roman"/>
          <w:szCs w:val="24"/>
        </w:rPr>
      </w:pPr>
      <w:r w:rsidRPr="002B3011">
        <w:rPr>
          <w:rFonts w:ascii="Times New Roman" w:hAnsi="Times New Roman"/>
          <w:iCs/>
          <w:szCs w:val="24"/>
        </w:rPr>
        <w:t xml:space="preserve">Mukadam, N. and Livingston, G., 2012. </w:t>
      </w:r>
      <w:r w:rsidRPr="002B3011">
        <w:rPr>
          <w:rFonts w:ascii="Times New Roman" w:hAnsi="Times New Roman"/>
          <w:bCs/>
          <w:szCs w:val="24"/>
        </w:rPr>
        <w:t xml:space="preserve">Reducing the stigma associated with dementia: approaches and goals. </w:t>
      </w:r>
      <w:r w:rsidRPr="002B3011">
        <w:rPr>
          <w:rFonts w:ascii="Times New Roman" w:hAnsi="Times New Roman"/>
          <w:bCs/>
          <w:i/>
          <w:szCs w:val="24"/>
        </w:rPr>
        <w:t>Aging Health</w:t>
      </w:r>
      <w:r w:rsidRPr="002B3011">
        <w:rPr>
          <w:rFonts w:ascii="Times New Roman" w:hAnsi="Times New Roman"/>
          <w:bCs/>
          <w:szCs w:val="24"/>
        </w:rPr>
        <w:t>,</w:t>
      </w:r>
      <w:r w:rsidRPr="002B3011">
        <w:rPr>
          <w:rFonts w:ascii="Times New Roman" w:hAnsi="Times New Roman"/>
          <w:szCs w:val="24"/>
        </w:rPr>
        <w:t xml:space="preserve"> 8(4), pp. 377-386.</w:t>
      </w:r>
    </w:p>
    <w:p w14:paraId="3B6C7EE1" w14:textId="77777777" w:rsidR="00503349" w:rsidRPr="002B3011" w:rsidRDefault="00503349" w:rsidP="00503349">
      <w:pPr>
        <w:jc w:val="both"/>
        <w:textAlignment w:val="baseline"/>
        <w:rPr>
          <w:rFonts w:ascii="Times New Roman" w:hAnsi="Times New Roman"/>
          <w:szCs w:val="24"/>
        </w:rPr>
      </w:pPr>
      <w:r w:rsidRPr="002B3011">
        <w:rPr>
          <w:rFonts w:ascii="Times New Roman" w:hAnsi="Times New Roman"/>
          <w:szCs w:val="24"/>
        </w:rPr>
        <w:t xml:space="preserve">Murray, J., Schneider, J., Banerjee, S. and Mann, A., 1999. EUROCARE: a cross-national study of co-resident spouse carers for people with Alzheimer’s disease: II – a qualitative analysis of the experience of caregiving. </w:t>
      </w:r>
      <w:r w:rsidRPr="002B3011">
        <w:rPr>
          <w:rFonts w:ascii="Times New Roman" w:hAnsi="Times New Roman"/>
          <w:i/>
          <w:szCs w:val="24"/>
        </w:rPr>
        <w:t>International Journal of Geriatric Psychiatry</w:t>
      </w:r>
      <w:r w:rsidRPr="002B3011">
        <w:rPr>
          <w:rFonts w:ascii="Times New Roman" w:hAnsi="Times New Roman"/>
          <w:szCs w:val="24"/>
        </w:rPr>
        <w:t>, 14, pp. 662-667.</w:t>
      </w:r>
    </w:p>
    <w:p w14:paraId="4C4C3F3A"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Mushi, D., Rongai, A., Paddick, S.M., Dotchin, C., Mtuya, C. and Walker, R., 2014. </w:t>
      </w:r>
      <w:r w:rsidRPr="00DA2952">
        <w:rPr>
          <w:rFonts w:ascii="Times New Roman" w:hAnsi="Times New Roman"/>
          <w:bCs/>
          <w:szCs w:val="24"/>
          <w:lang w:val="en"/>
        </w:rPr>
        <w:t>Social representation and practices related to dementia in Hai District of Tanzania.</w:t>
      </w:r>
      <w:r w:rsidRPr="00DA2952">
        <w:rPr>
          <w:rFonts w:ascii="Times New Roman" w:hAnsi="Times New Roman"/>
          <w:i/>
          <w:iCs/>
          <w:szCs w:val="24"/>
        </w:rPr>
        <w:t xml:space="preserve"> BMC Public Health</w:t>
      </w:r>
      <w:r w:rsidRPr="00DA2952">
        <w:rPr>
          <w:rFonts w:ascii="Times New Roman" w:hAnsi="Times New Roman"/>
          <w:szCs w:val="24"/>
        </w:rPr>
        <w:t xml:space="preserve">, </w:t>
      </w:r>
      <w:r w:rsidRPr="00DA2952">
        <w:rPr>
          <w:rFonts w:ascii="Times New Roman" w:hAnsi="Times New Roman"/>
          <w:bCs/>
          <w:szCs w:val="24"/>
        </w:rPr>
        <w:t>14</w:t>
      </w:r>
      <w:r w:rsidRPr="00DA2952">
        <w:rPr>
          <w:rFonts w:ascii="Times New Roman" w:hAnsi="Times New Roman"/>
          <w:szCs w:val="24"/>
        </w:rPr>
        <w:t>(260)</w:t>
      </w:r>
      <w:r>
        <w:rPr>
          <w:rFonts w:ascii="Times New Roman" w:hAnsi="Times New Roman"/>
          <w:szCs w:val="24"/>
        </w:rPr>
        <w:t>.</w:t>
      </w:r>
    </w:p>
    <w:p w14:paraId="24226478"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Musolf, A., 2015. Dehumanizing metaphors in UK immigrant debates in press and online media. </w:t>
      </w:r>
      <w:r>
        <w:rPr>
          <w:rFonts w:ascii="Times New Roman" w:hAnsi="Times New Roman"/>
          <w:i/>
          <w:szCs w:val="24"/>
        </w:rPr>
        <w:t>Journal of Language Aggression and Conflict</w:t>
      </w:r>
      <w:r>
        <w:rPr>
          <w:rFonts w:ascii="Times New Roman" w:hAnsi="Times New Roman"/>
          <w:szCs w:val="24"/>
        </w:rPr>
        <w:t>, 3, pp. 41-56.</w:t>
      </w:r>
    </w:p>
    <w:p w14:paraId="5675259C"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Myers, 2009. </w:t>
      </w:r>
      <w:r w:rsidRPr="008101DD">
        <w:rPr>
          <w:rFonts w:ascii="Times New Roman" w:hAnsi="Times New Roman"/>
          <w:i/>
          <w:szCs w:val="24"/>
        </w:rPr>
        <w:t>Qualitative Research in Business &amp; Management</w:t>
      </w:r>
      <w:r w:rsidRPr="008101DD">
        <w:rPr>
          <w:rFonts w:ascii="Times New Roman" w:hAnsi="Times New Roman"/>
          <w:szCs w:val="24"/>
        </w:rPr>
        <w:t>. London: Sage Publications.</w:t>
      </w:r>
    </w:p>
    <w:p w14:paraId="6730BF97" w14:textId="77777777" w:rsidR="00503349" w:rsidRPr="00DA2952" w:rsidRDefault="00503349" w:rsidP="00503349">
      <w:pPr>
        <w:jc w:val="both"/>
        <w:rPr>
          <w:rFonts w:ascii="Times New Roman" w:hAnsi="Times New Roman"/>
          <w:szCs w:val="24"/>
        </w:rPr>
      </w:pPr>
      <w:r w:rsidRPr="00DA2952">
        <w:rPr>
          <w:rFonts w:ascii="Times" w:hAnsi="Times" w:cs="Times"/>
          <w:szCs w:val="24"/>
        </w:rPr>
        <w:t xml:space="preserve">Nakasujja, N., Musisi, S., Walugembe, J. and Wallace, D., 2007. Psychiatric disorders among the elderly on nonpsychiatric wards in an African setting. </w:t>
      </w:r>
      <w:r w:rsidRPr="00DA2952">
        <w:rPr>
          <w:rFonts w:ascii="Times" w:hAnsi="Times" w:cs="Times"/>
          <w:i/>
          <w:iCs/>
          <w:szCs w:val="24"/>
        </w:rPr>
        <w:t>International Psychogeriatrics</w:t>
      </w:r>
      <w:r w:rsidRPr="00DA2952">
        <w:rPr>
          <w:rFonts w:ascii="Times" w:hAnsi="Times" w:cs="Times"/>
          <w:szCs w:val="24"/>
        </w:rPr>
        <w:t>, 19(4), pp. 691-704.</w:t>
      </w:r>
    </w:p>
    <w:p w14:paraId="5432EF9A"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Nance, D.C., Rivero May, M.I., Flores Padilla, L., Moreno Nava, M. and Deyta Pantoja, A.L., 2018. Faith, Work, and reciprocity: listening to Mexican men caregivers of elderly family members. </w:t>
      </w:r>
      <w:r w:rsidRPr="002B3011">
        <w:rPr>
          <w:rFonts w:ascii="Times New Roman" w:hAnsi="Times New Roman"/>
          <w:i/>
          <w:iCs/>
          <w:color w:val="000000"/>
          <w:szCs w:val="24"/>
        </w:rPr>
        <w:t>American Journal of Men's Health</w:t>
      </w:r>
      <w:r w:rsidRPr="002B3011">
        <w:rPr>
          <w:rFonts w:ascii="Times New Roman" w:hAnsi="Times New Roman"/>
          <w:color w:val="000000"/>
          <w:szCs w:val="24"/>
        </w:rPr>
        <w:t>, 12(6), pp. 1985-1993.</w:t>
      </w:r>
    </w:p>
    <w:p w14:paraId="411EC86D"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Narayan, D., Patel, R., Schafft, K., Rademacher, A. and Koch-Shulte, S., 1999. </w:t>
      </w:r>
      <w:r w:rsidRPr="000C2CD1">
        <w:rPr>
          <w:rFonts w:ascii="Times New Roman" w:hAnsi="Times New Roman"/>
          <w:i/>
          <w:iCs/>
          <w:szCs w:val="24"/>
        </w:rPr>
        <w:t>Can Anyone Hear Us? Voices from 47 countries</w:t>
      </w:r>
      <w:r>
        <w:rPr>
          <w:rFonts w:ascii="Times New Roman" w:hAnsi="Times New Roman"/>
          <w:szCs w:val="24"/>
        </w:rPr>
        <w:t>.</w:t>
      </w:r>
      <w:r w:rsidRPr="002B3011">
        <w:rPr>
          <w:rFonts w:ascii="Times New Roman" w:hAnsi="Times New Roman"/>
          <w:szCs w:val="24"/>
        </w:rPr>
        <w:t xml:space="preserve"> Voices of the Poor</w:t>
      </w:r>
      <w:r>
        <w:rPr>
          <w:rFonts w:ascii="Times New Roman" w:hAnsi="Times New Roman"/>
          <w:szCs w:val="24"/>
        </w:rPr>
        <w:t xml:space="preserve"> Series</w:t>
      </w:r>
      <w:r w:rsidRPr="002B3011">
        <w:rPr>
          <w:rFonts w:ascii="Times New Roman" w:hAnsi="Times New Roman"/>
          <w:szCs w:val="24"/>
        </w:rPr>
        <w:t xml:space="preserve">, Volume </w:t>
      </w:r>
      <w:r>
        <w:rPr>
          <w:rFonts w:ascii="Times New Roman" w:hAnsi="Times New Roman"/>
          <w:szCs w:val="24"/>
        </w:rPr>
        <w:t>1.</w:t>
      </w:r>
      <w:r w:rsidRPr="002B3011">
        <w:rPr>
          <w:rFonts w:ascii="Times New Roman" w:hAnsi="Times New Roman"/>
          <w:szCs w:val="24"/>
        </w:rPr>
        <w:t xml:space="preserve"> </w:t>
      </w:r>
      <w:r>
        <w:rPr>
          <w:rFonts w:ascii="Times New Roman" w:hAnsi="Times New Roman"/>
          <w:szCs w:val="24"/>
        </w:rPr>
        <w:t xml:space="preserve">Washington DC: </w:t>
      </w:r>
      <w:r w:rsidRPr="002B3011">
        <w:rPr>
          <w:rFonts w:ascii="Times New Roman" w:hAnsi="Times New Roman"/>
          <w:szCs w:val="24"/>
        </w:rPr>
        <w:t>Poverty Group PREM, World Bank.</w:t>
      </w:r>
    </w:p>
    <w:p w14:paraId="54FBE380" w14:textId="77777777" w:rsidR="00503349" w:rsidRDefault="00503349" w:rsidP="00503349">
      <w:pPr>
        <w:jc w:val="both"/>
        <w:rPr>
          <w:rFonts w:ascii="Times New Roman" w:hAnsi="Times New Roman"/>
          <w:szCs w:val="24"/>
        </w:rPr>
      </w:pPr>
      <w:r w:rsidRPr="00796A79">
        <w:rPr>
          <w:rFonts w:ascii="Times New Roman" w:hAnsi="Times New Roman"/>
          <w:szCs w:val="24"/>
        </w:rPr>
        <w:t xml:space="preserve">National Population Commission (NPC) [Nigeria] </w:t>
      </w:r>
      <w:r>
        <w:rPr>
          <w:rFonts w:ascii="Times New Roman" w:hAnsi="Times New Roman"/>
          <w:szCs w:val="24"/>
        </w:rPr>
        <w:t>a</w:t>
      </w:r>
      <w:r w:rsidRPr="00796A79">
        <w:rPr>
          <w:rFonts w:ascii="Times New Roman" w:hAnsi="Times New Roman"/>
          <w:szCs w:val="24"/>
        </w:rPr>
        <w:t>nd ICF International 2014. </w:t>
      </w:r>
      <w:r w:rsidRPr="00796A79">
        <w:rPr>
          <w:rFonts w:ascii="Times New Roman" w:hAnsi="Times New Roman"/>
          <w:i/>
          <w:iCs/>
          <w:szCs w:val="24"/>
        </w:rPr>
        <w:t xml:space="preserve">Nigeria Demographic </w:t>
      </w:r>
      <w:r>
        <w:rPr>
          <w:rFonts w:ascii="Times New Roman" w:hAnsi="Times New Roman"/>
          <w:i/>
          <w:iCs/>
          <w:szCs w:val="24"/>
        </w:rPr>
        <w:t>a</w:t>
      </w:r>
      <w:r w:rsidRPr="00796A79">
        <w:rPr>
          <w:rFonts w:ascii="Times New Roman" w:hAnsi="Times New Roman"/>
          <w:i/>
          <w:iCs/>
          <w:szCs w:val="24"/>
        </w:rPr>
        <w:t>nd Health Survey 2013. </w:t>
      </w:r>
      <w:r w:rsidRPr="00796A79">
        <w:rPr>
          <w:rFonts w:ascii="Times New Roman" w:hAnsi="Times New Roman"/>
          <w:szCs w:val="24"/>
        </w:rPr>
        <w:t>Abuja</w:t>
      </w:r>
      <w:r>
        <w:rPr>
          <w:rFonts w:ascii="Times New Roman" w:hAnsi="Times New Roman"/>
          <w:szCs w:val="24"/>
        </w:rPr>
        <w:t>:</w:t>
      </w:r>
      <w:r w:rsidRPr="00796A79">
        <w:rPr>
          <w:rFonts w:ascii="Times New Roman" w:hAnsi="Times New Roman"/>
          <w:szCs w:val="24"/>
        </w:rPr>
        <w:t xml:space="preserve"> </w:t>
      </w:r>
      <w:r w:rsidRPr="00AA6CC8">
        <w:rPr>
          <w:rFonts w:ascii="Times New Roman" w:hAnsi="Times New Roman"/>
          <w:szCs w:val="24"/>
        </w:rPr>
        <w:t>National Population Commission (NPC)</w:t>
      </w:r>
      <w:r w:rsidRPr="00796A79">
        <w:rPr>
          <w:rFonts w:ascii="Times New Roman" w:hAnsi="Times New Roman"/>
          <w:szCs w:val="24"/>
        </w:rPr>
        <w:t>.</w:t>
      </w:r>
    </w:p>
    <w:p w14:paraId="5E538089" w14:textId="77777777" w:rsidR="00503349" w:rsidRDefault="00503349" w:rsidP="00503349">
      <w:pPr>
        <w:jc w:val="both"/>
        <w:rPr>
          <w:rFonts w:ascii="Times New Roman" w:hAnsi="Times New Roman"/>
          <w:szCs w:val="24"/>
        </w:rPr>
      </w:pPr>
      <w:r w:rsidRPr="00796A79">
        <w:rPr>
          <w:rFonts w:ascii="Times New Roman" w:hAnsi="Times New Roman"/>
          <w:szCs w:val="24"/>
        </w:rPr>
        <w:t>National Population Commission (NPC) [Nigeria] and ICF</w:t>
      </w:r>
      <w:r>
        <w:rPr>
          <w:rFonts w:ascii="Times New Roman" w:hAnsi="Times New Roman"/>
          <w:szCs w:val="24"/>
        </w:rPr>
        <w:t>,</w:t>
      </w:r>
      <w:r w:rsidRPr="00796A79">
        <w:rPr>
          <w:rFonts w:ascii="Times New Roman" w:hAnsi="Times New Roman"/>
          <w:szCs w:val="24"/>
        </w:rPr>
        <w:t xml:space="preserve"> 2019. </w:t>
      </w:r>
      <w:r w:rsidRPr="00AE2E0E">
        <w:rPr>
          <w:rFonts w:ascii="Times New Roman" w:hAnsi="Times New Roman"/>
          <w:i/>
          <w:iCs/>
          <w:szCs w:val="24"/>
        </w:rPr>
        <w:t>Nigeria Demographic and Health Survey 2018</w:t>
      </w:r>
      <w:r w:rsidRPr="00796A79">
        <w:rPr>
          <w:rFonts w:ascii="Times New Roman" w:hAnsi="Times New Roman"/>
          <w:szCs w:val="24"/>
        </w:rPr>
        <w:t>. Abuja, Nigeria, and Rockville, Maryland, USA: NPC and ICF.</w:t>
      </w:r>
    </w:p>
    <w:p w14:paraId="4476FC35" w14:textId="77777777" w:rsidR="00503349" w:rsidRDefault="00503349" w:rsidP="00503349">
      <w:pPr>
        <w:jc w:val="both"/>
        <w:rPr>
          <w:rFonts w:ascii="Times New Roman" w:hAnsi="Times New Roman"/>
          <w:szCs w:val="24"/>
        </w:rPr>
      </w:pPr>
      <w:r w:rsidRPr="00AA6CC8">
        <w:rPr>
          <w:rFonts w:ascii="Times New Roman" w:hAnsi="Times New Roman"/>
          <w:szCs w:val="24"/>
        </w:rPr>
        <w:t>National Population Commission and ICF Macro</w:t>
      </w:r>
      <w:r>
        <w:rPr>
          <w:rFonts w:ascii="Times New Roman" w:hAnsi="Times New Roman"/>
          <w:szCs w:val="24"/>
        </w:rPr>
        <w:t>,</w:t>
      </w:r>
      <w:r w:rsidRPr="00AA6CC8">
        <w:rPr>
          <w:rFonts w:ascii="Times New Roman" w:hAnsi="Times New Roman"/>
          <w:szCs w:val="24"/>
        </w:rPr>
        <w:t xml:space="preserve"> 2009. </w:t>
      </w:r>
      <w:r w:rsidRPr="00796A79">
        <w:rPr>
          <w:rFonts w:ascii="Times New Roman" w:hAnsi="Times New Roman"/>
          <w:i/>
          <w:iCs/>
          <w:szCs w:val="24"/>
        </w:rPr>
        <w:t>Nigeria and ICF Macro, Nigeria Demographic and Health Survey 2008</w:t>
      </w:r>
      <w:r>
        <w:rPr>
          <w:rFonts w:ascii="Times New Roman" w:hAnsi="Times New Roman"/>
          <w:szCs w:val="24"/>
        </w:rPr>
        <w:t xml:space="preserve">. </w:t>
      </w:r>
      <w:r w:rsidRPr="00AA6CC8">
        <w:rPr>
          <w:rFonts w:ascii="Times New Roman" w:hAnsi="Times New Roman"/>
          <w:szCs w:val="24"/>
        </w:rPr>
        <w:t>Abuja:</w:t>
      </w:r>
      <w:r>
        <w:rPr>
          <w:rFonts w:ascii="Times New Roman" w:hAnsi="Times New Roman"/>
          <w:szCs w:val="24"/>
        </w:rPr>
        <w:t xml:space="preserve"> </w:t>
      </w:r>
      <w:r w:rsidRPr="00AA6CC8">
        <w:rPr>
          <w:rFonts w:ascii="Times New Roman" w:hAnsi="Times New Roman"/>
          <w:szCs w:val="24"/>
        </w:rPr>
        <w:t>National Population Commission (NPC).</w:t>
      </w:r>
    </w:p>
    <w:p w14:paraId="23B6616F"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Ndaguba, E.A, Nzewi, O.I., Ijeoma, E.C., Sambumbu, M. and Sibanda, M.M., 2018. Using Taylorism to make work easier: a work procedure perspective. </w:t>
      </w:r>
      <w:r w:rsidRPr="00945DA4">
        <w:rPr>
          <w:rFonts w:ascii="Times New Roman" w:hAnsi="Times New Roman"/>
          <w:i/>
          <w:szCs w:val="24"/>
          <w:bdr w:val="none" w:sz="0" w:space="0" w:color="auto" w:frame="1"/>
        </w:rPr>
        <w:t>South African Journal of Economic and Management Sciences</w:t>
      </w:r>
      <w:r w:rsidRPr="00945DA4">
        <w:rPr>
          <w:rFonts w:ascii="Times New Roman" w:hAnsi="Times New Roman"/>
          <w:szCs w:val="24"/>
          <w:bdr w:val="none" w:sz="0" w:space="0" w:color="auto" w:frame="1"/>
        </w:rPr>
        <w:t>, [e-journal] 21(1). Available at: &lt;http://www.scielo.org.za/pdf/sajems/v21n1/61.pdf&gt; [Accessed 6 February 2019]</w:t>
      </w:r>
    </w:p>
    <w:p w14:paraId="26C4B38C"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Neary, S.R. and Mahoney, D.F., 2005. Dementia caregiving: The experiences of Hispanic/Latino caregivers. </w:t>
      </w:r>
      <w:r w:rsidRPr="002B3011">
        <w:rPr>
          <w:rFonts w:ascii="Times New Roman" w:hAnsi="Times New Roman"/>
          <w:i/>
          <w:iCs/>
          <w:szCs w:val="24"/>
        </w:rPr>
        <w:t xml:space="preserve">Journal of Transcultural Nursing, </w:t>
      </w:r>
      <w:r w:rsidRPr="000C2CD1">
        <w:rPr>
          <w:rFonts w:ascii="Times New Roman" w:hAnsi="Times New Roman"/>
          <w:szCs w:val="24"/>
        </w:rPr>
        <w:t>16</w:t>
      </w:r>
      <w:r w:rsidRPr="002B3011">
        <w:rPr>
          <w:rFonts w:ascii="Times New Roman" w:hAnsi="Times New Roman"/>
          <w:szCs w:val="24"/>
        </w:rPr>
        <w:t>(2), pp. 163-170.</w:t>
      </w:r>
    </w:p>
    <w:p w14:paraId="6328BBA1"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Nelson, H., 2000. Injustice and conflict in nursing homes: Toward advocacy and exchange. </w:t>
      </w:r>
      <w:r w:rsidRPr="00945DA4">
        <w:rPr>
          <w:rFonts w:ascii="Times New Roman" w:hAnsi="Times New Roman"/>
          <w:i/>
          <w:szCs w:val="24"/>
          <w:bdr w:val="none" w:sz="0" w:space="0" w:color="auto" w:frame="1"/>
        </w:rPr>
        <w:t>Journal of Aging Studies</w:t>
      </w:r>
      <w:r w:rsidRPr="00945DA4">
        <w:rPr>
          <w:rFonts w:ascii="Times New Roman" w:hAnsi="Times New Roman"/>
          <w:szCs w:val="24"/>
          <w:bdr w:val="none" w:sz="0" w:space="0" w:color="auto" w:frame="1"/>
        </w:rPr>
        <w:t>, 14, pp. 39-61</w:t>
      </w:r>
    </w:p>
    <w:p w14:paraId="2CB2EB0D"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Netto, N.R, Goh, J.Y.N. and Yap, P.L.K., 2009. Growing and gaining through caring for a loved one with dementia. </w:t>
      </w:r>
      <w:r w:rsidRPr="002B3011">
        <w:rPr>
          <w:rFonts w:ascii="Times New Roman" w:hAnsi="Times New Roman"/>
          <w:i/>
          <w:szCs w:val="24"/>
        </w:rPr>
        <w:t>Dementia</w:t>
      </w:r>
      <w:r w:rsidRPr="002B3011">
        <w:rPr>
          <w:rFonts w:ascii="Times New Roman" w:hAnsi="Times New Roman"/>
          <w:szCs w:val="24"/>
        </w:rPr>
        <w:t>, 8(2), pp. 245-261.</w:t>
      </w:r>
    </w:p>
    <w:p w14:paraId="66F02A36"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Newing, H., 2011. </w:t>
      </w:r>
      <w:r w:rsidRPr="004E3E8F">
        <w:rPr>
          <w:rFonts w:ascii="Times New Roman" w:hAnsi="Times New Roman"/>
          <w:i/>
          <w:iCs/>
          <w:szCs w:val="24"/>
        </w:rPr>
        <w:t>Conducting Research in Conservation: Social Science Methods and Practice</w:t>
      </w:r>
      <w:r w:rsidRPr="004E3E8F">
        <w:rPr>
          <w:rFonts w:ascii="Times New Roman" w:hAnsi="Times New Roman"/>
          <w:szCs w:val="24"/>
        </w:rPr>
        <w:t>. New York: Routledge.</w:t>
      </w:r>
    </w:p>
    <w:p w14:paraId="26904750" w14:textId="77777777" w:rsidR="00503349" w:rsidRPr="000A56C6" w:rsidRDefault="00503349" w:rsidP="00503349">
      <w:pPr>
        <w:rPr>
          <w:rFonts w:ascii="Times New Roman" w:hAnsi="Times New Roman"/>
          <w:szCs w:val="24"/>
        </w:rPr>
      </w:pPr>
      <w:r w:rsidRPr="000A56C6">
        <w:rPr>
          <w:rFonts w:ascii="Times New Roman" w:hAnsi="Times New Roman"/>
          <w:szCs w:val="24"/>
        </w:rPr>
        <w:t>NHS England, 2020. NHS Workforce Race Equality Standard (WRES) - 2019 Data Analysis Report for NHS Trusts. Available at: &lt;https://www.england.nhs.uk/wp-content/uploads/2020/01/wres-2019-data-report.pdf&gt;[Accessed 15 September 2020]</w:t>
      </w:r>
    </w:p>
    <w:p w14:paraId="080C9EE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Nichols, P., Horner, B. and Fyfe, K., 2015. Understanding and Improving communication processes in an increasingly multicultural aged care workforce. </w:t>
      </w:r>
      <w:r w:rsidRPr="00DA2952">
        <w:rPr>
          <w:rFonts w:ascii="Times New Roman" w:hAnsi="Times New Roman"/>
          <w:i/>
          <w:iCs/>
          <w:szCs w:val="24"/>
        </w:rPr>
        <w:t>Journal of Aging Studies</w:t>
      </w:r>
      <w:r w:rsidRPr="00DA2952">
        <w:rPr>
          <w:rFonts w:ascii="Times New Roman" w:hAnsi="Times New Roman"/>
          <w:szCs w:val="24"/>
        </w:rPr>
        <w:t>, 32, pp. 23-31.</w:t>
      </w:r>
    </w:p>
    <w:p w14:paraId="6738F1C3" w14:textId="77777777" w:rsidR="00503349" w:rsidRDefault="00503349" w:rsidP="00503349">
      <w:pPr>
        <w:jc w:val="both"/>
        <w:rPr>
          <w:rFonts w:ascii="Times New Roman" w:hAnsi="Times New Roman"/>
          <w:szCs w:val="24"/>
        </w:rPr>
      </w:pPr>
      <w:r>
        <w:rPr>
          <w:rFonts w:ascii="Times New Roman" w:hAnsi="Times New Roman"/>
          <w:szCs w:val="24"/>
        </w:rPr>
        <w:t>Niimi, Y., 2017. Does providing informal elderly care hasten retirement? Evidence from Japan. ADBI Working Paper 730. Tokyo: Asian Development Bank Institute. Available at: &lt;</w:t>
      </w:r>
      <w:r>
        <w:t xml:space="preserve"> </w:t>
      </w:r>
      <w:r>
        <w:rPr>
          <w:rFonts w:ascii="Times New Roman" w:hAnsi="Times New Roman"/>
          <w:szCs w:val="24"/>
        </w:rPr>
        <w:t>https://www.adb.org/sites/default/files/publication/297171/adbi-wp730.pdf&gt;[Accessed 24 January 2020]</w:t>
      </w:r>
    </w:p>
    <w:p w14:paraId="0E9FAA9F"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Nishi, A., Tamiya, N., Kashiwagi, M., Takahashi, H., Sato, M. and Kawachi, I., 2010. Mothers and daughters-in-law: a prospective study of informal care-giving arrangements and survival in Japan. </w:t>
      </w:r>
      <w:r w:rsidRPr="00F17EFD">
        <w:rPr>
          <w:rFonts w:ascii="Times New Roman" w:hAnsi="Times New Roman"/>
          <w:i/>
          <w:iCs/>
          <w:szCs w:val="24"/>
        </w:rPr>
        <w:t>BMC Geriatrics</w:t>
      </w:r>
      <w:r w:rsidRPr="00CF1AE8">
        <w:rPr>
          <w:rFonts w:ascii="Times New Roman" w:hAnsi="Times New Roman"/>
          <w:szCs w:val="24"/>
        </w:rPr>
        <w:t>, 10(1)</w:t>
      </w:r>
      <w:r>
        <w:rPr>
          <w:rFonts w:ascii="Times New Roman" w:hAnsi="Times New Roman"/>
          <w:szCs w:val="24"/>
        </w:rPr>
        <w:t>.</w:t>
      </w:r>
    </w:p>
    <w:p w14:paraId="1E615501" w14:textId="77777777" w:rsidR="00503349" w:rsidRDefault="00503349" w:rsidP="00503349">
      <w:pPr>
        <w:jc w:val="both"/>
        <w:rPr>
          <w:rFonts w:ascii="Times New Roman" w:hAnsi="Times New Roman"/>
          <w:szCs w:val="24"/>
        </w:rPr>
      </w:pPr>
      <w:r w:rsidRPr="00433A37">
        <w:rPr>
          <w:rFonts w:ascii="Times New Roman" w:hAnsi="Times New Roman"/>
          <w:szCs w:val="24"/>
        </w:rPr>
        <w:t xml:space="preserve">Nititham, D.S., 2017. Migration as Cultural Capital: The ongoing dependence on overseas Filipino workers. </w:t>
      </w:r>
      <w:r w:rsidRPr="00433A37">
        <w:rPr>
          <w:rFonts w:ascii="Times New Roman" w:hAnsi="Times New Roman"/>
          <w:i/>
          <w:szCs w:val="24"/>
        </w:rPr>
        <w:t>Malaysian Journal of Economic Studies</w:t>
      </w:r>
      <w:r w:rsidRPr="00433A37">
        <w:rPr>
          <w:rFonts w:ascii="Times New Roman" w:hAnsi="Times New Roman"/>
          <w:szCs w:val="24"/>
        </w:rPr>
        <w:t>, 48(2), pp. 185-201.</w:t>
      </w:r>
    </w:p>
    <w:p w14:paraId="1706C688"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Niu, H., Álvarez-Álvarez, I., Guillén-Grima, F. and Aguinaga-Ontoso, I., 2017. Prevalence and incidence of Alzheimer’s disease in Europe: A meta-analysis. </w:t>
      </w:r>
      <w:r w:rsidRPr="000A56C6">
        <w:rPr>
          <w:rFonts w:ascii="Times New Roman" w:hAnsi="Times New Roman"/>
          <w:i/>
          <w:iCs/>
          <w:szCs w:val="24"/>
        </w:rPr>
        <w:t>Neurologia</w:t>
      </w:r>
      <w:r w:rsidRPr="000A56C6">
        <w:rPr>
          <w:rFonts w:ascii="Times New Roman" w:hAnsi="Times New Roman"/>
          <w:szCs w:val="24"/>
        </w:rPr>
        <w:t>, 32, pp. 523-532.</w:t>
      </w:r>
    </w:p>
    <w:p w14:paraId="79FB079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Nkongho, N.O. and Archbold, P.G., 1995. Reasons for caregiving in African American families. </w:t>
      </w:r>
      <w:r w:rsidRPr="002B3011">
        <w:rPr>
          <w:rFonts w:ascii="Times New Roman" w:hAnsi="Times New Roman"/>
          <w:i/>
          <w:szCs w:val="24"/>
        </w:rPr>
        <w:t>US National Library of Medicine</w:t>
      </w:r>
      <w:r w:rsidRPr="002B3011">
        <w:rPr>
          <w:rFonts w:ascii="Times New Roman" w:hAnsi="Times New Roman"/>
          <w:szCs w:val="24"/>
        </w:rPr>
        <w:t>, 2(4), 116-123.</w:t>
      </w:r>
    </w:p>
    <w:p w14:paraId="2E5F81A1"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O’Brien, T., 2007. Overseas nurses in the National Health Service: a process of deskilling. </w:t>
      </w:r>
      <w:r w:rsidRPr="00CF1AE8">
        <w:rPr>
          <w:rFonts w:ascii="Times New Roman" w:hAnsi="Times New Roman"/>
          <w:i/>
          <w:szCs w:val="24"/>
        </w:rPr>
        <w:t>Journal of Clinical Nursing</w:t>
      </w:r>
      <w:r w:rsidRPr="00CF1AE8">
        <w:rPr>
          <w:rFonts w:ascii="Times New Roman" w:hAnsi="Times New Roman"/>
          <w:szCs w:val="24"/>
        </w:rPr>
        <w:t>, 16, pp. 2229-2236.</w:t>
      </w:r>
    </w:p>
    <w:p w14:paraId="20FCB982"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Ochayi, B. and Thacher, T.D., 2006. Risk factors for dementia in central Nigeria. </w:t>
      </w:r>
      <w:r w:rsidRPr="00DA2952">
        <w:rPr>
          <w:rFonts w:ascii="Times New Roman" w:hAnsi="Times New Roman"/>
          <w:i/>
          <w:iCs/>
          <w:szCs w:val="24"/>
        </w:rPr>
        <w:t>Aging &amp; Mental Health</w:t>
      </w:r>
      <w:r w:rsidRPr="00DA2952">
        <w:rPr>
          <w:rFonts w:ascii="Times New Roman" w:hAnsi="Times New Roman"/>
          <w:szCs w:val="24"/>
        </w:rPr>
        <w:t>, 10(6), pp. 616-620. </w:t>
      </w:r>
    </w:p>
    <w:p w14:paraId="1A6576A9" w14:textId="77777777" w:rsidR="00503349" w:rsidRDefault="00503349" w:rsidP="00503349">
      <w:pPr>
        <w:jc w:val="both"/>
        <w:rPr>
          <w:rFonts w:ascii="Times New Roman" w:hAnsi="Times New Roman"/>
          <w:szCs w:val="24"/>
        </w:rPr>
      </w:pPr>
      <w:r w:rsidRPr="00B1168C">
        <w:rPr>
          <w:rFonts w:ascii="Times New Roman" w:hAnsi="Times New Roman"/>
          <w:szCs w:val="24"/>
        </w:rPr>
        <w:t>Odoziobodo</w:t>
      </w:r>
      <w:r>
        <w:rPr>
          <w:rFonts w:ascii="Times New Roman" w:hAnsi="Times New Roman"/>
          <w:szCs w:val="24"/>
        </w:rPr>
        <w:t>,</w:t>
      </w:r>
      <w:r w:rsidRPr="00B1168C">
        <w:rPr>
          <w:rFonts w:ascii="Times New Roman" w:hAnsi="Times New Roman"/>
          <w:szCs w:val="24"/>
        </w:rPr>
        <w:t xml:space="preserve"> S</w:t>
      </w:r>
      <w:r>
        <w:rPr>
          <w:rFonts w:ascii="Times New Roman" w:hAnsi="Times New Roman"/>
          <w:szCs w:val="24"/>
        </w:rPr>
        <w:t>.</w:t>
      </w:r>
      <w:r w:rsidRPr="00B1168C">
        <w:rPr>
          <w:rFonts w:ascii="Times New Roman" w:hAnsi="Times New Roman"/>
          <w:szCs w:val="24"/>
        </w:rPr>
        <w:t>I</w:t>
      </w:r>
      <w:r>
        <w:rPr>
          <w:rFonts w:ascii="Times New Roman" w:hAnsi="Times New Roman"/>
          <w:szCs w:val="24"/>
        </w:rPr>
        <w:t>.,</w:t>
      </w:r>
      <w:r w:rsidRPr="00B1168C">
        <w:rPr>
          <w:rFonts w:ascii="Times New Roman" w:hAnsi="Times New Roman"/>
          <w:szCs w:val="24"/>
        </w:rPr>
        <w:t xml:space="preserve"> 2015. Integrity and conflict resolution in Nigeria: An analysis of trade disputes between the Federal Government of Nigeria and the academic staff union of universities, ASUU. </w:t>
      </w:r>
      <w:r w:rsidRPr="00B1168C">
        <w:rPr>
          <w:rFonts w:ascii="Times New Roman" w:hAnsi="Times New Roman"/>
          <w:i/>
          <w:iCs/>
          <w:szCs w:val="24"/>
        </w:rPr>
        <w:t>European Scientific Journal</w:t>
      </w:r>
      <w:r w:rsidRPr="00B1168C">
        <w:rPr>
          <w:rFonts w:ascii="Times New Roman" w:hAnsi="Times New Roman"/>
          <w:szCs w:val="24"/>
        </w:rPr>
        <w:t xml:space="preserve">, </w:t>
      </w:r>
      <w:r w:rsidRPr="00F17EFD">
        <w:rPr>
          <w:rFonts w:ascii="Times New Roman" w:hAnsi="Times New Roman"/>
          <w:szCs w:val="24"/>
        </w:rPr>
        <w:t>11</w:t>
      </w:r>
      <w:r w:rsidRPr="00B1168C">
        <w:rPr>
          <w:rFonts w:ascii="Times New Roman" w:hAnsi="Times New Roman"/>
          <w:szCs w:val="24"/>
        </w:rPr>
        <w:t>(22)</w:t>
      </w:r>
      <w:r>
        <w:rPr>
          <w:rFonts w:ascii="Times New Roman" w:hAnsi="Times New Roman"/>
          <w:szCs w:val="24"/>
        </w:rPr>
        <w:t>, pp. 294-314.</w:t>
      </w:r>
    </w:p>
    <w:p w14:paraId="41860158" w14:textId="77777777" w:rsidR="00503349" w:rsidRDefault="00503349" w:rsidP="00503349">
      <w:pPr>
        <w:jc w:val="both"/>
        <w:rPr>
          <w:rFonts w:ascii="Times New Roman" w:hAnsi="Times New Roman"/>
          <w:szCs w:val="24"/>
        </w:rPr>
      </w:pPr>
      <w:r>
        <w:rPr>
          <w:rFonts w:ascii="Times New Roman" w:hAnsi="Times New Roman"/>
          <w:szCs w:val="24"/>
        </w:rPr>
        <w:t xml:space="preserve">Office for National Statistics, 2016. </w:t>
      </w:r>
      <w:r w:rsidRPr="002B46B4">
        <w:rPr>
          <w:rFonts w:ascii="Times New Roman" w:hAnsi="Times New Roman"/>
          <w:i/>
          <w:iCs/>
          <w:szCs w:val="24"/>
        </w:rPr>
        <w:t>International immigration and the labour market, UK: 2016</w:t>
      </w:r>
      <w:r>
        <w:rPr>
          <w:rFonts w:ascii="Times New Roman" w:hAnsi="Times New Roman"/>
          <w:szCs w:val="24"/>
        </w:rPr>
        <w:t>. London: Office for National Statistics.</w:t>
      </w:r>
    </w:p>
    <w:p w14:paraId="4CEE5F8A" w14:textId="77777777" w:rsidR="00503349" w:rsidRDefault="00503349" w:rsidP="00503349">
      <w:pPr>
        <w:spacing w:before="240" w:after="0"/>
        <w:rPr>
          <w:rFonts w:ascii="Times New Roman" w:hAnsi="Times New Roman"/>
          <w:szCs w:val="24"/>
        </w:rPr>
      </w:pPr>
      <w:r>
        <w:rPr>
          <w:rFonts w:ascii="Times New Roman" w:hAnsi="Times New Roman"/>
          <w:szCs w:val="24"/>
        </w:rPr>
        <w:lastRenderedPageBreak/>
        <w:t xml:space="preserve">Office for National Statistics, ONS, 2017. </w:t>
      </w:r>
      <w:r w:rsidRPr="002B46B4">
        <w:rPr>
          <w:rFonts w:ascii="Times New Roman" w:hAnsi="Times New Roman"/>
          <w:i/>
          <w:iCs/>
          <w:szCs w:val="24"/>
        </w:rPr>
        <w:t>Overview of the UK population: July 2017</w:t>
      </w:r>
      <w:r>
        <w:rPr>
          <w:rFonts w:ascii="Times New Roman" w:hAnsi="Times New Roman"/>
          <w:szCs w:val="24"/>
        </w:rPr>
        <w:t>. London: Office for National Statistics. Available at: &lt;https://www.ons.gov.uk/peoplepopulationandcommunity/populationandmigration/populationestimates/articles/overviewoftheukpopulation/july2017&gt;[Accessed 12 April 2019]</w:t>
      </w:r>
    </w:p>
    <w:p w14:paraId="6FD4116A" w14:textId="77777777" w:rsidR="00503349" w:rsidRPr="003472D7" w:rsidRDefault="00503349" w:rsidP="00503349">
      <w:pPr>
        <w:spacing w:before="240" w:after="0"/>
        <w:rPr>
          <w:rFonts w:ascii="Times New Roman" w:hAnsi="Times New Roman"/>
          <w:szCs w:val="24"/>
        </w:rPr>
      </w:pPr>
      <w:r>
        <w:rPr>
          <w:rFonts w:ascii="Times New Roman" w:hAnsi="Times New Roman"/>
          <w:szCs w:val="24"/>
        </w:rPr>
        <w:t xml:space="preserve">Office for National Statistics, ONS, 2018. </w:t>
      </w:r>
      <w:r w:rsidRPr="002B46B4">
        <w:rPr>
          <w:rFonts w:ascii="Times New Roman" w:hAnsi="Times New Roman"/>
          <w:i/>
          <w:iCs/>
          <w:szCs w:val="24"/>
        </w:rPr>
        <w:t>Overview of the UK population: November 2018</w:t>
      </w:r>
      <w:r>
        <w:rPr>
          <w:rFonts w:ascii="Times New Roman" w:hAnsi="Times New Roman"/>
          <w:szCs w:val="24"/>
        </w:rPr>
        <w:t>. London: Office for National Statistics. Available at: &lt;https://www.ons.gov.uk/peoplepopulationandcommunity/populationandmigration/populationestimates/articles/overviewoftheukpopulation/latest&gt;[Accessed 12 April 2019]</w:t>
      </w:r>
    </w:p>
    <w:p w14:paraId="35ACF902" w14:textId="77777777" w:rsidR="00503349" w:rsidRPr="00DA2952" w:rsidRDefault="00503349" w:rsidP="00503349">
      <w:pPr>
        <w:spacing w:before="240" w:after="0"/>
        <w:rPr>
          <w:rFonts w:ascii="Times New Roman" w:hAnsi="Times New Roman"/>
          <w:szCs w:val="24"/>
        </w:rPr>
      </w:pPr>
      <w:r w:rsidRPr="00DA2952">
        <w:rPr>
          <w:rFonts w:ascii="Times New Roman" w:hAnsi="Times New Roman"/>
          <w:szCs w:val="24"/>
        </w:rPr>
        <w:t xml:space="preserve">Ogunniyi, A., Baiyewu, O., Gureje, O., Hall, K.S., Unverzagt, F., Siu, S.H., Gao, S., Farlow, M., Oluwole, O.S.A., Komolafe, O. and Hendrie, H.C., 2000. Epidemiology of dementia in Nigeria: results from the Indianapolis–Ibadan study. </w:t>
      </w:r>
      <w:r w:rsidRPr="00DA2952">
        <w:rPr>
          <w:rFonts w:ascii="Times New Roman" w:hAnsi="Times New Roman"/>
          <w:i/>
          <w:iCs/>
          <w:szCs w:val="24"/>
        </w:rPr>
        <w:t>European Journal of Neurology</w:t>
      </w:r>
      <w:r w:rsidRPr="00DA2952">
        <w:rPr>
          <w:rFonts w:ascii="Times New Roman" w:hAnsi="Times New Roman"/>
          <w:szCs w:val="24"/>
        </w:rPr>
        <w:t>, 7, pp. 485-490.</w:t>
      </w:r>
    </w:p>
    <w:p w14:paraId="47D991FA"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Oisín, T., 2007. Process tracing and elite interviewing: a case for non-probability sampling. </w:t>
      </w:r>
      <w:r w:rsidRPr="004E3E8F">
        <w:rPr>
          <w:rFonts w:ascii="Times New Roman" w:hAnsi="Times New Roman"/>
          <w:i/>
          <w:szCs w:val="24"/>
        </w:rPr>
        <w:t>Political Science &amp; Politics</w:t>
      </w:r>
      <w:r w:rsidRPr="004E3E8F">
        <w:rPr>
          <w:rFonts w:ascii="Times New Roman" w:hAnsi="Times New Roman"/>
          <w:szCs w:val="24"/>
        </w:rPr>
        <w:t>, pp. 765-772.</w:t>
      </w:r>
    </w:p>
    <w:p w14:paraId="00C1EBE8" w14:textId="77777777" w:rsidR="00503349" w:rsidRDefault="00503349" w:rsidP="00503349">
      <w:pPr>
        <w:jc w:val="both"/>
        <w:rPr>
          <w:rFonts w:ascii="Times New Roman" w:hAnsi="Times New Roman"/>
          <w:iCs/>
          <w:szCs w:val="24"/>
        </w:rPr>
      </w:pPr>
      <w:r w:rsidRPr="00602F7D">
        <w:rPr>
          <w:rFonts w:ascii="Times New Roman" w:hAnsi="Times New Roman"/>
          <w:szCs w:val="24"/>
        </w:rPr>
        <w:t xml:space="preserve">Okoye, U.O. and Asa, S.S., 2011. Caregiving and stress: experience of people taking care of elderly relations in South-eastern Nigeria. </w:t>
      </w:r>
      <w:r w:rsidRPr="00602F7D">
        <w:rPr>
          <w:rFonts w:ascii="Times New Roman" w:hAnsi="Times New Roman"/>
          <w:i/>
          <w:iCs/>
          <w:szCs w:val="24"/>
        </w:rPr>
        <w:t>Arts and Social Science Journal</w:t>
      </w:r>
      <w:r w:rsidRPr="00602F7D">
        <w:rPr>
          <w:rFonts w:ascii="Times New Roman" w:hAnsi="Times New Roman"/>
          <w:szCs w:val="24"/>
        </w:rPr>
        <w:t>. Available at: &lt;https://link.gale.com/apps/doc/A335071011/AONE?u=anglia_itw&amp;sid=AONE&amp;xid=b7933e1a&gt;[Accessed 6 Aug 2020].</w:t>
      </w:r>
    </w:p>
    <w:p w14:paraId="2A83CCB8" w14:textId="77777777" w:rsidR="00503349" w:rsidRPr="00DA2952" w:rsidRDefault="00503349" w:rsidP="00503349">
      <w:pPr>
        <w:jc w:val="both"/>
        <w:rPr>
          <w:rFonts w:ascii="Times New Roman" w:hAnsi="Times New Roman"/>
          <w:szCs w:val="24"/>
        </w:rPr>
      </w:pPr>
      <w:bookmarkStart w:id="313" w:name="_Hlk52430564"/>
      <w:r w:rsidRPr="00DA2952">
        <w:rPr>
          <w:rFonts w:ascii="Times New Roman" w:hAnsi="Times New Roman"/>
          <w:szCs w:val="24"/>
        </w:rPr>
        <w:t>Olagundoye, O., Akhuemokhan, V. and Alugo, M., 2017</w:t>
      </w:r>
      <w:bookmarkEnd w:id="313"/>
      <w:r w:rsidRPr="00DA2952">
        <w:rPr>
          <w:rFonts w:ascii="Times New Roman" w:hAnsi="Times New Roman"/>
          <w:szCs w:val="24"/>
        </w:rPr>
        <w:t>. Towards caring for caregivers: assessing the burden of care and experience of associative stigma among caregivers of patients with chronic mental illnesses at a mental health care facility in Lagos Metropolis, Nigeria. </w:t>
      </w:r>
      <w:r w:rsidRPr="00DA2952">
        <w:rPr>
          <w:rFonts w:ascii="Times New Roman" w:hAnsi="Times New Roman"/>
          <w:i/>
          <w:iCs/>
          <w:szCs w:val="24"/>
        </w:rPr>
        <w:t>Family Medicine &amp; Primary Care Review</w:t>
      </w:r>
      <w:r w:rsidRPr="00DA2952">
        <w:rPr>
          <w:rFonts w:ascii="Times New Roman" w:hAnsi="Times New Roman"/>
          <w:szCs w:val="24"/>
        </w:rPr>
        <w:t>, (2), pp. 149-155.</w:t>
      </w:r>
    </w:p>
    <w:p w14:paraId="1D51737B"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Olanipekun, O.V., 2017. Omoluabi: re-thinking the concept of virtue in Yoruba culture and moral system. </w:t>
      </w:r>
      <w:r w:rsidRPr="00DA2952">
        <w:rPr>
          <w:rFonts w:ascii="Times New Roman" w:hAnsi="Times New Roman"/>
          <w:i/>
          <w:iCs/>
          <w:szCs w:val="24"/>
        </w:rPr>
        <w:t>Journal of Pan African Studies</w:t>
      </w:r>
      <w:r w:rsidRPr="00DA2952">
        <w:rPr>
          <w:rFonts w:ascii="Times New Roman" w:hAnsi="Times New Roman"/>
          <w:szCs w:val="24"/>
        </w:rPr>
        <w:t>, 10(9), pp. 217-231.</w:t>
      </w:r>
    </w:p>
    <w:p w14:paraId="58C8035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Olaniyi, O.O. and Mbuyi, N.N., 2014. Epidemiology of dementia among the elderly in Sub-Saharan Africa. </w:t>
      </w:r>
      <w:r w:rsidRPr="00DA2952">
        <w:rPr>
          <w:rFonts w:ascii="Times New Roman" w:hAnsi="Times New Roman"/>
          <w:i/>
          <w:iCs/>
          <w:szCs w:val="24"/>
        </w:rPr>
        <w:t>International Journal of Alzheimer's Disease</w:t>
      </w:r>
      <w:r w:rsidRPr="00DA2952">
        <w:rPr>
          <w:rFonts w:ascii="Times New Roman" w:hAnsi="Times New Roman"/>
          <w:szCs w:val="24"/>
        </w:rPr>
        <w:t>, 10.1155/2014/195750, (1-15).</w:t>
      </w:r>
    </w:p>
    <w:p w14:paraId="0C353E5F" w14:textId="77777777" w:rsidR="00503349" w:rsidRPr="00945DA4" w:rsidRDefault="00503349" w:rsidP="00503349">
      <w:pPr>
        <w:jc w:val="both"/>
        <w:rPr>
          <w:rFonts w:ascii="Times New Roman" w:hAnsi="Times New Roman"/>
          <w:szCs w:val="24"/>
        </w:rPr>
      </w:pPr>
      <w:r w:rsidRPr="00945DA4">
        <w:rPr>
          <w:rFonts w:ascii="Times New Roman" w:hAnsi="Times New Roman"/>
          <w:szCs w:val="24"/>
        </w:rPr>
        <w:t>O'Neill, C., 2017. Taylorism, the European science of work, and the quantified self at work. </w:t>
      </w:r>
      <w:r w:rsidRPr="00945DA4">
        <w:rPr>
          <w:rFonts w:ascii="Times New Roman" w:hAnsi="Times New Roman"/>
          <w:i/>
          <w:iCs/>
          <w:szCs w:val="24"/>
        </w:rPr>
        <w:t>Science Technology &amp; Human Values</w:t>
      </w:r>
      <w:r w:rsidRPr="00945DA4">
        <w:rPr>
          <w:rFonts w:ascii="Times New Roman" w:hAnsi="Times New Roman"/>
          <w:szCs w:val="24"/>
        </w:rPr>
        <w:t>, 42(4), pp. 600-621.</w:t>
      </w:r>
    </w:p>
    <w:p w14:paraId="71A673D0"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Oppert, M., O'Keeffe, V. and Duong, D., 2018. Knowledge, facilitators and barriers to the practice of person-centred care in aged care workers: a qualitative study. </w:t>
      </w:r>
      <w:r w:rsidRPr="000A56C6">
        <w:rPr>
          <w:rFonts w:ascii="Times New Roman" w:hAnsi="Times New Roman"/>
          <w:i/>
          <w:iCs/>
          <w:szCs w:val="24"/>
        </w:rPr>
        <w:t>Geriatric Nursing</w:t>
      </w:r>
      <w:r w:rsidRPr="000A56C6">
        <w:rPr>
          <w:rFonts w:ascii="Times New Roman" w:hAnsi="Times New Roman"/>
          <w:szCs w:val="24"/>
        </w:rPr>
        <w:t>, 39(6), pp. 683-688.</w:t>
      </w:r>
    </w:p>
    <w:p w14:paraId="19B5E056"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Orb, A., Eisenhauer, L. and Wynaden, D., 2001. Ethics in qualitative research. </w:t>
      </w:r>
      <w:r w:rsidRPr="004E3E8F">
        <w:rPr>
          <w:rFonts w:ascii="Times New Roman" w:hAnsi="Times New Roman"/>
          <w:i/>
          <w:iCs/>
          <w:szCs w:val="24"/>
        </w:rPr>
        <w:t>Journal of Nursing Scholarship</w:t>
      </w:r>
      <w:r w:rsidRPr="004E3E8F">
        <w:rPr>
          <w:rFonts w:ascii="Times New Roman" w:hAnsi="Times New Roman"/>
          <w:szCs w:val="24"/>
        </w:rPr>
        <w:t>, 33, pp. 93-96.</w:t>
      </w:r>
    </w:p>
    <w:p w14:paraId="716BFAC3"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O'Reilly, K., 2012. </w:t>
      </w:r>
      <w:r w:rsidRPr="00CF1AE8">
        <w:rPr>
          <w:rFonts w:ascii="Times New Roman" w:hAnsi="Times New Roman"/>
          <w:i/>
          <w:iCs/>
          <w:szCs w:val="24"/>
        </w:rPr>
        <w:t>International Migration and Social Theory</w:t>
      </w:r>
      <w:r w:rsidRPr="00CF1AE8">
        <w:rPr>
          <w:rFonts w:ascii="Times New Roman" w:hAnsi="Times New Roman"/>
          <w:iCs/>
          <w:szCs w:val="24"/>
        </w:rPr>
        <w:t>. Basingstoke: Palgrave Macmillan</w:t>
      </w:r>
    </w:p>
    <w:p w14:paraId="567FFB8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Ory, M.G., Hoffman, R.R., Yee, J.L., Tennstedt, S. and Schulz, R., 1999. Prevalence and impact of caregiving: A detailed comparison between dementia and nondementia caregivers. </w:t>
      </w:r>
      <w:r w:rsidRPr="002B3011">
        <w:rPr>
          <w:rFonts w:ascii="Times New Roman" w:hAnsi="Times New Roman"/>
          <w:i/>
          <w:iCs/>
          <w:szCs w:val="24"/>
        </w:rPr>
        <w:t>The Gerontologist</w:t>
      </w:r>
      <w:r w:rsidRPr="002B3011">
        <w:rPr>
          <w:rFonts w:ascii="Times New Roman" w:hAnsi="Times New Roman"/>
          <w:szCs w:val="24"/>
        </w:rPr>
        <w:t>, 39, pp. 177-185.</w:t>
      </w:r>
    </w:p>
    <w:p w14:paraId="06E17171"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Ostaszkiewicz, J., Dunning, T. and Streat, S., 2018. Models of care for aged care-social or biomedical? </w:t>
      </w:r>
      <w:r w:rsidRPr="00DA2952">
        <w:rPr>
          <w:rFonts w:ascii="Times New Roman" w:hAnsi="Times New Roman"/>
          <w:i/>
          <w:iCs/>
          <w:szCs w:val="24"/>
        </w:rPr>
        <w:t>Australian Nursing and Midwifery Journal</w:t>
      </w:r>
      <w:r w:rsidRPr="00DA2952">
        <w:rPr>
          <w:rFonts w:ascii="Times New Roman" w:hAnsi="Times New Roman"/>
          <w:szCs w:val="24"/>
        </w:rPr>
        <w:t>, 25(7), p.45.</w:t>
      </w:r>
    </w:p>
    <w:p w14:paraId="11C9B825" w14:textId="77777777" w:rsidR="00503349" w:rsidRDefault="00503349" w:rsidP="00503349">
      <w:pPr>
        <w:rPr>
          <w:rFonts w:ascii="Times" w:hAnsi="Times" w:cs="Times"/>
          <w:szCs w:val="24"/>
        </w:rPr>
      </w:pPr>
      <w:r w:rsidRPr="00CF1AE8">
        <w:rPr>
          <w:rFonts w:ascii="Times New Roman" w:hAnsi="Times New Roman"/>
          <w:szCs w:val="24"/>
        </w:rPr>
        <w:t xml:space="preserve">Ostaszkiewicz, J., Lakhan, P., O’Connell, B. and Hawkins, M., 2015. Ongoing challenges responding to behavioural and psychological symptoms of dementia. </w:t>
      </w:r>
      <w:r w:rsidRPr="00CF1AE8">
        <w:rPr>
          <w:rFonts w:ascii="Times New Roman" w:hAnsi="Times New Roman"/>
          <w:i/>
          <w:szCs w:val="24"/>
        </w:rPr>
        <w:t>International Nursing Review</w:t>
      </w:r>
      <w:r w:rsidRPr="00CF1AE8">
        <w:rPr>
          <w:rFonts w:ascii="Times New Roman" w:hAnsi="Times New Roman"/>
          <w:szCs w:val="24"/>
        </w:rPr>
        <w:t>, 62(4), pp. 506-516.</w:t>
      </w:r>
    </w:p>
    <w:p w14:paraId="02AA30D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Otilingam, P.G. and Gatz, M., 2008. Perceptions of dementia among Asian Indian Americans. Does acculturation matter? </w:t>
      </w:r>
      <w:r w:rsidRPr="002B3011">
        <w:rPr>
          <w:rFonts w:ascii="Times New Roman" w:hAnsi="Times New Roman"/>
          <w:i/>
          <w:iCs/>
          <w:szCs w:val="24"/>
        </w:rPr>
        <w:t xml:space="preserve">AAPI Nexus: Asian Americans and Pacific Islanders Policy, Practice and Community, </w:t>
      </w:r>
      <w:r w:rsidRPr="002B3011">
        <w:rPr>
          <w:rFonts w:ascii="Times New Roman" w:hAnsi="Times New Roman"/>
          <w:szCs w:val="24"/>
        </w:rPr>
        <w:t>6(2), pp. 45-66.</w:t>
      </w:r>
    </w:p>
    <w:p w14:paraId="56209A4C"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Otite, O. 1990. </w:t>
      </w:r>
      <w:r w:rsidRPr="00CF1AE8">
        <w:rPr>
          <w:rFonts w:ascii="Times New Roman" w:hAnsi="Times New Roman"/>
          <w:i/>
          <w:iCs/>
          <w:szCs w:val="24"/>
        </w:rPr>
        <w:t>Ethnic Pluralism and Ethnicity in Nigeria</w:t>
      </w:r>
      <w:r w:rsidRPr="00CF1AE8">
        <w:rPr>
          <w:rFonts w:ascii="Times New Roman" w:hAnsi="Times New Roman"/>
          <w:iCs/>
          <w:szCs w:val="24"/>
        </w:rPr>
        <w:t>. Ibadan: Shancson.</w:t>
      </w:r>
    </w:p>
    <w:p w14:paraId="3BCC288F"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Ottonelli, V. and Torresi, T., 2013. When is migration voluntary? </w:t>
      </w:r>
      <w:r>
        <w:rPr>
          <w:rFonts w:ascii="Times New Roman" w:hAnsi="Times New Roman"/>
          <w:i/>
          <w:szCs w:val="24"/>
        </w:rPr>
        <w:t>International Migration Review</w:t>
      </w:r>
      <w:r>
        <w:rPr>
          <w:rFonts w:ascii="Times New Roman" w:hAnsi="Times New Roman"/>
          <w:szCs w:val="24"/>
        </w:rPr>
        <w:t>, 47, pp. 783-813.</w:t>
      </w:r>
    </w:p>
    <w:p w14:paraId="223CC35A" w14:textId="77777777" w:rsidR="00503349" w:rsidRDefault="00503349" w:rsidP="00503349">
      <w:pPr>
        <w:rPr>
          <w:rFonts w:ascii="Times" w:hAnsi="Times" w:cs="Times"/>
          <w:szCs w:val="24"/>
        </w:rPr>
      </w:pPr>
      <w:r w:rsidRPr="008D6609">
        <w:rPr>
          <w:rFonts w:ascii="Times" w:hAnsi="Times" w:cs="Times"/>
          <w:szCs w:val="24"/>
        </w:rPr>
        <w:lastRenderedPageBreak/>
        <w:t>Øye, C., Jacobsen, F.F. and Mekki, T.E., 2017. Do organisational constraints explain the use of restraint? A comparative ethnographic study from three nursing homes in Norway. </w:t>
      </w:r>
      <w:r w:rsidRPr="008D6609">
        <w:rPr>
          <w:rFonts w:ascii="Times" w:hAnsi="Times" w:cs="Times"/>
          <w:i/>
          <w:iCs/>
          <w:szCs w:val="24"/>
        </w:rPr>
        <w:t>Journal of Clinical Nursing</w:t>
      </w:r>
      <w:r w:rsidRPr="008D6609">
        <w:rPr>
          <w:rFonts w:ascii="Times" w:hAnsi="Times" w:cs="Times"/>
          <w:szCs w:val="24"/>
        </w:rPr>
        <w:t>, 26(13-14), pp.</w:t>
      </w:r>
      <w:r>
        <w:rPr>
          <w:rFonts w:ascii="Times" w:hAnsi="Times" w:cs="Times"/>
          <w:szCs w:val="24"/>
        </w:rPr>
        <w:t xml:space="preserve"> </w:t>
      </w:r>
      <w:r w:rsidRPr="008D6609">
        <w:rPr>
          <w:rFonts w:ascii="Times" w:hAnsi="Times" w:cs="Times"/>
          <w:szCs w:val="24"/>
        </w:rPr>
        <w:t>1906-1916.</w:t>
      </w:r>
    </w:p>
    <w:p w14:paraId="101F1F87" w14:textId="77777777" w:rsidR="00503349" w:rsidRPr="00CF1AE8" w:rsidRDefault="00503349" w:rsidP="00503349">
      <w:pPr>
        <w:rPr>
          <w:rFonts w:ascii="Times New Roman" w:hAnsi="Times New Roman"/>
          <w:iCs/>
          <w:szCs w:val="24"/>
        </w:rPr>
      </w:pPr>
      <w:r w:rsidRPr="00CF1AE8">
        <w:rPr>
          <w:rFonts w:ascii="Times New Roman" w:hAnsi="Times New Roman"/>
          <w:iCs/>
          <w:szCs w:val="24"/>
        </w:rPr>
        <w:t xml:space="preserve">Paden, J., 2007. </w:t>
      </w:r>
      <w:r w:rsidRPr="00CF1AE8">
        <w:rPr>
          <w:rFonts w:ascii="Times New Roman" w:hAnsi="Times New Roman"/>
          <w:i/>
          <w:iCs/>
          <w:szCs w:val="24"/>
        </w:rPr>
        <w:t>Comments at the Symposium on Religious Conflict Religious Conflict in Nigeria: Contemporary Religious Dynamics in Nigeria - Session 2</w:t>
      </w:r>
      <w:r w:rsidRPr="00CF1AE8">
        <w:rPr>
          <w:rFonts w:ascii="Times New Roman" w:hAnsi="Times New Roman"/>
          <w:iCs/>
          <w:szCs w:val="24"/>
        </w:rPr>
        <w:t>. New York: Council on Foreign Relations. Available at: &lt;</w:t>
      </w:r>
      <w:r w:rsidRPr="00CF1AE8">
        <w:rPr>
          <w:rFonts w:ascii="Times New Roman" w:hAnsi="Times New Roman"/>
          <w:szCs w:val="24"/>
        </w:rPr>
        <w:t xml:space="preserve"> </w:t>
      </w:r>
      <w:r w:rsidRPr="00CF1AE8">
        <w:rPr>
          <w:rFonts w:ascii="Times New Roman" w:hAnsi="Times New Roman"/>
          <w:iCs/>
          <w:szCs w:val="24"/>
        </w:rPr>
        <w:t>https://www.cfr.org/event/symposium-religious-conflict-nigeria-session-2-contemporary-religious-dynamics-nigeria &gt;[Accessed 30 July 2018]</w:t>
      </w:r>
    </w:p>
    <w:p w14:paraId="15092AA1" w14:textId="77777777" w:rsidR="00503349" w:rsidRPr="00CF1AE8" w:rsidRDefault="00503349" w:rsidP="00503349">
      <w:pPr>
        <w:rPr>
          <w:rFonts w:ascii="Times New Roman" w:hAnsi="Times New Roman"/>
          <w:iCs/>
          <w:szCs w:val="24"/>
        </w:rPr>
      </w:pPr>
      <w:r w:rsidRPr="00CF1AE8">
        <w:rPr>
          <w:rFonts w:ascii="Times New Roman" w:hAnsi="Times New Roman"/>
          <w:iCs/>
          <w:szCs w:val="24"/>
        </w:rPr>
        <w:t xml:space="preserve">Paden, J., 2008. </w:t>
      </w:r>
      <w:r w:rsidRPr="00CF1AE8">
        <w:rPr>
          <w:rFonts w:ascii="Times New Roman" w:hAnsi="Times New Roman"/>
          <w:i/>
          <w:iCs/>
          <w:szCs w:val="24"/>
        </w:rPr>
        <w:t>Faith and politics in Nigeria: Nigeria as a pivotal state in the Muslim World</w:t>
      </w:r>
      <w:r w:rsidRPr="00CF1AE8">
        <w:rPr>
          <w:rFonts w:ascii="Times New Roman" w:hAnsi="Times New Roman"/>
          <w:iCs/>
          <w:szCs w:val="24"/>
        </w:rPr>
        <w:t>. Washington D.C.: United States Institute of Peace Press.</w:t>
      </w:r>
    </w:p>
    <w:p w14:paraId="1BB518E4"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Palát, M., 2017. Impacts of immigration on labour markets: a theoretical appraisal. In: E. Heikkilä, ed. 2017. </w:t>
      </w:r>
      <w:r>
        <w:rPr>
          <w:rFonts w:ascii="Times New Roman" w:hAnsi="Times New Roman"/>
          <w:i/>
          <w:szCs w:val="24"/>
        </w:rPr>
        <w:t>Immigrants and the labour markets: experiences from abroad and Finland</w:t>
      </w:r>
      <w:r>
        <w:rPr>
          <w:rFonts w:ascii="Times New Roman" w:hAnsi="Times New Roman"/>
          <w:szCs w:val="24"/>
        </w:rPr>
        <w:t>. Turku: Migration Institute of Finland, pp. 11-39.</w:t>
      </w:r>
    </w:p>
    <w:p w14:paraId="0D88915D"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Palesy, D. and Billett, S., 2017. Learning manual handling without direct supervision or support: a case study of home care workers. </w:t>
      </w:r>
      <w:r w:rsidRPr="00DA2952">
        <w:rPr>
          <w:rFonts w:ascii="Times New Roman" w:hAnsi="Times New Roman"/>
          <w:i/>
          <w:iCs/>
          <w:szCs w:val="24"/>
        </w:rPr>
        <w:t>Social Work Education</w:t>
      </w:r>
      <w:r w:rsidRPr="00DA2952">
        <w:rPr>
          <w:rFonts w:ascii="Times New Roman" w:hAnsi="Times New Roman"/>
          <w:szCs w:val="24"/>
        </w:rPr>
        <w:t>, 36(3), pp. 273-288.</w:t>
      </w:r>
    </w:p>
    <w:p w14:paraId="4B3D488B" w14:textId="77777777" w:rsidR="00503349" w:rsidRPr="00CF1AE8" w:rsidRDefault="00503349" w:rsidP="00503349">
      <w:pPr>
        <w:rPr>
          <w:rFonts w:ascii="Times New Roman" w:hAnsi="Times New Roman"/>
          <w:szCs w:val="24"/>
        </w:rPr>
      </w:pPr>
      <w:r w:rsidRPr="00CF1AE8">
        <w:rPr>
          <w:rFonts w:ascii="Times New Roman" w:hAnsi="Times New Roman"/>
          <w:szCs w:val="24"/>
        </w:rPr>
        <w:t xml:space="preserve">Parutis, V., 2014. “Economic migrants” or “middling transnationals”? East European migrants’ experiences of work in the UK. </w:t>
      </w:r>
      <w:r w:rsidRPr="00CF1AE8">
        <w:rPr>
          <w:rFonts w:ascii="Times New Roman" w:hAnsi="Times New Roman"/>
          <w:i/>
          <w:szCs w:val="24"/>
        </w:rPr>
        <w:t>International Migration</w:t>
      </w:r>
      <w:r w:rsidRPr="00CF1AE8">
        <w:rPr>
          <w:rFonts w:ascii="Times New Roman" w:hAnsi="Times New Roman"/>
          <w:szCs w:val="24"/>
        </w:rPr>
        <w:t>, 52: 36-55.</w:t>
      </w:r>
    </w:p>
    <w:p w14:paraId="0914D956"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lang w:val="en-AU"/>
        </w:rPr>
        <w:t xml:space="preserve">Patton, M.Q., 2002. </w:t>
      </w:r>
      <w:r w:rsidRPr="008101DD">
        <w:rPr>
          <w:rFonts w:ascii="Times New Roman" w:hAnsi="Times New Roman"/>
          <w:i/>
          <w:iCs/>
          <w:szCs w:val="24"/>
          <w:lang w:val="en-AU"/>
        </w:rPr>
        <w:t>Qualitative Research and Evaluation Methods</w:t>
      </w:r>
      <w:r w:rsidRPr="008101DD">
        <w:rPr>
          <w:rFonts w:ascii="Times New Roman" w:hAnsi="Times New Roman"/>
          <w:szCs w:val="24"/>
          <w:lang w:val="en-AU"/>
        </w:rPr>
        <w:t>. 3rd ed. Thousand Oaks, CA: Sage.</w:t>
      </w:r>
    </w:p>
    <w:p w14:paraId="7FE26DBD"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Peach, C., 1968. </w:t>
      </w:r>
      <w:r>
        <w:rPr>
          <w:rFonts w:ascii="Times New Roman" w:hAnsi="Times New Roman"/>
          <w:i/>
          <w:iCs/>
          <w:szCs w:val="24"/>
        </w:rPr>
        <w:t>West Indian Migration to Britain: A Social Geography</w:t>
      </w:r>
      <w:r>
        <w:rPr>
          <w:rFonts w:ascii="Times New Roman" w:hAnsi="Times New Roman"/>
          <w:szCs w:val="24"/>
        </w:rPr>
        <w:t>. London: Oxford University Press.</w:t>
      </w:r>
    </w:p>
    <w:p w14:paraId="2C98E006" w14:textId="77777777" w:rsidR="00503349" w:rsidRDefault="00503349" w:rsidP="00503349">
      <w:pPr>
        <w:spacing w:before="240"/>
        <w:rPr>
          <w:rFonts w:ascii="Times New Roman" w:hAnsi="Times New Roman"/>
          <w:szCs w:val="24"/>
        </w:rPr>
      </w:pPr>
      <w:r>
        <w:rPr>
          <w:rFonts w:ascii="Times New Roman" w:hAnsi="Times New Roman"/>
          <w:szCs w:val="24"/>
        </w:rPr>
        <w:t>Peach, C., 1991. The Caribbean in Europe: contrasting patterns of migration and settlement in Britain, France and the Netherlands. Research Paper No.15. Centre for Research in Ethnic Relations, University of Warwick. Available at &lt;https://warwick.ac.uk/fac/soc/crer/research/publications/research_papers/rp_no.15.pdf&gt; [Accessed 20 January 2019].</w:t>
      </w:r>
    </w:p>
    <w:p w14:paraId="7FD72376"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Peacock, S., Forbes, D., Markle-Reid, M., Hawranik, P., Morgan, D., Jansen, L., Leipert, B.D. and Henderson, S., 2010. The positive aspects of the caregiving journey with dementia: using a strengths-based perspective to reveal opportunities. </w:t>
      </w:r>
      <w:r w:rsidRPr="00DA2952">
        <w:rPr>
          <w:rFonts w:ascii="Times New Roman" w:hAnsi="Times New Roman"/>
          <w:i/>
          <w:szCs w:val="24"/>
        </w:rPr>
        <w:t>Journal of Applied Gerontology</w:t>
      </w:r>
      <w:r w:rsidRPr="00DA2952">
        <w:rPr>
          <w:rFonts w:ascii="Times New Roman" w:hAnsi="Times New Roman"/>
          <w:szCs w:val="24"/>
        </w:rPr>
        <w:t>, 29, pp. 640-659.</w:t>
      </w:r>
    </w:p>
    <w:p w14:paraId="7B786B8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Pearlin, L.K., Mullan, J.T., Semple, S.J. and Skaff, M.M., 1990. Caregiving and the stress process: An overview of concepts and their measures. </w:t>
      </w:r>
      <w:r w:rsidRPr="000C2CD1">
        <w:rPr>
          <w:rFonts w:ascii="Times New Roman" w:hAnsi="Times New Roman"/>
          <w:i/>
          <w:iCs/>
          <w:szCs w:val="24"/>
        </w:rPr>
        <w:t>The</w:t>
      </w:r>
      <w:r>
        <w:rPr>
          <w:rFonts w:ascii="Times New Roman" w:hAnsi="Times New Roman"/>
          <w:szCs w:val="24"/>
        </w:rPr>
        <w:t xml:space="preserve"> </w:t>
      </w:r>
      <w:r w:rsidRPr="002B3011">
        <w:rPr>
          <w:rFonts w:ascii="Times New Roman" w:hAnsi="Times New Roman"/>
          <w:i/>
          <w:szCs w:val="24"/>
        </w:rPr>
        <w:t>Gerontologist</w:t>
      </w:r>
      <w:r w:rsidRPr="002B3011">
        <w:rPr>
          <w:rFonts w:ascii="Times New Roman" w:hAnsi="Times New Roman"/>
          <w:szCs w:val="24"/>
        </w:rPr>
        <w:t>, 30(5), pp. 583-594.</w:t>
      </w:r>
    </w:p>
    <w:p w14:paraId="55C268C5"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Pennycook, M., 2013. </w:t>
      </w:r>
      <w:r w:rsidRPr="000C2CD1">
        <w:rPr>
          <w:rFonts w:ascii="Times New Roman" w:hAnsi="Times New Roman"/>
          <w:i/>
          <w:iCs/>
          <w:szCs w:val="24"/>
          <w:bdr w:val="none" w:sz="0" w:space="0" w:color="auto" w:frame="1"/>
        </w:rPr>
        <w:t>Does it pay to care? Under payment of the national minimum wage in the social care sector</w:t>
      </w:r>
      <w:r w:rsidRPr="00945DA4">
        <w:rPr>
          <w:rFonts w:ascii="Times New Roman" w:hAnsi="Times New Roman"/>
          <w:szCs w:val="24"/>
          <w:bdr w:val="none" w:sz="0" w:space="0" w:color="auto" w:frame="1"/>
        </w:rPr>
        <w:t>. London: Resolution Foundation. Available at: &lt;https://www.resolutionfoundation.org/app/uploads/2013/08/Does-it-pay-to-care.pdf&gt;[Accessed 10 April 2017]</w:t>
      </w:r>
    </w:p>
    <w:p w14:paraId="1E3A2D1A" w14:textId="77777777" w:rsidR="00503349" w:rsidRDefault="00503349" w:rsidP="00503349">
      <w:pPr>
        <w:rPr>
          <w:rFonts w:ascii="Times New Roman" w:hAnsi="Times New Roman"/>
          <w:szCs w:val="24"/>
        </w:rPr>
      </w:pPr>
      <w:r w:rsidRPr="000A56C6">
        <w:rPr>
          <w:rFonts w:ascii="Times New Roman" w:hAnsi="Times New Roman"/>
          <w:szCs w:val="24"/>
        </w:rPr>
        <w:t xml:space="preserve">Perkins, E.A. and Hewitt A., 2016. Coping with Caregiver Stress. In: I.L. Rubin, J. Merrick, D.E. Greydanus &amp; D.R. Patel, eds., 2016. </w:t>
      </w:r>
      <w:r w:rsidRPr="000A56C6">
        <w:rPr>
          <w:rFonts w:ascii="Times New Roman" w:hAnsi="Times New Roman"/>
          <w:i/>
          <w:szCs w:val="24"/>
        </w:rPr>
        <w:t>Health care for people with intellectual and developmental disabilities across the lifespan</w:t>
      </w:r>
      <w:r w:rsidRPr="000A56C6">
        <w:rPr>
          <w:rFonts w:ascii="Times New Roman" w:hAnsi="Times New Roman"/>
          <w:szCs w:val="24"/>
        </w:rPr>
        <w:t xml:space="preserve">. Cham, Switzerland: Springer </w:t>
      </w:r>
      <w:r>
        <w:rPr>
          <w:rFonts w:ascii="Times New Roman" w:hAnsi="Times New Roman"/>
          <w:szCs w:val="24"/>
        </w:rPr>
        <w:t>I</w:t>
      </w:r>
      <w:r w:rsidRPr="000A56C6">
        <w:rPr>
          <w:rFonts w:ascii="Times New Roman" w:hAnsi="Times New Roman"/>
          <w:szCs w:val="24"/>
        </w:rPr>
        <w:t xml:space="preserve">nternational </w:t>
      </w:r>
      <w:r>
        <w:rPr>
          <w:rFonts w:ascii="Times New Roman" w:hAnsi="Times New Roman"/>
          <w:szCs w:val="24"/>
        </w:rPr>
        <w:t>P</w:t>
      </w:r>
      <w:r w:rsidRPr="000A56C6">
        <w:rPr>
          <w:rFonts w:ascii="Times New Roman" w:hAnsi="Times New Roman"/>
          <w:szCs w:val="24"/>
        </w:rPr>
        <w:t>ublishing.</w:t>
      </w:r>
    </w:p>
    <w:p w14:paraId="38E108A0" w14:textId="77777777" w:rsidR="00503349" w:rsidRPr="00DA2952" w:rsidRDefault="00503349" w:rsidP="00503349">
      <w:pPr>
        <w:rPr>
          <w:rFonts w:ascii="Times New Roman" w:hAnsi="Times New Roman"/>
          <w:szCs w:val="24"/>
        </w:rPr>
      </w:pPr>
      <w:r w:rsidRPr="00DA2952">
        <w:rPr>
          <w:rFonts w:ascii="Times New Roman" w:hAnsi="Times New Roman"/>
          <w:szCs w:val="24"/>
        </w:rPr>
        <w:t xml:space="preserve">Perot, J.G., Jarzebowski, W., Lafuente-Lafuente, C., Crozet, C. and Belmin, J., 2020. Aging-simulation experience: impact on health professionals’ social representations. </w:t>
      </w:r>
      <w:r w:rsidRPr="00DA2952">
        <w:rPr>
          <w:rFonts w:ascii="Times New Roman" w:hAnsi="Times New Roman"/>
          <w:i/>
          <w:iCs/>
          <w:szCs w:val="24"/>
        </w:rPr>
        <w:t>BMC Geriatric</w:t>
      </w:r>
      <w:r w:rsidRPr="00DA2952">
        <w:rPr>
          <w:rFonts w:ascii="Times New Roman" w:hAnsi="Times New Roman"/>
          <w:szCs w:val="24"/>
        </w:rPr>
        <w:t>, 20(14). Available at: &lt;https://link.springer.com/article/10.1186/s12877-019-1409-3#Sec10&gt;[Accessed 13 September 2020]​</w:t>
      </w:r>
    </w:p>
    <w:p w14:paraId="2C14B539" w14:textId="77777777" w:rsidR="00503349" w:rsidRDefault="00503349" w:rsidP="00503349">
      <w:pPr>
        <w:spacing w:before="240"/>
        <w:rPr>
          <w:rFonts w:ascii="Times New Roman" w:hAnsi="Times New Roman"/>
          <w:szCs w:val="24"/>
        </w:rPr>
      </w:pPr>
      <w:r>
        <w:rPr>
          <w:rFonts w:ascii="Times New Roman" w:hAnsi="Times New Roman"/>
          <w:szCs w:val="24"/>
        </w:rPr>
        <w:t xml:space="preserve">Peterson, W., 1958. A general typology of migration. </w:t>
      </w:r>
      <w:r>
        <w:rPr>
          <w:rFonts w:ascii="Times New Roman" w:hAnsi="Times New Roman"/>
          <w:i/>
          <w:szCs w:val="24"/>
        </w:rPr>
        <w:t>American Sociological Review</w:t>
      </w:r>
      <w:r>
        <w:rPr>
          <w:rFonts w:ascii="Times New Roman" w:hAnsi="Times New Roman"/>
          <w:szCs w:val="24"/>
        </w:rPr>
        <w:t>, 23, pp. 256-66.</w:t>
      </w:r>
    </w:p>
    <w:p w14:paraId="3179100B" w14:textId="77777777" w:rsidR="00503349" w:rsidRDefault="00503349" w:rsidP="00503349">
      <w:pPr>
        <w:spacing w:before="240"/>
        <w:jc w:val="both"/>
        <w:rPr>
          <w:rFonts w:ascii="Times New Roman" w:hAnsi="Times New Roman"/>
          <w:bCs/>
          <w:szCs w:val="24"/>
        </w:rPr>
      </w:pPr>
      <w:r>
        <w:rPr>
          <w:rFonts w:ascii="Times New Roman" w:hAnsi="Times New Roman"/>
          <w:bCs/>
          <w:szCs w:val="24"/>
        </w:rPr>
        <w:t xml:space="preserve">Petraglia, M.D. and Groucutt, H.S., 2017. Out of Africa: the evolution of human population in the southern dispersal zone. In: J.H. Schwartz, ed. 2017. </w:t>
      </w:r>
      <w:r>
        <w:rPr>
          <w:rFonts w:ascii="Times New Roman" w:hAnsi="Times New Roman"/>
          <w:bCs/>
          <w:i/>
          <w:szCs w:val="24"/>
        </w:rPr>
        <w:t>Rethinking human evolution</w:t>
      </w:r>
      <w:r>
        <w:rPr>
          <w:rFonts w:ascii="Times New Roman" w:hAnsi="Times New Roman"/>
          <w:bCs/>
          <w:szCs w:val="24"/>
        </w:rPr>
        <w:t>. Cambridge, Massachusetts: Massachusetts Institute of Technology Press. Ch7.</w:t>
      </w:r>
    </w:p>
    <w:p w14:paraId="0C6942A7" w14:textId="77777777" w:rsidR="00503349" w:rsidRPr="002B3011" w:rsidRDefault="00503349" w:rsidP="00503349">
      <w:pPr>
        <w:textAlignment w:val="baseline"/>
        <w:rPr>
          <w:rFonts w:ascii="Times New Roman" w:hAnsi="Times New Roman"/>
          <w:bCs/>
          <w:color w:val="000000"/>
          <w:szCs w:val="24"/>
        </w:rPr>
      </w:pPr>
      <w:r w:rsidRPr="002B3011">
        <w:rPr>
          <w:rFonts w:ascii="Times New Roman" w:hAnsi="Times New Roman"/>
          <w:bCs/>
          <w:color w:val="000000"/>
          <w:szCs w:val="24"/>
        </w:rPr>
        <w:lastRenderedPageBreak/>
        <w:t>Pham, T.M., Petersen, I., Walters, K., Raine, R., Manthorpe, J., Mukadam, N. and Cooper, C., 2018. Trends in dementia diagnosis rates in UK ethnic groups: analysis of UK primary care data. </w:t>
      </w:r>
      <w:r w:rsidRPr="002B3011">
        <w:rPr>
          <w:rFonts w:ascii="Times New Roman" w:hAnsi="Times New Roman"/>
          <w:bCs/>
          <w:i/>
          <w:iCs/>
          <w:color w:val="000000"/>
          <w:szCs w:val="24"/>
        </w:rPr>
        <w:t>Clinical Epidemiology</w:t>
      </w:r>
      <w:r w:rsidRPr="002B3011">
        <w:rPr>
          <w:rFonts w:ascii="Times New Roman" w:hAnsi="Times New Roman"/>
          <w:bCs/>
          <w:color w:val="000000"/>
          <w:szCs w:val="24"/>
        </w:rPr>
        <w:t>, 10, pp. 949-960.</w:t>
      </w:r>
    </w:p>
    <w:p w14:paraId="3D2EAD2D" w14:textId="77777777" w:rsidR="00503349" w:rsidRPr="002B3011" w:rsidRDefault="00503349" w:rsidP="00503349">
      <w:pPr>
        <w:textAlignment w:val="baseline"/>
        <w:rPr>
          <w:rFonts w:ascii="Times New Roman" w:hAnsi="Times New Roman"/>
          <w:b/>
          <w:color w:val="000000"/>
          <w:szCs w:val="24"/>
        </w:rPr>
      </w:pPr>
      <w:r w:rsidRPr="002B3011">
        <w:rPr>
          <w:rFonts w:ascii="Times New Roman" w:hAnsi="Times New Roman"/>
          <w:color w:val="000000"/>
          <w:szCs w:val="24"/>
        </w:rPr>
        <w:t>Phillipson, C., 2015. Placing ethnicity at the centre of studies of later life: theoretical perspectives and empirical challenges. </w:t>
      </w:r>
      <w:r w:rsidRPr="002B3011">
        <w:rPr>
          <w:rFonts w:ascii="Times New Roman" w:hAnsi="Times New Roman"/>
          <w:i/>
          <w:iCs/>
          <w:color w:val="000000"/>
          <w:szCs w:val="24"/>
        </w:rPr>
        <w:t>Ageing &amp; Society</w:t>
      </w:r>
      <w:r w:rsidRPr="002B3011">
        <w:rPr>
          <w:rFonts w:ascii="Times New Roman" w:hAnsi="Times New Roman"/>
          <w:color w:val="000000"/>
          <w:szCs w:val="24"/>
        </w:rPr>
        <w:t>, 35(5), pp. 917-934.</w:t>
      </w:r>
    </w:p>
    <w:p w14:paraId="42B66D24" w14:textId="77777777" w:rsidR="00503349" w:rsidRDefault="00503349" w:rsidP="00503349">
      <w:pPr>
        <w:spacing w:before="240"/>
        <w:jc w:val="both"/>
        <w:rPr>
          <w:rFonts w:ascii="Times New Roman" w:hAnsi="Times New Roman"/>
          <w:noProof/>
          <w:szCs w:val="24"/>
        </w:rPr>
      </w:pPr>
      <w:r>
        <w:rPr>
          <w:rFonts w:ascii="Times New Roman" w:hAnsi="Times New Roman"/>
          <w:bCs/>
          <w:szCs w:val="24"/>
        </w:rPr>
        <w:t>Piché, V. and Dutreuilh, C., 2013. Contemporary migration theories as reflected in their founding texts. </w:t>
      </w:r>
      <w:r>
        <w:rPr>
          <w:rFonts w:ascii="Times New Roman" w:hAnsi="Times New Roman"/>
          <w:bCs/>
          <w:i/>
          <w:iCs/>
          <w:szCs w:val="24"/>
        </w:rPr>
        <w:t>Population</w:t>
      </w:r>
      <w:r>
        <w:rPr>
          <w:rFonts w:ascii="Times New Roman" w:hAnsi="Times New Roman"/>
          <w:bCs/>
          <w:szCs w:val="24"/>
        </w:rPr>
        <w:t>, 68, pp. 141-164.</w:t>
      </w:r>
    </w:p>
    <w:p w14:paraId="6B85D717" w14:textId="77777777" w:rsidR="00503349" w:rsidRDefault="00503349" w:rsidP="00503349">
      <w:pPr>
        <w:spacing w:before="240"/>
        <w:jc w:val="both"/>
        <w:rPr>
          <w:rFonts w:ascii="Times New Roman" w:hAnsi="Times New Roman"/>
          <w:noProof/>
          <w:szCs w:val="24"/>
        </w:rPr>
      </w:pPr>
      <w:r>
        <w:rPr>
          <w:rFonts w:ascii="Times New Roman" w:hAnsi="Times New Roman"/>
          <w:noProof/>
          <w:szCs w:val="24"/>
        </w:rPr>
        <w:t>Pickard, L., 2019. Good value for money? Public investment in ‘replacement care’for working carers in England. </w:t>
      </w:r>
      <w:r>
        <w:rPr>
          <w:rFonts w:ascii="Times New Roman" w:hAnsi="Times New Roman"/>
          <w:i/>
          <w:iCs/>
          <w:noProof/>
          <w:szCs w:val="24"/>
        </w:rPr>
        <w:t>Social Policy and Society</w:t>
      </w:r>
      <w:r>
        <w:rPr>
          <w:rFonts w:ascii="Times New Roman" w:hAnsi="Times New Roman"/>
          <w:noProof/>
          <w:szCs w:val="24"/>
        </w:rPr>
        <w:t>, 18(3), pp. 365-382.</w:t>
      </w:r>
    </w:p>
    <w:p w14:paraId="08998578"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Piguet, E., 2012. Migration: the drivers of human migration. </w:t>
      </w:r>
      <w:r>
        <w:rPr>
          <w:rFonts w:ascii="Times New Roman" w:hAnsi="Times New Roman"/>
          <w:i/>
          <w:szCs w:val="24"/>
        </w:rPr>
        <w:t>Nature Climate Change</w:t>
      </w:r>
      <w:r>
        <w:rPr>
          <w:rFonts w:ascii="Times New Roman" w:hAnsi="Times New Roman"/>
          <w:szCs w:val="24"/>
        </w:rPr>
        <w:t>, 2, pp. 400-401.</w:t>
      </w:r>
    </w:p>
    <w:p w14:paraId="04A206AB" w14:textId="77777777" w:rsidR="00503349" w:rsidRPr="002B3011" w:rsidRDefault="00503349" w:rsidP="00503349">
      <w:pPr>
        <w:rPr>
          <w:rFonts w:ascii="Times New Roman" w:hAnsi="Times New Roman"/>
          <w:szCs w:val="24"/>
        </w:rPr>
      </w:pPr>
      <w:r w:rsidRPr="002B3011">
        <w:rPr>
          <w:rFonts w:ascii="Times New Roman" w:hAnsi="Times New Roman"/>
          <w:szCs w:val="24"/>
        </w:rPr>
        <w:t xml:space="preserve">Pinquart, M. and Sorensen, S., 2004. Associations of caregiver stressors and uplifts with subjective wellbeing and depressive mood: A meta-analytic comparison. </w:t>
      </w:r>
      <w:r w:rsidRPr="002B3011">
        <w:rPr>
          <w:rFonts w:ascii="Times New Roman" w:hAnsi="Times New Roman"/>
          <w:i/>
          <w:szCs w:val="24"/>
        </w:rPr>
        <w:t>Aging and Mental Health</w:t>
      </w:r>
      <w:r w:rsidRPr="002B3011">
        <w:rPr>
          <w:rFonts w:ascii="Times New Roman" w:hAnsi="Times New Roman"/>
          <w:szCs w:val="24"/>
        </w:rPr>
        <w:t xml:space="preserve">, 8, pp. 438-449. </w:t>
      </w:r>
    </w:p>
    <w:p w14:paraId="56E678D4" w14:textId="77777777" w:rsidR="00503349" w:rsidRPr="000A56C6" w:rsidRDefault="00503349" w:rsidP="00503349">
      <w:pPr>
        <w:tabs>
          <w:tab w:val="left" w:pos="5445"/>
        </w:tabs>
        <w:jc w:val="both"/>
        <w:rPr>
          <w:rFonts w:ascii="Times New Roman" w:hAnsi="Times New Roman"/>
          <w:szCs w:val="24"/>
        </w:rPr>
      </w:pPr>
      <w:r w:rsidRPr="00F12AA0">
        <w:rPr>
          <w:rFonts w:ascii="Times New Roman" w:hAnsi="Times New Roman"/>
          <w:szCs w:val="24"/>
        </w:rPr>
        <w:t xml:space="preserve">Pinquart, M. and Sorensen, S., 2005. Ethnic differences in stressors, resources, and psychological outcomes of family caregiving: a meta-analysis. </w:t>
      </w:r>
      <w:r w:rsidRPr="00F12AA0">
        <w:rPr>
          <w:rFonts w:ascii="Times New Roman" w:hAnsi="Times New Roman"/>
          <w:i/>
          <w:iCs/>
          <w:szCs w:val="24"/>
        </w:rPr>
        <w:t>The Gerontologist</w:t>
      </w:r>
      <w:r w:rsidRPr="00F12AA0">
        <w:rPr>
          <w:rFonts w:ascii="Times New Roman" w:hAnsi="Times New Roman"/>
          <w:szCs w:val="24"/>
        </w:rPr>
        <w:t>, 45, pp. 90-106.</w:t>
      </w:r>
    </w:p>
    <w:p w14:paraId="62B64B62" w14:textId="77777777" w:rsidR="00503349" w:rsidRDefault="00503349" w:rsidP="00503349">
      <w:pPr>
        <w:tabs>
          <w:tab w:val="left" w:pos="5445"/>
        </w:tabs>
        <w:jc w:val="both"/>
        <w:rPr>
          <w:rFonts w:ascii="Times New Roman" w:hAnsi="Times New Roman"/>
          <w:szCs w:val="24"/>
        </w:rPr>
      </w:pPr>
      <w:r w:rsidRPr="00F12AA0">
        <w:rPr>
          <w:rFonts w:ascii="Times New Roman" w:hAnsi="Times New Roman"/>
          <w:szCs w:val="24"/>
        </w:rPr>
        <w:t xml:space="preserve">Pinquart, M. and Sörenson, S., 2006. Gender differences in caregiver stressors, social resources and health: updated meta-analysis. </w:t>
      </w:r>
      <w:r w:rsidRPr="00F12AA0">
        <w:rPr>
          <w:rFonts w:ascii="Times New Roman" w:hAnsi="Times New Roman"/>
          <w:i/>
          <w:szCs w:val="24"/>
        </w:rPr>
        <w:t>The Journals of Gerontology Series B: Psychological Sciences and Social Sciences</w:t>
      </w:r>
      <w:r w:rsidRPr="00F12AA0">
        <w:rPr>
          <w:rFonts w:ascii="Times New Roman" w:hAnsi="Times New Roman"/>
          <w:szCs w:val="24"/>
        </w:rPr>
        <w:t>, 61, pp. 33-45.</w:t>
      </w:r>
    </w:p>
    <w:p w14:paraId="0676DDCD" w14:textId="77777777" w:rsidR="00503349" w:rsidRDefault="00503349" w:rsidP="00503349">
      <w:pPr>
        <w:spacing w:before="240"/>
        <w:jc w:val="both"/>
        <w:rPr>
          <w:rFonts w:ascii="Times New Roman" w:hAnsi="Times New Roman"/>
          <w:noProof/>
          <w:szCs w:val="24"/>
        </w:rPr>
      </w:pPr>
      <w:r>
        <w:rPr>
          <w:rFonts w:ascii="Times New Roman" w:hAnsi="Times New Roman"/>
          <w:szCs w:val="24"/>
        </w:rPr>
        <w:t xml:space="preserve">Piore, M.J., 1979. </w:t>
      </w:r>
      <w:r>
        <w:rPr>
          <w:rFonts w:ascii="Times New Roman" w:hAnsi="Times New Roman"/>
          <w:i/>
          <w:iCs/>
          <w:szCs w:val="24"/>
        </w:rPr>
        <w:t>Birds of Passage: Migrant Labor and Industrial Societies</w:t>
      </w:r>
      <w:r>
        <w:rPr>
          <w:rFonts w:ascii="Times New Roman" w:hAnsi="Times New Roman"/>
          <w:szCs w:val="24"/>
        </w:rPr>
        <w:t>. Cambridge: Cambridge University Press.</w:t>
      </w:r>
    </w:p>
    <w:p w14:paraId="1927A3DE" w14:textId="77777777" w:rsidR="00503349" w:rsidRPr="00481809" w:rsidRDefault="00503349" w:rsidP="00503349">
      <w:pPr>
        <w:jc w:val="both"/>
        <w:rPr>
          <w:rFonts w:ascii="Times New Roman" w:hAnsi="Times New Roman"/>
          <w:szCs w:val="24"/>
        </w:rPr>
      </w:pPr>
      <w:r w:rsidRPr="00481809">
        <w:rPr>
          <w:rFonts w:ascii="Times New Roman" w:hAnsi="Times New Roman"/>
          <w:szCs w:val="24"/>
        </w:rPr>
        <w:t xml:space="preserve">Pitfield, C., Shahriyarmolki, K. and Livingston, G., 2011. A systematic review of stress in staff caring for people with dementia living in 24-hour care settings. </w:t>
      </w:r>
      <w:r w:rsidRPr="00481809">
        <w:rPr>
          <w:rFonts w:ascii="Times New Roman" w:hAnsi="Times New Roman"/>
          <w:i/>
          <w:iCs/>
          <w:szCs w:val="24"/>
        </w:rPr>
        <w:t>International Psychogeriatrics</w:t>
      </w:r>
      <w:r w:rsidRPr="00481809">
        <w:rPr>
          <w:rFonts w:ascii="Times New Roman" w:hAnsi="Times New Roman"/>
          <w:szCs w:val="24"/>
        </w:rPr>
        <w:t>, 23, pp. 4-9.</w:t>
      </w:r>
    </w:p>
    <w:p w14:paraId="20C63D70"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lastRenderedPageBreak/>
        <w:t xml:space="preserve">Polit, D.F., Beck, C.T. and Hungler, B.P., 2001. </w:t>
      </w:r>
      <w:r w:rsidRPr="004E3E8F">
        <w:rPr>
          <w:rFonts w:ascii="Times New Roman" w:hAnsi="Times New Roman"/>
          <w:i/>
          <w:iCs/>
          <w:szCs w:val="24"/>
        </w:rPr>
        <w:t>Essentials of nursing research: methods, appraisal, and utilization</w:t>
      </w:r>
      <w:r w:rsidRPr="004E3E8F">
        <w:rPr>
          <w:rFonts w:ascii="Times New Roman" w:hAnsi="Times New Roman"/>
          <w:szCs w:val="24"/>
        </w:rPr>
        <w:t>. 5th ed. Philadelphia: Lippincott.</w:t>
      </w:r>
    </w:p>
    <w:p w14:paraId="702FB798"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Ponterotto, J.G., 2002. Qualitative research methods: the fifth force in psychology. </w:t>
      </w:r>
      <w:r w:rsidRPr="008101DD">
        <w:rPr>
          <w:rFonts w:ascii="Times New Roman" w:hAnsi="Times New Roman"/>
          <w:i/>
          <w:szCs w:val="24"/>
        </w:rPr>
        <w:t>The</w:t>
      </w:r>
      <w:r w:rsidRPr="008101DD">
        <w:rPr>
          <w:rFonts w:ascii="Times New Roman" w:hAnsi="Times New Roman"/>
          <w:szCs w:val="24"/>
        </w:rPr>
        <w:t xml:space="preserve"> </w:t>
      </w:r>
      <w:r w:rsidRPr="008101DD">
        <w:rPr>
          <w:rFonts w:ascii="Times New Roman" w:hAnsi="Times New Roman"/>
          <w:i/>
          <w:szCs w:val="24"/>
        </w:rPr>
        <w:t>Counseling Psychologist</w:t>
      </w:r>
      <w:r w:rsidRPr="008101DD">
        <w:rPr>
          <w:rFonts w:ascii="Times New Roman" w:hAnsi="Times New Roman"/>
          <w:szCs w:val="24"/>
        </w:rPr>
        <w:t xml:space="preserve">, 30, pp. 394-406. </w:t>
      </w:r>
    </w:p>
    <w:p w14:paraId="71A32E1D"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Ponterotto, J.G., 2005. Qualitative research training in counseling psychology: a survey of directors of training. </w:t>
      </w:r>
      <w:r w:rsidRPr="008101DD">
        <w:rPr>
          <w:rFonts w:ascii="Times New Roman" w:hAnsi="Times New Roman"/>
          <w:i/>
          <w:szCs w:val="24"/>
        </w:rPr>
        <w:t>Teaching of Psychology</w:t>
      </w:r>
      <w:r w:rsidRPr="008101DD">
        <w:rPr>
          <w:rFonts w:ascii="Times New Roman" w:hAnsi="Times New Roman"/>
          <w:szCs w:val="24"/>
        </w:rPr>
        <w:t>, 32, pp. 60-62.</w:t>
      </w:r>
    </w:p>
    <w:p w14:paraId="1C2CFDF5" w14:textId="77777777" w:rsidR="00503349" w:rsidRDefault="00503349" w:rsidP="00503349">
      <w:pPr>
        <w:jc w:val="both"/>
        <w:rPr>
          <w:rFonts w:ascii="Times New Roman" w:hAnsi="Times New Roman"/>
          <w:szCs w:val="24"/>
        </w:rPr>
      </w:pPr>
      <w:r w:rsidRPr="00044744">
        <w:rPr>
          <w:rFonts w:ascii="Times New Roman" w:hAnsi="Times New Roman"/>
          <w:szCs w:val="24"/>
        </w:rPr>
        <w:t>Portes, J.</w:t>
      </w:r>
      <w:r>
        <w:rPr>
          <w:rFonts w:ascii="Times New Roman" w:hAnsi="Times New Roman"/>
          <w:szCs w:val="24"/>
        </w:rPr>
        <w:t xml:space="preserve"> and</w:t>
      </w:r>
      <w:r w:rsidRPr="00044744">
        <w:rPr>
          <w:rFonts w:ascii="Times New Roman" w:hAnsi="Times New Roman"/>
          <w:szCs w:val="24"/>
        </w:rPr>
        <w:t xml:space="preserve"> Forte, G.</w:t>
      </w:r>
      <w:r>
        <w:rPr>
          <w:rFonts w:ascii="Times New Roman" w:hAnsi="Times New Roman"/>
          <w:szCs w:val="24"/>
        </w:rPr>
        <w:t>, 2017.</w:t>
      </w:r>
      <w:r w:rsidRPr="00044744">
        <w:rPr>
          <w:rFonts w:ascii="Times New Roman" w:hAnsi="Times New Roman"/>
          <w:szCs w:val="24"/>
        </w:rPr>
        <w:t xml:space="preserve"> The economic impact of Brexit-induced reductions in migration. </w:t>
      </w:r>
      <w:r w:rsidRPr="00044744">
        <w:rPr>
          <w:rFonts w:ascii="Times New Roman" w:hAnsi="Times New Roman"/>
          <w:i/>
          <w:iCs/>
          <w:szCs w:val="24"/>
        </w:rPr>
        <w:t>Oxford Review of Economic Policy</w:t>
      </w:r>
      <w:r>
        <w:rPr>
          <w:rFonts w:ascii="Times New Roman" w:hAnsi="Times New Roman"/>
          <w:szCs w:val="24"/>
        </w:rPr>
        <w:t>,</w:t>
      </w:r>
      <w:r w:rsidRPr="00044744">
        <w:rPr>
          <w:rFonts w:ascii="Times New Roman" w:hAnsi="Times New Roman"/>
          <w:szCs w:val="24"/>
        </w:rPr>
        <w:t xml:space="preserve"> 33, </w:t>
      </w:r>
      <w:r>
        <w:rPr>
          <w:rFonts w:ascii="Times New Roman" w:hAnsi="Times New Roman"/>
          <w:szCs w:val="24"/>
        </w:rPr>
        <w:t>pp.</w:t>
      </w:r>
      <w:r w:rsidRPr="00044744">
        <w:rPr>
          <w:rFonts w:ascii="Times New Roman" w:hAnsi="Times New Roman"/>
          <w:szCs w:val="24"/>
        </w:rPr>
        <w:t xml:space="preserve"> S31</w:t>
      </w:r>
      <w:r>
        <w:rPr>
          <w:rFonts w:ascii="Times New Roman" w:hAnsi="Times New Roman"/>
          <w:szCs w:val="24"/>
        </w:rPr>
        <w:t>-</w:t>
      </w:r>
      <w:r w:rsidRPr="00044744">
        <w:rPr>
          <w:rFonts w:ascii="Times New Roman" w:hAnsi="Times New Roman"/>
          <w:szCs w:val="24"/>
        </w:rPr>
        <w:t>S44</w:t>
      </w:r>
      <w:r>
        <w:rPr>
          <w:rFonts w:ascii="Times New Roman" w:hAnsi="Times New Roman"/>
          <w:szCs w:val="24"/>
        </w:rPr>
        <w:t>.</w:t>
      </w:r>
    </w:p>
    <w:p w14:paraId="05175761" w14:textId="77777777" w:rsidR="00503349" w:rsidRPr="00945DA4" w:rsidRDefault="00503349" w:rsidP="00503349">
      <w:pPr>
        <w:jc w:val="both"/>
        <w:rPr>
          <w:rFonts w:ascii="Times New Roman" w:hAnsi="Times New Roman"/>
          <w:szCs w:val="24"/>
          <w:bdr w:val="none" w:sz="0" w:space="0" w:color="auto" w:frame="1"/>
          <w:lang w:val="en-US"/>
        </w:rPr>
      </w:pPr>
      <w:r w:rsidRPr="00945DA4">
        <w:rPr>
          <w:rFonts w:ascii="Times New Roman" w:hAnsi="Times New Roman"/>
          <w:szCs w:val="24"/>
          <w:bdr w:val="none" w:sz="0" w:space="0" w:color="auto" w:frame="1"/>
        </w:rPr>
        <w:t xml:space="preserve">Poveda, B., Osborne-Crowley, K., Laidlaw, K., Macleod, F. and Power, K., 2017. Social cognition, behaviour and relationship continuity in dementia of the Alzheimer type. </w:t>
      </w:r>
      <w:r w:rsidRPr="00945DA4">
        <w:rPr>
          <w:rFonts w:ascii="Times New Roman" w:hAnsi="Times New Roman"/>
          <w:i/>
          <w:iCs/>
          <w:szCs w:val="24"/>
          <w:bdr w:val="none" w:sz="0" w:space="0" w:color="auto" w:frame="1"/>
        </w:rPr>
        <w:t>Brain Impairment</w:t>
      </w:r>
      <w:r w:rsidRPr="00945DA4">
        <w:rPr>
          <w:rFonts w:ascii="Times New Roman" w:hAnsi="Times New Roman"/>
          <w:iCs/>
          <w:szCs w:val="24"/>
          <w:bdr w:val="none" w:sz="0" w:space="0" w:color="auto" w:frame="1"/>
        </w:rPr>
        <w:t>,</w:t>
      </w:r>
      <w:r w:rsidRPr="00945DA4">
        <w:rPr>
          <w:rFonts w:ascii="Times New Roman" w:hAnsi="Times New Roman"/>
          <w:szCs w:val="24"/>
          <w:bdr w:val="none" w:sz="0" w:space="0" w:color="auto" w:frame="1"/>
        </w:rPr>
        <w:t xml:space="preserve"> 18, pp. 175-187.</w:t>
      </w:r>
    </w:p>
    <w:p w14:paraId="6B7FE0A1"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Prince, M., 2004. Care arrangements for people with dementia in developing countries. </w:t>
      </w:r>
      <w:r w:rsidRPr="002B3011">
        <w:rPr>
          <w:rFonts w:ascii="Times New Roman" w:hAnsi="Times New Roman"/>
          <w:i/>
          <w:iCs/>
          <w:szCs w:val="24"/>
        </w:rPr>
        <w:t>International Journal of Geriatric Psychiatry</w:t>
      </w:r>
      <w:r w:rsidRPr="002B3011">
        <w:rPr>
          <w:rFonts w:ascii="Times New Roman" w:hAnsi="Times New Roman"/>
          <w:szCs w:val="24"/>
        </w:rPr>
        <w:t xml:space="preserve">, </w:t>
      </w:r>
      <w:r w:rsidRPr="002B3011">
        <w:rPr>
          <w:rFonts w:ascii="Times New Roman" w:hAnsi="Times New Roman"/>
          <w:bCs/>
          <w:szCs w:val="24"/>
        </w:rPr>
        <w:t>19</w:t>
      </w:r>
      <w:r w:rsidRPr="002B3011">
        <w:rPr>
          <w:rFonts w:ascii="Times New Roman" w:hAnsi="Times New Roman"/>
          <w:szCs w:val="24"/>
        </w:rPr>
        <w:t>, pp. 170-177.</w:t>
      </w:r>
    </w:p>
    <w:p w14:paraId="23D969C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Prince, M., Acosta, D., Chiu, H., Scazufca, M. and Verghese, M., for the 10/66 Dementia Research Group, 2003. Dementia diagnosis in developing countries: a cross-cultural validation study. </w:t>
      </w:r>
      <w:r w:rsidRPr="00DA2952">
        <w:rPr>
          <w:rFonts w:ascii="Times New Roman" w:hAnsi="Times New Roman"/>
          <w:i/>
          <w:iCs/>
          <w:szCs w:val="24"/>
        </w:rPr>
        <w:t>Lancet</w:t>
      </w:r>
      <w:r w:rsidRPr="00DA2952">
        <w:rPr>
          <w:rFonts w:ascii="Times New Roman" w:hAnsi="Times New Roman"/>
          <w:szCs w:val="24"/>
        </w:rPr>
        <w:t>, 361, pp. 909-917.</w:t>
      </w:r>
    </w:p>
    <w:p w14:paraId="66BB3F9F" w14:textId="77777777" w:rsidR="00503349" w:rsidRDefault="00503349" w:rsidP="00503349">
      <w:pPr>
        <w:tabs>
          <w:tab w:val="left" w:pos="5445"/>
        </w:tabs>
        <w:rPr>
          <w:rFonts w:ascii="Times New Roman" w:hAnsi="Times New Roman"/>
          <w:szCs w:val="24"/>
        </w:rPr>
      </w:pPr>
      <w:r w:rsidRPr="00AB40E2">
        <w:rPr>
          <w:rFonts w:ascii="Times New Roman" w:hAnsi="Times New Roman"/>
          <w:szCs w:val="24"/>
        </w:rPr>
        <w:t xml:space="preserve">Prince, M., Knapp, M., Guerchet, M., McCrone, P., Prina, M., Comas-Herrera, A., Wittenberg, R., Adelaja, B., Hu, B., King, D., Rehill, A. and Salimkumar, D., 2014. </w:t>
      </w:r>
      <w:r w:rsidRPr="00B74555">
        <w:rPr>
          <w:rFonts w:ascii="Times New Roman" w:hAnsi="Times New Roman"/>
          <w:i/>
          <w:iCs/>
          <w:szCs w:val="24"/>
        </w:rPr>
        <w:t>Dementia UK: Update</w:t>
      </w:r>
      <w:r w:rsidRPr="00AB40E2">
        <w:rPr>
          <w:rFonts w:ascii="Times New Roman" w:hAnsi="Times New Roman"/>
          <w:szCs w:val="24"/>
        </w:rPr>
        <w:t>, 2</w:t>
      </w:r>
      <w:r w:rsidRPr="00AB40E2">
        <w:rPr>
          <w:rFonts w:ascii="Times New Roman" w:hAnsi="Times New Roman"/>
          <w:szCs w:val="24"/>
          <w:vertAlign w:val="superscript"/>
        </w:rPr>
        <w:t>nd</w:t>
      </w:r>
      <w:r w:rsidRPr="00AB40E2">
        <w:rPr>
          <w:rFonts w:ascii="Times New Roman" w:hAnsi="Times New Roman"/>
          <w:szCs w:val="24"/>
        </w:rPr>
        <w:t xml:space="preserve"> ed. London: Alzheimer’s Society. Available at: &lt;https://www.alzheimers.org.uk/sites/default/files/migrate/downloads/dementia_uk_update.pdf&gt;[Accessed 12 April 2019]</w:t>
      </w:r>
    </w:p>
    <w:p w14:paraId="3884922D"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Prince, M., Prina, M. and Guerchet, M., 2013. </w:t>
      </w:r>
      <w:r w:rsidRPr="000A56C6">
        <w:rPr>
          <w:rFonts w:ascii="Times New Roman" w:hAnsi="Times New Roman"/>
          <w:i/>
          <w:szCs w:val="24"/>
        </w:rPr>
        <w:t>World Alzheimer Report 2013: Journey of caring- an analysis of long-term care for dementia</w:t>
      </w:r>
      <w:r w:rsidRPr="000A56C6">
        <w:rPr>
          <w:rFonts w:ascii="Times New Roman" w:hAnsi="Times New Roman"/>
          <w:szCs w:val="24"/>
        </w:rPr>
        <w:t>. Alzheimer’s Disease International. Available at: &lt;https://www.alz.co.uk/research/WorldAlzheimerReport2013.pdf&gt;[Accessed 6 August 2018]</w:t>
      </w:r>
    </w:p>
    <w:p w14:paraId="50E892E7"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Pring, R., 2000. </w:t>
      </w:r>
      <w:r w:rsidRPr="008101DD">
        <w:rPr>
          <w:rFonts w:ascii="Times New Roman" w:hAnsi="Times New Roman"/>
          <w:i/>
          <w:szCs w:val="24"/>
        </w:rPr>
        <w:t>Philosophy of educational research</w:t>
      </w:r>
      <w:r w:rsidRPr="008101DD">
        <w:rPr>
          <w:rFonts w:ascii="Times New Roman" w:hAnsi="Times New Roman"/>
          <w:szCs w:val="24"/>
        </w:rPr>
        <w:t>. London: Continuum.</w:t>
      </w:r>
    </w:p>
    <w:p w14:paraId="0558777F" w14:textId="77777777" w:rsidR="00503349" w:rsidRDefault="00503349" w:rsidP="00503349">
      <w:pPr>
        <w:rPr>
          <w:rFonts w:ascii="Times New Roman" w:hAnsi="Times New Roman"/>
          <w:szCs w:val="24"/>
        </w:rPr>
      </w:pPr>
      <w:r w:rsidRPr="00602F7D">
        <w:rPr>
          <w:rFonts w:ascii="Times New Roman" w:hAnsi="Times New Roman"/>
          <w:szCs w:val="24"/>
        </w:rPr>
        <w:lastRenderedPageBreak/>
        <w:t>Purcell, S.R., Kutash, M. and Cobb, S., 2011. The relationship between nurses' stress and nurse staffing factors in a hospital setting. Journal of Nursing Management, 14, pp. 714-720.</w:t>
      </w:r>
    </w:p>
    <w:p w14:paraId="2DECF2D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lang w:val="en"/>
        </w:rPr>
        <w:t xml:space="preserve">Pyke, K.D. and Bengston, V.L., 1996. Caring more or less: individualistic and collectivist systems of family eldercare. </w:t>
      </w:r>
      <w:r w:rsidRPr="002B3011">
        <w:rPr>
          <w:rFonts w:ascii="Times New Roman" w:hAnsi="Times New Roman"/>
          <w:i/>
          <w:iCs/>
          <w:szCs w:val="24"/>
          <w:lang w:val="en"/>
        </w:rPr>
        <w:t>Journal of Marriage &amp; Family</w:t>
      </w:r>
      <w:r w:rsidRPr="002B3011">
        <w:rPr>
          <w:rFonts w:ascii="Times New Roman" w:hAnsi="Times New Roman"/>
          <w:szCs w:val="24"/>
          <w:lang w:val="en"/>
        </w:rPr>
        <w:t>, 58, pp. 379-392.</w:t>
      </w:r>
    </w:p>
    <w:p w14:paraId="762DFD2C"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Quayhagen, M.P. and Quayhagen, M., 1996. Discovering life quality in coping with dementia. </w:t>
      </w:r>
      <w:r w:rsidRPr="000A56C6">
        <w:rPr>
          <w:rFonts w:ascii="Times New Roman" w:hAnsi="Times New Roman"/>
          <w:i/>
          <w:iCs/>
          <w:szCs w:val="24"/>
        </w:rPr>
        <w:t>Western Journal of Nursing Research</w:t>
      </w:r>
      <w:r w:rsidRPr="000A56C6">
        <w:rPr>
          <w:rFonts w:ascii="Times New Roman" w:hAnsi="Times New Roman"/>
          <w:szCs w:val="24"/>
        </w:rPr>
        <w:t>, 18(2), pp. 120-135.</w:t>
      </w:r>
    </w:p>
    <w:p w14:paraId="5D56689C" w14:textId="77777777" w:rsidR="00503349" w:rsidRPr="00347A4D"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Quinn, C., Clare, L. and Woods, R.T., 2010. The impact of motivations and meanings on the wellbeing of caregivers of people with dementia: a systematic review. </w:t>
      </w:r>
      <w:r w:rsidRPr="00945DA4">
        <w:rPr>
          <w:rFonts w:ascii="Times New Roman" w:hAnsi="Times New Roman"/>
          <w:i/>
          <w:szCs w:val="24"/>
          <w:bdr w:val="none" w:sz="0" w:space="0" w:color="auto" w:frame="1"/>
        </w:rPr>
        <w:t>International Psychogeriatrics</w:t>
      </w:r>
      <w:r w:rsidRPr="00945DA4">
        <w:rPr>
          <w:rFonts w:ascii="Times New Roman" w:hAnsi="Times New Roman"/>
          <w:szCs w:val="24"/>
          <w:bdr w:val="none" w:sz="0" w:space="0" w:color="auto" w:frame="1"/>
        </w:rPr>
        <w:t>, 22, pp 43-55.</w:t>
      </w:r>
    </w:p>
    <w:p w14:paraId="56F80A9A"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Quinn, G.P., Bell, B.A., Bell, M.Y., Caraway, V.D., Conforte, D., Graci, L.B., Powell-Stafford, V.L., Sapp, A.L., Shimizu, C.O., Vaughn, E.J., Williams, C. and Bepler, G., 2007. The guinea pig syndrome: improving clinical trial participation among thoracic patients. </w:t>
      </w:r>
      <w:r w:rsidRPr="004E3E8F">
        <w:rPr>
          <w:rFonts w:ascii="Times New Roman" w:hAnsi="Times New Roman"/>
          <w:i/>
          <w:szCs w:val="24"/>
        </w:rPr>
        <w:t>Journal of Thoracic Oncology</w:t>
      </w:r>
      <w:r w:rsidRPr="004E3E8F">
        <w:rPr>
          <w:rFonts w:ascii="Times New Roman" w:hAnsi="Times New Roman"/>
          <w:bCs/>
          <w:szCs w:val="24"/>
        </w:rPr>
        <w:t xml:space="preserve">, </w:t>
      </w:r>
      <w:r w:rsidRPr="004E3E8F">
        <w:rPr>
          <w:rFonts w:ascii="Times New Roman" w:hAnsi="Times New Roman"/>
          <w:szCs w:val="24"/>
        </w:rPr>
        <w:t>2(3), pp. 191-196.</w:t>
      </w:r>
    </w:p>
    <w:p w14:paraId="04BB9F4C"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Rabins, P., </w:t>
      </w:r>
      <w:bookmarkStart w:id="314" w:name="_Hlk52035900"/>
      <w:r w:rsidRPr="00CF1AE8">
        <w:rPr>
          <w:rFonts w:ascii="Times New Roman" w:hAnsi="Times New Roman"/>
          <w:szCs w:val="24"/>
        </w:rPr>
        <w:t>Lyketsos, C. and Steele</w:t>
      </w:r>
      <w:bookmarkEnd w:id="314"/>
      <w:r w:rsidRPr="00CF1AE8">
        <w:rPr>
          <w:rFonts w:ascii="Times New Roman" w:hAnsi="Times New Roman"/>
          <w:szCs w:val="24"/>
        </w:rPr>
        <w:t xml:space="preserve">, C., eds., 2016. </w:t>
      </w:r>
      <w:r w:rsidRPr="00CF1AE8">
        <w:rPr>
          <w:rFonts w:ascii="Times New Roman" w:hAnsi="Times New Roman"/>
          <w:i/>
          <w:iCs/>
          <w:szCs w:val="24"/>
        </w:rPr>
        <w:t>Practical Dementia Care</w:t>
      </w:r>
      <w:r w:rsidRPr="00CF1AE8">
        <w:rPr>
          <w:rFonts w:ascii="Times New Roman" w:hAnsi="Times New Roman"/>
          <w:szCs w:val="24"/>
        </w:rPr>
        <w:t>, 3rd ed. New York: Oxford University Press.</w:t>
      </w:r>
    </w:p>
    <w:p w14:paraId="2CDAE8EC"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Racher, F. and Robinson, S., 2003. Are phenomenology and postpostivism strange bedfellows? </w:t>
      </w:r>
      <w:r w:rsidRPr="008101DD">
        <w:rPr>
          <w:rFonts w:ascii="Times New Roman" w:hAnsi="Times New Roman"/>
          <w:i/>
          <w:szCs w:val="24"/>
        </w:rPr>
        <w:t>Western Journal of Nursing Research</w:t>
      </w:r>
      <w:r w:rsidRPr="008101DD">
        <w:rPr>
          <w:rFonts w:ascii="Times New Roman" w:hAnsi="Times New Roman"/>
          <w:szCs w:val="24"/>
        </w:rPr>
        <w:t>, 25(5), pp. 464-481.</w:t>
      </w:r>
    </w:p>
    <w:p w14:paraId="6526760E"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 xml:space="preserve">Rachli, H., 2002. Altruism and selfishness. </w:t>
      </w:r>
      <w:r w:rsidRPr="00945DA4">
        <w:rPr>
          <w:rFonts w:ascii="Times New Roman" w:hAnsi="Times New Roman"/>
          <w:i/>
          <w:szCs w:val="24"/>
          <w:bdr w:val="none" w:sz="0" w:space="0" w:color="auto" w:frame="1"/>
        </w:rPr>
        <w:t>Behavioral and Brain Sciences</w:t>
      </w:r>
      <w:r w:rsidRPr="00945DA4">
        <w:rPr>
          <w:rFonts w:ascii="Times New Roman" w:hAnsi="Times New Roman"/>
          <w:szCs w:val="24"/>
          <w:bdr w:val="none" w:sz="0" w:space="0" w:color="auto" w:frame="1"/>
        </w:rPr>
        <w:t>, 25, pp. 239-296.</w:t>
      </w:r>
    </w:p>
    <w:p w14:paraId="0F8BEC80" w14:textId="77777777" w:rsidR="00503349" w:rsidRDefault="00503349" w:rsidP="00503349">
      <w:pPr>
        <w:rPr>
          <w:rFonts w:ascii="Times" w:hAnsi="Times" w:cs="Times"/>
          <w:szCs w:val="24"/>
        </w:rPr>
      </w:pPr>
      <w:r w:rsidRPr="008D6609">
        <w:rPr>
          <w:rFonts w:ascii="Times" w:hAnsi="Times" w:cs="Times"/>
          <w:szCs w:val="24"/>
        </w:rPr>
        <w:t>Rafferty, A.M., Clarke, S.P., Coles, J., Ball, J., James, P., McKee, M. and Aiken, L.H., 2007. Outcomes of variation in hospital nurse staffing in English hospitals: cross-sectional analysis of survey data and discharge records. </w:t>
      </w:r>
      <w:r w:rsidRPr="008D6609">
        <w:rPr>
          <w:rFonts w:ascii="Times" w:hAnsi="Times" w:cs="Times"/>
          <w:i/>
          <w:iCs/>
          <w:szCs w:val="24"/>
        </w:rPr>
        <w:t>International journal of nursing studies</w:t>
      </w:r>
      <w:r w:rsidRPr="008D6609">
        <w:rPr>
          <w:rFonts w:ascii="Times" w:hAnsi="Times" w:cs="Times"/>
          <w:szCs w:val="24"/>
        </w:rPr>
        <w:t>, </w:t>
      </w:r>
      <w:r w:rsidRPr="000C2CD1">
        <w:rPr>
          <w:rFonts w:ascii="Times" w:hAnsi="Times" w:cs="Times"/>
          <w:szCs w:val="24"/>
        </w:rPr>
        <w:t>44</w:t>
      </w:r>
      <w:r w:rsidRPr="008D6609">
        <w:rPr>
          <w:rFonts w:ascii="Times" w:hAnsi="Times" w:cs="Times"/>
          <w:szCs w:val="24"/>
        </w:rPr>
        <w:t>(2), pp.</w:t>
      </w:r>
      <w:r>
        <w:rPr>
          <w:rFonts w:ascii="Times" w:hAnsi="Times" w:cs="Times"/>
          <w:szCs w:val="24"/>
        </w:rPr>
        <w:t xml:space="preserve"> </w:t>
      </w:r>
      <w:r w:rsidRPr="008D6609">
        <w:rPr>
          <w:rFonts w:ascii="Times" w:hAnsi="Times" w:cs="Times"/>
          <w:szCs w:val="24"/>
        </w:rPr>
        <w:t>175-182.</w:t>
      </w:r>
    </w:p>
    <w:p w14:paraId="05FCB62E" w14:textId="77777777" w:rsidR="00503349" w:rsidRPr="00945DA4" w:rsidRDefault="00503349" w:rsidP="00503349">
      <w:pPr>
        <w:jc w:val="both"/>
        <w:rPr>
          <w:rFonts w:ascii="Times New Roman" w:hAnsi="Times New Roman"/>
          <w:bCs/>
          <w:szCs w:val="24"/>
          <w:bdr w:val="none" w:sz="0" w:space="0" w:color="auto" w:frame="1"/>
        </w:rPr>
      </w:pPr>
      <w:r w:rsidRPr="00945DA4">
        <w:rPr>
          <w:rFonts w:ascii="Times New Roman" w:hAnsi="Times New Roman"/>
          <w:bCs/>
          <w:szCs w:val="24"/>
          <w:bdr w:val="none" w:sz="0" w:space="0" w:color="auto" w:frame="1"/>
        </w:rPr>
        <w:t xml:space="preserve">Rahman, H., 2012. Henry Fayol and Frederick Winslow Taylor’s contribution to management thought: an overview. </w:t>
      </w:r>
      <w:r w:rsidRPr="00945DA4">
        <w:rPr>
          <w:rFonts w:ascii="Times New Roman" w:hAnsi="Times New Roman"/>
          <w:i/>
          <w:szCs w:val="24"/>
          <w:bdr w:val="none" w:sz="0" w:space="0" w:color="auto" w:frame="1"/>
        </w:rPr>
        <w:t>Journal of Advanced Research</w:t>
      </w:r>
      <w:r w:rsidRPr="00945DA4">
        <w:rPr>
          <w:rFonts w:ascii="Times New Roman" w:hAnsi="Times New Roman"/>
          <w:szCs w:val="24"/>
          <w:bdr w:val="none" w:sz="0" w:space="0" w:color="auto" w:frame="1"/>
        </w:rPr>
        <w:t>, 1(2), pp. 94-103.</w:t>
      </w:r>
    </w:p>
    <w:p w14:paraId="4AE5C7B8" w14:textId="77777777" w:rsidR="00503349" w:rsidRPr="00347A4D" w:rsidRDefault="00503349" w:rsidP="00503349">
      <w:pPr>
        <w:jc w:val="both"/>
        <w:rPr>
          <w:rStyle w:val="Date1"/>
          <w:rFonts w:ascii="Times New Roman" w:hAnsi="Times New Roman"/>
          <w:szCs w:val="24"/>
          <w:bdr w:val="none" w:sz="0" w:space="0" w:color="auto" w:frame="1"/>
        </w:rPr>
      </w:pPr>
      <w:r w:rsidRPr="00945DA4">
        <w:rPr>
          <w:rFonts w:ascii="Times New Roman" w:hAnsi="Times New Roman"/>
          <w:szCs w:val="24"/>
          <w:bdr w:val="none" w:sz="0" w:space="0" w:color="auto" w:frame="1"/>
        </w:rPr>
        <w:lastRenderedPageBreak/>
        <w:t xml:space="preserve">Rakovski, C.C. and Price-Glynn, K., 2010. Caring labour, intersectionality and worker satisfaction: an analysis of the National Nursing Assistant Study (NNAS). </w:t>
      </w:r>
      <w:r w:rsidRPr="00945DA4">
        <w:rPr>
          <w:rFonts w:ascii="Times New Roman" w:hAnsi="Times New Roman"/>
          <w:i/>
          <w:szCs w:val="24"/>
          <w:bdr w:val="none" w:sz="0" w:space="0" w:color="auto" w:frame="1"/>
        </w:rPr>
        <w:t>Sociology of Health &amp; Illness</w:t>
      </w:r>
      <w:r w:rsidRPr="00945DA4">
        <w:rPr>
          <w:rFonts w:ascii="Times New Roman" w:hAnsi="Times New Roman"/>
          <w:szCs w:val="24"/>
          <w:bdr w:val="none" w:sz="0" w:space="0" w:color="auto" w:frame="1"/>
        </w:rPr>
        <w:t>, 32(3), pp. 400-414.</w:t>
      </w:r>
    </w:p>
    <w:p w14:paraId="6C2BC2D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Rapp, S. and Chao, D., 2000. Appraisals of strain and gain: Effects on psychological wellbeing of caregivers of dementia patients. </w:t>
      </w:r>
      <w:r w:rsidRPr="002B3011">
        <w:rPr>
          <w:rFonts w:ascii="Times New Roman" w:hAnsi="Times New Roman"/>
          <w:i/>
          <w:szCs w:val="24"/>
        </w:rPr>
        <w:t xml:space="preserve">Aging </w:t>
      </w:r>
      <w:r>
        <w:rPr>
          <w:rFonts w:ascii="Times New Roman" w:hAnsi="Times New Roman"/>
          <w:i/>
          <w:szCs w:val="24"/>
        </w:rPr>
        <w:t>&amp;</w:t>
      </w:r>
      <w:r w:rsidRPr="002B3011">
        <w:rPr>
          <w:rFonts w:ascii="Times New Roman" w:hAnsi="Times New Roman"/>
          <w:i/>
          <w:szCs w:val="24"/>
        </w:rPr>
        <w:t xml:space="preserve"> Mental Health</w:t>
      </w:r>
      <w:r w:rsidRPr="002B3011">
        <w:rPr>
          <w:rFonts w:ascii="Times New Roman" w:hAnsi="Times New Roman"/>
          <w:szCs w:val="24"/>
        </w:rPr>
        <w:t>, 4(2), pp. 142-147.</w:t>
      </w:r>
    </w:p>
    <w:p w14:paraId="65DED2F9"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Rapport, F., 2005. Hermeneutic phenomenology: the science of interpretation of text.  In: I. Holloway, ed. </w:t>
      </w:r>
      <w:r w:rsidRPr="008101DD">
        <w:rPr>
          <w:rFonts w:ascii="Times New Roman" w:hAnsi="Times New Roman"/>
          <w:i/>
          <w:szCs w:val="24"/>
        </w:rPr>
        <w:t>Qualitative Research in Health</w:t>
      </w:r>
      <w:r w:rsidRPr="008101DD">
        <w:rPr>
          <w:rFonts w:ascii="Times New Roman" w:hAnsi="Times New Roman"/>
          <w:szCs w:val="24"/>
        </w:rPr>
        <w:t>. Berkshire: Open University Press, pp.</w:t>
      </w:r>
      <w:r>
        <w:rPr>
          <w:rFonts w:ascii="Times New Roman" w:hAnsi="Times New Roman"/>
          <w:szCs w:val="24"/>
        </w:rPr>
        <w:t xml:space="preserve"> </w:t>
      </w:r>
      <w:r w:rsidRPr="008101DD">
        <w:rPr>
          <w:rFonts w:ascii="Times New Roman" w:hAnsi="Times New Roman"/>
          <w:szCs w:val="24"/>
        </w:rPr>
        <w:t>125-146.</w:t>
      </w:r>
    </w:p>
    <w:p w14:paraId="30509A10"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Rasin, J. and Kautz, D.D., 2007. </w:t>
      </w:r>
      <w:r w:rsidRPr="000A56C6">
        <w:rPr>
          <w:rFonts w:ascii="Times New Roman" w:hAnsi="Times New Roman"/>
          <w:bCs/>
          <w:szCs w:val="24"/>
        </w:rPr>
        <w:t>Knowing the resident with dementia.</w:t>
      </w:r>
      <w:r w:rsidRPr="000A56C6">
        <w:rPr>
          <w:rFonts w:ascii="Times New Roman" w:hAnsi="Times New Roman"/>
          <w:szCs w:val="24"/>
        </w:rPr>
        <w:t xml:space="preserve"> </w:t>
      </w:r>
      <w:r w:rsidRPr="000A56C6">
        <w:rPr>
          <w:rFonts w:ascii="Times New Roman" w:hAnsi="Times New Roman"/>
          <w:i/>
          <w:szCs w:val="24"/>
        </w:rPr>
        <w:t>Journal of Gerontological Nursing</w:t>
      </w:r>
      <w:r w:rsidRPr="000A56C6">
        <w:rPr>
          <w:rFonts w:ascii="Times New Roman" w:hAnsi="Times New Roman"/>
          <w:szCs w:val="24"/>
        </w:rPr>
        <w:t>, 33(9), pp. 30-36.</w:t>
      </w:r>
    </w:p>
    <w:p w14:paraId="1F33181A" w14:textId="77777777" w:rsidR="00503349" w:rsidRPr="00945DA4" w:rsidRDefault="00503349" w:rsidP="00503349">
      <w:pPr>
        <w:jc w:val="both"/>
        <w:rPr>
          <w:rFonts w:ascii="Times New Roman" w:hAnsi="Times New Roman"/>
          <w:szCs w:val="24"/>
          <w:bdr w:val="none" w:sz="0" w:space="0" w:color="auto" w:frame="1"/>
        </w:rPr>
      </w:pPr>
      <w:r w:rsidRPr="00945DA4">
        <w:rPr>
          <w:rFonts w:ascii="Times New Roman" w:hAnsi="Times New Roman"/>
          <w:szCs w:val="24"/>
          <w:bdr w:val="none" w:sz="0" w:space="0" w:color="auto" w:frame="1"/>
        </w:rPr>
        <w:t>Rasskazova, E., Ivanova, T. and Sheldon, K. 2016. Comparing the effects of low-level and high-level worker need-satisfaction: a synthesis of the self-determination and Maslow need theories. </w:t>
      </w:r>
      <w:r w:rsidRPr="00945DA4">
        <w:rPr>
          <w:rFonts w:ascii="Times New Roman" w:hAnsi="Times New Roman"/>
          <w:i/>
          <w:iCs/>
          <w:szCs w:val="24"/>
          <w:bdr w:val="none" w:sz="0" w:space="0" w:color="auto" w:frame="1"/>
        </w:rPr>
        <w:t>Motivation and Emotion</w:t>
      </w:r>
      <w:r w:rsidRPr="00945DA4">
        <w:rPr>
          <w:rFonts w:ascii="Times New Roman" w:hAnsi="Times New Roman"/>
          <w:iCs/>
          <w:szCs w:val="24"/>
          <w:bdr w:val="none" w:sz="0" w:space="0" w:color="auto" w:frame="1"/>
        </w:rPr>
        <w:t>,</w:t>
      </w:r>
      <w:r w:rsidRPr="00945DA4">
        <w:rPr>
          <w:rFonts w:ascii="Times New Roman" w:hAnsi="Times New Roman"/>
          <w:szCs w:val="24"/>
          <w:bdr w:val="none" w:sz="0" w:space="0" w:color="auto" w:frame="1"/>
        </w:rPr>
        <w:t xml:space="preserve"> 40(4), pp. 541-555.</w:t>
      </w:r>
    </w:p>
    <w:p w14:paraId="06307172" w14:textId="77777777" w:rsidR="00503349" w:rsidRPr="000A56C6" w:rsidRDefault="00503349" w:rsidP="00503349">
      <w:pPr>
        <w:rPr>
          <w:rFonts w:ascii="Times New Roman" w:hAnsi="Times New Roman"/>
        </w:rPr>
      </w:pPr>
      <w:r w:rsidRPr="000A56C6">
        <w:rPr>
          <w:rFonts w:ascii="Times New Roman" w:hAnsi="Times New Roman"/>
        </w:rPr>
        <w:t xml:space="preserve">Ravalier, J.M., Fidalgo, A.R., Morton, R. and Russell, L., 2017. The influence of zero-hours contracts on care worker well-being. </w:t>
      </w:r>
      <w:r w:rsidRPr="000A56C6">
        <w:rPr>
          <w:rFonts w:ascii="Times New Roman" w:hAnsi="Times New Roman"/>
          <w:i/>
          <w:iCs/>
        </w:rPr>
        <w:t>Occupational Medicine</w:t>
      </w:r>
      <w:r w:rsidRPr="000A56C6">
        <w:rPr>
          <w:rFonts w:ascii="Times New Roman" w:hAnsi="Times New Roman"/>
        </w:rPr>
        <w:t>, 67(5), pp. 344-349.</w:t>
      </w:r>
    </w:p>
    <w:p w14:paraId="0B7CC748" w14:textId="77777777" w:rsidR="00503349" w:rsidRDefault="00503349" w:rsidP="00503349">
      <w:pPr>
        <w:spacing w:before="240"/>
        <w:jc w:val="both"/>
        <w:rPr>
          <w:rFonts w:ascii="Times New Roman" w:hAnsi="Times New Roman"/>
          <w:noProof/>
          <w:szCs w:val="24"/>
        </w:rPr>
      </w:pPr>
      <w:r>
        <w:rPr>
          <w:rFonts w:ascii="Times New Roman" w:hAnsi="Times New Roman"/>
          <w:bCs/>
          <w:szCs w:val="24"/>
        </w:rPr>
        <w:t xml:space="preserve">Ravenstein, E.G., 1889. The laws of migration. </w:t>
      </w:r>
      <w:r>
        <w:rPr>
          <w:rFonts w:ascii="Times New Roman" w:hAnsi="Times New Roman"/>
          <w:bCs/>
          <w:i/>
          <w:iCs/>
          <w:szCs w:val="24"/>
        </w:rPr>
        <w:t>Journal of the Royal Statistical Society</w:t>
      </w:r>
      <w:r>
        <w:rPr>
          <w:rFonts w:ascii="Times New Roman" w:hAnsi="Times New Roman"/>
          <w:bCs/>
          <w:szCs w:val="24"/>
        </w:rPr>
        <w:t>, 52(2), pp. 241-305.</w:t>
      </w:r>
    </w:p>
    <w:p w14:paraId="4CF5D6B8" w14:textId="77777777" w:rsidR="00503349" w:rsidRPr="004E3E8F" w:rsidRDefault="00503349" w:rsidP="00503349">
      <w:pPr>
        <w:jc w:val="both"/>
        <w:rPr>
          <w:rFonts w:ascii="Times New Roman" w:hAnsi="Times New Roman"/>
          <w:color w:val="000000"/>
          <w:szCs w:val="24"/>
        </w:rPr>
      </w:pPr>
      <w:r w:rsidRPr="004E3E8F">
        <w:rPr>
          <w:rFonts w:ascii="Times New Roman" w:hAnsi="Times New Roman"/>
          <w:color w:val="000000"/>
          <w:szCs w:val="24"/>
        </w:rPr>
        <w:t xml:space="preserve">Redman, B.K. and Fry, S.T., 1996. Ethical conflicts reported by registered/certified diabetes educators. </w:t>
      </w:r>
      <w:r w:rsidRPr="004E3E8F">
        <w:rPr>
          <w:rFonts w:ascii="Times New Roman" w:hAnsi="Times New Roman"/>
          <w:i/>
          <w:color w:val="000000"/>
          <w:szCs w:val="24"/>
        </w:rPr>
        <w:t>Diabetes Education</w:t>
      </w:r>
      <w:r w:rsidRPr="004E3E8F">
        <w:rPr>
          <w:rFonts w:ascii="Times New Roman" w:hAnsi="Times New Roman"/>
          <w:color w:val="000000"/>
          <w:szCs w:val="24"/>
        </w:rPr>
        <w:t>, 22, pp. 219-224.</w:t>
      </w:r>
    </w:p>
    <w:p w14:paraId="0E3B2837"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Redman, B.K. and Fry, S.T., 2000. Nurses’ ethical conflicts: what is really known about them? </w:t>
      </w:r>
      <w:r w:rsidRPr="004E3E8F">
        <w:rPr>
          <w:rFonts w:ascii="Times New Roman" w:hAnsi="Times New Roman"/>
          <w:i/>
          <w:iCs/>
          <w:szCs w:val="24"/>
        </w:rPr>
        <w:t>Nursing Ethics</w:t>
      </w:r>
      <w:r w:rsidRPr="004E3E8F">
        <w:rPr>
          <w:rFonts w:ascii="Times New Roman" w:hAnsi="Times New Roman"/>
          <w:szCs w:val="24"/>
        </w:rPr>
        <w:t>, 7(4), pp. 360-366.</w:t>
      </w:r>
    </w:p>
    <w:p w14:paraId="0E82718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Redman, B.K. and Fry, S.T., 2003. Ethics and human rights issues experienced by nurses in leadership roles. </w:t>
      </w:r>
      <w:r w:rsidRPr="004E3E8F">
        <w:rPr>
          <w:rFonts w:ascii="Times New Roman" w:hAnsi="Times New Roman"/>
          <w:i/>
          <w:iCs/>
          <w:szCs w:val="24"/>
        </w:rPr>
        <w:t>Nursing Leadership Forum</w:t>
      </w:r>
      <w:r w:rsidRPr="004E3E8F">
        <w:rPr>
          <w:rFonts w:ascii="Times New Roman" w:hAnsi="Times New Roman"/>
          <w:szCs w:val="24"/>
        </w:rPr>
        <w:t>, 7(4), pp. 150-156.</w:t>
      </w:r>
    </w:p>
    <w:p w14:paraId="3D499CE3" w14:textId="77777777" w:rsidR="00503349" w:rsidRPr="003B1F2E" w:rsidRDefault="00503349" w:rsidP="00503349">
      <w:pPr>
        <w:spacing w:before="240"/>
        <w:rPr>
          <w:rFonts w:ascii="Times New Roman" w:hAnsi="Times New Roman"/>
          <w:szCs w:val="24"/>
        </w:rPr>
      </w:pPr>
      <w:r w:rsidRPr="003B1F2E">
        <w:rPr>
          <w:rFonts w:ascii="Times New Roman" w:hAnsi="Times New Roman"/>
          <w:szCs w:val="24"/>
        </w:rPr>
        <w:lastRenderedPageBreak/>
        <w:t xml:space="preserve">Redman, B.K., Hill, M.N. and Fry, S.T., 1997. Ethical conflicts reported by certified nephrology nurses (CNNs) practicing in dialysis settings. </w:t>
      </w:r>
      <w:r w:rsidRPr="000C2CD1">
        <w:rPr>
          <w:rFonts w:ascii="Times New Roman" w:hAnsi="Times New Roman"/>
          <w:i/>
          <w:iCs/>
          <w:szCs w:val="24"/>
        </w:rPr>
        <w:t>American Nephrology Nurses Association</w:t>
      </w:r>
      <w:r w:rsidRPr="003B1F2E">
        <w:rPr>
          <w:rFonts w:ascii="Times New Roman" w:hAnsi="Times New Roman"/>
          <w:i/>
          <w:iCs/>
          <w:szCs w:val="24"/>
        </w:rPr>
        <w:t xml:space="preserve"> Journal</w:t>
      </w:r>
      <w:r w:rsidRPr="003B1F2E">
        <w:rPr>
          <w:rFonts w:ascii="Times New Roman" w:hAnsi="Times New Roman"/>
          <w:szCs w:val="24"/>
        </w:rPr>
        <w:t>, 24, pp. 23-34.</w:t>
      </w:r>
    </w:p>
    <w:p w14:paraId="4C14725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Rees, D.K., 2003. Gadamer’s philosophical hermeneutics: the vantage points and the horizons in readers’ responses to an American literature text. </w:t>
      </w:r>
      <w:r w:rsidRPr="008101DD">
        <w:rPr>
          <w:rFonts w:ascii="Times New Roman" w:hAnsi="Times New Roman"/>
          <w:i/>
          <w:iCs/>
          <w:szCs w:val="24"/>
        </w:rPr>
        <w:t>The Reading Matrix</w:t>
      </w:r>
      <w:r w:rsidRPr="008101DD">
        <w:rPr>
          <w:rFonts w:ascii="Times New Roman" w:hAnsi="Times New Roman"/>
          <w:szCs w:val="24"/>
        </w:rPr>
        <w:t xml:space="preserve">, [e-journal] </w:t>
      </w:r>
      <w:r w:rsidRPr="008101DD">
        <w:rPr>
          <w:rFonts w:ascii="Times New Roman" w:hAnsi="Times New Roman"/>
          <w:iCs/>
          <w:szCs w:val="24"/>
        </w:rPr>
        <w:t>3(1)</w:t>
      </w:r>
      <w:r w:rsidRPr="008101DD">
        <w:rPr>
          <w:rFonts w:ascii="Times New Roman" w:hAnsi="Times New Roman"/>
          <w:szCs w:val="24"/>
        </w:rPr>
        <w:t>, pp. 1-17. Available at: &lt;http://www.readingmatrix.com/articles/rees/article.pdf&gt;[Accessed 7 April 2019]</w:t>
      </w:r>
    </w:p>
    <w:p w14:paraId="4772CD64"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Rettberg, J.W. and Gajjala, R., 2016. Terrorists or cowards: negative portrayals of male Syrian refugees in social media. </w:t>
      </w:r>
      <w:r>
        <w:rPr>
          <w:rFonts w:ascii="Times New Roman" w:hAnsi="Times New Roman"/>
          <w:i/>
          <w:iCs/>
          <w:szCs w:val="24"/>
        </w:rPr>
        <w:t>Feminist Media Studies</w:t>
      </w:r>
      <w:r>
        <w:rPr>
          <w:rFonts w:ascii="Times New Roman" w:hAnsi="Times New Roman"/>
          <w:szCs w:val="24"/>
        </w:rPr>
        <w:t xml:space="preserve">, </w:t>
      </w:r>
      <w:r w:rsidRPr="000C2CD1">
        <w:rPr>
          <w:rFonts w:ascii="Times New Roman" w:hAnsi="Times New Roman"/>
          <w:szCs w:val="24"/>
        </w:rPr>
        <w:t>16</w:t>
      </w:r>
      <w:r>
        <w:rPr>
          <w:rFonts w:ascii="Times New Roman" w:hAnsi="Times New Roman"/>
          <w:szCs w:val="24"/>
        </w:rPr>
        <w:t>, pp. 178-181.</w:t>
      </w:r>
    </w:p>
    <w:p w14:paraId="1A3E5D1B"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Revenson, T.A., Griva, K., Luszczynska, A., Morrison, V., Panagopoulou, Vilchinsky, N. and Hagedoorn, M., 2016</w:t>
      </w:r>
      <w:r>
        <w:rPr>
          <w:rFonts w:ascii="Times New Roman" w:hAnsi="Times New Roman"/>
          <w:szCs w:val="24"/>
          <w:bdr w:val="none" w:sz="0" w:space="0" w:color="auto" w:frame="1"/>
        </w:rPr>
        <w:t>a</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Caregiving in the illness context</w:t>
      </w:r>
      <w:r w:rsidRPr="00EF189A">
        <w:rPr>
          <w:rFonts w:ascii="Times New Roman" w:hAnsi="Times New Roman"/>
          <w:szCs w:val="24"/>
          <w:bdr w:val="none" w:sz="0" w:space="0" w:color="auto" w:frame="1"/>
        </w:rPr>
        <w:t>. Basingstoke: Palgrave Macmillan</w:t>
      </w:r>
      <w:r>
        <w:rPr>
          <w:rFonts w:ascii="Times New Roman" w:hAnsi="Times New Roman"/>
          <w:szCs w:val="24"/>
          <w:bdr w:val="none" w:sz="0" w:space="0" w:color="auto" w:frame="1"/>
        </w:rPr>
        <w:t>.</w:t>
      </w:r>
    </w:p>
    <w:p w14:paraId="65869E3D" w14:textId="77777777" w:rsidR="00503349" w:rsidRPr="000A56C6" w:rsidRDefault="00503349" w:rsidP="00503349">
      <w:pPr>
        <w:rPr>
          <w:rFonts w:ascii="Times New Roman" w:hAnsi="Times New Roman"/>
          <w:szCs w:val="24"/>
        </w:rPr>
      </w:pPr>
      <w:r w:rsidRPr="000A56C6">
        <w:rPr>
          <w:rFonts w:ascii="Times New Roman" w:hAnsi="Times New Roman"/>
          <w:szCs w:val="24"/>
        </w:rPr>
        <w:t>Revenson, T.A., Griva, K., Luszczynska, A., Morrison, V., Panagopoulou, E., Vilchinsky, N. and Hagedoorn, M., 2016</w:t>
      </w:r>
      <w:r>
        <w:rPr>
          <w:rFonts w:ascii="Times New Roman" w:hAnsi="Times New Roman"/>
          <w:szCs w:val="24"/>
        </w:rPr>
        <w:t>b</w:t>
      </w:r>
      <w:r w:rsidRPr="000A56C6">
        <w:rPr>
          <w:rFonts w:ascii="Times New Roman" w:hAnsi="Times New Roman"/>
          <w:szCs w:val="24"/>
        </w:rPr>
        <w:t xml:space="preserve">. Gender and caregiving: the costs of caregiving for women. </w:t>
      </w:r>
      <w:r w:rsidRPr="000A56C6">
        <w:rPr>
          <w:rFonts w:ascii="Times New Roman" w:hAnsi="Times New Roman"/>
          <w:bCs/>
          <w:szCs w:val="24"/>
        </w:rPr>
        <w:t xml:space="preserve">In: </w:t>
      </w:r>
      <w:r w:rsidRPr="000A56C6">
        <w:rPr>
          <w:rFonts w:ascii="Times New Roman" w:hAnsi="Times New Roman"/>
          <w:bCs/>
          <w:i/>
          <w:szCs w:val="24"/>
        </w:rPr>
        <w:t>Caregiving in the Illness Context</w:t>
      </w:r>
      <w:r w:rsidRPr="000A56C6">
        <w:rPr>
          <w:rFonts w:ascii="Times New Roman" w:hAnsi="Times New Roman"/>
          <w:szCs w:val="24"/>
        </w:rPr>
        <w:t xml:space="preserve">. London: </w:t>
      </w:r>
      <w:r w:rsidRPr="000A56C6">
        <w:rPr>
          <w:rFonts w:ascii="Times" w:hAnsi="Times" w:cs="Times"/>
        </w:rPr>
        <w:t>Palgrave Pivot</w:t>
      </w:r>
      <w:r w:rsidRPr="000A56C6">
        <w:rPr>
          <w:rFonts w:ascii="Times New Roman" w:hAnsi="Times New Roman"/>
          <w:szCs w:val="24"/>
        </w:rPr>
        <w:t>. pp. 48-63.</w:t>
      </w:r>
    </w:p>
    <w:p w14:paraId="7871644C" w14:textId="77777777" w:rsidR="00503349" w:rsidRPr="000A56C6" w:rsidRDefault="00503349" w:rsidP="00503349">
      <w:pPr>
        <w:rPr>
          <w:rFonts w:ascii="Times New Roman" w:hAnsi="Times New Roman"/>
          <w:szCs w:val="24"/>
        </w:rPr>
      </w:pPr>
      <w:r w:rsidRPr="000A56C6">
        <w:rPr>
          <w:rFonts w:ascii="Times" w:hAnsi="Times" w:cs="Times"/>
        </w:rPr>
        <w:t>Revenson, T.A., Griva, K., Luszczynska, A., Morrison, V., Panagopoulou, E., Vilchinsky, N. and Hagedoorn, M., 2016</w:t>
      </w:r>
      <w:r>
        <w:rPr>
          <w:rFonts w:ascii="Times" w:hAnsi="Times" w:cs="Times"/>
        </w:rPr>
        <w:t>c</w:t>
      </w:r>
      <w:r w:rsidRPr="000A56C6">
        <w:rPr>
          <w:rFonts w:ascii="Times" w:hAnsi="Times" w:cs="Times"/>
        </w:rPr>
        <w:t xml:space="preserve">. The influence of culture on caregiving cognitions and motivations. In: </w:t>
      </w:r>
      <w:r w:rsidRPr="000A56C6">
        <w:rPr>
          <w:rFonts w:ascii="Times" w:hAnsi="Times" w:cs="Times"/>
          <w:i/>
          <w:iCs/>
        </w:rPr>
        <w:t>Caregiving in the Illness Context</w:t>
      </w:r>
      <w:r w:rsidRPr="000A56C6">
        <w:rPr>
          <w:rFonts w:ascii="Times" w:hAnsi="Times" w:cs="Times"/>
        </w:rPr>
        <w:t>. London: Palgrave Pivot. pp. 64-78.</w:t>
      </w:r>
    </w:p>
    <w:p w14:paraId="3121A52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Rhydderch, D., Krooupa, A‐M., Shefer, G., Goulden, R., Williams, P., Thornicroft, A., Rose, D., Thornicroft, G. and Henderson, C., 2016. Changes in newspaper coverage of mental illness from 2008 to 2014 in England. </w:t>
      </w:r>
      <w:r w:rsidRPr="00DA2952">
        <w:rPr>
          <w:rFonts w:ascii="Times New Roman" w:hAnsi="Times New Roman"/>
          <w:i/>
          <w:iCs/>
          <w:szCs w:val="24"/>
        </w:rPr>
        <w:t>Acta Psychiatrica Scandinavica</w:t>
      </w:r>
      <w:r w:rsidRPr="00DA2952">
        <w:rPr>
          <w:rFonts w:ascii="Times New Roman" w:hAnsi="Times New Roman"/>
          <w:szCs w:val="24"/>
        </w:rPr>
        <w:t>, 134 (Suppl. 446), pp. 45-52.</w:t>
      </w:r>
    </w:p>
    <w:p w14:paraId="72C9B895"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Ribeiro, O. and Paúl, C., 2008. Older male carers and the positive aspects of care. </w:t>
      </w:r>
      <w:r w:rsidRPr="002B3011">
        <w:rPr>
          <w:rFonts w:ascii="Times New Roman" w:hAnsi="Times New Roman"/>
          <w:i/>
          <w:szCs w:val="24"/>
        </w:rPr>
        <w:t>Ageing and Society</w:t>
      </w:r>
      <w:r w:rsidRPr="002B3011">
        <w:rPr>
          <w:rFonts w:ascii="Times New Roman" w:hAnsi="Times New Roman"/>
          <w:szCs w:val="24"/>
        </w:rPr>
        <w:t>, 28(2), pp. 165-183.</w:t>
      </w:r>
    </w:p>
    <w:p w14:paraId="3FBB3027" w14:textId="77777777" w:rsidR="00503349" w:rsidRPr="002B3011" w:rsidRDefault="00503349" w:rsidP="00503349">
      <w:pPr>
        <w:textAlignment w:val="baseline"/>
        <w:rPr>
          <w:rFonts w:ascii="Times New Roman" w:hAnsi="Times New Roman"/>
          <w:bCs/>
          <w:color w:val="000000"/>
          <w:szCs w:val="24"/>
        </w:rPr>
      </w:pPr>
      <w:r w:rsidRPr="002B3011">
        <w:rPr>
          <w:rFonts w:ascii="Times New Roman" w:hAnsi="Times New Roman"/>
          <w:bCs/>
          <w:color w:val="000000"/>
          <w:szCs w:val="24"/>
        </w:rPr>
        <w:lastRenderedPageBreak/>
        <w:t>Richards, K., Moniz-Cook, E., Duggan, P., Carr, I. and Wang, M., 2003. Defining 'early dementia' and monitoring intervention: What measures are useful in family caregiving?. </w:t>
      </w:r>
      <w:r w:rsidRPr="002B3011">
        <w:rPr>
          <w:rFonts w:ascii="Times New Roman" w:hAnsi="Times New Roman"/>
          <w:bCs/>
          <w:i/>
          <w:iCs/>
          <w:color w:val="000000"/>
          <w:szCs w:val="24"/>
        </w:rPr>
        <w:t>Aging &amp; Mental Health</w:t>
      </w:r>
      <w:r w:rsidRPr="002B3011">
        <w:rPr>
          <w:rFonts w:ascii="Times New Roman" w:hAnsi="Times New Roman"/>
          <w:bCs/>
          <w:color w:val="000000"/>
          <w:szCs w:val="24"/>
        </w:rPr>
        <w:t>, 7, pp. 7-14.</w:t>
      </w:r>
    </w:p>
    <w:p w14:paraId="0B33241C"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Richmond, A., 1988. Sociological theories of international migration: the case of refugees. </w:t>
      </w:r>
      <w:r>
        <w:rPr>
          <w:rFonts w:ascii="Times New Roman" w:hAnsi="Times New Roman"/>
          <w:i/>
          <w:szCs w:val="24"/>
        </w:rPr>
        <w:t>Current Sociology</w:t>
      </w:r>
      <w:r>
        <w:rPr>
          <w:rFonts w:ascii="Times New Roman" w:hAnsi="Times New Roman"/>
          <w:szCs w:val="24"/>
        </w:rPr>
        <w:t>, 36, pp. 7-25.</w:t>
      </w:r>
    </w:p>
    <w:p w14:paraId="43FCF4C7" w14:textId="77777777" w:rsidR="00503349" w:rsidRDefault="00503349" w:rsidP="00503349">
      <w:pPr>
        <w:spacing w:before="240"/>
        <w:jc w:val="both"/>
        <w:rPr>
          <w:rFonts w:ascii="Times New Roman" w:hAnsi="Times New Roman"/>
          <w:szCs w:val="24"/>
        </w:rPr>
      </w:pPr>
      <w:r>
        <w:rPr>
          <w:rFonts w:ascii="Times New Roman" w:hAnsi="Times New Roman"/>
          <w:szCs w:val="24"/>
        </w:rPr>
        <w:t>Richmond, A.H., 1993. Reactive migration: sociological perspectives on refugee movements. </w:t>
      </w:r>
      <w:r>
        <w:rPr>
          <w:rFonts w:ascii="Times New Roman" w:hAnsi="Times New Roman"/>
          <w:i/>
          <w:iCs/>
          <w:szCs w:val="24"/>
        </w:rPr>
        <w:t>Journal of Refugee Studies</w:t>
      </w:r>
      <w:r>
        <w:rPr>
          <w:rFonts w:ascii="Times New Roman" w:hAnsi="Times New Roman"/>
          <w:iCs/>
          <w:szCs w:val="24"/>
        </w:rPr>
        <w:t>,</w:t>
      </w:r>
      <w:r>
        <w:rPr>
          <w:rFonts w:ascii="Times New Roman" w:hAnsi="Times New Roman"/>
          <w:szCs w:val="24"/>
        </w:rPr>
        <w:t> 6, pp. 7-24.</w:t>
      </w:r>
    </w:p>
    <w:p w14:paraId="5A474F62"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Ricoeur, P., 1976. </w:t>
      </w:r>
      <w:r w:rsidRPr="008101DD">
        <w:rPr>
          <w:rFonts w:ascii="Times New Roman" w:hAnsi="Times New Roman"/>
          <w:i/>
          <w:iCs/>
          <w:szCs w:val="24"/>
        </w:rPr>
        <w:t>Interpretation theory: discourse and the surplus of meaning</w:t>
      </w:r>
      <w:r w:rsidRPr="008101DD">
        <w:rPr>
          <w:rFonts w:ascii="Times New Roman" w:hAnsi="Times New Roman"/>
          <w:szCs w:val="24"/>
        </w:rPr>
        <w:t>. Fort Worth: Texas Christian University Press.</w:t>
      </w:r>
    </w:p>
    <w:p w14:paraId="7CBD3B50"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Rienzo, C., 2018. </w:t>
      </w:r>
      <w:r>
        <w:rPr>
          <w:rFonts w:ascii="Times New Roman" w:hAnsi="Times New Roman"/>
          <w:bCs/>
          <w:szCs w:val="24"/>
        </w:rPr>
        <w:t>Outcomes of migrants in the UK Labour Market.</w:t>
      </w:r>
      <w:r>
        <w:rPr>
          <w:rFonts w:ascii="Times New Roman" w:hAnsi="Times New Roman"/>
          <w:szCs w:val="24"/>
        </w:rPr>
        <w:t xml:space="preserve"> Migration Observatory briefing. </w:t>
      </w:r>
      <w:r>
        <w:rPr>
          <w:rFonts w:ascii="Times New Roman" w:hAnsi="Times New Roman"/>
          <w:i/>
          <w:szCs w:val="24"/>
        </w:rPr>
        <w:t>Migration Observatory</w:t>
      </w:r>
      <w:r>
        <w:rPr>
          <w:rFonts w:ascii="Times New Roman" w:hAnsi="Times New Roman"/>
          <w:i/>
          <w:iCs/>
          <w:szCs w:val="24"/>
        </w:rPr>
        <w:t xml:space="preserve">, </w:t>
      </w:r>
      <w:r>
        <w:rPr>
          <w:rFonts w:ascii="Times New Roman" w:hAnsi="Times New Roman"/>
          <w:szCs w:val="24"/>
        </w:rPr>
        <w:t>[online]. Available at: &lt;https://migrationobservatory.ox.ac.uk/resources/briefings/characteristics-and-outcomes-of-migrants-in-the-uk-labour-market/&gt;[Accessed February 27, 2019].</w:t>
      </w:r>
    </w:p>
    <w:p w14:paraId="02996EAB" w14:textId="77777777" w:rsidR="00503349" w:rsidRDefault="00503349" w:rsidP="00503349">
      <w:pPr>
        <w:tabs>
          <w:tab w:val="left" w:pos="5445"/>
        </w:tabs>
        <w:jc w:val="both"/>
        <w:rPr>
          <w:rFonts w:ascii="Times New Roman" w:hAnsi="Times New Roman"/>
          <w:szCs w:val="24"/>
        </w:rPr>
      </w:pPr>
      <w:r w:rsidRPr="00AB40E2">
        <w:rPr>
          <w:rFonts w:ascii="Times New Roman" w:hAnsi="Times New Roman"/>
          <w:szCs w:val="24"/>
        </w:rPr>
        <w:t xml:space="preserve">Rimmer, E., Stave, C., Sganga, A., and O’Connell, B., 2005. Implications of the Facing Dementia Survey for policy makers and third-party organisations across Europe. </w:t>
      </w:r>
      <w:r w:rsidRPr="00AB40E2">
        <w:rPr>
          <w:rFonts w:ascii="Times New Roman" w:hAnsi="Times New Roman"/>
          <w:i/>
          <w:szCs w:val="24"/>
        </w:rPr>
        <w:t>International Journal of Clinical Practitioners</w:t>
      </w:r>
      <w:r w:rsidRPr="00AB40E2">
        <w:rPr>
          <w:rFonts w:ascii="Times New Roman" w:hAnsi="Times New Roman"/>
          <w:szCs w:val="24"/>
        </w:rPr>
        <w:t>, 59 (Suppl. 146), pp. 34-38.</w:t>
      </w:r>
    </w:p>
    <w:p w14:paraId="53373A50" w14:textId="77777777" w:rsidR="00503349" w:rsidRPr="000A56C6" w:rsidRDefault="00503349" w:rsidP="00503349">
      <w:pPr>
        <w:rPr>
          <w:rFonts w:ascii="Times New Roman" w:hAnsi="Times New Roman"/>
          <w:szCs w:val="24"/>
        </w:rPr>
      </w:pPr>
      <w:r w:rsidRPr="000A56C6">
        <w:rPr>
          <w:rFonts w:ascii="Times New Roman" w:hAnsi="Times New Roman"/>
          <w:szCs w:val="24"/>
        </w:rPr>
        <w:t>Rimmer, A., 2019. Don’t accept racist abuse, Hancock tells NHS staff. </w:t>
      </w:r>
      <w:r w:rsidRPr="00347A4D">
        <w:rPr>
          <w:rFonts w:ascii="Times New Roman" w:hAnsi="Times New Roman"/>
          <w:i/>
          <w:iCs/>
          <w:szCs w:val="24"/>
        </w:rPr>
        <w:t>British Medical Journal</w:t>
      </w:r>
      <w:r w:rsidRPr="000A56C6">
        <w:rPr>
          <w:rFonts w:ascii="Times New Roman" w:hAnsi="Times New Roman"/>
          <w:szCs w:val="24"/>
        </w:rPr>
        <w:t>, 367: l6425. Available at: &lt;https://www.bmj.com/content/367/bmj.l6425&gt;[Accessed 15 July 2020]</w:t>
      </w:r>
    </w:p>
    <w:p w14:paraId="08C4DEA4"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Roberts, J.S., Connell, C.M., Cisewski, D., Hipps, Y.G., Demissie, S. and Green, R.C., 2003. Differences between African Americans and whites in the perceptions of Alzheimer disease. </w:t>
      </w:r>
      <w:r w:rsidRPr="002B3011">
        <w:rPr>
          <w:rFonts w:ascii="Times New Roman" w:hAnsi="Times New Roman"/>
          <w:i/>
          <w:szCs w:val="24"/>
        </w:rPr>
        <w:t>Alzheimer Disease and Associated Disorders</w:t>
      </w:r>
      <w:r w:rsidRPr="002B3011">
        <w:rPr>
          <w:rFonts w:ascii="Times New Roman" w:hAnsi="Times New Roman"/>
          <w:szCs w:val="24"/>
        </w:rPr>
        <w:t>, 17, 19-26.</w:t>
      </w:r>
    </w:p>
    <w:p w14:paraId="039E005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Robinson, S.L., 1996. Trust and Breach of Psychological Contract. </w:t>
      </w:r>
      <w:r w:rsidRPr="00EF189A">
        <w:rPr>
          <w:rFonts w:ascii="Times New Roman" w:hAnsi="Times New Roman"/>
          <w:i/>
          <w:iCs/>
          <w:szCs w:val="24"/>
          <w:bdr w:val="none" w:sz="0" w:space="0" w:color="auto" w:frame="1"/>
        </w:rPr>
        <w:t>Administrative</w:t>
      </w:r>
      <w:r w:rsidRPr="00EF189A">
        <w:rPr>
          <w:rFonts w:ascii="Times New Roman" w:hAnsi="Times New Roman"/>
          <w:szCs w:val="24"/>
          <w:bdr w:val="none" w:sz="0" w:space="0" w:color="auto" w:frame="1"/>
        </w:rPr>
        <w:t xml:space="preserve"> </w:t>
      </w:r>
      <w:r w:rsidRPr="00EF189A">
        <w:rPr>
          <w:rFonts w:ascii="Times New Roman" w:hAnsi="Times New Roman"/>
          <w:i/>
          <w:iCs/>
          <w:szCs w:val="24"/>
          <w:bdr w:val="none" w:sz="0" w:space="0" w:color="auto" w:frame="1"/>
        </w:rPr>
        <w:t>Science Quarterly</w:t>
      </w:r>
      <w:r w:rsidRPr="00EF189A">
        <w:rPr>
          <w:rFonts w:ascii="Times New Roman" w:hAnsi="Times New Roman"/>
          <w:szCs w:val="24"/>
          <w:bdr w:val="none" w:sz="0" w:space="0" w:color="auto" w:frame="1"/>
        </w:rPr>
        <w:t>, 41(4), pp. 574-599.</w:t>
      </w:r>
    </w:p>
    <w:p w14:paraId="5F7EC285" w14:textId="77777777" w:rsidR="00503349" w:rsidRPr="00BA6E2D" w:rsidRDefault="00503349" w:rsidP="00503349">
      <w:pPr>
        <w:jc w:val="both"/>
        <w:rPr>
          <w:rFonts w:ascii="Times New Roman" w:hAnsi="Times New Roman"/>
          <w:szCs w:val="24"/>
        </w:rPr>
      </w:pPr>
      <w:r w:rsidRPr="00CF1AE8">
        <w:rPr>
          <w:rFonts w:ascii="Times New Roman" w:hAnsi="Times New Roman"/>
          <w:szCs w:val="24"/>
        </w:rPr>
        <w:t xml:space="preserve">Rodríguez, G.C., Bustillo, M. R. and Mariel, P., 2011. The determinants of international student mobility flows: an empirical study on the Erasmus program. </w:t>
      </w:r>
      <w:r w:rsidRPr="00CF1AE8">
        <w:rPr>
          <w:rFonts w:ascii="Times New Roman" w:hAnsi="Times New Roman"/>
          <w:i/>
          <w:szCs w:val="24"/>
        </w:rPr>
        <w:t>Higher Education</w:t>
      </w:r>
      <w:r w:rsidRPr="00CF1AE8">
        <w:rPr>
          <w:rFonts w:ascii="Times New Roman" w:hAnsi="Times New Roman"/>
          <w:szCs w:val="24"/>
        </w:rPr>
        <w:t>, 62(4), pp. 4130-430.</w:t>
      </w:r>
      <w:r w:rsidRPr="00BA6E2D">
        <w:rPr>
          <w:rFonts w:ascii="Times New Roman" w:hAnsi="Times New Roman"/>
          <w:szCs w:val="24"/>
        </w:rPr>
        <w:t xml:space="preserve"> </w:t>
      </w:r>
    </w:p>
    <w:p w14:paraId="1CF950C5"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Roff, L., Burgio, L., Gitlin, L., Nichols, L., Chaplin, W. and Hardin, J.M., 2004. Positive aspects of Alzheimer’s caregiving: the role of race. </w:t>
      </w:r>
      <w:r w:rsidRPr="002B3011">
        <w:rPr>
          <w:rFonts w:ascii="Times New Roman" w:hAnsi="Times New Roman"/>
          <w:i/>
          <w:szCs w:val="24"/>
        </w:rPr>
        <w:t>Journal of Gerontology: Psychological Sciences</w:t>
      </w:r>
      <w:r w:rsidRPr="002B3011">
        <w:rPr>
          <w:rFonts w:ascii="Times New Roman" w:hAnsi="Times New Roman"/>
          <w:szCs w:val="24"/>
        </w:rPr>
        <w:t>, 59B, pp. 185-190.</w:t>
      </w:r>
    </w:p>
    <w:p w14:paraId="239C50FD"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Rolfe, G., 2006. Validity, trustworthiness and rigour: quality and the idea of qualitative research. </w:t>
      </w:r>
      <w:r w:rsidRPr="004E3E8F">
        <w:rPr>
          <w:rFonts w:ascii="Times New Roman" w:hAnsi="Times New Roman"/>
          <w:i/>
          <w:szCs w:val="24"/>
        </w:rPr>
        <w:t>Journal of Advanced Nursing</w:t>
      </w:r>
      <w:r w:rsidRPr="004E3E8F">
        <w:rPr>
          <w:rFonts w:ascii="Times New Roman" w:hAnsi="Times New Roman"/>
          <w:szCs w:val="24"/>
        </w:rPr>
        <w:t>, 53, pp. 304-310. </w:t>
      </w:r>
    </w:p>
    <w:p w14:paraId="3EDBAEF6" w14:textId="77777777" w:rsidR="00503349" w:rsidRDefault="00503349" w:rsidP="00503349">
      <w:pPr>
        <w:spacing w:before="240"/>
        <w:jc w:val="both"/>
        <w:rPr>
          <w:rFonts w:ascii="Times New Roman" w:hAnsi="Times New Roman"/>
          <w:bCs/>
          <w:szCs w:val="24"/>
        </w:rPr>
      </w:pPr>
      <w:r>
        <w:rPr>
          <w:rFonts w:ascii="Times New Roman" w:hAnsi="Times New Roman"/>
          <w:bCs/>
          <w:szCs w:val="24"/>
        </w:rPr>
        <w:t xml:space="preserve">Rolfe, H., 2005. Building a stable workforce: recruitment and retention in the child care and early years sector. </w:t>
      </w:r>
      <w:r>
        <w:rPr>
          <w:rFonts w:ascii="Times New Roman" w:hAnsi="Times New Roman"/>
          <w:bCs/>
          <w:i/>
          <w:szCs w:val="24"/>
        </w:rPr>
        <w:t>Children &amp; Society</w:t>
      </w:r>
      <w:r>
        <w:rPr>
          <w:rFonts w:ascii="Times New Roman" w:hAnsi="Times New Roman"/>
          <w:bCs/>
          <w:szCs w:val="24"/>
        </w:rPr>
        <w:t>, 19, pp. 54-65.</w:t>
      </w:r>
    </w:p>
    <w:p w14:paraId="0CD3DDED" w14:textId="77777777" w:rsidR="00503349" w:rsidRDefault="00503349" w:rsidP="00503349">
      <w:pPr>
        <w:spacing w:before="240"/>
        <w:jc w:val="both"/>
        <w:rPr>
          <w:rFonts w:ascii="Times New Roman" w:hAnsi="Times New Roman"/>
          <w:bCs/>
          <w:szCs w:val="24"/>
        </w:rPr>
      </w:pPr>
      <w:r>
        <w:rPr>
          <w:rFonts w:ascii="Times New Roman" w:hAnsi="Times New Roman"/>
          <w:bCs/>
          <w:szCs w:val="24"/>
        </w:rPr>
        <w:t>Rolfe, H., Metcalf, H., Anderson, T. and Meadows, P., 2003. Recruitment and retention of childcare, early years and play workers: research study. DfES Research Report RR409. London: National Institute of Economic and Social Research.</w:t>
      </w:r>
    </w:p>
    <w:p w14:paraId="36F5764F" w14:textId="77777777" w:rsidR="00503349" w:rsidRDefault="00503349" w:rsidP="00503349">
      <w:pPr>
        <w:spacing w:before="240"/>
        <w:rPr>
          <w:rFonts w:ascii="Times New Roman" w:hAnsi="Times New Roman"/>
          <w:szCs w:val="24"/>
        </w:rPr>
      </w:pPr>
      <w:r>
        <w:rPr>
          <w:rFonts w:ascii="Times New Roman" w:hAnsi="Times New Roman"/>
          <w:szCs w:val="24"/>
        </w:rPr>
        <w:t xml:space="preserve">Romero, B.A., 2012. Towards a model of externalisation and denationalisation of care? the role of female migrant care workers for dependent older people in Spain. </w:t>
      </w:r>
      <w:r>
        <w:rPr>
          <w:rFonts w:ascii="Times New Roman" w:hAnsi="Times New Roman"/>
          <w:i/>
          <w:szCs w:val="24"/>
        </w:rPr>
        <w:t>European Journal of Social Work</w:t>
      </w:r>
      <w:r>
        <w:rPr>
          <w:rFonts w:ascii="Times New Roman" w:hAnsi="Times New Roman"/>
          <w:szCs w:val="24"/>
        </w:rPr>
        <w:t>, 15, pp. 45-61.</w:t>
      </w:r>
    </w:p>
    <w:p w14:paraId="01C88ACC" w14:textId="77777777" w:rsidR="00503349" w:rsidRPr="00EF189A" w:rsidRDefault="00503349" w:rsidP="00503349">
      <w:pPr>
        <w:jc w:val="both"/>
        <w:rPr>
          <w:rFonts w:ascii="Times New Roman" w:hAnsi="Times New Roman"/>
          <w:iCs/>
          <w:szCs w:val="24"/>
          <w:bdr w:val="none" w:sz="0" w:space="0" w:color="auto" w:frame="1"/>
        </w:rPr>
      </w:pPr>
      <w:r w:rsidRPr="00EF189A">
        <w:rPr>
          <w:rFonts w:ascii="Times New Roman" w:hAnsi="Times New Roman"/>
          <w:iCs/>
          <w:szCs w:val="24"/>
          <w:bdr w:val="none" w:sz="0" w:space="0" w:color="auto" w:frame="1"/>
        </w:rPr>
        <w:t xml:space="preserve">Romero-Moreno, R., Márquez-González, M., Losada, A. and Lopez, J., 2011. Motives for caring: relationship to stress and coping dimensions. </w:t>
      </w:r>
      <w:r w:rsidRPr="00EF189A">
        <w:rPr>
          <w:rFonts w:ascii="Times New Roman" w:hAnsi="Times New Roman"/>
          <w:i/>
          <w:iCs/>
          <w:szCs w:val="24"/>
          <w:bdr w:val="none" w:sz="0" w:space="0" w:color="auto" w:frame="1"/>
        </w:rPr>
        <w:t>International Psychogeriatrics</w:t>
      </w:r>
      <w:r w:rsidRPr="00EF189A">
        <w:rPr>
          <w:rFonts w:ascii="Times New Roman" w:hAnsi="Times New Roman"/>
          <w:iCs/>
          <w:szCs w:val="24"/>
          <w:bdr w:val="none" w:sz="0" w:space="0" w:color="auto" w:frame="1"/>
        </w:rPr>
        <w:t>, 23(4), pp. 573-582.</w:t>
      </w:r>
    </w:p>
    <w:p w14:paraId="05815C46" w14:textId="77777777" w:rsidR="00503349" w:rsidRDefault="00503349" w:rsidP="00503349">
      <w:pPr>
        <w:spacing w:before="240"/>
        <w:jc w:val="both"/>
        <w:rPr>
          <w:rFonts w:ascii="Times New Roman" w:hAnsi="Times New Roman"/>
          <w:szCs w:val="24"/>
        </w:rPr>
      </w:pPr>
      <w:r w:rsidRPr="00F54295">
        <w:rPr>
          <w:rFonts w:ascii="Times New Roman" w:hAnsi="Times New Roman"/>
          <w:szCs w:val="24"/>
        </w:rPr>
        <w:t>Rosa, D., Terzoni, S., Dellafiore, F. and Destrebecq, A., 2019. Systematic review of shift work and nurses’ health. </w:t>
      </w:r>
      <w:r w:rsidRPr="00F54295">
        <w:rPr>
          <w:rFonts w:ascii="Times New Roman" w:hAnsi="Times New Roman"/>
          <w:i/>
          <w:iCs/>
          <w:szCs w:val="24"/>
        </w:rPr>
        <w:t>Occupational Medicine</w:t>
      </w:r>
      <w:r w:rsidRPr="00F54295">
        <w:rPr>
          <w:rFonts w:ascii="Times New Roman" w:hAnsi="Times New Roman"/>
          <w:szCs w:val="24"/>
        </w:rPr>
        <w:t>, 69(4), pp.</w:t>
      </w:r>
      <w:r>
        <w:rPr>
          <w:rFonts w:ascii="Times New Roman" w:hAnsi="Times New Roman"/>
          <w:szCs w:val="24"/>
        </w:rPr>
        <w:t xml:space="preserve"> </w:t>
      </w:r>
      <w:r w:rsidRPr="00F54295">
        <w:rPr>
          <w:rFonts w:ascii="Times New Roman" w:hAnsi="Times New Roman"/>
          <w:szCs w:val="24"/>
        </w:rPr>
        <w:t>237-243.</w:t>
      </w:r>
    </w:p>
    <w:p w14:paraId="4EBDAAB2" w14:textId="77777777" w:rsidR="00503349" w:rsidRPr="00DA2952" w:rsidRDefault="00503349" w:rsidP="00503349">
      <w:pPr>
        <w:rPr>
          <w:rFonts w:ascii="Times New Roman" w:hAnsi="Times New Roman"/>
          <w:szCs w:val="24"/>
        </w:rPr>
      </w:pPr>
      <w:r w:rsidRPr="00DA2952">
        <w:rPr>
          <w:rFonts w:ascii="Times New Roman" w:hAnsi="Times New Roman"/>
          <w:szCs w:val="24"/>
        </w:rPr>
        <w:t>Rosato, M., Leavey, G., Cooper, J., De Cock, P. and Devine, P., 2019. Factors associated with public knowledge of and attitudes to dementia: A cross-sectional study. </w:t>
      </w:r>
      <w:r w:rsidRPr="00DA2952">
        <w:rPr>
          <w:rFonts w:ascii="Times New Roman" w:hAnsi="Times New Roman"/>
          <w:i/>
          <w:iCs/>
          <w:szCs w:val="24"/>
        </w:rPr>
        <w:t>PloS One</w:t>
      </w:r>
      <w:r w:rsidRPr="00DA2952">
        <w:rPr>
          <w:rFonts w:ascii="Times New Roman" w:hAnsi="Times New Roman"/>
          <w:szCs w:val="24"/>
        </w:rPr>
        <w:t>, 14(2), p.e0210543. Available at: &lt;https://www.researchgate.net/publication/331419602_Factors_associated_with_public_knowledge_of_and_attitudes_to_dementia_A_cross-sectional_study&gt;[Accessed 12 April 2020]</w:t>
      </w:r>
    </w:p>
    <w:p w14:paraId="5D4A4126" w14:textId="77777777" w:rsidR="00503349" w:rsidRPr="004C64C9" w:rsidRDefault="00503349" w:rsidP="00503349">
      <w:pPr>
        <w:jc w:val="both"/>
        <w:rPr>
          <w:rFonts w:ascii="Times New Roman" w:hAnsi="Times New Roman"/>
          <w:szCs w:val="24"/>
        </w:rPr>
      </w:pPr>
      <w:r w:rsidRPr="003F06ED">
        <w:rPr>
          <w:rFonts w:ascii="Times New Roman" w:hAnsi="Times New Roman"/>
          <w:szCs w:val="24"/>
        </w:rPr>
        <w:t>Rosser, M. and King, L., 2003. Transition experiences of qualified nurses moving into hospice nursing. </w:t>
      </w:r>
      <w:r w:rsidRPr="003F06ED">
        <w:rPr>
          <w:rFonts w:ascii="Times New Roman" w:hAnsi="Times New Roman"/>
          <w:i/>
          <w:iCs/>
          <w:szCs w:val="24"/>
        </w:rPr>
        <w:t>Journal of Advanced Nursing</w:t>
      </w:r>
      <w:r w:rsidRPr="003F06ED">
        <w:rPr>
          <w:rFonts w:ascii="Times New Roman" w:hAnsi="Times New Roman"/>
          <w:szCs w:val="24"/>
        </w:rPr>
        <w:t>, </w:t>
      </w:r>
      <w:r w:rsidRPr="00237283">
        <w:rPr>
          <w:rFonts w:ascii="Times New Roman" w:hAnsi="Times New Roman"/>
          <w:szCs w:val="24"/>
        </w:rPr>
        <w:t>43</w:t>
      </w:r>
      <w:r w:rsidRPr="003F06ED">
        <w:rPr>
          <w:rFonts w:ascii="Times New Roman" w:hAnsi="Times New Roman"/>
          <w:szCs w:val="24"/>
        </w:rPr>
        <w:t>(2), pp.206-215.</w:t>
      </w:r>
    </w:p>
    <w:p w14:paraId="04B23F33" w14:textId="77777777" w:rsidR="00503349" w:rsidRPr="00347A4D" w:rsidRDefault="00503349" w:rsidP="00503349">
      <w:pPr>
        <w:textAlignment w:val="baseline"/>
        <w:rPr>
          <w:rFonts w:ascii="Times New Roman" w:hAnsi="Times New Roman"/>
          <w:color w:val="000000"/>
          <w:szCs w:val="24"/>
        </w:rPr>
      </w:pPr>
      <w:r w:rsidRPr="002B3011">
        <w:rPr>
          <w:rFonts w:ascii="Times New Roman" w:hAnsi="Times New Roman"/>
          <w:szCs w:val="24"/>
        </w:rPr>
        <w:lastRenderedPageBreak/>
        <w:t xml:space="preserve">Roth, D.L., Fredman, L. and Haley, W.E., 2015. Informal caregiving and its impact on health: a reappraisal from population-based studies. </w:t>
      </w:r>
      <w:r>
        <w:rPr>
          <w:rFonts w:ascii="Times New Roman" w:hAnsi="Times New Roman"/>
          <w:i/>
          <w:iCs/>
          <w:szCs w:val="24"/>
        </w:rPr>
        <w:t xml:space="preserve">The </w:t>
      </w:r>
      <w:r w:rsidRPr="002B3011">
        <w:rPr>
          <w:rFonts w:ascii="Times New Roman" w:hAnsi="Times New Roman"/>
          <w:i/>
          <w:szCs w:val="24"/>
        </w:rPr>
        <w:t>Gerontologist</w:t>
      </w:r>
      <w:r w:rsidRPr="002B3011">
        <w:rPr>
          <w:rFonts w:ascii="Times New Roman" w:hAnsi="Times New Roman"/>
          <w:szCs w:val="24"/>
        </w:rPr>
        <w:t>, 55</w:t>
      </w:r>
      <w:r>
        <w:rPr>
          <w:rFonts w:ascii="Times New Roman" w:hAnsi="Times New Roman"/>
          <w:szCs w:val="24"/>
        </w:rPr>
        <w:t>(2)</w:t>
      </w:r>
      <w:r w:rsidRPr="002B3011">
        <w:rPr>
          <w:rFonts w:ascii="Times New Roman" w:hAnsi="Times New Roman"/>
          <w:szCs w:val="24"/>
        </w:rPr>
        <w:t>, pp. 309-319.</w:t>
      </w:r>
    </w:p>
    <w:p w14:paraId="452F4CB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Royal College of Nursing (RCN), 2002. </w:t>
      </w:r>
      <w:r w:rsidRPr="00DA2952">
        <w:rPr>
          <w:rFonts w:ascii="Times New Roman" w:hAnsi="Times New Roman"/>
          <w:i/>
          <w:iCs/>
          <w:szCs w:val="24"/>
        </w:rPr>
        <w:t>Code of practice for handling patients</w:t>
      </w:r>
      <w:r w:rsidRPr="00DA2952">
        <w:rPr>
          <w:rFonts w:ascii="Times New Roman" w:hAnsi="Times New Roman"/>
          <w:szCs w:val="24"/>
        </w:rPr>
        <w:t>. London: RCN. </w:t>
      </w:r>
    </w:p>
    <w:p w14:paraId="429DC884" w14:textId="77777777" w:rsidR="00503349" w:rsidRDefault="00503349" w:rsidP="00503349">
      <w:pPr>
        <w:jc w:val="both"/>
        <w:rPr>
          <w:rFonts w:ascii="Times New Roman" w:hAnsi="Times New Roman"/>
          <w:bCs/>
          <w:szCs w:val="24"/>
        </w:rPr>
      </w:pPr>
      <w:r w:rsidRPr="007746AB">
        <w:rPr>
          <w:rFonts w:ascii="Times New Roman" w:eastAsia="Calibri" w:hAnsi="Times New Roman"/>
          <w:szCs w:val="24"/>
          <w:lang w:eastAsia="en-US"/>
        </w:rPr>
        <w:t>Royal College of Nursing, RCN, 201</w:t>
      </w:r>
      <w:r>
        <w:rPr>
          <w:rFonts w:ascii="Times New Roman" w:eastAsia="Calibri" w:hAnsi="Times New Roman"/>
          <w:szCs w:val="24"/>
          <w:lang w:eastAsia="en-US"/>
        </w:rPr>
        <w:t xml:space="preserve">7. </w:t>
      </w:r>
      <w:r w:rsidRPr="007746AB">
        <w:rPr>
          <w:rFonts w:ascii="Times New Roman" w:hAnsi="Times New Roman"/>
          <w:bCs/>
          <w:i/>
          <w:iCs/>
          <w:szCs w:val="24"/>
        </w:rPr>
        <w:t>Safe and Effective Staffing: The Real Picture</w:t>
      </w:r>
      <w:r>
        <w:rPr>
          <w:rFonts w:ascii="Times New Roman" w:hAnsi="Times New Roman"/>
          <w:bCs/>
          <w:szCs w:val="24"/>
        </w:rPr>
        <w:t xml:space="preserve">. </w:t>
      </w:r>
      <w:r w:rsidRPr="007746AB">
        <w:rPr>
          <w:rFonts w:ascii="Times New Roman" w:hAnsi="Times New Roman"/>
          <w:bCs/>
          <w:szCs w:val="24"/>
        </w:rPr>
        <w:t>London: RCN.</w:t>
      </w:r>
    </w:p>
    <w:p w14:paraId="3A223BDB" w14:textId="77777777" w:rsidR="00503349" w:rsidRPr="00D15A1C" w:rsidRDefault="00503349" w:rsidP="00503349">
      <w:pPr>
        <w:jc w:val="both"/>
        <w:rPr>
          <w:rFonts w:ascii="Times New Roman" w:hAnsi="Times New Roman"/>
          <w:szCs w:val="24"/>
        </w:rPr>
      </w:pPr>
      <w:r w:rsidRPr="004C64C9">
        <w:rPr>
          <w:rFonts w:ascii="Times New Roman" w:hAnsi="Times New Roman"/>
          <w:szCs w:val="24"/>
        </w:rPr>
        <w:t>Royal College of Nursing, RCN, 2020</w:t>
      </w:r>
      <w:r>
        <w:rPr>
          <w:rFonts w:ascii="Times New Roman" w:hAnsi="Times New Roman"/>
          <w:szCs w:val="24"/>
        </w:rPr>
        <w:t xml:space="preserve">. </w:t>
      </w:r>
      <w:r w:rsidRPr="00D15A1C">
        <w:rPr>
          <w:rFonts w:ascii="Times New Roman" w:hAnsi="Times New Roman"/>
          <w:szCs w:val="24"/>
        </w:rPr>
        <w:t>NHS pay 2019-20</w:t>
      </w:r>
      <w:r>
        <w:rPr>
          <w:rFonts w:ascii="Times New Roman" w:hAnsi="Times New Roman"/>
          <w:szCs w:val="24"/>
        </w:rPr>
        <w:t>. Available at: &lt;</w:t>
      </w:r>
      <w:r w:rsidRPr="008940EA">
        <w:rPr>
          <w:rFonts w:ascii="Times New Roman" w:hAnsi="Times New Roman"/>
          <w:szCs w:val="24"/>
        </w:rPr>
        <w:t>https://www.rcn.org.uk/employment-and-pay/nhs-pay-2018-19</w:t>
      </w:r>
      <w:r>
        <w:rPr>
          <w:rFonts w:ascii="Times New Roman" w:hAnsi="Times New Roman"/>
          <w:szCs w:val="24"/>
        </w:rPr>
        <w:t>&gt;[Accessed 15 July 2020]</w:t>
      </w:r>
    </w:p>
    <w:p w14:paraId="4E5F1A79" w14:textId="77777777" w:rsidR="00503349" w:rsidRPr="000A56C6" w:rsidRDefault="00503349" w:rsidP="00503349">
      <w:pPr>
        <w:spacing w:before="240"/>
        <w:jc w:val="both"/>
        <w:rPr>
          <w:rFonts w:ascii="Times New Roman" w:hAnsi="Times New Roman"/>
          <w:szCs w:val="24"/>
        </w:rPr>
      </w:pPr>
      <w:r>
        <w:rPr>
          <w:rStyle w:val="authors"/>
          <w:rFonts w:ascii="Times New Roman" w:eastAsia="MS Gothic" w:hAnsi="Times New Roman"/>
          <w:szCs w:val="24"/>
        </w:rPr>
        <w:t xml:space="preserve">Rozario, P.A. and Rosetti, A.L., </w:t>
      </w:r>
      <w:r>
        <w:rPr>
          <w:rStyle w:val="Date1"/>
          <w:rFonts w:ascii="Times New Roman" w:eastAsiaTheme="minorEastAsia" w:hAnsi="Times New Roman"/>
          <w:szCs w:val="24"/>
        </w:rPr>
        <w:t xml:space="preserve">2012. </w:t>
      </w:r>
      <w:r>
        <w:rPr>
          <w:rStyle w:val="arttitle"/>
          <w:rFonts w:ascii="Times New Roman" w:eastAsia="MS Mincho" w:hAnsi="Times New Roman"/>
          <w:szCs w:val="24"/>
        </w:rPr>
        <w:t xml:space="preserve">“Many Helping Hands”: a review and analysis of long-term care policies, programs, and practices in Singapore. </w:t>
      </w:r>
      <w:r>
        <w:rPr>
          <w:rStyle w:val="serialtitle"/>
          <w:rFonts w:ascii="Times New Roman" w:hAnsi="Times New Roman"/>
          <w:i/>
          <w:szCs w:val="24"/>
        </w:rPr>
        <w:t>Journal of Gerontological Social Work</w:t>
      </w:r>
      <w:r>
        <w:rPr>
          <w:rStyle w:val="serialtitle"/>
          <w:rFonts w:ascii="Times New Roman" w:hAnsi="Times New Roman"/>
          <w:szCs w:val="24"/>
        </w:rPr>
        <w:t xml:space="preserve">, </w:t>
      </w:r>
      <w:r>
        <w:rPr>
          <w:rStyle w:val="volumeissue"/>
          <w:rFonts w:ascii="Times New Roman" w:hAnsi="Times New Roman"/>
          <w:szCs w:val="24"/>
        </w:rPr>
        <w:t>55(7),</w:t>
      </w:r>
      <w:r>
        <w:rPr>
          <w:rFonts w:ascii="Times New Roman" w:hAnsi="Times New Roman"/>
          <w:szCs w:val="24"/>
        </w:rPr>
        <w:t xml:space="preserve"> pp. </w:t>
      </w:r>
      <w:r>
        <w:rPr>
          <w:rStyle w:val="pagerange"/>
          <w:rFonts w:ascii="Times New Roman" w:hAnsi="Times New Roman"/>
          <w:szCs w:val="24"/>
        </w:rPr>
        <w:t>641-658.</w:t>
      </w:r>
    </w:p>
    <w:p w14:paraId="31876C99"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Rueffert D. and Bullinger A.C., 2020. Observing or experiencing – the effect of age simulation on the sensitivity to age-related impairment in elderly care. In: R. Goonetilleke &amp; W. Karwowski, eds., 2019. </w:t>
      </w:r>
      <w:r w:rsidRPr="000A56C6">
        <w:rPr>
          <w:rFonts w:ascii="Times New Roman" w:hAnsi="Times New Roman"/>
          <w:i/>
          <w:iCs/>
          <w:szCs w:val="24"/>
        </w:rPr>
        <w:t>Advances in Physical Ergonomics and Human Factors</w:t>
      </w:r>
      <w:r w:rsidRPr="000A56C6">
        <w:rPr>
          <w:rFonts w:ascii="Times New Roman" w:hAnsi="Times New Roman"/>
          <w:szCs w:val="24"/>
        </w:rPr>
        <w:t>, AHFE, 2019. Advances in Intelligent Systems and Computing. Cham, Switzerland: Springer, 967, pp. 339-347.</w:t>
      </w:r>
    </w:p>
    <w:p w14:paraId="335DFEDA" w14:textId="77777777" w:rsidR="00503349" w:rsidRDefault="00503349" w:rsidP="00503349">
      <w:pPr>
        <w:jc w:val="both"/>
        <w:rPr>
          <w:rFonts w:ascii="Times New Roman" w:hAnsi="Times New Roman"/>
          <w:szCs w:val="24"/>
        </w:rPr>
      </w:pPr>
      <w:r w:rsidRPr="00CF1AE8">
        <w:rPr>
          <w:rFonts w:ascii="Times New Roman" w:hAnsi="Times New Roman"/>
          <w:iCs/>
          <w:szCs w:val="24"/>
        </w:rPr>
        <w:t xml:space="preserve">Ruhs, M., 2006. The potential of temporary migration programmes in future international migration policy. </w:t>
      </w:r>
      <w:r w:rsidRPr="00CF1AE8">
        <w:rPr>
          <w:rFonts w:ascii="Times New Roman" w:hAnsi="Times New Roman"/>
          <w:i/>
          <w:iCs/>
          <w:szCs w:val="24"/>
        </w:rPr>
        <w:t>International Labour Review</w:t>
      </w:r>
      <w:r w:rsidRPr="00CF1AE8">
        <w:rPr>
          <w:rFonts w:ascii="Times New Roman" w:hAnsi="Times New Roman"/>
          <w:iCs/>
          <w:szCs w:val="24"/>
        </w:rPr>
        <w:t>, 145(1-2), pp.7-36</w:t>
      </w:r>
      <w:r>
        <w:rPr>
          <w:rFonts w:ascii="Times New Roman" w:hAnsi="Times New Roman"/>
          <w:iCs/>
          <w:szCs w:val="24"/>
        </w:rPr>
        <w:t>.</w:t>
      </w:r>
    </w:p>
    <w:p w14:paraId="3806BFCC"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Ruiz, I. and Vargas-Silva, C., 2018. Differences in labour market outcomes between natives, refugees and other migrants in the UK. </w:t>
      </w:r>
      <w:r>
        <w:rPr>
          <w:rFonts w:ascii="Times New Roman" w:hAnsi="Times New Roman"/>
          <w:i/>
          <w:iCs/>
          <w:szCs w:val="24"/>
        </w:rPr>
        <w:t>Journal of Economic Geography</w:t>
      </w:r>
      <w:r>
        <w:rPr>
          <w:rFonts w:ascii="Times New Roman" w:hAnsi="Times New Roman"/>
          <w:szCs w:val="24"/>
        </w:rPr>
        <w:t xml:space="preserve">, </w:t>
      </w:r>
      <w:r>
        <w:rPr>
          <w:rFonts w:ascii="Times New Roman" w:hAnsi="Times New Roman"/>
          <w:iCs/>
          <w:szCs w:val="24"/>
        </w:rPr>
        <w:t>18</w:t>
      </w:r>
      <w:r>
        <w:rPr>
          <w:rFonts w:ascii="Times New Roman" w:hAnsi="Times New Roman"/>
          <w:szCs w:val="24"/>
        </w:rPr>
        <w:t>(4), pp. 855-885.</w:t>
      </w:r>
    </w:p>
    <w:p w14:paraId="75F8BD56" w14:textId="77777777" w:rsidR="00503349" w:rsidRDefault="00503349" w:rsidP="00503349">
      <w:pPr>
        <w:spacing w:before="240"/>
        <w:rPr>
          <w:rFonts w:ascii="Times New Roman" w:hAnsi="Times New Roman"/>
          <w:szCs w:val="24"/>
        </w:rPr>
      </w:pPr>
      <w:r>
        <w:rPr>
          <w:rFonts w:ascii="Times New Roman" w:hAnsi="Times New Roman"/>
          <w:szCs w:val="24"/>
        </w:rPr>
        <w:t>Rusbridge, A. and Ahmed, R., 2017. Research into perceptions of the social care sector in East London. London: Skills for Care. Available at: &lt;https://www.skillsforcare.org.uk/Documents/Recruitment-and-retention/Careers-in-care/Research-into-perceptions-of-the-social-care-sector-in-East-London.pdf&gt;[Accessed 16 January 2019]</w:t>
      </w:r>
    </w:p>
    <w:p w14:paraId="62849057"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Ryan, R.M. and Deci, E.L., 2000a. Self-determination theory and the facilitation of intrinsic motivation, social development, and well-being. </w:t>
      </w:r>
      <w:r w:rsidRPr="00EF189A">
        <w:rPr>
          <w:rFonts w:ascii="Times New Roman" w:hAnsi="Times New Roman"/>
          <w:i/>
          <w:szCs w:val="24"/>
          <w:bdr w:val="none" w:sz="0" w:space="0" w:color="auto" w:frame="1"/>
        </w:rPr>
        <w:t>American Psychologist</w:t>
      </w:r>
      <w:r w:rsidRPr="00EF189A">
        <w:rPr>
          <w:rFonts w:ascii="Times New Roman" w:hAnsi="Times New Roman"/>
          <w:szCs w:val="24"/>
          <w:bdr w:val="none" w:sz="0" w:space="0" w:color="auto" w:frame="1"/>
        </w:rPr>
        <w:t>, 55, pp. 68-78.</w:t>
      </w:r>
    </w:p>
    <w:p w14:paraId="12A23C70"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Ryan, R.M. and Deci, E.L., 2000b. Intrinsic and extrinsic motivations: classic definitions and new directions. </w:t>
      </w:r>
      <w:r w:rsidRPr="00EF189A">
        <w:rPr>
          <w:rFonts w:ascii="Times New Roman" w:hAnsi="Times New Roman"/>
          <w:i/>
          <w:szCs w:val="24"/>
          <w:bdr w:val="none" w:sz="0" w:space="0" w:color="auto" w:frame="1"/>
        </w:rPr>
        <w:t>Contemporary Educational Psychology</w:t>
      </w:r>
      <w:r w:rsidRPr="00EF189A">
        <w:rPr>
          <w:rFonts w:ascii="Times New Roman" w:hAnsi="Times New Roman"/>
          <w:szCs w:val="24"/>
          <w:bdr w:val="none" w:sz="0" w:space="0" w:color="auto" w:frame="1"/>
        </w:rPr>
        <w:t>, 25, pp. 54-67.</w:t>
      </w:r>
    </w:p>
    <w:p w14:paraId="74F55E90"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Sabogal, F., Marín, G., Otero-Sabogal, R., Marín, B.V. and Perez-Stable, E. J., 1987. Hispanic familism and acculturation: what changes and what doesn’t? </w:t>
      </w:r>
      <w:r w:rsidRPr="002B3011">
        <w:rPr>
          <w:rFonts w:ascii="Times New Roman" w:hAnsi="Times New Roman"/>
          <w:i/>
          <w:szCs w:val="24"/>
        </w:rPr>
        <w:t>Hispanic Journal of Behavioral Sciences</w:t>
      </w:r>
      <w:r w:rsidRPr="002B3011">
        <w:rPr>
          <w:rFonts w:ascii="Times New Roman" w:hAnsi="Times New Roman"/>
          <w:szCs w:val="24"/>
        </w:rPr>
        <w:t xml:space="preserve">, </w:t>
      </w:r>
      <w:r w:rsidRPr="002B3011">
        <w:rPr>
          <w:rFonts w:ascii="Times New Roman" w:hAnsi="Times New Roman"/>
          <w:iCs/>
          <w:szCs w:val="24"/>
        </w:rPr>
        <w:t>9</w:t>
      </w:r>
      <w:r w:rsidRPr="002B3011">
        <w:rPr>
          <w:rFonts w:ascii="Times New Roman" w:hAnsi="Times New Roman"/>
          <w:szCs w:val="24"/>
        </w:rPr>
        <w:t>(4), pp. 397-412.</w:t>
      </w:r>
    </w:p>
    <w:p w14:paraId="0439BE4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Sachdev, P., 2000. Is it time to retire the term “dementia”? </w:t>
      </w:r>
      <w:r w:rsidRPr="00DA2952">
        <w:rPr>
          <w:rFonts w:ascii="Times New Roman" w:hAnsi="Times New Roman"/>
          <w:i/>
          <w:iCs/>
          <w:szCs w:val="24"/>
        </w:rPr>
        <w:t>The Journal of Neuropsychiatry &amp; Clinical Neurosciences</w:t>
      </w:r>
      <w:r w:rsidRPr="00DA2952">
        <w:rPr>
          <w:rFonts w:ascii="Times New Roman" w:hAnsi="Times New Roman"/>
          <w:szCs w:val="24"/>
        </w:rPr>
        <w:t>, 12(2), pp. 276-279.</w:t>
      </w:r>
    </w:p>
    <w:p w14:paraId="3644E53C"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Sadala, M.L.A. and Adorno, R., 2001. Phenomenology as a method to investigate the experience lived: a perspective from Husserl and Merleau Ponty’s thought. </w:t>
      </w:r>
      <w:r w:rsidRPr="008101DD">
        <w:rPr>
          <w:rFonts w:ascii="Times New Roman" w:hAnsi="Times New Roman"/>
          <w:i/>
          <w:szCs w:val="24"/>
        </w:rPr>
        <w:t>Journal of Advanced Nursing</w:t>
      </w:r>
      <w:r w:rsidRPr="008101DD">
        <w:rPr>
          <w:rFonts w:ascii="Times New Roman" w:hAnsi="Times New Roman"/>
          <w:szCs w:val="24"/>
        </w:rPr>
        <w:t>,</w:t>
      </w:r>
      <w:r w:rsidRPr="008101DD">
        <w:rPr>
          <w:rFonts w:ascii="Times New Roman" w:hAnsi="Times New Roman"/>
          <w:bCs/>
          <w:szCs w:val="24"/>
        </w:rPr>
        <w:t> 37</w:t>
      </w:r>
      <w:r w:rsidRPr="008101DD">
        <w:rPr>
          <w:rFonts w:ascii="Times New Roman" w:hAnsi="Times New Roman"/>
          <w:szCs w:val="24"/>
        </w:rPr>
        <w:t>, pp. 282-293.</w:t>
      </w:r>
    </w:p>
    <w:p w14:paraId="0C1B00EC"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Sahraoui, N., 2011. “We are not just carers, we are humans”. Migrant and minority ethnic care workers' experiences of discrimination and </w:t>
      </w:r>
      <w:r w:rsidRPr="000A56C6">
        <w:rPr>
          <w:rFonts w:ascii="Times New Roman" w:hAnsi="Times New Roman"/>
          <w:bCs/>
          <w:szCs w:val="24"/>
        </w:rPr>
        <w:t xml:space="preserve">racism </w:t>
      </w:r>
      <w:r w:rsidRPr="000A56C6">
        <w:rPr>
          <w:rFonts w:ascii="Times New Roman" w:hAnsi="Times New Roman"/>
          <w:szCs w:val="24"/>
        </w:rPr>
        <w:t xml:space="preserve">in elderly care. </w:t>
      </w:r>
      <w:r w:rsidRPr="000A56C6">
        <w:rPr>
          <w:rFonts w:ascii="Times New Roman" w:hAnsi="Times New Roman"/>
          <w:i/>
          <w:szCs w:val="24"/>
        </w:rPr>
        <w:t>Forum Socjologiczne</w:t>
      </w:r>
      <w:r w:rsidRPr="000A56C6">
        <w:rPr>
          <w:rFonts w:ascii="Times New Roman" w:hAnsi="Times New Roman"/>
          <w:szCs w:val="24"/>
        </w:rPr>
        <w:t>, pp. 227-239.</w:t>
      </w:r>
    </w:p>
    <w:p w14:paraId="02FF1436"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Saks, A.M. and Ashforth, B.E., 2000. The role of dispositions, entry stressors and behavioral plasticity theory in predicting newcomers' adjustment to work. </w:t>
      </w:r>
      <w:r w:rsidRPr="00CF1AE8">
        <w:rPr>
          <w:rFonts w:ascii="Times New Roman" w:hAnsi="Times New Roman"/>
          <w:i/>
          <w:iCs/>
          <w:szCs w:val="24"/>
        </w:rPr>
        <w:t>Journal of Organizational Behavior</w:t>
      </w:r>
      <w:r w:rsidRPr="00CF1AE8">
        <w:rPr>
          <w:rFonts w:ascii="Times New Roman" w:hAnsi="Times New Roman"/>
          <w:iCs/>
          <w:szCs w:val="24"/>
        </w:rPr>
        <w:t>, 21, pp. 43-62.</w:t>
      </w:r>
    </w:p>
    <w:p w14:paraId="0EB7111F" w14:textId="77777777" w:rsidR="00503349" w:rsidRPr="00C85310" w:rsidRDefault="00503349" w:rsidP="00503349">
      <w:pPr>
        <w:jc w:val="both"/>
        <w:rPr>
          <w:rFonts w:ascii="Times New Roman" w:hAnsi="Times New Roman"/>
          <w:szCs w:val="24"/>
        </w:rPr>
      </w:pPr>
      <w:r w:rsidRPr="002C17CC">
        <w:rPr>
          <w:rFonts w:ascii="Times New Roman" w:hAnsi="Times New Roman"/>
          <w:bCs/>
          <w:szCs w:val="24"/>
        </w:rPr>
        <w:t>Samaei, S.E., Mostafaee, M., Jafarpoor, H. and Hosseinabadi, M.B., 2017. Effects of patient-handling and individual factors on the prevalence of low back pain among nursing personnel.</w:t>
      </w:r>
      <w:r>
        <w:rPr>
          <w:rFonts w:ascii="Times New Roman" w:hAnsi="Times New Roman"/>
          <w:bCs/>
          <w:szCs w:val="24"/>
        </w:rPr>
        <w:t xml:space="preserve"> </w:t>
      </w:r>
      <w:r w:rsidRPr="002C17CC">
        <w:rPr>
          <w:rFonts w:ascii="Times New Roman" w:hAnsi="Times New Roman"/>
          <w:bCs/>
          <w:i/>
          <w:iCs/>
          <w:szCs w:val="24"/>
        </w:rPr>
        <w:t>Work</w:t>
      </w:r>
      <w:r w:rsidRPr="002C17CC">
        <w:rPr>
          <w:rFonts w:ascii="Times New Roman" w:hAnsi="Times New Roman"/>
          <w:bCs/>
          <w:szCs w:val="24"/>
        </w:rPr>
        <w:t>, 56(4), pp. 551-561.</w:t>
      </w:r>
    </w:p>
    <w:p w14:paraId="201879E7"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Sambe, N., Avanger, M.Y. and Abanyam, N.L., 2014. Analysis of factors precipitating witchcraft accusation among the Tiv. </w:t>
      </w:r>
      <w:r w:rsidRPr="00DA2952">
        <w:rPr>
          <w:rFonts w:ascii="Times New Roman" w:hAnsi="Times New Roman"/>
          <w:i/>
          <w:iCs/>
          <w:szCs w:val="24"/>
        </w:rPr>
        <w:t>The Anthropologist</w:t>
      </w:r>
      <w:r w:rsidRPr="00DA2952">
        <w:rPr>
          <w:rFonts w:ascii="Times New Roman" w:hAnsi="Times New Roman"/>
          <w:szCs w:val="24"/>
        </w:rPr>
        <w:t>, 18(3), pp. 1077-1087.</w:t>
      </w:r>
    </w:p>
    <w:p w14:paraId="660960C4" w14:textId="77777777" w:rsidR="00503349" w:rsidRPr="002B3011" w:rsidRDefault="00503349" w:rsidP="00503349">
      <w:pPr>
        <w:textAlignment w:val="baseline"/>
        <w:rPr>
          <w:rFonts w:ascii="Times New Roman" w:hAnsi="Times New Roman"/>
          <w:color w:val="000000"/>
          <w:szCs w:val="24"/>
          <w:lang w:val="en"/>
        </w:rPr>
      </w:pPr>
      <w:r w:rsidRPr="002B3011">
        <w:rPr>
          <w:rFonts w:ascii="Times New Roman" w:hAnsi="Times New Roman"/>
          <w:szCs w:val="24"/>
        </w:rPr>
        <w:t xml:space="preserve">Sanders, S., 2005. Is the glass half empty or half full? Reflections on strain and gain in caregivers of individuals with Alzheimer's disease. </w:t>
      </w:r>
      <w:r w:rsidRPr="002B3011">
        <w:rPr>
          <w:rFonts w:ascii="Times New Roman" w:hAnsi="Times New Roman"/>
          <w:i/>
          <w:iCs/>
          <w:szCs w:val="24"/>
        </w:rPr>
        <w:t>Social Work in Health Care</w:t>
      </w:r>
      <w:r w:rsidRPr="002B3011">
        <w:rPr>
          <w:rFonts w:ascii="Times New Roman" w:hAnsi="Times New Roman"/>
          <w:iCs/>
          <w:szCs w:val="24"/>
        </w:rPr>
        <w:t xml:space="preserve">, </w:t>
      </w:r>
      <w:r w:rsidRPr="002B3011">
        <w:rPr>
          <w:rFonts w:ascii="Times New Roman" w:hAnsi="Times New Roman"/>
          <w:szCs w:val="24"/>
        </w:rPr>
        <w:t>40, pp. 57-73.</w:t>
      </w:r>
    </w:p>
    <w:p w14:paraId="10D234D8" w14:textId="77777777" w:rsidR="00503349" w:rsidRDefault="00503349" w:rsidP="00503349">
      <w:pPr>
        <w:spacing w:before="240"/>
        <w:jc w:val="both"/>
        <w:rPr>
          <w:rFonts w:ascii="Times New Roman" w:hAnsi="Times New Roman"/>
          <w:szCs w:val="24"/>
        </w:rPr>
      </w:pPr>
      <w:r>
        <w:rPr>
          <w:rFonts w:ascii="Times New Roman" w:hAnsi="Times New Roman"/>
          <w:szCs w:val="24"/>
        </w:rPr>
        <w:lastRenderedPageBreak/>
        <w:t xml:space="preserve">Sanderson, M.R., Derudder, B., Timberlake, M. and Witlox, F., 2015. Are world cities also world immigrant cities? An international, cross-city analysis of global centrality and immigration. </w:t>
      </w:r>
      <w:r>
        <w:rPr>
          <w:rFonts w:ascii="Times New Roman" w:hAnsi="Times New Roman"/>
          <w:i/>
          <w:iCs/>
          <w:szCs w:val="24"/>
        </w:rPr>
        <w:t>International Journal of Comparative Sociology,</w:t>
      </w:r>
      <w:r>
        <w:rPr>
          <w:rFonts w:ascii="Times New Roman" w:hAnsi="Times New Roman"/>
          <w:szCs w:val="24"/>
        </w:rPr>
        <w:t xml:space="preserve"> 56(3-4).</w:t>
      </w:r>
    </w:p>
    <w:p w14:paraId="6B41FCB0" w14:textId="77777777" w:rsidR="00503349" w:rsidRPr="000A56C6" w:rsidRDefault="00503349" w:rsidP="00503349">
      <w:pPr>
        <w:shd w:val="clear" w:color="auto" w:fill="FFFFFF"/>
        <w:rPr>
          <w:rFonts w:ascii="Times New Roman" w:hAnsi="Times New Roman"/>
          <w:szCs w:val="24"/>
        </w:rPr>
      </w:pPr>
      <w:r w:rsidRPr="000A56C6">
        <w:rPr>
          <w:rFonts w:ascii="Times New Roman" w:hAnsi="Times New Roman"/>
          <w:szCs w:val="24"/>
        </w:rPr>
        <w:t xml:space="preserve">Sanford, K.D., 2013. Addressing staffing shortages in an era of reform. </w:t>
      </w:r>
      <w:r w:rsidRPr="000A56C6">
        <w:rPr>
          <w:rFonts w:ascii="Times New Roman" w:hAnsi="Times New Roman"/>
          <w:i/>
          <w:szCs w:val="24"/>
        </w:rPr>
        <w:t>Health Care Financial Management</w:t>
      </w:r>
      <w:r w:rsidRPr="000A56C6">
        <w:rPr>
          <w:rFonts w:ascii="Times New Roman" w:hAnsi="Times New Roman"/>
          <w:szCs w:val="24"/>
        </w:rPr>
        <w:t>, 67(12), pp. 42-45.</w:t>
      </w:r>
    </w:p>
    <w:p w14:paraId="5D87CAF2"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Sanjari, M., Bahramnezhad, F., Fomani, F.K., Shoghi, M. and Cheraghi, M.A., 2014. Ethical challenges of researchers in qualitative studies: the necessity to develop a specific guideline. </w:t>
      </w:r>
      <w:r w:rsidRPr="004E3E8F">
        <w:rPr>
          <w:rFonts w:ascii="Times New Roman" w:hAnsi="Times New Roman"/>
          <w:i/>
          <w:szCs w:val="24"/>
        </w:rPr>
        <w:t>Journal of Medical Ethics and History of Medicine</w:t>
      </w:r>
      <w:r w:rsidRPr="004E3E8F">
        <w:rPr>
          <w:rFonts w:ascii="Times New Roman" w:hAnsi="Times New Roman"/>
          <w:szCs w:val="24"/>
        </w:rPr>
        <w:t>, [e-journal] 7(14). Available at: &lt;https://www.ncbi.nlm.nih.gov/pmc/articles/PMC4263394/&gt;[Accessed 28 April 2019]</w:t>
      </w:r>
    </w:p>
    <w:p w14:paraId="3D818C0B"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Sanjeev, M.A. and Surya, A.V., 2016. </w:t>
      </w:r>
      <w:r w:rsidRPr="00EF189A">
        <w:rPr>
          <w:rFonts w:ascii="Times New Roman" w:hAnsi="Times New Roman"/>
          <w:szCs w:val="24"/>
          <w:bdr w:val="none" w:sz="0" w:space="0" w:color="auto" w:frame="1"/>
          <w:lang w:val="en"/>
        </w:rPr>
        <w:t xml:space="preserve">Two factor theory of motivation and satisfaction: an empirical verification. </w:t>
      </w:r>
      <w:r w:rsidRPr="00EF189A">
        <w:rPr>
          <w:rFonts w:ascii="Times New Roman" w:hAnsi="Times New Roman"/>
          <w:i/>
          <w:szCs w:val="24"/>
          <w:bdr w:val="none" w:sz="0" w:space="0" w:color="auto" w:frame="1"/>
        </w:rPr>
        <w:t>Annals of Data Science</w:t>
      </w:r>
      <w:r w:rsidRPr="00EF189A">
        <w:rPr>
          <w:rFonts w:ascii="Times New Roman" w:hAnsi="Times New Roman"/>
          <w:szCs w:val="24"/>
          <w:bdr w:val="none" w:sz="0" w:space="0" w:color="auto" w:frame="1"/>
        </w:rPr>
        <w:t>, 3(2), pp. 155-173.</w:t>
      </w:r>
    </w:p>
    <w:p w14:paraId="2DE64B94" w14:textId="77777777" w:rsidR="00503349" w:rsidRDefault="00503349" w:rsidP="00503349">
      <w:pPr>
        <w:spacing w:before="240" w:after="0"/>
        <w:jc w:val="both"/>
        <w:rPr>
          <w:rFonts w:ascii="Times New Roman" w:hAnsi="Times New Roman"/>
          <w:bCs/>
          <w:szCs w:val="24"/>
        </w:rPr>
      </w:pPr>
      <w:r>
        <w:rPr>
          <w:rFonts w:ascii="Times New Roman" w:hAnsi="Times New Roman"/>
          <w:bCs/>
          <w:szCs w:val="24"/>
        </w:rPr>
        <w:t xml:space="preserve">Sassen, S., 1988. </w:t>
      </w:r>
      <w:r>
        <w:rPr>
          <w:rFonts w:ascii="Times New Roman" w:hAnsi="Times New Roman"/>
          <w:bCs/>
          <w:i/>
          <w:iCs/>
          <w:szCs w:val="24"/>
        </w:rPr>
        <w:t>The Mobility of Labor and Capital</w:t>
      </w:r>
      <w:r>
        <w:rPr>
          <w:rFonts w:ascii="Times New Roman" w:hAnsi="Times New Roman"/>
          <w:bCs/>
          <w:szCs w:val="24"/>
        </w:rPr>
        <w:t>. Cambridge: Cambridge University Press.</w:t>
      </w:r>
    </w:p>
    <w:p w14:paraId="76EE2E7A" w14:textId="77777777" w:rsidR="00503349" w:rsidRPr="00135FDB" w:rsidRDefault="00503349" w:rsidP="00503349">
      <w:pPr>
        <w:spacing w:before="240" w:after="0"/>
        <w:jc w:val="both"/>
        <w:rPr>
          <w:rFonts w:ascii="Times New Roman" w:hAnsi="Times New Roman"/>
          <w:bCs/>
          <w:szCs w:val="24"/>
        </w:rPr>
      </w:pPr>
      <w:r>
        <w:rPr>
          <w:rFonts w:ascii="Times New Roman" w:hAnsi="Times New Roman"/>
          <w:szCs w:val="24"/>
        </w:rPr>
        <w:t xml:space="preserve">Sassen, S., 1996. Whose city is it? Globalization and the formation of new claims. </w:t>
      </w:r>
      <w:r>
        <w:rPr>
          <w:rFonts w:ascii="Times New Roman" w:hAnsi="Times New Roman"/>
          <w:i/>
          <w:szCs w:val="24"/>
        </w:rPr>
        <w:t>Public Culture</w:t>
      </w:r>
      <w:r>
        <w:rPr>
          <w:rFonts w:ascii="Times New Roman" w:hAnsi="Times New Roman"/>
          <w:szCs w:val="24"/>
        </w:rPr>
        <w:t>, 8(2), pp. 205-223.</w:t>
      </w:r>
    </w:p>
    <w:p w14:paraId="2A79E3A0" w14:textId="77777777" w:rsidR="00503349" w:rsidRDefault="00503349" w:rsidP="00503349">
      <w:pPr>
        <w:spacing w:before="240"/>
        <w:jc w:val="both"/>
        <w:rPr>
          <w:rFonts w:ascii="Times New Roman" w:hAnsi="Times New Roman"/>
          <w:bCs/>
          <w:noProof/>
          <w:szCs w:val="24"/>
        </w:rPr>
      </w:pPr>
      <w:r>
        <w:rPr>
          <w:rFonts w:ascii="Times New Roman" w:hAnsi="Times New Roman"/>
          <w:bCs/>
          <w:noProof/>
          <w:szCs w:val="24"/>
        </w:rPr>
        <w:t xml:space="preserve">Sassen, S., 2001. </w:t>
      </w:r>
      <w:r>
        <w:rPr>
          <w:rFonts w:ascii="Times New Roman" w:hAnsi="Times New Roman"/>
          <w:bCs/>
          <w:i/>
          <w:iCs/>
          <w:noProof/>
          <w:szCs w:val="24"/>
        </w:rPr>
        <w:t>The Global City: New York, London, Tokyo</w:t>
      </w:r>
      <w:r>
        <w:rPr>
          <w:rFonts w:ascii="Times New Roman" w:hAnsi="Times New Roman"/>
          <w:bCs/>
          <w:noProof/>
          <w:szCs w:val="24"/>
        </w:rPr>
        <w:t xml:space="preserve">. Princeton: Princeton University Press. </w:t>
      </w:r>
    </w:p>
    <w:p w14:paraId="211E3AC8" w14:textId="77777777" w:rsidR="00503349" w:rsidRDefault="00503349" w:rsidP="00503349">
      <w:pPr>
        <w:jc w:val="both"/>
        <w:rPr>
          <w:rFonts w:ascii="Times New Roman" w:hAnsi="Times New Roman"/>
          <w:szCs w:val="24"/>
        </w:rPr>
      </w:pPr>
      <w:r w:rsidRPr="0042674F">
        <w:rPr>
          <w:rFonts w:ascii="Times New Roman" w:hAnsi="Times New Roman"/>
          <w:szCs w:val="24"/>
        </w:rPr>
        <w:t xml:space="preserve">Savundranayagam, M.Y., </w:t>
      </w:r>
      <w:bookmarkStart w:id="315" w:name="_Hlk78735700"/>
      <w:r w:rsidRPr="0042674F">
        <w:rPr>
          <w:rFonts w:ascii="Times New Roman" w:hAnsi="Times New Roman"/>
          <w:szCs w:val="24"/>
        </w:rPr>
        <w:t>Hummert, M.L. and Montgomery</w:t>
      </w:r>
      <w:bookmarkEnd w:id="315"/>
      <w:r w:rsidRPr="0042674F">
        <w:rPr>
          <w:rFonts w:ascii="Times New Roman" w:hAnsi="Times New Roman"/>
          <w:szCs w:val="24"/>
        </w:rPr>
        <w:t>, R.J., 2005. Investigating the effects of communication problems on caregiver burden. </w:t>
      </w:r>
      <w:r w:rsidRPr="0042674F">
        <w:rPr>
          <w:rFonts w:ascii="Times New Roman" w:hAnsi="Times New Roman"/>
          <w:i/>
          <w:iCs/>
          <w:szCs w:val="24"/>
        </w:rPr>
        <w:t xml:space="preserve">The Journals of Gerontology Series B: Psychological Sciences </w:t>
      </w:r>
      <w:r>
        <w:rPr>
          <w:rFonts w:ascii="Times New Roman" w:hAnsi="Times New Roman"/>
          <w:i/>
          <w:iCs/>
          <w:szCs w:val="24"/>
        </w:rPr>
        <w:t>&amp;</w:t>
      </w:r>
      <w:r w:rsidRPr="0042674F">
        <w:rPr>
          <w:rFonts w:ascii="Times New Roman" w:hAnsi="Times New Roman"/>
          <w:i/>
          <w:iCs/>
          <w:szCs w:val="24"/>
        </w:rPr>
        <w:t xml:space="preserve"> Social Sciences</w:t>
      </w:r>
      <w:r w:rsidRPr="0042674F">
        <w:rPr>
          <w:rFonts w:ascii="Times New Roman" w:hAnsi="Times New Roman"/>
          <w:szCs w:val="24"/>
        </w:rPr>
        <w:t>, 60, pp.</w:t>
      </w:r>
      <w:r>
        <w:rPr>
          <w:rFonts w:ascii="Times New Roman" w:hAnsi="Times New Roman"/>
          <w:szCs w:val="24"/>
        </w:rPr>
        <w:t xml:space="preserve"> </w:t>
      </w:r>
      <w:r w:rsidRPr="0042674F">
        <w:rPr>
          <w:rFonts w:ascii="Times New Roman" w:hAnsi="Times New Roman"/>
          <w:szCs w:val="24"/>
        </w:rPr>
        <w:t>S48-S55.</w:t>
      </w:r>
    </w:p>
    <w:p w14:paraId="1FC1D357"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Sayegh, P. and Knight B.G., 2011. </w:t>
      </w:r>
      <w:r w:rsidRPr="002B3011">
        <w:rPr>
          <w:rFonts w:ascii="Times New Roman" w:hAnsi="Times New Roman"/>
          <w:bCs/>
          <w:szCs w:val="24"/>
        </w:rPr>
        <w:t>The effects of familism and cultural justification on the mental and physical health of family caregivers.</w:t>
      </w:r>
      <w:r w:rsidRPr="002B3011">
        <w:rPr>
          <w:rFonts w:ascii="Times New Roman" w:hAnsi="Times New Roman"/>
          <w:szCs w:val="24"/>
        </w:rPr>
        <w:t xml:space="preserve"> </w:t>
      </w:r>
      <w:r w:rsidRPr="002B3011">
        <w:rPr>
          <w:rFonts w:ascii="Times New Roman" w:hAnsi="Times New Roman"/>
          <w:i/>
          <w:szCs w:val="24"/>
        </w:rPr>
        <w:t>Journals of Gerontology Series B: Psychological Sciences and Social Sciences</w:t>
      </w:r>
      <w:r w:rsidRPr="002B3011">
        <w:rPr>
          <w:rFonts w:ascii="Times New Roman" w:hAnsi="Times New Roman"/>
          <w:szCs w:val="24"/>
        </w:rPr>
        <w:t>, 66, pp. 3-14.</w:t>
      </w:r>
    </w:p>
    <w:p w14:paraId="69D56B6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Scerri, A., Innes, A. and Scerri, C., 2017. Dementia training programmes for staff working in general hospital settings–a systematic review of the literature. </w:t>
      </w:r>
      <w:r w:rsidRPr="00DA2952">
        <w:rPr>
          <w:rFonts w:ascii="Times New Roman" w:hAnsi="Times New Roman"/>
          <w:i/>
          <w:iCs/>
          <w:szCs w:val="24"/>
        </w:rPr>
        <w:t>Aging &amp; Mental Health</w:t>
      </w:r>
      <w:r w:rsidRPr="00DA2952">
        <w:rPr>
          <w:rFonts w:ascii="Times New Roman" w:hAnsi="Times New Roman"/>
          <w:szCs w:val="24"/>
        </w:rPr>
        <w:t>, 21(8), pp. 783-796.</w:t>
      </w:r>
    </w:p>
    <w:p w14:paraId="3B86FEA1"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Scharlach, A.E., Kellam, R., Ong, N., Baskin, A., Goldstein, C. and Fox, P.J., 2006. Cultural attitudes and caregiver service use: lessons from focus groups with racially and ethnically diverse family caregivers. </w:t>
      </w:r>
      <w:r w:rsidRPr="004E3E8F">
        <w:rPr>
          <w:rFonts w:ascii="Times New Roman" w:hAnsi="Times New Roman"/>
          <w:i/>
          <w:iCs/>
          <w:szCs w:val="24"/>
        </w:rPr>
        <w:t>Journal of Gerontological Social Work</w:t>
      </w:r>
      <w:r w:rsidRPr="004E3E8F">
        <w:rPr>
          <w:rFonts w:ascii="Times New Roman" w:hAnsi="Times New Roman"/>
          <w:szCs w:val="24"/>
        </w:rPr>
        <w:t xml:space="preserve">, </w:t>
      </w:r>
      <w:r w:rsidRPr="004E3E8F">
        <w:rPr>
          <w:rFonts w:ascii="Times New Roman" w:hAnsi="Times New Roman"/>
          <w:iCs/>
          <w:szCs w:val="24"/>
        </w:rPr>
        <w:t>47</w:t>
      </w:r>
      <w:r w:rsidRPr="004E3E8F">
        <w:rPr>
          <w:rFonts w:ascii="Times New Roman" w:hAnsi="Times New Roman"/>
          <w:szCs w:val="24"/>
        </w:rPr>
        <w:t>(1-2), pp. 133-156.</w:t>
      </w:r>
    </w:p>
    <w:p w14:paraId="44E32BA6"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Schneider, J., Schönstein, A., Teschauer, W., Kruse, A. and Teichmann, B., 2020. Hospital staff’s attitudes toward and knowledge about dementia before and after a two-day dementia training program. </w:t>
      </w:r>
      <w:r w:rsidRPr="00DA2952">
        <w:rPr>
          <w:rFonts w:ascii="Times New Roman" w:hAnsi="Times New Roman"/>
          <w:i/>
          <w:iCs/>
          <w:szCs w:val="24"/>
        </w:rPr>
        <w:t>Journal of Alzheimer's Disease</w:t>
      </w:r>
      <w:r w:rsidRPr="00DA2952">
        <w:rPr>
          <w:rFonts w:ascii="Times New Roman" w:hAnsi="Times New Roman"/>
          <w:szCs w:val="24"/>
        </w:rPr>
        <w:t>, 77, pp. 355-365.</w:t>
      </w:r>
    </w:p>
    <w:p w14:paraId="5A0E4BE1"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Schnelle, J.F., Simmons, S.F., Harrington, C., Cadogan, M., Garcia, E., Bates-Jensen, B.M., 2004. </w:t>
      </w:r>
      <w:r w:rsidRPr="00CF1AE8">
        <w:rPr>
          <w:rFonts w:ascii="Times New Roman" w:hAnsi="Times New Roman"/>
          <w:bCs/>
          <w:szCs w:val="24"/>
        </w:rPr>
        <w:t>Relationship of nursing home staffing to quality of care</w:t>
      </w:r>
      <w:r w:rsidRPr="00CF1AE8">
        <w:rPr>
          <w:rFonts w:ascii="Times New Roman" w:hAnsi="Times New Roman"/>
          <w:szCs w:val="24"/>
        </w:rPr>
        <w:t xml:space="preserve">. </w:t>
      </w:r>
      <w:r w:rsidRPr="00CF1AE8">
        <w:rPr>
          <w:rFonts w:ascii="Times New Roman" w:hAnsi="Times New Roman"/>
          <w:i/>
          <w:szCs w:val="24"/>
        </w:rPr>
        <w:t>Health Services Research</w:t>
      </w:r>
      <w:r w:rsidRPr="00CF1AE8">
        <w:rPr>
          <w:rFonts w:ascii="Times New Roman" w:hAnsi="Times New Roman"/>
          <w:szCs w:val="24"/>
        </w:rPr>
        <w:t>, 39, pp. 225-250</w:t>
      </w:r>
      <w:r>
        <w:rPr>
          <w:rFonts w:ascii="Times New Roman" w:hAnsi="Times New Roman"/>
          <w:szCs w:val="24"/>
        </w:rPr>
        <w:t>.</w:t>
      </w:r>
    </w:p>
    <w:p w14:paraId="7181E900"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Schomerus, G., van der Auwera, S., Matschinger, H., Baumeister, S.E. and Angermeyer, M.C., 2015. Do attitudes towards persons with mental illness worsen during the course of life? An age‐period‐cohort analysis. </w:t>
      </w:r>
      <w:r w:rsidRPr="00DA2952">
        <w:rPr>
          <w:rFonts w:ascii="Times New Roman" w:hAnsi="Times New Roman"/>
          <w:i/>
          <w:iCs/>
          <w:szCs w:val="24"/>
        </w:rPr>
        <w:t>Acta Psychiatrica Scandinavica</w:t>
      </w:r>
      <w:r w:rsidRPr="00DA2952">
        <w:rPr>
          <w:rFonts w:ascii="Times New Roman" w:hAnsi="Times New Roman"/>
          <w:szCs w:val="24"/>
        </w:rPr>
        <w:t>, 132, pp. 357-364.</w:t>
      </w:r>
    </w:p>
    <w:p w14:paraId="1FD4A548" w14:textId="77777777" w:rsidR="00503349" w:rsidRPr="002B3011" w:rsidRDefault="00503349" w:rsidP="00503349">
      <w:pPr>
        <w:textAlignment w:val="baseline"/>
        <w:rPr>
          <w:rFonts w:ascii="Times New Roman" w:hAnsi="Times New Roman"/>
          <w:strike/>
          <w:color w:val="000000"/>
          <w:szCs w:val="24"/>
        </w:rPr>
      </w:pPr>
      <w:r w:rsidRPr="002B3011">
        <w:rPr>
          <w:rFonts w:ascii="Times New Roman" w:hAnsi="Times New Roman"/>
          <w:szCs w:val="24"/>
        </w:rPr>
        <w:t xml:space="preserve">Schulz, R. and Beach, S.R., 1999. Caregiving as a risk factor for mortality. </w:t>
      </w:r>
      <w:r w:rsidRPr="002B3011">
        <w:rPr>
          <w:rFonts w:ascii="Times New Roman" w:hAnsi="Times New Roman"/>
          <w:i/>
          <w:szCs w:val="24"/>
        </w:rPr>
        <w:t>Journal of the American Medical Association</w:t>
      </w:r>
      <w:r w:rsidRPr="002B3011">
        <w:rPr>
          <w:rFonts w:ascii="Times New Roman" w:hAnsi="Times New Roman"/>
          <w:szCs w:val="24"/>
        </w:rPr>
        <w:t>, 282, pp. 2215-2219.</w:t>
      </w:r>
    </w:p>
    <w:p w14:paraId="3BD56D6F"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Schulz, </w:t>
      </w:r>
      <w:r>
        <w:rPr>
          <w:rFonts w:ascii="Times New Roman" w:hAnsi="Times New Roman"/>
          <w:szCs w:val="24"/>
        </w:rPr>
        <w:t>R</w:t>
      </w:r>
      <w:r w:rsidRPr="00AB40E2">
        <w:rPr>
          <w:rFonts w:ascii="Times New Roman" w:hAnsi="Times New Roman"/>
          <w:szCs w:val="24"/>
        </w:rPr>
        <w:t xml:space="preserve">. and Martire, L.M., 2004. Family caregiving of persons with dementia: prevalence, health effects, and support strategies. </w:t>
      </w:r>
      <w:r w:rsidRPr="00AB40E2">
        <w:rPr>
          <w:rFonts w:ascii="Times New Roman" w:hAnsi="Times New Roman"/>
          <w:i/>
          <w:iCs/>
          <w:szCs w:val="24"/>
        </w:rPr>
        <w:t>American Journal of Geriatric Psychiatry</w:t>
      </w:r>
      <w:r w:rsidRPr="00AB40E2">
        <w:rPr>
          <w:rFonts w:ascii="Times New Roman" w:hAnsi="Times New Roman"/>
          <w:szCs w:val="24"/>
        </w:rPr>
        <w:t>, 12</w:t>
      </w:r>
      <w:r>
        <w:rPr>
          <w:rFonts w:ascii="Times New Roman" w:hAnsi="Times New Roman"/>
          <w:szCs w:val="24"/>
        </w:rPr>
        <w:t>(3)</w:t>
      </w:r>
      <w:r w:rsidRPr="00AB40E2">
        <w:rPr>
          <w:rFonts w:ascii="Times New Roman" w:hAnsi="Times New Roman"/>
          <w:szCs w:val="24"/>
        </w:rPr>
        <w:t>, pp. 240-249.</w:t>
      </w:r>
    </w:p>
    <w:p w14:paraId="05D4109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Schulz, R., O'Brien, A.T., Bookwala, J. and Fleissner, K., 1995. Psychiatric and physical morbidity effects of dementia caregiving: prevalence, correlates, and causes. </w:t>
      </w:r>
      <w:r w:rsidRPr="002B3011">
        <w:rPr>
          <w:rFonts w:ascii="Times New Roman" w:hAnsi="Times New Roman"/>
          <w:i/>
          <w:iCs/>
          <w:color w:val="000000"/>
          <w:szCs w:val="24"/>
        </w:rPr>
        <w:t>The Gerontologist</w:t>
      </w:r>
      <w:r w:rsidRPr="002B3011">
        <w:rPr>
          <w:rFonts w:ascii="Times New Roman" w:hAnsi="Times New Roman"/>
          <w:color w:val="000000"/>
          <w:szCs w:val="24"/>
        </w:rPr>
        <w:t>, 35(6), pp. 771-791.</w:t>
      </w:r>
    </w:p>
    <w:p w14:paraId="338D65D2"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Schwandt, T. A., 2000. Three epistemological stances for qualitative inquiry: Interpretivism, hermeneutics, and social constructionism. In: N.K. Denzin &amp; Y.S. </w:t>
      </w:r>
      <w:r w:rsidRPr="008101DD">
        <w:rPr>
          <w:rFonts w:ascii="Times New Roman" w:hAnsi="Times New Roman"/>
          <w:szCs w:val="24"/>
        </w:rPr>
        <w:lastRenderedPageBreak/>
        <w:t xml:space="preserve">Lincoln, eds. 2000. </w:t>
      </w:r>
      <w:r w:rsidRPr="008101DD">
        <w:rPr>
          <w:rFonts w:ascii="Times New Roman" w:hAnsi="Times New Roman"/>
          <w:i/>
          <w:szCs w:val="24"/>
        </w:rPr>
        <w:t>Handbook of qualitative research</w:t>
      </w:r>
      <w:r w:rsidRPr="008101DD">
        <w:rPr>
          <w:rFonts w:ascii="Times New Roman" w:hAnsi="Times New Roman"/>
          <w:szCs w:val="24"/>
        </w:rPr>
        <w:t>. Beverly Hills, CA: Sage. pp. 189-213.</w:t>
      </w:r>
    </w:p>
    <w:p w14:paraId="5287F185"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Schwandt, T.A., 1994. Constructivist, interpretivist approaches to human inquiry. In N. K. Denzin &amp; Y.S. Lincoln, eds. 1994. </w:t>
      </w:r>
      <w:r w:rsidRPr="008101DD">
        <w:rPr>
          <w:rFonts w:ascii="Times New Roman" w:hAnsi="Times New Roman"/>
          <w:i/>
          <w:szCs w:val="24"/>
        </w:rPr>
        <w:t>Handbook of qualitative research</w:t>
      </w:r>
      <w:r w:rsidRPr="008101DD">
        <w:rPr>
          <w:rFonts w:ascii="Times New Roman" w:hAnsi="Times New Roman"/>
          <w:szCs w:val="24"/>
        </w:rPr>
        <w:t>. Thousand Oaks, CA: Sage. pp. 118-137.</w:t>
      </w:r>
    </w:p>
    <w:p w14:paraId="4449590D"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Schwarz, B., Trommsdorff, G., Zheng, G. and Shi, 2010. </w:t>
      </w:r>
      <w:r w:rsidRPr="00EF189A">
        <w:rPr>
          <w:rFonts w:ascii="Times New Roman" w:hAnsi="Times New Roman"/>
          <w:bCs/>
          <w:szCs w:val="24"/>
          <w:bdr w:val="none" w:sz="0" w:space="0" w:color="auto" w:frame="1"/>
        </w:rPr>
        <w:t>Reciprocity in intergenerational support: a comparison of Chinese and German adult daughters</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Journal of Family Issues</w:t>
      </w:r>
      <w:r w:rsidRPr="00EF189A">
        <w:rPr>
          <w:rFonts w:ascii="Times New Roman" w:hAnsi="Times New Roman"/>
          <w:szCs w:val="24"/>
          <w:bdr w:val="none" w:sz="0" w:space="0" w:color="auto" w:frame="1"/>
        </w:rPr>
        <w:t>, 31(2), pp. 234-256.</w:t>
      </w:r>
    </w:p>
    <w:p w14:paraId="4CEA2A7A"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Scotland, J., 2012. Exploring the philosophical underpinnings of research: relating ontology and epistemology to the methodology and methods of the scientific, interpretive, and critical research paradigms. </w:t>
      </w:r>
      <w:r w:rsidRPr="008101DD">
        <w:rPr>
          <w:rFonts w:ascii="Times New Roman" w:hAnsi="Times New Roman"/>
          <w:i/>
          <w:szCs w:val="24"/>
        </w:rPr>
        <w:t>English Language Teaching</w:t>
      </w:r>
      <w:r w:rsidRPr="008101DD">
        <w:rPr>
          <w:rFonts w:ascii="Times New Roman" w:hAnsi="Times New Roman"/>
          <w:szCs w:val="24"/>
        </w:rPr>
        <w:t xml:space="preserve">, 5(9), pp. 9-16. </w:t>
      </w:r>
    </w:p>
    <w:p w14:paraId="4E6C7398" w14:textId="77777777" w:rsidR="00503349" w:rsidRPr="00196C46" w:rsidRDefault="00503349" w:rsidP="00503349">
      <w:pPr>
        <w:jc w:val="both"/>
        <w:rPr>
          <w:rFonts w:ascii="Times New Roman" w:hAnsi="Times New Roman"/>
          <w:szCs w:val="24"/>
        </w:rPr>
      </w:pPr>
      <w:r w:rsidRPr="00196C46">
        <w:rPr>
          <w:rFonts w:ascii="Times New Roman" w:hAnsi="Times New Roman"/>
          <w:szCs w:val="24"/>
        </w:rPr>
        <w:t xml:space="preserve">Scrinzi, F., 2018. Beyond “women’s work”: gender, ethnicity, and the management of paid care work in nonprofit domiciliary services in Italy. </w:t>
      </w:r>
      <w:r w:rsidRPr="00196C46">
        <w:rPr>
          <w:rFonts w:ascii="Times New Roman" w:hAnsi="Times New Roman"/>
          <w:i/>
          <w:iCs/>
          <w:szCs w:val="24"/>
        </w:rPr>
        <w:t>Journal of Immigrant &amp; Refugee Studies</w:t>
      </w:r>
      <w:r w:rsidRPr="00196C46">
        <w:rPr>
          <w:rFonts w:ascii="Times New Roman" w:hAnsi="Times New Roman"/>
          <w:szCs w:val="24"/>
        </w:rPr>
        <w:t>, 17(4), pp. 441-456.</w:t>
      </w:r>
    </w:p>
    <w:p w14:paraId="319B6FED" w14:textId="77777777" w:rsidR="00503349" w:rsidRPr="004E3E8F" w:rsidRDefault="00503349" w:rsidP="00503349">
      <w:pPr>
        <w:jc w:val="both"/>
        <w:rPr>
          <w:rFonts w:ascii="Times New Roman" w:hAnsi="Times New Roman"/>
          <w:szCs w:val="24"/>
        </w:rPr>
      </w:pPr>
      <w:r w:rsidRPr="004E3E8F">
        <w:rPr>
          <w:rFonts w:ascii="Times New Roman" w:hAnsi="Times New Roman"/>
          <w:szCs w:val="24"/>
        </w:rPr>
        <w:t>Seaman, C., 1987. Research methods, principles, practice, and theory of nursing. 3</w:t>
      </w:r>
      <w:r w:rsidRPr="004E3E8F">
        <w:rPr>
          <w:rFonts w:ascii="Times New Roman" w:hAnsi="Times New Roman"/>
          <w:szCs w:val="24"/>
          <w:vertAlign w:val="superscript"/>
        </w:rPr>
        <w:t xml:space="preserve">rd </w:t>
      </w:r>
      <w:r w:rsidRPr="004E3E8F">
        <w:rPr>
          <w:rFonts w:ascii="Times New Roman" w:hAnsi="Times New Roman"/>
          <w:szCs w:val="24"/>
        </w:rPr>
        <w:t>ed. Norwalk Connecticut: Appleton &amp; Lange.</w:t>
      </w:r>
    </w:p>
    <w:p w14:paraId="3321AB8B"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Seelbach, W.C. and Sauer, W.J., 1977. Filial responsibility expectations and morale among aged parents. </w:t>
      </w:r>
      <w:r w:rsidRPr="002B3011">
        <w:rPr>
          <w:rFonts w:ascii="Times New Roman" w:hAnsi="Times New Roman"/>
          <w:i/>
          <w:iCs/>
          <w:szCs w:val="24"/>
        </w:rPr>
        <w:t>The Gerontologist</w:t>
      </w:r>
      <w:r w:rsidRPr="002B3011">
        <w:rPr>
          <w:rFonts w:ascii="Times New Roman" w:hAnsi="Times New Roman"/>
          <w:szCs w:val="24"/>
        </w:rPr>
        <w:t>, 17(6), pp. 492-499.</w:t>
      </w:r>
    </w:p>
    <w:p w14:paraId="2DBEC22C" w14:textId="77777777" w:rsidR="00503349" w:rsidRPr="002B3011" w:rsidRDefault="00503349" w:rsidP="00503349">
      <w:pPr>
        <w:jc w:val="both"/>
        <w:textAlignment w:val="baseline"/>
        <w:rPr>
          <w:rFonts w:ascii="Times New Roman" w:hAnsi="Times New Roman"/>
          <w:color w:val="000000"/>
          <w:szCs w:val="24"/>
        </w:rPr>
      </w:pPr>
      <w:r w:rsidRPr="002B3011">
        <w:rPr>
          <w:rFonts w:ascii="Times New Roman" w:hAnsi="Times New Roman"/>
          <w:color w:val="000000"/>
          <w:szCs w:val="24"/>
        </w:rPr>
        <w:t>Seidel, D. and Thyrian, J.R., 2019. Burden of caring for people with dementia–comparing family caregivers and professional caregivers. A descriptive study. </w:t>
      </w:r>
      <w:r w:rsidRPr="002B3011">
        <w:rPr>
          <w:rFonts w:ascii="Times New Roman" w:hAnsi="Times New Roman"/>
          <w:i/>
          <w:iCs/>
          <w:color w:val="000000"/>
          <w:szCs w:val="24"/>
        </w:rPr>
        <w:t>Journal of Multidisciplinary Healthcare</w:t>
      </w:r>
      <w:r w:rsidRPr="002B3011">
        <w:rPr>
          <w:rFonts w:ascii="Times New Roman" w:hAnsi="Times New Roman"/>
          <w:color w:val="000000"/>
          <w:szCs w:val="24"/>
        </w:rPr>
        <w:t>, 12, pp. 655-663.</w:t>
      </w:r>
    </w:p>
    <w:p w14:paraId="0A2BE130"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Seitz, D., Purandare, N. and Conn, D., 2010. Prevalence of psychiatric disorders among older adults in long-term care homes: a systematic review. </w:t>
      </w:r>
      <w:r w:rsidRPr="00AB40E2">
        <w:rPr>
          <w:rFonts w:ascii="Times New Roman" w:hAnsi="Times New Roman"/>
          <w:i/>
          <w:szCs w:val="24"/>
        </w:rPr>
        <w:t>International Psychogeriatrics</w:t>
      </w:r>
      <w:r w:rsidRPr="00AB40E2">
        <w:rPr>
          <w:rFonts w:ascii="Times New Roman" w:hAnsi="Times New Roman"/>
          <w:szCs w:val="24"/>
        </w:rPr>
        <w:t>, 22, pp. 1025-1039.</w:t>
      </w:r>
    </w:p>
    <w:p w14:paraId="506AA1B0"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Self, A. and Zealey, L., eds., 2008. </w:t>
      </w:r>
      <w:r>
        <w:rPr>
          <w:rFonts w:ascii="Times New Roman" w:hAnsi="Times New Roman"/>
          <w:i/>
          <w:iCs/>
          <w:szCs w:val="24"/>
        </w:rPr>
        <w:t>Social Trends, No. 38</w:t>
      </w:r>
      <w:r>
        <w:rPr>
          <w:rFonts w:ascii="Times New Roman" w:hAnsi="Times New Roman"/>
          <w:szCs w:val="24"/>
        </w:rPr>
        <w:t>. London: Office for National Statistics.</w:t>
      </w:r>
    </w:p>
    <w:p w14:paraId="25C9C012" w14:textId="77777777" w:rsidR="00503349" w:rsidRDefault="00503349" w:rsidP="00503349">
      <w:pPr>
        <w:tabs>
          <w:tab w:val="center" w:pos="4156"/>
        </w:tabs>
        <w:jc w:val="both"/>
        <w:rPr>
          <w:rFonts w:ascii="Times New Roman" w:hAnsi="Times New Roman"/>
          <w:szCs w:val="24"/>
        </w:rPr>
      </w:pPr>
      <w:r w:rsidRPr="00CF1AE8">
        <w:rPr>
          <w:rFonts w:ascii="Times New Roman" w:hAnsi="Times New Roman"/>
          <w:szCs w:val="24"/>
        </w:rPr>
        <w:lastRenderedPageBreak/>
        <w:t xml:space="preserve">Sellgren, S., Ekvall, G. and Tomson, G., 2008. </w:t>
      </w:r>
      <w:r w:rsidRPr="00CF1AE8">
        <w:rPr>
          <w:rFonts w:ascii="Times New Roman" w:hAnsi="Times New Roman"/>
          <w:bCs/>
          <w:szCs w:val="24"/>
        </w:rPr>
        <w:t>Leadership behaviour of nurse managers in relation to job satisfaction and work climate.</w:t>
      </w:r>
      <w:r w:rsidRPr="00CF1AE8">
        <w:rPr>
          <w:rFonts w:ascii="Times New Roman" w:hAnsi="Times New Roman"/>
          <w:szCs w:val="24"/>
        </w:rPr>
        <w:t xml:space="preserve"> </w:t>
      </w:r>
      <w:r w:rsidRPr="00CF1AE8">
        <w:rPr>
          <w:rFonts w:ascii="Times New Roman" w:hAnsi="Times New Roman"/>
          <w:i/>
          <w:szCs w:val="24"/>
        </w:rPr>
        <w:t>Journal of Nursing Management</w:t>
      </w:r>
      <w:r w:rsidRPr="00CF1AE8">
        <w:rPr>
          <w:rFonts w:ascii="Times New Roman" w:hAnsi="Times New Roman"/>
          <w:szCs w:val="24"/>
        </w:rPr>
        <w:t>, 16, pp. 578-587</w:t>
      </w:r>
      <w:r>
        <w:rPr>
          <w:rFonts w:ascii="Times New Roman" w:hAnsi="Times New Roman"/>
          <w:szCs w:val="24"/>
        </w:rPr>
        <w:t>.</w:t>
      </w:r>
      <w:r>
        <w:rPr>
          <w:rFonts w:ascii="Times New Roman" w:hAnsi="Times New Roman"/>
          <w:szCs w:val="24"/>
        </w:rPr>
        <w:tab/>
      </w:r>
    </w:p>
    <w:p w14:paraId="47DA31E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Semiatin, A.M. and O’Connor, M.K., 2012. The relationship between self-efficacy and positive aspects of caregiving in Alzheimer's disease caregivers. </w:t>
      </w:r>
      <w:r w:rsidRPr="002B3011">
        <w:rPr>
          <w:rFonts w:ascii="Times New Roman" w:hAnsi="Times New Roman"/>
          <w:i/>
          <w:iCs/>
          <w:color w:val="000000"/>
          <w:szCs w:val="24"/>
        </w:rPr>
        <w:t>Aging &amp; Mental Health</w:t>
      </w:r>
      <w:r w:rsidRPr="002B3011">
        <w:rPr>
          <w:rFonts w:ascii="Times New Roman" w:hAnsi="Times New Roman"/>
          <w:color w:val="000000"/>
          <w:szCs w:val="24"/>
        </w:rPr>
        <w:t>, 16(6), pp. 683-688.</w:t>
      </w:r>
    </w:p>
    <w:p w14:paraId="18BA4491" w14:textId="77777777" w:rsidR="00503349" w:rsidRDefault="00503349" w:rsidP="00503349">
      <w:pPr>
        <w:tabs>
          <w:tab w:val="left" w:pos="5445"/>
        </w:tabs>
        <w:jc w:val="both"/>
        <w:rPr>
          <w:rFonts w:ascii="Times New Roman" w:hAnsi="Times New Roman"/>
          <w:szCs w:val="24"/>
        </w:rPr>
      </w:pPr>
      <w:r w:rsidRPr="007419A4">
        <w:rPr>
          <w:rFonts w:ascii="Times New Roman" w:hAnsi="Times New Roman"/>
          <w:szCs w:val="24"/>
        </w:rPr>
        <w:t>Shaffer, D.R., Dooley, W.K. and Williamson, G.M., 2007. Endorsement of proactively aggressive caregiving strategies moderates the relation between caregiver mental health and potentially harmful caregiving behavior. </w:t>
      </w:r>
      <w:r w:rsidRPr="007419A4">
        <w:rPr>
          <w:rFonts w:ascii="Times New Roman" w:hAnsi="Times New Roman"/>
          <w:i/>
          <w:iCs/>
          <w:szCs w:val="24"/>
        </w:rPr>
        <w:t>Psychology and Aging</w:t>
      </w:r>
      <w:r w:rsidRPr="007419A4">
        <w:rPr>
          <w:rFonts w:ascii="Times New Roman" w:hAnsi="Times New Roman"/>
          <w:szCs w:val="24"/>
        </w:rPr>
        <w:t>, </w:t>
      </w:r>
      <w:r w:rsidRPr="007D3154">
        <w:rPr>
          <w:rFonts w:ascii="Times New Roman" w:hAnsi="Times New Roman"/>
          <w:szCs w:val="24"/>
        </w:rPr>
        <w:t>22</w:t>
      </w:r>
      <w:r w:rsidRPr="007419A4">
        <w:rPr>
          <w:rFonts w:ascii="Times New Roman" w:hAnsi="Times New Roman"/>
          <w:szCs w:val="24"/>
        </w:rPr>
        <w:t>(3), p.</w:t>
      </w:r>
      <w:r>
        <w:rPr>
          <w:rFonts w:ascii="Times New Roman" w:hAnsi="Times New Roman"/>
          <w:szCs w:val="24"/>
        </w:rPr>
        <w:t xml:space="preserve"> </w:t>
      </w:r>
      <w:r w:rsidRPr="007419A4">
        <w:rPr>
          <w:rFonts w:ascii="Times New Roman" w:hAnsi="Times New Roman"/>
          <w:szCs w:val="24"/>
        </w:rPr>
        <w:t>494</w:t>
      </w:r>
      <w:r>
        <w:rPr>
          <w:rFonts w:ascii="Times New Roman" w:hAnsi="Times New Roman"/>
          <w:szCs w:val="24"/>
        </w:rPr>
        <w:t>-504</w:t>
      </w:r>
      <w:r w:rsidRPr="007419A4">
        <w:rPr>
          <w:rFonts w:ascii="Times New Roman" w:hAnsi="Times New Roman"/>
          <w:szCs w:val="24"/>
        </w:rPr>
        <w:t>.</w:t>
      </w:r>
    </w:p>
    <w:p w14:paraId="3CE51EA1"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Shafritz, J.M., Russell, E.M. and Borick, C., 2015. </w:t>
      </w:r>
      <w:r w:rsidRPr="00EF189A">
        <w:rPr>
          <w:rFonts w:ascii="Times New Roman" w:hAnsi="Times New Roman"/>
          <w:i/>
          <w:iCs/>
          <w:szCs w:val="24"/>
          <w:bdr w:val="none" w:sz="0" w:space="0" w:color="auto" w:frame="1"/>
        </w:rPr>
        <w:t>Introducing public administration</w:t>
      </w:r>
      <w:r w:rsidRPr="00EF189A">
        <w:rPr>
          <w:rFonts w:ascii="Times New Roman" w:hAnsi="Times New Roman"/>
          <w:szCs w:val="24"/>
          <w:bdr w:val="none" w:sz="0" w:space="0" w:color="auto" w:frame="1"/>
        </w:rPr>
        <w:t>. 8th ed. Philadelphia: Taylor and Francis, pp. 219-223.</w:t>
      </w:r>
    </w:p>
    <w:p w14:paraId="3CD4E9EB"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Shah, H., Albanese, E., Duggan, C., Rudan, I., Langa, K.M. and Carrillo, M.C., 2016. Research priorities to reduce the global burden of dementia by 2025. </w:t>
      </w:r>
      <w:r w:rsidRPr="00DA2952">
        <w:rPr>
          <w:rFonts w:ascii="Times New Roman" w:hAnsi="Times New Roman"/>
          <w:i/>
          <w:iCs/>
          <w:szCs w:val="24"/>
        </w:rPr>
        <w:t>Lancet Neurology</w:t>
      </w:r>
      <w:r w:rsidRPr="00DA2952">
        <w:rPr>
          <w:rFonts w:ascii="Times New Roman" w:hAnsi="Times New Roman"/>
          <w:szCs w:val="24"/>
        </w:rPr>
        <w:t>, 15, pp. 1285-1294.</w:t>
      </w:r>
    </w:p>
    <w:p w14:paraId="4F1EB7A2" w14:textId="77777777" w:rsidR="00503349" w:rsidRDefault="00503349" w:rsidP="00503349">
      <w:pPr>
        <w:rPr>
          <w:rFonts w:ascii="Times New Roman" w:hAnsi="Times New Roman"/>
          <w:szCs w:val="24"/>
        </w:rPr>
      </w:pPr>
      <w:r w:rsidRPr="003C3C14">
        <w:rPr>
          <w:rFonts w:ascii="Times New Roman" w:hAnsi="Times New Roman"/>
          <w:szCs w:val="24"/>
        </w:rPr>
        <w:t>Shahvisi, A.</w:t>
      </w:r>
      <w:r>
        <w:rPr>
          <w:rFonts w:ascii="Times New Roman" w:hAnsi="Times New Roman"/>
          <w:szCs w:val="24"/>
        </w:rPr>
        <w:t xml:space="preserve">, </w:t>
      </w:r>
      <w:r w:rsidRPr="003C3C14">
        <w:rPr>
          <w:rFonts w:ascii="Times New Roman" w:hAnsi="Times New Roman"/>
          <w:szCs w:val="24"/>
        </w:rPr>
        <w:t xml:space="preserve">2019. Austerity or xenophobia? The causes and costs of the ‘hostile environment’ in the NHS. </w:t>
      </w:r>
      <w:r w:rsidRPr="003C3C14">
        <w:rPr>
          <w:rFonts w:ascii="Times New Roman" w:hAnsi="Times New Roman"/>
          <w:i/>
          <w:iCs/>
          <w:szCs w:val="24"/>
        </w:rPr>
        <w:t>Health Care Analysis</w:t>
      </w:r>
      <w:r w:rsidRPr="003C3C14">
        <w:rPr>
          <w:rFonts w:ascii="Times New Roman" w:hAnsi="Times New Roman"/>
          <w:szCs w:val="24"/>
        </w:rPr>
        <w:t xml:space="preserve">, 27(3), </w:t>
      </w:r>
      <w:r>
        <w:rPr>
          <w:rFonts w:ascii="Times New Roman" w:hAnsi="Times New Roman"/>
          <w:szCs w:val="24"/>
        </w:rPr>
        <w:t xml:space="preserve">pp. </w:t>
      </w:r>
      <w:r w:rsidRPr="003C3C14">
        <w:rPr>
          <w:rFonts w:ascii="Times New Roman" w:hAnsi="Times New Roman"/>
          <w:szCs w:val="24"/>
        </w:rPr>
        <w:t>202</w:t>
      </w:r>
      <w:r>
        <w:rPr>
          <w:rFonts w:ascii="Times New Roman" w:hAnsi="Times New Roman"/>
          <w:szCs w:val="24"/>
        </w:rPr>
        <w:t>-</w:t>
      </w:r>
      <w:r w:rsidRPr="003C3C14">
        <w:rPr>
          <w:rFonts w:ascii="Times New Roman" w:hAnsi="Times New Roman"/>
          <w:szCs w:val="24"/>
        </w:rPr>
        <w:t>219</w:t>
      </w:r>
      <w:r>
        <w:rPr>
          <w:rFonts w:ascii="Times New Roman" w:hAnsi="Times New Roman"/>
          <w:szCs w:val="24"/>
        </w:rPr>
        <w:t>.</w:t>
      </w:r>
    </w:p>
    <w:p w14:paraId="6877A4D4"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Shannon, T.R., 1989. </w:t>
      </w:r>
      <w:r>
        <w:rPr>
          <w:rFonts w:ascii="Times New Roman" w:hAnsi="Times New Roman"/>
          <w:i/>
          <w:iCs/>
          <w:szCs w:val="24"/>
        </w:rPr>
        <w:t>World System Perspective</w:t>
      </w:r>
      <w:r>
        <w:rPr>
          <w:rFonts w:ascii="Times New Roman" w:hAnsi="Times New Roman"/>
          <w:szCs w:val="24"/>
        </w:rPr>
        <w:t>. San Francisco: Westview Press.</w:t>
      </w:r>
    </w:p>
    <w:p w14:paraId="50FB5732"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Sharp, T., 2008. Job satisfaction among psychiatric registered nurses in New England. </w:t>
      </w:r>
      <w:r w:rsidRPr="00EF189A">
        <w:rPr>
          <w:rFonts w:ascii="Times New Roman" w:hAnsi="Times New Roman"/>
          <w:i/>
          <w:szCs w:val="24"/>
          <w:bdr w:val="none" w:sz="0" w:space="0" w:color="auto" w:frame="1"/>
        </w:rPr>
        <w:t>Journal of Psychiatry and Mental Health Nursing</w:t>
      </w:r>
      <w:r w:rsidRPr="00EF189A">
        <w:rPr>
          <w:rFonts w:ascii="Times New Roman" w:hAnsi="Times New Roman"/>
          <w:szCs w:val="24"/>
          <w:bdr w:val="none" w:sz="0" w:space="0" w:color="auto" w:frame="1"/>
        </w:rPr>
        <w:t>, 15(5), pp. 374-378.</w:t>
      </w:r>
    </w:p>
    <w:p w14:paraId="554CEE82"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Sheldon, K.M., Arndt, J. and Houser-Marko, L., 2003. In search of the organismic valuing process: the human tendency to move towards beneficial goal choices. </w:t>
      </w:r>
      <w:r w:rsidRPr="00EF189A">
        <w:rPr>
          <w:rFonts w:ascii="Times New Roman" w:hAnsi="Times New Roman"/>
          <w:i/>
          <w:iCs/>
          <w:szCs w:val="24"/>
          <w:bdr w:val="none" w:sz="0" w:space="0" w:color="auto" w:frame="1"/>
        </w:rPr>
        <w:t>Journal of Personality</w:t>
      </w:r>
      <w:r w:rsidRPr="00EF189A">
        <w:rPr>
          <w:rFonts w:ascii="Times New Roman" w:hAnsi="Times New Roman"/>
          <w:iCs/>
          <w:szCs w:val="24"/>
          <w:bdr w:val="none" w:sz="0" w:space="0" w:color="auto" w:frame="1"/>
        </w:rPr>
        <w:t>, 71</w:t>
      </w:r>
      <w:r w:rsidRPr="00EF189A">
        <w:rPr>
          <w:rFonts w:ascii="Times New Roman" w:hAnsi="Times New Roman"/>
          <w:szCs w:val="24"/>
          <w:bdr w:val="none" w:sz="0" w:space="0" w:color="auto" w:frame="1"/>
        </w:rPr>
        <w:t>, pp. 835-869.</w:t>
      </w:r>
    </w:p>
    <w:p w14:paraId="0366C6CC"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Sheldon, K.M., Ryan, R.M., Deci, E.L. and Kasser, T., 2004. </w:t>
      </w:r>
      <w:r w:rsidRPr="00EF189A">
        <w:rPr>
          <w:rFonts w:ascii="Times New Roman" w:hAnsi="Times New Roman"/>
          <w:bCs/>
          <w:szCs w:val="24"/>
          <w:bdr w:val="none" w:sz="0" w:space="0" w:color="auto" w:frame="1"/>
        </w:rPr>
        <w:t>The independent effects of goal contents and motives in well-being: It's both what you pursue and why you pursue it</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Personality and Social Psychology Bulletin</w:t>
      </w:r>
      <w:r w:rsidRPr="00EF189A">
        <w:rPr>
          <w:rFonts w:ascii="Times New Roman" w:hAnsi="Times New Roman"/>
          <w:szCs w:val="24"/>
          <w:bdr w:val="none" w:sz="0" w:space="0" w:color="auto" w:frame="1"/>
        </w:rPr>
        <w:t>, 30, pp. 475-486.</w:t>
      </w:r>
    </w:p>
    <w:p w14:paraId="18E54439"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Sheldon, K.M., Turban, D.B., Brown, K.G., Barrick, M.R. and Judge, T.A., 2003. Applying self-determination theory to organizational research. </w:t>
      </w:r>
      <w:r w:rsidRPr="00EF189A">
        <w:rPr>
          <w:rFonts w:ascii="Times New Roman" w:hAnsi="Times New Roman"/>
          <w:i/>
          <w:szCs w:val="24"/>
          <w:bdr w:val="none" w:sz="0" w:space="0" w:color="auto" w:frame="1"/>
        </w:rPr>
        <w:t>Research in Personnel and Human Resources Management</w:t>
      </w:r>
      <w:r w:rsidRPr="00EF189A">
        <w:rPr>
          <w:rFonts w:ascii="Times New Roman" w:hAnsi="Times New Roman"/>
          <w:szCs w:val="24"/>
          <w:bdr w:val="none" w:sz="0" w:space="0" w:color="auto" w:frame="1"/>
        </w:rPr>
        <w:t xml:space="preserve">, 22, pp. 357-394. </w:t>
      </w:r>
    </w:p>
    <w:p w14:paraId="2E76F675" w14:textId="77777777" w:rsidR="00503349" w:rsidRPr="002B3011" w:rsidRDefault="00503349" w:rsidP="00503349">
      <w:pPr>
        <w:textAlignment w:val="baseline"/>
        <w:rPr>
          <w:rFonts w:ascii="Times New Roman" w:hAnsi="Times New Roman"/>
          <w:b/>
          <w:bCs/>
          <w:color w:val="000000"/>
          <w:szCs w:val="24"/>
        </w:rPr>
      </w:pPr>
      <w:bookmarkStart w:id="316" w:name="_Hlk80212580"/>
      <w:r w:rsidRPr="002B3011">
        <w:rPr>
          <w:rFonts w:ascii="Times New Roman" w:hAnsi="Times New Roman"/>
          <w:color w:val="000000"/>
          <w:szCs w:val="24"/>
        </w:rPr>
        <w:t>Shim, B., Barroso, J. and Davis, L.L., 2012. A comparative qualitative analysis of stories of spousal caregivers of people with dementia: Negative, ambivalent, and positive experiences. </w:t>
      </w:r>
      <w:r w:rsidRPr="002B3011">
        <w:rPr>
          <w:rFonts w:ascii="Times New Roman" w:hAnsi="Times New Roman"/>
          <w:i/>
          <w:iCs/>
          <w:color w:val="000000"/>
          <w:szCs w:val="24"/>
        </w:rPr>
        <w:t>International Journal of Nursing Studies</w:t>
      </w:r>
      <w:r w:rsidRPr="002B3011">
        <w:rPr>
          <w:rFonts w:ascii="Times New Roman" w:hAnsi="Times New Roman"/>
          <w:color w:val="000000"/>
          <w:szCs w:val="24"/>
        </w:rPr>
        <w:t>, 49(2), pp. 220-229.</w:t>
      </w:r>
    </w:p>
    <w:p w14:paraId="24D99F60" w14:textId="77777777" w:rsidR="00503349" w:rsidRDefault="00503349" w:rsidP="00503349">
      <w:pPr>
        <w:jc w:val="both"/>
        <w:rPr>
          <w:rFonts w:ascii="Times New Roman" w:hAnsi="Times New Roman"/>
          <w:szCs w:val="24"/>
        </w:rPr>
      </w:pPr>
      <w:r w:rsidRPr="00196C46">
        <w:rPr>
          <w:rFonts w:ascii="Times New Roman" w:hAnsi="Times New Roman"/>
          <w:szCs w:val="24"/>
        </w:rPr>
        <w:t xml:space="preserve">Shirmohammadi, M., Beigi, M. and Stewart, J., 2019. Understanding skilled migrants’ employment in the host country: a multidisciplinary review and a conceptual model. </w:t>
      </w:r>
      <w:r w:rsidRPr="00196C46">
        <w:rPr>
          <w:rFonts w:ascii="Times New Roman" w:hAnsi="Times New Roman"/>
          <w:i/>
          <w:iCs/>
          <w:szCs w:val="24"/>
        </w:rPr>
        <w:t>The International Journal of Human Resource Management</w:t>
      </w:r>
      <w:r w:rsidRPr="00196C46">
        <w:rPr>
          <w:rFonts w:ascii="Times New Roman" w:hAnsi="Times New Roman"/>
          <w:szCs w:val="24"/>
        </w:rPr>
        <w:t>, 30, pp. 96-121.</w:t>
      </w:r>
    </w:p>
    <w:p w14:paraId="4BC3FA8B"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Shortell, S.M. and Kaluzny, A.D., 2006. </w:t>
      </w:r>
      <w:r w:rsidRPr="00EF189A">
        <w:rPr>
          <w:rFonts w:ascii="Times New Roman" w:hAnsi="Times New Roman"/>
          <w:i/>
          <w:iCs/>
          <w:szCs w:val="24"/>
          <w:bdr w:val="none" w:sz="0" w:space="0" w:color="auto" w:frame="1"/>
        </w:rPr>
        <w:t>Health care management organization design and behavior</w:t>
      </w:r>
      <w:r w:rsidRPr="00EF189A">
        <w:rPr>
          <w:rFonts w:ascii="Times New Roman" w:hAnsi="Times New Roman"/>
          <w:szCs w:val="24"/>
          <w:bdr w:val="none" w:sz="0" w:space="0" w:color="auto" w:frame="1"/>
        </w:rPr>
        <w:t>. 5th ed. Clifton Park, NY: Thomson Demar Learning.</w:t>
      </w:r>
    </w:p>
    <w:bookmarkEnd w:id="316"/>
    <w:p w14:paraId="386F8A14" w14:textId="77777777" w:rsidR="00503349" w:rsidRPr="000A56C6" w:rsidRDefault="00503349" w:rsidP="00503349">
      <w:pPr>
        <w:jc w:val="both"/>
        <w:rPr>
          <w:rFonts w:ascii="Times" w:hAnsi="Times" w:cs="Times"/>
          <w:szCs w:val="24"/>
        </w:rPr>
      </w:pPr>
      <w:r w:rsidRPr="000A56C6">
        <w:rPr>
          <w:rFonts w:ascii="Times New Roman" w:hAnsi="Times New Roman"/>
          <w:szCs w:val="24"/>
        </w:rPr>
        <w:t xml:space="preserve">Shutes, I. and Chiatti, C., 2012. Migrant labour and the marketisation of care for older people: the employment of migrant care workers by families and service providers. </w:t>
      </w:r>
      <w:r w:rsidRPr="000A56C6">
        <w:rPr>
          <w:rFonts w:ascii="Times New Roman" w:hAnsi="Times New Roman"/>
          <w:i/>
          <w:iCs/>
          <w:szCs w:val="24"/>
        </w:rPr>
        <w:t>Journal of European Social Policy</w:t>
      </w:r>
      <w:r w:rsidRPr="000A56C6">
        <w:rPr>
          <w:rFonts w:ascii="Times New Roman" w:hAnsi="Times New Roman"/>
          <w:szCs w:val="24"/>
        </w:rPr>
        <w:t>, 22(4), pp. 392-405.</w:t>
      </w:r>
    </w:p>
    <w:p w14:paraId="2A10E41A" w14:textId="77777777" w:rsidR="00503349" w:rsidRDefault="00503349" w:rsidP="00503349">
      <w:pPr>
        <w:spacing w:before="240"/>
        <w:jc w:val="both"/>
        <w:rPr>
          <w:rFonts w:ascii="Times New Roman" w:hAnsi="Times New Roman"/>
          <w:szCs w:val="24"/>
        </w:rPr>
      </w:pPr>
      <w:r w:rsidRPr="002532DA">
        <w:rPr>
          <w:rFonts w:ascii="Times New Roman" w:hAnsi="Times New Roman"/>
          <w:szCs w:val="24"/>
        </w:rPr>
        <w:t>Shutes, I. and Walsh, K., 2012. Negotiating user preferences, discrimination, and demand for migrant labour in long-term care. </w:t>
      </w:r>
      <w:r w:rsidRPr="002532DA">
        <w:rPr>
          <w:rFonts w:ascii="Times New Roman" w:hAnsi="Times New Roman"/>
          <w:i/>
          <w:iCs/>
          <w:szCs w:val="24"/>
        </w:rPr>
        <w:t>Social Politics</w:t>
      </w:r>
      <w:r w:rsidRPr="002532DA">
        <w:rPr>
          <w:rFonts w:ascii="Times New Roman" w:hAnsi="Times New Roman"/>
          <w:szCs w:val="24"/>
        </w:rPr>
        <w:t>, 19, pp.78-104.</w:t>
      </w:r>
    </w:p>
    <w:p w14:paraId="650B942E"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Shutes, I., 2012. The employment of migrant workers in long-term care: dynamics of choice and control. </w:t>
      </w:r>
      <w:r w:rsidRPr="000A56C6">
        <w:rPr>
          <w:rFonts w:ascii="Times New Roman" w:hAnsi="Times New Roman"/>
          <w:i/>
          <w:iCs/>
          <w:szCs w:val="24"/>
        </w:rPr>
        <w:t>Journal of Social Policy</w:t>
      </w:r>
      <w:r w:rsidRPr="000A56C6">
        <w:rPr>
          <w:rFonts w:ascii="Times New Roman" w:hAnsi="Times New Roman"/>
          <w:szCs w:val="24"/>
        </w:rPr>
        <w:t>, 41, pp. 43-59.</w:t>
      </w:r>
    </w:p>
    <w:p w14:paraId="0840A7A5"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Simon, M.K., 2011. Dissertation and scholarly research: Recipes for success - a practical guide to start and complete your dissertation, thesis, or formal research project. 2011 ed. Seattle, WA: Dissertation Success, LLC, p. 159.</w:t>
      </w:r>
    </w:p>
    <w:p w14:paraId="336C0CE1" w14:textId="77777777" w:rsidR="00503349" w:rsidRDefault="00503349" w:rsidP="00503349">
      <w:pPr>
        <w:jc w:val="both"/>
        <w:rPr>
          <w:rFonts w:ascii="Times New Roman" w:hAnsi="Times New Roman"/>
          <w:b/>
          <w:szCs w:val="24"/>
        </w:rPr>
      </w:pPr>
      <w:r w:rsidRPr="00CF1AE8">
        <w:rPr>
          <w:rFonts w:ascii="Times New Roman" w:hAnsi="Times New Roman"/>
          <w:szCs w:val="24"/>
        </w:rPr>
        <w:t xml:space="preserve">Simpson, C. and Acton, G., 2013. Emotion work in family caregiving for persons with dementia. </w:t>
      </w:r>
      <w:r w:rsidRPr="00CF1AE8">
        <w:rPr>
          <w:rFonts w:ascii="Times New Roman" w:hAnsi="Times New Roman"/>
          <w:i/>
          <w:szCs w:val="24"/>
        </w:rPr>
        <w:t>Issues in Mental Health Nursing</w:t>
      </w:r>
      <w:r w:rsidRPr="00CF1AE8">
        <w:rPr>
          <w:rFonts w:ascii="Times New Roman" w:hAnsi="Times New Roman"/>
          <w:szCs w:val="24"/>
        </w:rPr>
        <w:t>, 34,</w:t>
      </w:r>
      <w:r>
        <w:rPr>
          <w:rFonts w:ascii="Times New Roman" w:hAnsi="Times New Roman"/>
          <w:szCs w:val="24"/>
        </w:rPr>
        <w:t xml:space="preserve"> </w:t>
      </w:r>
      <w:r w:rsidRPr="00CF1AE8">
        <w:rPr>
          <w:rFonts w:ascii="Times New Roman" w:hAnsi="Times New Roman"/>
          <w:szCs w:val="24"/>
        </w:rPr>
        <w:t>pp. 52-58.</w:t>
      </w:r>
    </w:p>
    <w:p w14:paraId="5336E675" w14:textId="77777777" w:rsidR="00503349" w:rsidRDefault="00503349" w:rsidP="00503349">
      <w:pPr>
        <w:spacing w:before="240"/>
        <w:textAlignment w:val="baseline"/>
        <w:rPr>
          <w:rFonts w:ascii="Times New Roman" w:hAnsi="Times New Roman"/>
          <w:szCs w:val="24"/>
        </w:rPr>
      </w:pPr>
      <w:r>
        <w:rPr>
          <w:rFonts w:ascii="Times New Roman" w:hAnsi="Times New Roman"/>
          <w:szCs w:val="24"/>
        </w:rPr>
        <w:t>Simpson, N.B., 2017. Demographic and economic determinants of migration. </w:t>
      </w:r>
      <w:r>
        <w:rPr>
          <w:rFonts w:ascii="Times New Roman" w:hAnsi="Times New Roman"/>
          <w:i/>
          <w:iCs/>
          <w:szCs w:val="24"/>
        </w:rPr>
        <w:t>IZA World of Labor</w:t>
      </w:r>
      <w:r>
        <w:rPr>
          <w:rFonts w:ascii="Times New Roman" w:hAnsi="Times New Roman"/>
          <w:szCs w:val="24"/>
        </w:rPr>
        <w:t>. Available at: &lt;</w:t>
      </w:r>
      <w:r>
        <w:t xml:space="preserve"> </w:t>
      </w:r>
      <w:r>
        <w:rPr>
          <w:rFonts w:ascii="Times New Roman" w:hAnsi="Times New Roman"/>
          <w:szCs w:val="24"/>
        </w:rPr>
        <w:t>https://wol.iza.org/articles/demographic-and-economic-determinants-of-migration/long&gt;[Accessed 24 January 2020]</w:t>
      </w:r>
    </w:p>
    <w:p w14:paraId="7C3404B8"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lastRenderedPageBreak/>
        <w:t xml:space="preserve">Simpson, R. and Willer, B., 2008. </w:t>
      </w:r>
      <w:r w:rsidRPr="00EF189A">
        <w:rPr>
          <w:rFonts w:ascii="Times New Roman" w:hAnsi="Times New Roman"/>
          <w:bCs/>
          <w:szCs w:val="24"/>
          <w:bdr w:val="none" w:sz="0" w:space="0" w:color="auto" w:frame="1"/>
        </w:rPr>
        <w:t>Altruism and indirect reciprocity: the interaction of person and situation in prosocial behaviour.</w:t>
      </w:r>
      <w:r w:rsidRPr="00EF189A">
        <w:rPr>
          <w:rFonts w:ascii="Times New Roman" w:hAnsi="Times New Roman"/>
          <w:szCs w:val="24"/>
          <w:bdr w:val="none" w:sz="0" w:space="0" w:color="auto" w:frame="1"/>
        </w:rPr>
        <w:t xml:space="preserve"> </w:t>
      </w:r>
      <w:r w:rsidRPr="00EF189A">
        <w:rPr>
          <w:rFonts w:ascii="Times New Roman" w:hAnsi="Times New Roman"/>
          <w:i/>
          <w:szCs w:val="24"/>
          <w:bdr w:val="none" w:sz="0" w:space="0" w:color="auto" w:frame="1"/>
        </w:rPr>
        <w:t>Social Psychology Quarterly</w:t>
      </w:r>
      <w:r w:rsidRPr="00EF189A">
        <w:rPr>
          <w:rFonts w:ascii="Times New Roman" w:hAnsi="Times New Roman"/>
          <w:szCs w:val="24"/>
          <w:bdr w:val="none" w:sz="0" w:space="0" w:color="auto" w:frame="1"/>
        </w:rPr>
        <w:t>, 71, pp. 37-52.</w:t>
      </w:r>
    </w:p>
    <w:p w14:paraId="72A60E76"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 xml:space="preserve">Simpson, R., 2005. Men in non‐traditional occupations: career entry, career orientation and experience of role strain. </w:t>
      </w:r>
      <w:r w:rsidRPr="000A56C6">
        <w:rPr>
          <w:rFonts w:ascii="Times New Roman" w:hAnsi="Times New Roman"/>
          <w:i/>
          <w:szCs w:val="24"/>
        </w:rPr>
        <w:t>Gender, Work &amp; Organization</w:t>
      </w:r>
      <w:r w:rsidRPr="000A56C6">
        <w:rPr>
          <w:rFonts w:ascii="Times New Roman" w:hAnsi="Times New Roman"/>
          <w:szCs w:val="24"/>
        </w:rPr>
        <w:t>, 12, pp. 363-380.</w:t>
      </w:r>
    </w:p>
    <w:p w14:paraId="6785BC60" w14:textId="77777777" w:rsidR="00503349" w:rsidRPr="000A56C6" w:rsidRDefault="00503349" w:rsidP="00503349">
      <w:pPr>
        <w:rPr>
          <w:rFonts w:ascii="Times" w:hAnsi="Times" w:cs="Times"/>
        </w:rPr>
      </w:pPr>
      <w:r w:rsidRPr="000A56C6">
        <w:rPr>
          <w:rFonts w:ascii="Times" w:hAnsi="Times" w:cs="Times"/>
        </w:rPr>
        <w:t>Singh, P., King-Shier, K. and Sinclair, S., 2020. South Asian patients’ perceptions and experiences of compassion in healthcare. </w:t>
      </w:r>
      <w:r w:rsidRPr="000A56C6">
        <w:rPr>
          <w:rFonts w:ascii="Times" w:hAnsi="Times" w:cs="Times"/>
          <w:i/>
          <w:iCs/>
        </w:rPr>
        <w:t>Ethnicity &amp; Health</w:t>
      </w:r>
      <w:r w:rsidRPr="000A56C6">
        <w:rPr>
          <w:rFonts w:ascii="Times" w:hAnsi="Times" w:cs="Times"/>
        </w:rPr>
        <w:t>, 25(4), pp. 606-624.</w:t>
      </w:r>
    </w:p>
    <w:p w14:paraId="1098A44A" w14:textId="77777777" w:rsidR="00503349" w:rsidRDefault="00503349" w:rsidP="00503349">
      <w:pPr>
        <w:rPr>
          <w:rFonts w:ascii="Times New Roman" w:hAnsi="Times New Roman"/>
          <w:szCs w:val="24"/>
        </w:rPr>
      </w:pPr>
      <w:r>
        <w:rPr>
          <w:rFonts w:ascii="Times New Roman" w:hAnsi="Times New Roman"/>
          <w:szCs w:val="24"/>
        </w:rPr>
        <w:t>Skills for Care, 2007. National Survey of Care Workers, Final report, TNS Available at: http://skillsforcare.org.uk/research/research_reports/national_survey_of_care_ workers_2007.aspx Accessed 2.12.09</w:t>
      </w:r>
    </w:p>
    <w:p w14:paraId="4AE3768F" w14:textId="77777777" w:rsidR="00503349" w:rsidRPr="00D527D8"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 xml:space="preserve">Skills for Care, 2018. </w:t>
      </w:r>
      <w:r w:rsidRPr="00B74555">
        <w:rPr>
          <w:rFonts w:ascii="Times New Roman" w:hAnsi="Times New Roman"/>
          <w:i/>
          <w:iCs/>
          <w:szCs w:val="24"/>
          <w:bdr w:val="none" w:sz="0" w:space="0" w:color="auto" w:frame="1"/>
        </w:rPr>
        <w:t>The state of the adult   social care sector   and workforce in England</w:t>
      </w:r>
      <w:r w:rsidRPr="00D527D8">
        <w:rPr>
          <w:rFonts w:ascii="Times New Roman" w:hAnsi="Times New Roman"/>
          <w:szCs w:val="24"/>
          <w:bdr w:val="none" w:sz="0" w:space="0" w:color="auto" w:frame="1"/>
        </w:rPr>
        <w:t>. Leeds: Skills for Care. Available at: &lt;https://www.skillsforcare.org.uk/NMDS-SC-intelligence/Workforce-intelligence/documents/State-of-the-adult-social-care-sector/The-state-of-the-adult-social-care-sector-and-workforce-2018.pdf&gt;[Accessed 22 April 2019]</w:t>
      </w:r>
    </w:p>
    <w:p w14:paraId="13483753" w14:textId="77777777" w:rsidR="00503349" w:rsidRPr="00034E94" w:rsidRDefault="00503349" w:rsidP="00503349">
      <w:pPr>
        <w:spacing w:before="240"/>
        <w:rPr>
          <w:rFonts w:ascii="Times New Roman" w:hAnsi="Times New Roman"/>
          <w:szCs w:val="24"/>
        </w:rPr>
      </w:pPr>
      <w:r w:rsidRPr="00034E94">
        <w:rPr>
          <w:rFonts w:ascii="Times New Roman" w:hAnsi="Times New Roman"/>
          <w:szCs w:val="24"/>
        </w:rPr>
        <w:t xml:space="preserve">Skills for Care, 2019. </w:t>
      </w:r>
      <w:r w:rsidRPr="00034E94">
        <w:rPr>
          <w:rFonts w:ascii="Times New Roman" w:hAnsi="Times New Roman"/>
          <w:i/>
          <w:iCs/>
          <w:szCs w:val="24"/>
        </w:rPr>
        <w:t>The state of the adult social care sector and workforce in England, 2019</w:t>
      </w:r>
      <w:r w:rsidRPr="00034E94">
        <w:rPr>
          <w:rFonts w:ascii="Times New Roman" w:hAnsi="Times New Roman"/>
          <w:szCs w:val="24"/>
        </w:rPr>
        <w:t>. Leeds: Skills for Care. Available at: &lt;www.skillsforcare.org.uk/stateof.&gt;[Accessed 12 February 2020]</w:t>
      </w:r>
    </w:p>
    <w:p w14:paraId="547F29CB" w14:textId="77777777" w:rsidR="00503349" w:rsidRPr="00034E94" w:rsidRDefault="00503349" w:rsidP="00503349">
      <w:pPr>
        <w:pStyle w:val="NormalWeb"/>
        <w:spacing w:before="240"/>
        <w:rPr>
          <w:rFonts w:ascii="Times New Roman" w:hAnsi="Times New Roman"/>
          <w:sz w:val="24"/>
          <w:szCs w:val="24"/>
        </w:rPr>
      </w:pPr>
      <w:r w:rsidRPr="00034E94">
        <w:rPr>
          <w:rFonts w:ascii="Times New Roman" w:hAnsi="Times New Roman"/>
          <w:sz w:val="24"/>
          <w:szCs w:val="24"/>
        </w:rPr>
        <w:t>Slaven, M. and Boswell, C., 2019. Why symbolise control? Irregular migration to the UK and symbolic policy-making in the 1960s. </w:t>
      </w:r>
      <w:r w:rsidRPr="00034E94">
        <w:rPr>
          <w:rFonts w:ascii="Times New Roman" w:hAnsi="Times New Roman"/>
          <w:i/>
          <w:iCs/>
          <w:sz w:val="24"/>
          <w:szCs w:val="24"/>
        </w:rPr>
        <w:t>Journal of Ethnic and Migration Studies</w:t>
      </w:r>
      <w:r w:rsidRPr="00034E94">
        <w:rPr>
          <w:rFonts w:ascii="Times New Roman" w:hAnsi="Times New Roman"/>
          <w:sz w:val="24"/>
          <w:szCs w:val="24"/>
        </w:rPr>
        <w:t>, 45(9), pp. 1477-1495.</w:t>
      </w:r>
    </w:p>
    <w:p w14:paraId="2D7324E4" w14:textId="77777777" w:rsidR="00503349" w:rsidRPr="00034E94" w:rsidRDefault="00503349" w:rsidP="00503349">
      <w:pPr>
        <w:jc w:val="both"/>
        <w:rPr>
          <w:rFonts w:ascii="Times New Roman" w:hAnsi="Times New Roman"/>
          <w:szCs w:val="24"/>
          <w:bdr w:val="none" w:sz="0" w:space="0" w:color="auto" w:frame="1"/>
        </w:rPr>
      </w:pPr>
      <w:r w:rsidRPr="00034E94">
        <w:rPr>
          <w:rFonts w:ascii="Times New Roman" w:hAnsi="Times New Roman"/>
          <w:szCs w:val="24"/>
          <w:bdr w:val="none" w:sz="0" w:space="0" w:color="auto" w:frame="1"/>
        </w:rPr>
        <w:t xml:space="preserve">Slovic, P., 2007. “If I look at the mass I will never act”. Psychic numbing and genocide. </w:t>
      </w:r>
      <w:r w:rsidRPr="00034E94">
        <w:rPr>
          <w:rFonts w:ascii="Times New Roman" w:hAnsi="Times New Roman"/>
          <w:i/>
          <w:iCs/>
          <w:szCs w:val="24"/>
          <w:bdr w:val="none" w:sz="0" w:space="0" w:color="auto" w:frame="1"/>
        </w:rPr>
        <w:t>Judgment and Decision Making</w:t>
      </w:r>
      <w:r w:rsidRPr="00034E94">
        <w:rPr>
          <w:rFonts w:ascii="Times New Roman" w:hAnsi="Times New Roman"/>
          <w:szCs w:val="24"/>
          <w:bdr w:val="none" w:sz="0" w:space="0" w:color="auto" w:frame="1"/>
        </w:rPr>
        <w:t>, </w:t>
      </w:r>
      <w:r w:rsidRPr="00034E94">
        <w:rPr>
          <w:rFonts w:ascii="Times New Roman" w:hAnsi="Times New Roman"/>
          <w:i/>
          <w:iCs/>
          <w:szCs w:val="24"/>
          <w:bdr w:val="none" w:sz="0" w:space="0" w:color="auto" w:frame="1"/>
        </w:rPr>
        <w:t>2</w:t>
      </w:r>
      <w:r w:rsidRPr="00034E94">
        <w:rPr>
          <w:rFonts w:ascii="Times New Roman" w:hAnsi="Times New Roman"/>
          <w:szCs w:val="24"/>
          <w:bdr w:val="none" w:sz="0" w:space="0" w:color="auto" w:frame="1"/>
        </w:rPr>
        <w:t>, pp. 79-95.</w:t>
      </w:r>
    </w:p>
    <w:p w14:paraId="355B17FE" w14:textId="77777777" w:rsidR="00503349" w:rsidRDefault="00503349" w:rsidP="00503349">
      <w:pPr>
        <w:spacing w:before="240" w:after="0"/>
        <w:jc w:val="both"/>
        <w:rPr>
          <w:rFonts w:ascii="Times New Roman" w:hAnsi="Times New Roman"/>
          <w:szCs w:val="24"/>
        </w:rPr>
      </w:pPr>
      <w:r>
        <w:rPr>
          <w:rFonts w:ascii="Times New Roman" w:hAnsi="Times New Roman"/>
          <w:szCs w:val="24"/>
        </w:rPr>
        <w:t xml:space="preserve">Smith, A., 1776. </w:t>
      </w:r>
      <w:r w:rsidRPr="002B46B4">
        <w:rPr>
          <w:rFonts w:ascii="Times New Roman" w:hAnsi="Times New Roman"/>
          <w:i/>
          <w:iCs/>
          <w:szCs w:val="24"/>
        </w:rPr>
        <w:t>The Wealth of Nations</w:t>
      </w:r>
      <w:r>
        <w:rPr>
          <w:rFonts w:ascii="Times New Roman" w:hAnsi="Times New Roman"/>
          <w:szCs w:val="24"/>
        </w:rPr>
        <w:t>. Oxford: Oxford University Press.</w:t>
      </w:r>
    </w:p>
    <w:p w14:paraId="02B44AF6" w14:textId="77777777" w:rsidR="00503349" w:rsidRDefault="00503349" w:rsidP="00503349">
      <w:pPr>
        <w:spacing w:before="240" w:after="0"/>
        <w:jc w:val="both"/>
        <w:rPr>
          <w:rFonts w:ascii="Times New Roman" w:hAnsi="Times New Roman"/>
          <w:szCs w:val="24"/>
        </w:rPr>
      </w:pPr>
      <w:r>
        <w:rPr>
          <w:rFonts w:ascii="Times New Roman" w:hAnsi="Times New Roman"/>
          <w:szCs w:val="24"/>
        </w:rPr>
        <w:t xml:space="preserve">Smith, J., 2016. Thinking beyond borders: reconceptualising migration to better meet the needs of people in transit. </w:t>
      </w:r>
      <w:r>
        <w:rPr>
          <w:rFonts w:ascii="Times New Roman" w:hAnsi="Times New Roman"/>
          <w:i/>
          <w:szCs w:val="24"/>
        </w:rPr>
        <w:t>International Journal of Public Health Science</w:t>
      </w:r>
      <w:r>
        <w:rPr>
          <w:rFonts w:ascii="Times New Roman" w:hAnsi="Times New Roman"/>
          <w:szCs w:val="24"/>
        </w:rPr>
        <w:t>, 61(5), pp. 521-522.</w:t>
      </w:r>
    </w:p>
    <w:p w14:paraId="477C7D1E" w14:textId="4F1C3868" w:rsidR="00503349" w:rsidRPr="008101DD" w:rsidRDefault="00503349" w:rsidP="00034E94">
      <w:pPr>
        <w:spacing w:before="240"/>
        <w:rPr>
          <w:rFonts w:ascii="Times New Roman" w:hAnsi="Times New Roman"/>
          <w:szCs w:val="24"/>
        </w:rPr>
      </w:pPr>
      <w:r w:rsidRPr="004E3E8F">
        <w:rPr>
          <w:rFonts w:ascii="Times New Roman" w:hAnsi="Times New Roman"/>
          <w:szCs w:val="24"/>
        </w:rPr>
        <w:lastRenderedPageBreak/>
        <w:t xml:space="preserve">Smith, J.A., 1995. Semi-structured interviewing and qualitative analysis. </w:t>
      </w:r>
      <w:r w:rsidRPr="004E3E8F">
        <w:rPr>
          <w:rFonts w:ascii="Times New Roman" w:hAnsi="Times New Roman"/>
          <w:i/>
          <w:iCs/>
          <w:szCs w:val="24"/>
        </w:rPr>
        <w:t>Rethinking methods in psychology</w:t>
      </w:r>
      <w:r w:rsidRPr="004E3E8F">
        <w:rPr>
          <w:rFonts w:ascii="Times New Roman" w:hAnsi="Times New Roman"/>
          <w:szCs w:val="24"/>
        </w:rPr>
        <w:t>, 1, pp. 8-26.</w:t>
      </w:r>
    </w:p>
    <w:p w14:paraId="0DD8C3FD"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Smith, J.A., Flowers, P. and Larkin, M., 2009. </w:t>
      </w:r>
      <w:r w:rsidRPr="004E3E8F">
        <w:rPr>
          <w:rFonts w:ascii="Times New Roman" w:hAnsi="Times New Roman"/>
          <w:i/>
          <w:iCs/>
          <w:szCs w:val="24"/>
        </w:rPr>
        <w:t>Interpretative phenomenological analysis: theory, method and research</w:t>
      </w:r>
      <w:r w:rsidRPr="004E3E8F">
        <w:rPr>
          <w:rFonts w:ascii="Times New Roman" w:hAnsi="Times New Roman"/>
          <w:szCs w:val="24"/>
        </w:rPr>
        <w:t>. London: Sage.</w:t>
      </w:r>
    </w:p>
    <w:p w14:paraId="4FE37D74"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Smythe, A., Jenkins, C., Galant-Miecznikowska, M., Bentham, P. and Oyebode, J., 2017. A qualitative study investigating training requirements of nurses working with people with dementia in nursing homes. </w:t>
      </w:r>
      <w:r w:rsidRPr="000A56C6">
        <w:rPr>
          <w:rFonts w:ascii="Times New Roman" w:hAnsi="Times New Roman"/>
          <w:i/>
          <w:iCs/>
          <w:szCs w:val="24"/>
        </w:rPr>
        <w:t>Nurse Education Today</w:t>
      </w:r>
      <w:r w:rsidRPr="000A56C6">
        <w:rPr>
          <w:rFonts w:ascii="Times New Roman" w:hAnsi="Times New Roman"/>
          <w:szCs w:val="24"/>
        </w:rPr>
        <w:t>, 50, pp. 119-123.</w:t>
      </w:r>
    </w:p>
    <w:p w14:paraId="65509BFC" w14:textId="77777777" w:rsidR="00503349" w:rsidRPr="00DA2952" w:rsidRDefault="00503349" w:rsidP="00503349">
      <w:pPr>
        <w:rPr>
          <w:rFonts w:ascii="Times" w:hAnsi="Times" w:cs="Times"/>
          <w:szCs w:val="24"/>
        </w:rPr>
      </w:pPr>
      <w:r w:rsidRPr="00DA2952">
        <w:rPr>
          <w:rFonts w:ascii="Times" w:hAnsi="Times" w:cs="Times"/>
          <w:szCs w:val="24"/>
        </w:rPr>
        <w:t xml:space="preserve">Sokoya, O.O. and Baiyewu, O., 2003. Geriatric depression in Nigerian primary care attendees. </w:t>
      </w:r>
      <w:r w:rsidRPr="00DA2952">
        <w:rPr>
          <w:rFonts w:ascii="Times" w:hAnsi="Times" w:cs="Times"/>
          <w:i/>
          <w:iCs/>
          <w:szCs w:val="24"/>
        </w:rPr>
        <w:t>International Journal of Geriatric Psychiatry</w:t>
      </w:r>
      <w:r w:rsidRPr="00DA2952">
        <w:rPr>
          <w:rFonts w:ascii="Times" w:hAnsi="Times" w:cs="Times"/>
          <w:szCs w:val="24"/>
        </w:rPr>
        <w:t>, 18, pp. 506-510.</w:t>
      </w:r>
    </w:p>
    <w:p w14:paraId="607D125F"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Somayaji, D. and Cloyes, K.G., 2015. Cancer fear and fatalism: how African American participants construct the role of research subject in relation to clinical cancer research. </w:t>
      </w:r>
      <w:r w:rsidRPr="004E3E8F">
        <w:rPr>
          <w:rFonts w:ascii="Times New Roman" w:hAnsi="Times New Roman"/>
          <w:i/>
          <w:szCs w:val="24"/>
        </w:rPr>
        <w:t>Cancer Nursing</w:t>
      </w:r>
      <w:r w:rsidRPr="004E3E8F">
        <w:rPr>
          <w:rFonts w:ascii="Times New Roman" w:hAnsi="Times New Roman"/>
          <w:szCs w:val="24"/>
        </w:rPr>
        <w:t>, 38(2), pp. 133-144.</w:t>
      </w:r>
    </w:p>
    <w:p w14:paraId="3936C212"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Somerville, M., 2006. Becoming‐worker: vocational training for workers in aged care. </w:t>
      </w:r>
      <w:r w:rsidRPr="00DA2952">
        <w:rPr>
          <w:rFonts w:ascii="Times New Roman" w:hAnsi="Times New Roman"/>
          <w:i/>
          <w:iCs/>
          <w:szCs w:val="24"/>
        </w:rPr>
        <w:t>Journal of Vocational Education and Training</w:t>
      </w:r>
      <w:r w:rsidRPr="00DA2952">
        <w:rPr>
          <w:rFonts w:ascii="Times New Roman" w:hAnsi="Times New Roman"/>
          <w:szCs w:val="24"/>
        </w:rPr>
        <w:t>, 58(4), pp. 471-481.</w:t>
      </w:r>
    </w:p>
    <w:p w14:paraId="04BFF42D"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Spilsbury, K. and Meyer, J., 2004. </w:t>
      </w:r>
      <w:r w:rsidRPr="00CF1AE8">
        <w:rPr>
          <w:rFonts w:ascii="Times New Roman" w:hAnsi="Times New Roman"/>
          <w:bCs/>
          <w:szCs w:val="24"/>
        </w:rPr>
        <w:t>Use, misuse and non-use of health care assistants: understanding the work of health care assistants in a hospital care.</w:t>
      </w:r>
      <w:r w:rsidRPr="00CF1AE8">
        <w:rPr>
          <w:rFonts w:ascii="Times New Roman" w:hAnsi="Times New Roman"/>
          <w:szCs w:val="24"/>
        </w:rPr>
        <w:t xml:space="preserve"> </w:t>
      </w:r>
      <w:r w:rsidRPr="00CF1AE8">
        <w:rPr>
          <w:rFonts w:ascii="Times New Roman" w:hAnsi="Times New Roman"/>
          <w:i/>
          <w:szCs w:val="24"/>
        </w:rPr>
        <w:t>Journal of Nursing Management</w:t>
      </w:r>
      <w:r w:rsidRPr="00CF1AE8">
        <w:rPr>
          <w:rFonts w:ascii="Times New Roman" w:hAnsi="Times New Roman"/>
          <w:szCs w:val="24"/>
        </w:rPr>
        <w:t>, 12, pp. 411-418.</w:t>
      </w:r>
    </w:p>
    <w:p w14:paraId="53070856"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Spilsbury, K., Hewitt, C., Stirk, L. and Bowman C., 2011. The relationship between nurse staffing and quality of care in nursing homes: a systematic review. </w:t>
      </w:r>
      <w:r w:rsidRPr="00CF1AE8">
        <w:rPr>
          <w:rFonts w:ascii="Times New Roman" w:hAnsi="Times New Roman"/>
          <w:i/>
          <w:szCs w:val="24"/>
        </w:rPr>
        <w:t>International Journal of Nursing Studies</w:t>
      </w:r>
      <w:r w:rsidRPr="00CF1AE8">
        <w:rPr>
          <w:rFonts w:ascii="Times New Roman" w:hAnsi="Times New Roman"/>
          <w:szCs w:val="24"/>
        </w:rPr>
        <w:t>, 48(6), pp. 732-750.</w:t>
      </w:r>
    </w:p>
    <w:p w14:paraId="4FD7A89A" w14:textId="77777777" w:rsidR="00503349" w:rsidRPr="008101DD" w:rsidRDefault="00503349" w:rsidP="00503349">
      <w:pPr>
        <w:spacing w:after="200"/>
        <w:jc w:val="both"/>
        <w:rPr>
          <w:rFonts w:ascii="Times New Roman" w:hAnsi="Times New Roman"/>
          <w:bCs/>
          <w:szCs w:val="24"/>
        </w:rPr>
      </w:pPr>
      <w:r w:rsidRPr="008101DD">
        <w:rPr>
          <w:rFonts w:ascii="Times New Roman" w:hAnsi="Times New Roman"/>
          <w:bCs/>
          <w:szCs w:val="24"/>
        </w:rPr>
        <w:t xml:space="preserve">Spinelli, E., 1989. </w:t>
      </w:r>
      <w:r w:rsidRPr="008101DD">
        <w:rPr>
          <w:rFonts w:ascii="Times New Roman" w:hAnsi="Times New Roman"/>
          <w:bCs/>
          <w:i/>
          <w:szCs w:val="24"/>
        </w:rPr>
        <w:t>The interpreted world. An introduction to phenomenological Psychology</w:t>
      </w:r>
      <w:r w:rsidRPr="008101DD">
        <w:rPr>
          <w:rFonts w:ascii="Times New Roman" w:hAnsi="Times New Roman"/>
          <w:bCs/>
          <w:szCs w:val="24"/>
        </w:rPr>
        <w:t>. London: Sage.</w:t>
      </w:r>
    </w:p>
    <w:p w14:paraId="1F6C023A" w14:textId="77777777" w:rsidR="00503349" w:rsidRPr="008101DD" w:rsidRDefault="00503349" w:rsidP="00503349">
      <w:pPr>
        <w:spacing w:after="200"/>
        <w:jc w:val="both"/>
        <w:rPr>
          <w:rFonts w:ascii="Times New Roman" w:hAnsi="Times New Roman"/>
          <w:bCs/>
          <w:szCs w:val="24"/>
        </w:rPr>
      </w:pPr>
      <w:r w:rsidRPr="008101DD">
        <w:rPr>
          <w:rFonts w:ascii="Times New Roman" w:hAnsi="Times New Roman"/>
          <w:bCs/>
          <w:szCs w:val="24"/>
        </w:rPr>
        <w:t xml:space="preserve">Spinelli, E., 2005. </w:t>
      </w:r>
      <w:r w:rsidRPr="008101DD">
        <w:rPr>
          <w:rFonts w:ascii="Times New Roman" w:hAnsi="Times New Roman"/>
          <w:bCs/>
          <w:i/>
          <w:iCs/>
          <w:szCs w:val="24"/>
        </w:rPr>
        <w:t>The interpreted world: an introduction to phenomenological psychology</w:t>
      </w:r>
      <w:r w:rsidRPr="008101DD">
        <w:rPr>
          <w:rFonts w:ascii="Times New Roman" w:hAnsi="Times New Roman"/>
          <w:bCs/>
          <w:szCs w:val="24"/>
        </w:rPr>
        <w:t>. 2nd ed. London: Sage.</w:t>
      </w:r>
    </w:p>
    <w:p w14:paraId="0D9E1C3A"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Spinelli, E., 2007. </w:t>
      </w:r>
      <w:r w:rsidRPr="008101DD">
        <w:rPr>
          <w:rFonts w:ascii="Times New Roman" w:hAnsi="Times New Roman"/>
          <w:i/>
          <w:szCs w:val="24"/>
        </w:rPr>
        <w:t>Practising existential psychotherapy: the relational world</w:t>
      </w:r>
      <w:r w:rsidRPr="008101DD">
        <w:rPr>
          <w:rFonts w:ascii="Times New Roman" w:hAnsi="Times New Roman"/>
          <w:szCs w:val="24"/>
        </w:rPr>
        <w:t>. London: Sage.</w:t>
      </w:r>
    </w:p>
    <w:p w14:paraId="05AD968B"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lastRenderedPageBreak/>
        <w:t xml:space="preserve">Sprinthall, R.C., Schmutte, G.T. and Sirois, L., 1991. </w:t>
      </w:r>
      <w:r w:rsidRPr="008101DD">
        <w:rPr>
          <w:rFonts w:ascii="Times New Roman" w:hAnsi="Times New Roman"/>
          <w:i/>
          <w:szCs w:val="24"/>
        </w:rPr>
        <w:t>Understanding Educational Research</w:t>
      </w:r>
      <w:r w:rsidRPr="008101DD">
        <w:rPr>
          <w:rFonts w:ascii="Times New Roman" w:hAnsi="Times New Roman"/>
          <w:szCs w:val="24"/>
        </w:rPr>
        <w:t>. New Jersey: Prentice-Hall, p. 101.</w:t>
      </w:r>
    </w:p>
    <w:p w14:paraId="6F75122F" w14:textId="77777777" w:rsidR="00503349" w:rsidRDefault="00503349" w:rsidP="00503349">
      <w:pPr>
        <w:jc w:val="both"/>
        <w:rPr>
          <w:rFonts w:ascii="Times New Roman" w:hAnsi="Times New Roman"/>
          <w:szCs w:val="24"/>
        </w:rPr>
      </w:pPr>
      <w:r>
        <w:rPr>
          <w:rFonts w:ascii="Times New Roman" w:hAnsi="Times New Roman"/>
          <w:szCs w:val="24"/>
        </w:rPr>
        <w:t xml:space="preserve">Stacey, C.L., 2005. </w:t>
      </w:r>
      <w:r w:rsidRPr="00CF1AE8">
        <w:rPr>
          <w:rFonts w:ascii="Times New Roman" w:hAnsi="Times New Roman"/>
          <w:szCs w:val="24"/>
        </w:rPr>
        <w:t>Finding dignity in dirty work: the constraints and rewards of low-wage home care labour. </w:t>
      </w:r>
      <w:r w:rsidRPr="00CF1AE8">
        <w:rPr>
          <w:rFonts w:ascii="Times New Roman" w:hAnsi="Times New Roman"/>
          <w:i/>
          <w:iCs/>
          <w:szCs w:val="24"/>
        </w:rPr>
        <w:t>Sociology of Health and Illness</w:t>
      </w:r>
      <w:r w:rsidRPr="00CF1AE8">
        <w:rPr>
          <w:rFonts w:ascii="Times New Roman" w:hAnsi="Times New Roman"/>
          <w:szCs w:val="24"/>
        </w:rPr>
        <w:t>, 27, pp. 831-854.</w:t>
      </w:r>
    </w:p>
    <w:p w14:paraId="79477E0C" w14:textId="77777777" w:rsidR="00503349" w:rsidRDefault="00503349" w:rsidP="00503349">
      <w:pPr>
        <w:spacing w:before="240" w:after="0"/>
        <w:textAlignment w:val="baseline"/>
        <w:rPr>
          <w:rFonts w:ascii="Times New Roman" w:hAnsi="Times New Roman"/>
          <w:szCs w:val="24"/>
        </w:rPr>
      </w:pPr>
      <w:r>
        <w:rPr>
          <w:rFonts w:ascii="Times New Roman" w:hAnsi="Times New Roman"/>
          <w:szCs w:val="24"/>
        </w:rPr>
        <w:t xml:space="preserve">Stalker, P., 2000. </w:t>
      </w:r>
      <w:r>
        <w:rPr>
          <w:rFonts w:ascii="Times New Roman" w:hAnsi="Times New Roman"/>
          <w:i/>
          <w:iCs/>
          <w:szCs w:val="24"/>
        </w:rPr>
        <w:t>Workers without frontiers: the impact of globalization on international migration</w:t>
      </w:r>
      <w:r>
        <w:rPr>
          <w:rFonts w:ascii="Times New Roman" w:hAnsi="Times New Roman"/>
          <w:szCs w:val="24"/>
        </w:rPr>
        <w:t>. Geneva: International Labour Organization.</w:t>
      </w:r>
    </w:p>
    <w:p w14:paraId="46BB7EA1" w14:textId="77777777" w:rsidR="00503349" w:rsidRDefault="00503349" w:rsidP="00503349">
      <w:pPr>
        <w:spacing w:before="240" w:after="0"/>
        <w:textAlignment w:val="baseline"/>
        <w:rPr>
          <w:rFonts w:ascii="Times New Roman" w:hAnsi="Times New Roman"/>
          <w:szCs w:val="24"/>
        </w:rPr>
      </w:pPr>
      <w:r w:rsidRPr="0042674F">
        <w:rPr>
          <w:rFonts w:ascii="Times New Roman" w:eastAsia="Calibri" w:hAnsi="Times New Roman"/>
          <w:szCs w:val="24"/>
          <w:lang w:eastAsia="en-US"/>
        </w:rPr>
        <w:t>Stans, S.E., Dalemans, R., de Witte, L. and Beurskens, A., 2013. Challenges in the communication between ‘communication vulnerable’</w:t>
      </w:r>
      <w:r>
        <w:rPr>
          <w:rFonts w:ascii="Times New Roman" w:eastAsia="Calibri" w:hAnsi="Times New Roman"/>
          <w:szCs w:val="24"/>
          <w:lang w:eastAsia="en-US"/>
        </w:rPr>
        <w:t xml:space="preserve"> </w:t>
      </w:r>
      <w:r w:rsidRPr="0042674F">
        <w:rPr>
          <w:rFonts w:ascii="Times New Roman" w:eastAsia="Calibri" w:hAnsi="Times New Roman"/>
          <w:szCs w:val="24"/>
          <w:lang w:eastAsia="en-US"/>
        </w:rPr>
        <w:t>people and their social environment: an exploratory qualitative study. </w:t>
      </w:r>
      <w:r w:rsidRPr="0042674F">
        <w:rPr>
          <w:rFonts w:ascii="Times New Roman" w:eastAsia="Calibri" w:hAnsi="Times New Roman"/>
          <w:i/>
          <w:iCs/>
          <w:szCs w:val="24"/>
          <w:lang w:eastAsia="en-US"/>
        </w:rPr>
        <w:t>Patient Education and Counseling</w:t>
      </w:r>
      <w:r w:rsidRPr="0042674F">
        <w:rPr>
          <w:rFonts w:ascii="Times New Roman" w:eastAsia="Calibri" w:hAnsi="Times New Roman"/>
          <w:szCs w:val="24"/>
          <w:lang w:eastAsia="en-US"/>
        </w:rPr>
        <w:t>, 92(3), pp.</w:t>
      </w:r>
      <w:r>
        <w:rPr>
          <w:rFonts w:ascii="Times New Roman" w:eastAsia="Calibri" w:hAnsi="Times New Roman"/>
          <w:szCs w:val="24"/>
          <w:lang w:eastAsia="en-US"/>
        </w:rPr>
        <w:t xml:space="preserve"> </w:t>
      </w:r>
      <w:r w:rsidRPr="0042674F">
        <w:rPr>
          <w:rFonts w:ascii="Times New Roman" w:eastAsia="Calibri" w:hAnsi="Times New Roman"/>
          <w:szCs w:val="24"/>
          <w:lang w:eastAsia="en-US"/>
        </w:rPr>
        <w:t>302-312.</w:t>
      </w:r>
    </w:p>
    <w:p w14:paraId="21F5D276" w14:textId="77777777" w:rsidR="00503349" w:rsidRPr="00347A4D" w:rsidRDefault="00503349" w:rsidP="00503349">
      <w:pPr>
        <w:spacing w:before="240" w:after="0"/>
        <w:textAlignment w:val="baseline"/>
        <w:rPr>
          <w:rFonts w:ascii="Times New Roman" w:hAnsi="Times New Roman"/>
          <w:szCs w:val="24"/>
        </w:rPr>
      </w:pPr>
      <w:r w:rsidRPr="002B3011">
        <w:rPr>
          <w:rFonts w:ascii="Times New Roman" w:hAnsi="Times New Roman"/>
          <w:szCs w:val="24"/>
        </w:rPr>
        <w:t xml:space="preserve">Stanton, A.L., Revenson, T. and Tennen, H., 2007. Health psychology: psychological adjustment to chronic disease. </w:t>
      </w:r>
      <w:r w:rsidRPr="002B3011">
        <w:rPr>
          <w:rFonts w:ascii="Times New Roman" w:hAnsi="Times New Roman"/>
          <w:i/>
          <w:szCs w:val="24"/>
        </w:rPr>
        <w:t>Annual Review of Psychology</w:t>
      </w:r>
      <w:r w:rsidRPr="002B3011">
        <w:rPr>
          <w:rFonts w:ascii="Times New Roman" w:hAnsi="Times New Roman"/>
          <w:szCs w:val="24"/>
        </w:rPr>
        <w:t>, 58, pp. 565-592.</w:t>
      </w:r>
    </w:p>
    <w:p w14:paraId="6E97C8E3" w14:textId="77777777" w:rsidR="00503349" w:rsidRDefault="00503349" w:rsidP="00503349">
      <w:pPr>
        <w:spacing w:before="240"/>
        <w:jc w:val="both"/>
        <w:textAlignment w:val="baseline"/>
        <w:rPr>
          <w:rFonts w:ascii="Times New Roman" w:hAnsi="Times New Roman"/>
          <w:szCs w:val="24"/>
        </w:rPr>
      </w:pPr>
      <w:r>
        <w:rPr>
          <w:rFonts w:ascii="Times New Roman" w:hAnsi="Times New Roman"/>
          <w:szCs w:val="24"/>
        </w:rPr>
        <w:t xml:space="preserve">Stark, O., 1991. </w:t>
      </w:r>
      <w:r>
        <w:rPr>
          <w:rFonts w:ascii="Times New Roman" w:hAnsi="Times New Roman"/>
          <w:i/>
          <w:iCs/>
          <w:szCs w:val="24"/>
        </w:rPr>
        <w:t>The Migration of Labor</w:t>
      </w:r>
      <w:r>
        <w:rPr>
          <w:rFonts w:ascii="Times New Roman" w:hAnsi="Times New Roman"/>
          <w:szCs w:val="24"/>
        </w:rPr>
        <w:t>. Cambridge, MA: Basil Blackwell.</w:t>
      </w:r>
    </w:p>
    <w:p w14:paraId="5002AC5E"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Steadman, P.L., Tremont, G.D. and Davis, J.D., 2007. Premorbid relationship satisfaction and caregiver burden in dementia caregivers. </w:t>
      </w:r>
      <w:r w:rsidRPr="002B3011">
        <w:rPr>
          <w:rFonts w:ascii="Times New Roman" w:hAnsi="Times New Roman"/>
          <w:i/>
          <w:szCs w:val="24"/>
        </w:rPr>
        <w:t>Journal of Geriatric Psychiatry and Neurology</w:t>
      </w:r>
      <w:r w:rsidRPr="002B3011">
        <w:rPr>
          <w:rFonts w:ascii="Times New Roman" w:hAnsi="Times New Roman"/>
          <w:szCs w:val="24"/>
        </w:rPr>
        <w:t>, 20, pp. 115-119.</w:t>
      </w:r>
    </w:p>
    <w:p w14:paraId="119B6E63" w14:textId="77777777" w:rsidR="00503349" w:rsidRDefault="00503349" w:rsidP="00503349">
      <w:pPr>
        <w:spacing w:before="240"/>
        <w:jc w:val="both"/>
        <w:rPr>
          <w:rFonts w:ascii="Times New Roman" w:hAnsi="Times New Roman"/>
          <w:szCs w:val="24"/>
        </w:rPr>
      </w:pPr>
      <w:r w:rsidRPr="002532DA">
        <w:rPr>
          <w:rFonts w:ascii="Times New Roman" w:hAnsi="Times New Roman"/>
          <w:szCs w:val="24"/>
        </w:rPr>
        <w:t>Stevens, M., Hussein, S. and Manthorpe, J., 2012. Experiences of racism and discrimination among migrant care workers in England: findings from a mixed-methods research project. </w:t>
      </w:r>
      <w:r w:rsidRPr="002532DA">
        <w:rPr>
          <w:rFonts w:ascii="Times New Roman" w:hAnsi="Times New Roman"/>
          <w:i/>
          <w:iCs/>
          <w:szCs w:val="24"/>
        </w:rPr>
        <w:t>Ethnic and Racial Studies</w:t>
      </w:r>
      <w:r w:rsidRPr="002532DA">
        <w:rPr>
          <w:rFonts w:ascii="Times New Roman" w:hAnsi="Times New Roman"/>
          <w:szCs w:val="24"/>
        </w:rPr>
        <w:t>, 35(2), pp.</w:t>
      </w:r>
      <w:r>
        <w:rPr>
          <w:rFonts w:ascii="Times New Roman" w:hAnsi="Times New Roman"/>
          <w:szCs w:val="24"/>
        </w:rPr>
        <w:t xml:space="preserve"> </w:t>
      </w:r>
      <w:r w:rsidRPr="002532DA">
        <w:rPr>
          <w:rFonts w:ascii="Times New Roman" w:hAnsi="Times New Roman"/>
          <w:szCs w:val="24"/>
        </w:rPr>
        <w:t>259-280.</w:t>
      </w:r>
    </w:p>
    <w:p w14:paraId="12E69672"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Stevens, T., Leavey, G. and Livingston, G., 2004. Dementia and hypertension in African/Caribbean elders. </w:t>
      </w:r>
      <w:r w:rsidRPr="002B3011">
        <w:rPr>
          <w:rFonts w:ascii="Times New Roman" w:hAnsi="Times New Roman"/>
          <w:i/>
          <w:iCs/>
          <w:color w:val="000000"/>
          <w:szCs w:val="24"/>
        </w:rPr>
        <w:t>Age and Ageing</w:t>
      </w:r>
      <w:r w:rsidRPr="002B3011">
        <w:rPr>
          <w:rFonts w:ascii="Times New Roman" w:hAnsi="Times New Roman"/>
          <w:color w:val="000000"/>
          <w:szCs w:val="24"/>
        </w:rPr>
        <w:t>, 33(2), pp. 193-195.</w:t>
      </w:r>
    </w:p>
    <w:p w14:paraId="33265C05" w14:textId="77777777" w:rsidR="00503349" w:rsidRDefault="00503349" w:rsidP="00503349">
      <w:pPr>
        <w:jc w:val="both"/>
        <w:rPr>
          <w:rFonts w:ascii="Times New Roman" w:hAnsi="Times New Roman"/>
          <w:szCs w:val="24"/>
        </w:rPr>
      </w:pPr>
      <w:r w:rsidRPr="00C72FAA">
        <w:rPr>
          <w:rFonts w:ascii="Times New Roman" w:hAnsi="Times New Roman"/>
          <w:szCs w:val="24"/>
        </w:rPr>
        <w:t>Stone, P.W., Larson, E.L., Mooney-Kane, C., Smolowitz, J., Lin, S.X. and Dick, A.W., 2006. Organizational climate and intensive care unit nurses’ intention to leave. </w:t>
      </w:r>
      <w:r w:rsidRPr="00C72FAA">
        <w:rPr>
          <w:rFonts w:ascii="Times New Roman" w:hAnsi="Times New Roman"/>
          <w:i/>
          <w:iCs/>
          <w:szCs w:val="24"/>
        </w:rPr>
        <w:t>Critical Care Medicine</w:t>
      </w:r>
      <w:r w:rsidRPr="00C72FAA">
        <w:rPr>
          <w:rFonts w:ascii="Times New Roman" w:hAnsi="Times New Roman"/>
          <w:szCs w:val="24"/>
        </w:rPr>
        <w:t>, 34(7), pp.</w:t>
      </w:r>
      <w:r>
        <w:rPr>
          <w:rFonts w:ascii="Times New Roman" w:hAnsi="Times New Roman"/>
          <w:szCs w:val="24"/>
        </w:rPr>
        <w:t xml:space="preserve"> </w:t>
      </w:r>
      <w:r w:rsidRPr="00C72FAA">
        <w:rPr>
          <w:rFonts w:ascii="Times New Roman" w:hAnsi="Times New Roman"/>
          <w:szCs w:val="24"/>
        </w:rPr>
        <w:t>1907-1912.</w:t>
      </w:r>
    </w:p>
    <w:p w14:paraId="61A50607" w14:textId="77777777" w:rsidR="00503349" w:rsidRPr="004E3E8F" w:rsidRDefault="00503349" w:rsidP="00503349">
      <w:pPr>
        <w:jc w:val="both"/>
        <w:rPr>
          <w:rFonts w:ascii="Times New Roman" w:hAnsi="Times New Roman"/>
          <w:szCs w:val="24"/>
        </w:rPr>
      </w:pPr>
      <w:r w:rsidRPr="004E3E8F">
        <w:rPr>
          <w:rFonts w:ascii="Times New Roman" w:hAnsi="Times New Roman"/>
          <w:szCs w:val="24"/>
        </w:rPr>
        <w:t>Storey, A., 2018. Living longer: how our population is changing and why it matters. </w:t>
      </w:r>
      <w:r w:rsidRPr="004E3E8F">
        <w:rPr>
          <w:rFonts w:ascii="Times New Roman" w:hAnsi="Times New Roman"/>
          <w:i/>
          <w:iCs/>
          <w:szCs w:val="24"/>
        </w:rPr>
        <w:t>Office for National Statistics: London, UK</w:t>
      </w:r>
      <w:r w:rsidRPr="004E3E8F">
        <w:rPr>
          <w:rFonts w:ascii="Times New Roman" w:hAnsi="Times New Roman"/>
          <w:szCs w:val="24"/>
        </w:rPr>
        <w:t xml:space="preserve">. Available at: </w:t>
      </w:r>
      <w:r w:rsidRPr="004E3E8F">
        <w:rPr>
          <w:rFonts w:ascii="Times New Roman" w:hAnsi="Times New Roman"/>
          <w:szCs w:val="24"/>
        </w:rPr>
        <w:lastRenderedPageBreak/>
        <w:t>&lt;https://backup.ons.gov.uk/wp-content/uploads/sites/3/2018/08/Living-longer-how-our-population-is-changing-and-why-it-matters.pdf&gt;[Accessed 8 September 2019]</w:t>
      </w:r>
    </w:p>
    <w:p w14:paraId="12E52F0F"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Strauss, A. and Corbin, J., 1998. </w:t>
      </w:r>
      <w:r w:rsidRPr="004E3E8F">
        <w:rPr>
          <w:rFonts w:ascii="Times New Roman" w:hAnsi="Times New Roman"/>
          <w:i/>
          <w:szCs w:val="24"/>
        </w:rPr>
        <w:t>Basics of qualitative research: Techniques and procedures for developing grounded theory</w:t>
      </w:r>
      <w:r w:rsidRPr="004E3E8F">
        <w:rPr>
          <w:rFonts w:ascii="Times New Roman" w:hAnsi="Times New Roman"/>
          <w:szCs w:val="24"/>
        </w:rPr>
        <w:t>. 2nd ed. Newbury Park, CA: Sage.</w:t>
      </w:r>
    </w:p>
    <w:p w14:paraId="7D4B173B" w14:textId="77777777" w:rsidR="00503349" w:rsidRDefault="00503349" w:rsidP="00503349">
      <w:pPr>
        <w:spacing w:before="240"/>
        <w:rPr>
          <w:rFonts w:ascii="Times New Roman" w:hAnsi="Times New Roman"/>
          <w:szCs w:val="24"/>
        </w:rPr>
      </w:pPr>
      <w:r>
        <w:rPr>
          <w:rFonts w:ascii="Times New Roman" w:hAnsi="Times New Roman"/>
          <w:szCs w:val="24"/>
        </w:rPr>
        <w:t xml:space="preserve">Sturge, G., 2020. </w:t>
      </w:r>
      <w:r>
        <w:rPr>
          <w:rFonts w:ascii="Times New Roman" w:hAnsi="Times New Roman"/>
          <w:i/>
          <w:iCs/>
          <w:szCs w:val="24"/>
        </w:rPr>
        <w:t>Migration Statistics</w:t>
      </w:r>
      <w:r>
        <w:rPr>
          <w:rFonts w:ascii="Times New Roman" w:hAnsi="Times New Roman"/>
          <w:szCs w:val="24"/>
        </w:rPr>
        <w:t>. Briefing Paper No CBP06077. London: The House of Commons Library. Available at: &lt;https://researchbriefings.files.parliament.uk/documents/SN06077/SN06077.pdf&gt;[Acccessed 15 August 2020]</w:t>
      </w:r>
    </w:p>
    <w:p w14:paraId="44C728E5"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Sturman-Floyd, M., 2013. Moving and handling: support for residents with dementia. </w:t>
      </w:r>
      <w:r w:rsidRPr="00DA2952">
        <w:rPr>
          <w:rFonts w:ascii="Times New Roman" w:hAnsi="Times New Roman"/>
          <w:i/>
          <w:iCs/>
          <w:szCs w:val="24"/>
        </w:rPr>
        <w:t>Nursing and Residential Care</w:t>
      </w:r>
      <w:r w:rsidRPr="00DA2952">
        <w:rPr>
          <w:rFonts w:ascii="Times New Roman" w:hAnsi="Times New Roman"/>
          <w:szCs w:val="24"/>
        </w:rPr>
        <w:t>, 15(5), pp. 276-280. </w:t>
      </w:r>
    </w:p>
    <w:p w14:paraId="2778B9C7" w14:textId="77777777" w:rsidR="00503349" w:rsidRDefault="00503349" w:rsidP="00503349">
      <w:pPr>
        <w:rPr>
          <w:rFonts w:ascii="Times New Roman" w:hAnsi="Times New Roman"/>
          <w:szCs w:val="24"/>
        </w:rPr>
      </w:pPr>
      <w:r w:rsidRPr="00414113">
        <w:rPr>
          <w:rFonts w:ascii="Times New Roman" w:hAnsi="Times New Roman"/>
          <w:szCs w:val="24"/>
        </w:rPr>
        <w:t>Sumption, M. and Vargas-Silva</w:t>
      </w:r>
      <w:r>
        <w:rPr>
          <w:rFonts w:ascii="Times New Roman" w:hAnsi="Times New Roman"/>
          <w:szCs w:val="24"/>
        </w:rPr>
        <w:t xml:space="preserve">, C., </w:t>
      </w:r>
      <w:r w:rsidRPr="00414113">
        <w:rPr>
          <w:rFonts w:ascii="Times New Roman" w:hAnsi="Times New Roman"/>
          <w:szCs w:val="24"/>
        </w:rPr>
        <w:t>2019</w:t>
      </w:r>
      <w:r>
        <w:rPr>
          <w:rFonts w:ascii="Times New Roman" w:hAnsi="Times New Roman"/>
          <w:szCs w:val="24"/>
        </w:rPr>
        <w:t>.</w:t>
      </w:r>
      <w:r w:rsidRPr="00414113">
        <w:rPr>
          <w:rFonts w:ascii="Times New Roman" w:hAnsi="Times New Roman"/>
          <w:szCs w:val="24"/>
        </w:rPr>
        <w:t xml:space="preserve"> The minimum income requirement for non-EEA family members in the UK</w:t>
      </w:r>
      <w:r>
        <w:rPr>
          <w:rFonts w:ascii="Times New Roman" w:hAnsi="Times New Roman"/>
          <w:szCs w:val="24"/>
        </w:rPr>
        <w:t>.</w:t>
      </w:r>
      <w:r w:rsidRPr="00414113">
        <w:rPr>
          <w:rFonts w:ascii="Times New Roman" w:hAnsi="Times New Roman"/>
          <w:szCs w:val="24"/>
        </w:rPr>
        <w:t xml:space="preserve"> </w:t>
      </w:r>
      <w:r w:rsidRPr="00386613">
        <w:rPr>
          <w:rFonts w:ascii="Times New Roman" w:hAnsi="Times New Roman"/>
          <w:i/>
          <w:iCs/>
          <w:szCs w:val="24"/>
        </w:rPr>
        <w:t>Migration Observatory Report</w:t>
      </w:r>
      <w:r w:rsidRPr="00414113">
        <w:rPr>
          <w:rFonts w:ascii="Times New Roman" w:hAnsi="Times New Roman"/>
          <w:szCs w:val="24"/>
        </w:rPr>
        <w:t>, COMPAS</w:t>
      </w:r>
      <w:r>
        <w:rPr>
          <w:rFonts w:ascii="Times New Roman" w:hAnsi="Times New Roman"/>
          <w:szCs w:val="24"/>
        </w:rPr>
        <w:t>.</w:t>
      </w:r>
      <w:r w:rsidRPr="00414113">
        <w:rPr>
          <w:rFonts w:ascii="Times New Roman" w:hAnsi="Times New Roman"/>
          <w:szCs w:val="24"/>
        </w:rPr>
        <w:t xml:space="preserve"> </w:t>
      </w:r>
      <w:r>
        <w:rPr>
          <w:rFonts w:ascii="Times New Roman" w:hAnsi="Times New Roman"/>
          <w:szCs w:val="24"/>
        </w:rPr>
        <w:t xml:space="preserve">Oxford: </w:t>
      </w:r>
      <w:r w:rsidRPr="00414113">
        <w:rPr>
          <w:rFonts w:ascii="Times New Roman" w:hAnsi="Times New Roman"/>
          <w:szCs w:val="24"/>
        </w:rPr>
        <w:t>University of Oxford.</w:t>
      </w:r>
    </w:p>
    <w:p w14:paraId="5D7BBFF0" w14:textId="77777777" w:rsidR="00503349" w:rsidRDefault="00503349" w:rsidP="00503349">
      <w:pPr>
        <w:rPr>
          <w:rFonts w:ascii="Times New Roman" w:hAnsi="Times New Roman"/>
          <w:szCs w:val="24"/>
        </w:rPr>
      </w:pPr>
      <w:r w:rsidRPr="00390337">
        <w:rPr>
          <w:rFonts w:ascii="Times New Roman" w:hAnsi="Times New Roman"/>
          <w:szCs w:val="24"/>
        </w:rPr>
        <w:t xml:space="preserve">Sumption, </w:t>
      </w:r>
      <w:r>
        <w:rPr>
          <w:rFonts w:ascii="Times New Roman" w:hAnsi="Times New Roman"/>
          <w:szCs w:val="24"/>
        </w:rPr>
        <w:t xml:space="preserve">M., 2017. </w:t>
      </w:r>
      <w:r w:rsidRPr="00390337">
        <w:rPr>
          <w:rFonts w:ascii="Times New Roman" w:hAnsi="Times New Roman"/>
          <w:szCs w:val="24"/>
        </w:rPr>
        <w:t>Labour immigration after Brexit: questions and trade-offs in designing a work permit system for EU citizens</w:t>
      </w:r>
      <w:r>
        <w:rPr>
          <w:rFonts w:ascii="Times New Roman" w:hAnsi="Times New Roman"/>
          <w:szCs w:val="24"/>
        </w:rPr>
        <w:t>.</w:t>
      </w:r>
      <w:r w:rsidRPr="00390337">
        <w:rPr>
          <w:rFonts w:ascii="Times New Roman" w:hAnsi="Times New Roman"/>
          <w:szCs w:val="24"/>
        </w:rPr>
        <w:t> </w:t>
      </w:r>
      <w:r w:rsidRPr="00390337">
        <w:rPr>
          <w:rFonts w:ascii="Times New Roman" w:hAnsi="Times New Roman"/>
          <w:i/>
          <w:iCs/>
          <w:szCs w:val="24"/>
        </w:rPr>
        <w:t>Oxford Review of Economic Policy</w:t>
      </w:r>
      <w:r w:rsidRPr="00390337">
        <w:rPr>
          <w:rFonts w:ascii="Times New Roman" w:hAnsi="Times New Roman"/>
          <w:szCs w:val="24"/>
        </w:rPr>
        <w:t>, 33,</w:t>
      </w:r>
      <w:r>
        <w:rPr>
          <w:rFonts w:ascii="Times New Roman" w:hAnsi="Times New Roman"/>
          <w:szCs w:val="24"/>
        </w:rPr>
        <w:t xml:space="preserve"> pp. </w:t>
      </w:r>
      <w:r w:rsidRPr="00390337">
        <w:rPr>
          <w:rFonts w:ascii="Times New Roman" w:hAnsi="Times New Roman"/>
          <w:szCs w:val="24"/>
        </w:rPr>
        <w:t>S45–S53</w:t>
      </w:r>
      <w:r>
        <w:rPr>
          <w:rFonts w:ascii="Times New Roman" w:hAnsi="Times New Roman"/>
          <w:szCs w:val="24"/>
        </w:rPr>
        <w:t>.</w:t>
      </w:r>
    </w:p>
    <w:p w14:paraId="6F7F4050" w14:textId="77777777" w:rsidR="00503349" w:rsidRPr="000A56C6" w:rsidRDefault="00503349" w:rsidP="00503349">
      <w:pPr>
        <w:jc w:val="both"/>
        <w:rPr>
          <w:rFonts w:ascii="Times New Roman" w:hAnsi="Times New Roman"/>
          <w:szCs w:val="24"/>
        </w:rPr>
      </w:pPr>
      <w:r w:rsidRPr="00DA2952">
        <w:rPr>
          <w:rFonts w:ascii="Times New Roman" w:hAnsi="Times New Roman"/>
          <w:szCs w:val="24"/>
        </w:rPr>
        <w:t xml:space="preserve">Sun, F., Ong, R. and Burnette D., 2012. The influence of ethnicity and culture on dementia caregiving: a review of empirical studies on Chinese Americans. </w:t>
      </w:r>
      <w:r w:rsidRPr="00DA2952">
        <w:rPr>
          <w:rFonts w:ascii="Times New Roman" w:hAnsi="Times New Roman"/>
          <w:i/>
          <w:iCs/>
          <w:szCs w:val="24"/>
        </w:rPr>
        <w:t>American Journal of Alzheimer’s Disease &amp; Other Dementias</w:t>
      </w:r>
      <w:r w:rsidRPr="00DA2952">
        <w:rPr>
          <w:rFonts w:ascii="Times New Roman" w:hAnsi="Times New Roman"/>
          <w:szCs w:val="24"/>
        </w:rPr>
        <w:t>, 27, pp. 13-22.</w:t>
      </w:r>
    </w:p>
    <w:p w14:paraId="7FD32D00" w14:textId="77777777" w:rsidR="00503349" w:rsidRPr="000A56C6" w:rsidRDefault="00503349" w:rsidP="00503349">
      <w:pPr>
        <w:jc w:val="both"/>
        <w:rPr>
          <w:rFonts w:ascii="Times New Roman" w:hAnsi="Times New Roman"/>
          <w:szCs w:val="24"/>
        </w:rPr>
      </w:pPr>
      <w:r w:rsidRPr="000A56C6">
        <w:rPr>
          <w:rFonts w:ascii="Times New Roman" w:hAnsi="Times New Roman"/>
          <w:szCs w:val="24"/>
        </w:rPr>
        <w:t>Sung, H.C., Chang, S.M. and Tsai, C.S., 2005. Working in long-term care settings for older people with dementia: nurses’ aides. </w:t>
      </w:r>
      <w:r w:rsidRPr="000A56C6">
        <w:rPr>
          <w:rFonts w:ascii="Times New Roman" w:hAnsi="Times New Roman"/>
          <w:i/>
          <w:iCs/>
          <w:szCs w:val="24"/>
        </w:rPr>
        <w:t>Journal of Clinical Nursing</w:t>
      </w:r>
      <w:r w:rsidRPr="000A56C6">
        <w:rPr>
          <w:rFonts w:ascii="Times New Roman" w:hAnsi="Times New Roman"/>
          <w:szCs w:val="24"/>
        </w:rPr>
        <w:t>, 14, pp. 587–593.</w:t>
      </w:r>
    </w:p>
    <w:p w14:paraId="63726796"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Surr, C.A., Gates, C., Irving, D., Oyebode, J., Smith, S.J., Parveen, S., Drury, M. and Dennison, A., 2017. Effective dementia education and training for the health and social care workforce: a systematic review of the literature. </w:t>
      </w:r>
      <w:r w:rsidRPr="00DA2952">
        <w:rPr>
          <w:rFonts w:ascii="Times New Roman" w:hAnsi="Times New Roman"/>
          <w:i/>
          <w:iCs/>
          <w:szCs w:val="24"/>
        </w:rPr>
        <w:t>Review of Educational Research</w:t>
      </w:r>
      <w:r w:rsidRPr="00DA2952">
        <w:rPr>
          <w:rFonts w:ascii="Times New Roman" w:hAnsi="Times New Roman"/>
          <w:szCs w:val="24"/>
        </w:rPr>
        <w:t>, 87(5), pp. 966-1002.  </w:t>
      </w:r>
    </w:p>
    <w:p w14:paraId="36FCD8CF"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lastRenderedPageBreak/>
        <w:t xml:space="preserve">Suzuki, S., Goebert, D., Ahmed, I. and Lu, B., 2015. Folk and biological perceptions of dementia among Asian Ethnic Minorities in Hawaii. </w:t>
      </w:r>
      <w:r w:rsidRPr="00DA2952">
        <w:rPr>
          <w:rFonts w:ascii="Times New Roman" w:hAnsi="Times New Roman"/>
          <w:i/>
          <w:szCs w:val="24"/>
        </w:rPr>
        <w:t>The American Journal of Geriatric Psychiatry</w:t>
      </w:r>
      <w:r w:rsidRPr="00DA2952">
        <w:rPr>
          <w:rFonts w:ascii="Times New Roman" w:hAnsi="Times New Roman"/>
          <w:szCs w:val="24"/>
        </w:rPr>
        <w:t xml:space="preserve">, 23(6), pp. 589-595. </w:t>
      </w:r>
    </w:p>
    <w:p w14:paraId="1D164595"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Szilagyi, A., 2013. Nigeria and the cultures of respect: cultural identity and meaning construction in online international and multicultural classroom. </w:t>
      </w:r>
      <w:r w:rsidRPr="00DA2952">
        <w:rPr>
          <w:rFonts w:ascii="Times New Roman" w:hAnsi="Times New Roman"/>
          <w:i/>
          <w:iCs/>
          <w:szCs w:val="24"/>
        </w:rPr>
        <w:t>International Journal of Arts &amp; Sciences</w:t>
      </w:r>
      <w:r w:rsidRPr="00DA2952">
        <w:rPr>
          <w:rFonts w:ascii="Times New Roman" w:hAnsi="Times New Roman"/>
          <w:szCs w:val="24"/>
        </w:rPr>
        <w:t>, 6, pp. 589-618.</w:t>
      </w:r>
    </w:p>
    <w:p w14:paraId="7A782A6F"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Tadd, W., Hillman, A., Calnan, S., Calnan, M., Bayer, T. and Read, S., 2011. Right place – wrong person: dignity in the acute care of older people. </w:t>
      </w:r>
      <w:r w:rsidRPr="000A56C6">
        <w:rPr>
          <w:rFonts w:ascii="Times New Roman" w:hAnsi="Times New Roman"/>
          <w:i/>
          <w:szCs w:val="24"/>
        </w:rPr>
        <w:t>Quality in Ageing &amp; Older Adults</w:t>
      </w:r>
      <w:r w:rsidRPr="000A56C6">
        <w:rPr>
          <w:rFonts w:ascii="Times New Roman" w:hAnsi="Times New Roman"/>
          <w:szCs w:val="24"/>
        </w:rPr>
        <w:t>, 12, pp. 33-43.</w:t>
      </w:r>
    </w:p>
    <w:p w14:paraId="6F00E533" w14:textId="77777777" w:rsidR="00503349" w:rsidRDefault="00503349" w:rsidP="00503349">
      <w:pPr>
        <w:tabs>
          <w:tab w:val="left" w:pos="5445"/>
        </w:tabs>
        <w:jc w:val="both"/>
        <w:rPr>
          <w:rFonts w:ascii="Times New Roman" w:hAnsi="Times New Roman"/>
          <w:szCs w:val="24"/>
        </w:rPr>
      </w:pPr>
      <w:r w:rsidRPr="003A7230">
        <w:rPr>
          <w:rFonts w:ascii="Times New Roman" w:hAnsi="Times New Roman"/>
          <w:szCs w:val="24"/>
        </w:rPr>
        <w:t>Tadros, G., Ormerod, S., Dobson-Smyth, P., Gallon, M., Doherty, D., Carryer, A., Oyebode, J. and Kingston, P., 2013. The management of behavioural and psychological symptoms of dementia in residential homes: Does Tai Chi have any role for people with dementia? </w:t>
      </w:r>
      <w:r w:rsidRPr="003A7230">
        <w:rPr>
          <w:rFonts w:ascii="Times New Roman" w:hAnsi="Times New Roman"/>
          <w:i/>
          <w:iCs/>
          <w:szCs w:val="24"/>
        </w:rPr>
        <w:t>Dementia</w:t>
      </w:r>
      <w:r w:rsidRPr="003A7230">
        <w:rPr>
          <w:rFonts w:ascii="Times New Roman" w:hAnsi="Times New Roman"/>
          <w:szCs w:val="24"/>
        </w:rPr>
        <w:t>, </w:t>
      </w:r>
      <w:r w:rsidRPr="00334C79">
        <w:rPr>
          <w:rFonts w:ascii="Times New Roman" w:hAnsi="Times New Roman"/>
          <w:szCs w:val="24"/>
        </w:rPr>
        <w:t>12</w:t>
      </w:r>
      <w:r w:rsidRPr="003A7230">
        <w:rPr>
          <w:rFonts w:ascii="Times New Roman" w:hAnsi="Times New Roman"/>
          <w:szCs w:val="24"/>
        </w:rPr>
        <w:t>(2), pp.</w:t>
      </w:r>
      <w:r>
        <w:rPr>
          <w:rFonts w:ascii="Times New Roman" w:hAnsi="Times New Roman"/>
          <w:szCs w:val="24"/>
        </w:rPr>
        <w:t xml:space="preserve"> </w:t>
      </w:r>
      <w:r w:rsidRPr="003A7230">
        <w:rPr>
          <w:rFonts w:ascii="Times New Roman" w:hAnsi="Times New Roman"/>
          <w:szCs w:val="24"/>
        </w:rPr>
        <w:t>268-279.</w:t>
      </w:r>
    </w:p>
    <w:p w14:paraId="1065BF8E"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Tailby, S., 2015. Agency and bank nursing in the UK National Health Service. </w:t>
      </w:r>
      <w:r w:rsidRPr="000A56C6">
        <w:rPr>
          <w:rFonts w:ascii="Times New Roman" w:hAnsi="Times New Roman"/>
          <w:i/>
          <w:szCs w:val="24"/>
        </w:rPr>
        <w:t>Work, Employment and Society</w:t>
      </w:r>
      <w:r w:rsidRPr="000A56C6">
        <w:rPr>
          <w:rFonts w:ascii="Times New Roman" w:hAnsi="Times New Roman"/>
          <w:szCs w:val="24"/>
        </w:rPr>
        <w:t>, 19(2), pp. 369-389.</w:t>
      </w:r>
    </w:p>
    <w:p w14:paraId="2A725EF6" w14:textId="77777777" w:rsidR="00503349" w:rsidRDefault="00503349" w:rsidP="00503349">
      <w:pPr>
        <w:jc w:val="both"/>
        <w:rPr>
          <w:rFonts w:ascii="Times New Roman" w:hAnsi="Times New Roman"/>
          <w:szCs w:val="24"/>
        </w:rPr>
      </w:pPr>
      <w:r w:rsidRPr="00CF1AE8">
        <w:rPr>
          <w:rFonts w:ascii="Times New Roman" w:hAnsi="Times New Roman"/>
          <w:szCs w:val="24"/>
        </w:rPr>
        <w:t>Tan, G., and Hugo, G., 2017. The transnational migration strategies of Chinese and Indian students in Australia. </w:t>
      </w:r>
      <w:r w:rsidRPr="00CF1AE8">
        <w:rPr>
          <w:rFonts w:ascii="Times New Roman" w:hAnsi="Times New Roman"/>
          <w:i/>
          <w:iCs/>
          <w:szCs w:val="24"/>
        </w:rPr>
        <w:t>Popul</w:t>
      </w:r>
      <w:r>
        <w:rPr>
          <w:rFonts w:ascii="Times New Roman" w:hAnsi="Times New Roman"/>
          <w:i/>
          <w:iCs/>
          <w:szCs w:val="24"/>
        </w:rPr>
        <w:t>ation,</w:t>
      </w:r>
      <w:r w:rsidRPr="00CF1AE8">
        <w:rPr>
          <w:rFonts w:ascii="Times New Roman" w:hAnsi="Times New Roman"/>
          <w:i/>
          <w:iCs/>
          <w:szCs w:val="24"/>
        </w:rPr>
        <w:t xml:space="preserve"> Space </w:t>
      </w:r>
      <w:r>
        <w:rPr>
          <w:rFonts w:ascii="Times New Roman" w:hAnsi="Times New Roman"/>
          <w:i/>
          <w:iCs/>
          <w:szCs w:val="24"/>
        </w:rPr>
        <w:t xml:space="preserve">&amp; </w:t>
      </w:r>
      <w:r w:rsidRPr="00CF1AE8">
        <w:rPr>
          <w:rFonts w:ascii="Times New Roman" w:hAnsi="Times New Roman"/>
          <w:i/>
          <w:iCs/>
          <w:szCs w:val="24"/>
        </w:rPr>
        <w:t>Place</w:t>
      </w:r>
      <w:r w:rsidRPr="00CF1AE8">
        <w:rPr>
          <w:rFonts w:ascii="Times New Roman" w:hAnsi="Times New Roman"/>
          <w:szCs w:val="24"/>
        </w:rPr>
        <w:t>, 23</w:t>
      </w:r>
      <w:r>
        <w:rPr>
          <w:rFonts w:ascii="Times New Roman" w:hAnsi="Times New Roman"/>
          <w:szCs w:val="24"/>
        </w:rPr>
        <w:t>.</w:t>
      </w:r>
    </w:p>
    <w:p w14:paraId="00B1DBF0"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Tarriconi, R. and Tsouros, A.D., 2008. </w:t>
      </w:r>
      <w:r w:rsidRPr="00CF1AE8">
        <w:rPr>
          <w:rFonts w:ascii="Times New Roman" w:hAnsi="Times New Roman"/>
          <w:i/>
          <w:szCs w:val="24"/>
        </w:rPr>
        <w:t>Home Care in Europe: The Solid Facts</w:t>
      </w:r>
      <w:r w:rsidRPr="00CF1AE8">
        <w:rPr>
          <w:rFonts w:ascii="Times New Roman" w:hAnsi="Times New Roman"/>
          <w:szCs w:val="24"/>
        </w:rPr>
        <w:t>. Copenhagen: World Health Organisation</w:t>
      </w:r>
    </w:p>
    <w:p w14:paraId="424F2E20" w14:textId="77777777" w:rsidR="00503349" w:rsidRPr="00EF189A" w:rsidRDefault="00503349" w:rsidP="00503349">
      <w:pPr>
        <w:jc w:val="both"/>
        <w:rPr>
          <w:rFonts w:ascii="Times New Roman" w:hAnsi="Times New Roman"/>
          <w:szCs w:val="24"/>
          <w:bdr w:val="none" w:sz="0" w:space="0" w:color="auto" w:frame="1"/>
          <w:lang w:val="en-US"/>
        </w:rPr>
      </w:pPr>
      <w:r w:rsidRPr="00EF189A">
        <w:rPr>
          <w:rFonts w:ascii="Times New Roman" w:hAnsi="Times New Roman"/>
          <w:szCs w:val="24"/>
          <w:bdr w:val="none" w:sz="0" w:space="0" w:color="auto" w:frame="1"/>
          <w:lang w:val="en-US"/>
        </w:rPr>
        <w:t>Tay, L. and Diener, E., 2011. Needs and subjective well-being around the world.</w:t>
      </w:r>
      <w:r w:rsidRPr="00EF189A">
        <w:rPr>
          <w:rFonts w:ascii="Times New Roman" w:hAnsi="Times New Roman"/>
          <w:i/>
          <w:iCs/>
          <w:szCs w:val="24"/>
          <w:bdr w:val="none" w:sz="0" w:space="0" w:color="auto" w:frame="1"/>
          <w:lang w:val="en-US"/>
        </w:rPr>
        <w:t> Journal of Personality and Social Psychology</w:t>
      </w:r>
      <w:r w:rsidRPr="00EF189A">
        <w:rPr>
          <w:rFonts w:ascii="Times New Roman" w:hAnsi="Times New Roman"/>
          <w:szCs w:val="24"/>
          <w:bdr w:val="none" w:sz="0" w:space="0" w:color="auto" w:frame="1"/>
          <w:lang w:val="en-US"/>
        </w:rPr>
        <w:t>, 101(2), p.354.</w:t>
      </w:r>
    </w:p>
    <w:p w14:paraId="72A95458" w14:textId="77777777" w:rsidR="00503349" w:rsidRPr="00EF189A" w:rsidRDefault="00503349" w:rsidP="00503349">
      <w:pPr>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Taylor, F.W., 1911. </w:t>
      </w:r>
      <w:r w:rsidRPr="00EF189A">
        <w:rPr>
          <w:rFonts w:ascii="Times New Roman" w:hAnsi="Times New Roman"/>
          <w:i/>
          <w:iCs/>
          <w:szCs w:val="24"/>
          <w:bdr w:val="none" w:sz="0" w:space="0" w:color="auto" w:frame="1"/>
        </w:rPr>
        <w:t>The principle of scientific management</w:t>
      </w:r>
      <w:r w:rsidRPr="00EF189A">
        <w:rPr>
          <w:rFonts w:ascii="Times New Roman" w:hAnsi="Times New Roman"/>
          <w:szCs w:val="24"/>
          <w:bdr w:val="none" w:sz="0" w:space="0" w:color="auto" w:frame="1"/>
        </w:rPr>
        <w:t>. New York and London: Harper &amp; Brothers Publishers. Available at: &lt;https://openlibrary.org/books/OL7244638M/The_Principles_of_Scientific_Management&gt;[Accessed 05 May 2018]</w:t>
      </w:r>
    </w:p>
    <w:p w14:paraId="6515ADA6"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Taylor, M., 2005. </w:t>
      </w:r>
      <w:r w:rsidRPr="000C2CD1">
        <w:rPr>
          <w:rFonts w:ascii="Times New Roman" w:hAnsi="Times New Roman"/>
          <w:i/>
          <w:iCs/>
          <w:szCs w:val="24"/>
        </w:rPr>
        <w:t>Clinical record keeping guidelines</w:t>
      </w:r>
      <w:r w:rsidRPr="00CF1AE8">
        <w:rPr>
          <w:rFonts w:ascii="Times New Roman" w:hAnsi="Times New Roman"/>
          <w:szCs w:val="24"/>
        </w:rPr>
        <w:t>. South Worc</w:t>
      </w:r>
      <w:r>
        <w:rPr>
          <w:rFonts w:ascii="Times New Roman" w:hAnsi="Times New Roman"/>
          <w:szCs w:val="24"/>
        </w:rPr>
        <w:t>estershire: Primary Care Trust.</w:t>
      </w:r>
    </w:p>
    <w:p w14:paraId="0BB3B8E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lastRenderedPageBreak/>
        <w:t xml:space="preserve">Taylor, R.J., Chatters, L.M. and Jackson, J.S., 2007. Religious and spiritual involvement among older African Americans, Caribbean blacks, and non-Hispanic whites: Findings from the national survey of American life. </w:t>
      </w:r>
      <w:r w:rsidRPr="004E3E8F">
        <w:rPr>
          <w:rFonts w:ascii="Times New Roman" w:hAnsi="Times New Roman"/>
          <w:i/>
          <w:iCs/>
          <w:szCs w:val="24"/>
        </w:rPr>
        <w:t>The Journals of Gerontology Series B: Psychological Sciences and Social Sciences</w:t>
      </w:r>
      <w:r w:rsidRPr="004E3E8F">
        <w:rPr>
          <w:rFonts w:ascii="Times New Roman" w:hAnsi="Times New Roman"/>
          <w:szCs w:val="24"/>
        </w:rPr>
        <w:t>, 62(4), pp. S238-S250.</w:t>
      </w:r>
    </w:p>
    <w:p w14:paraId="08C982F0"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Taylor, R.J., Lincoln, K.D. and Chatters, L.M., 2005. Supportive relationships with church members among African Americans. </w:t>
      </w:r>
      <w:r w:rsidRPr="004E3E8F">
        <w:rPr>
          <w:rFonts w:ascii="Times New Roman" w:hAnsi="Times New Roman"/>
          <w:i/>
          <w:iCs/>
          <w:szCs w:val="24"/>
        </w:rPr>
        <w:t>Family Relations</w:t>
      </w:r>
      <w:r w:rsidRPr="004E3E8F">
        <w:rPr>
          <w:rFonts w:ascii="Times New Roman" w:hAnsi="Times New Roman"/>
          <w:szCs w:val="24"/>
        </w:rPr>
        <w:t>, 54(4), pp. 501-511.</w:t>
      </w:r>
    </w:p>
    <w:p w14:paraId="35B0DED2"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Tervo, S., Kivipelto, M., Hänninen, T., Vanhanen, M., Hellikainen, M., Mannermaa, A. and Soininen, H., 2004. Incidence and risk factors for mild cognitive impairment: a population-based three-year </w:t>
      </w:r>
      <w:r w:rsidRPr="002B3011">
        <w:rPr>
          <w:rFonts w:ascii="Times New Roman" w:hAnsi="Times New Roman"/>
          <w:noProof/>
          <w:szCs w:val="24"/>
        </w:rPr>
        <w:t>followup</w:t>
      </w:r>
      <w:r w:rsidRPr="002B3011">
        <w:rPr>
          <w:rFonts w:ascii="Times New Roman" w:hAnsi="Times New Roman"/>
          <w:szCs w:val="24"/>
        </w:rPr>
        <w:t xml:space="preserve"> study of cognitively healthy elderly subjects. </w:t>
      </w:r>
      <w:r w:rsidRPr="002B3011">
        <w:rPr>
          <w:rFonts w:ascii="Times New Roman" w:hAnsi="Times New Roman"/>
          <w:i/>
          <w:szCs w:val="24"/>
        </w:rPr>
        <w:t>Dementia and Geriatric Cognitive Disorders</w:t>
      </w:r>
      <w:r w:rsidRPr="002B3011">
        <w:rPr>
          <w:rFonts w:ascii="Times New Roman" w:hAnsi="Times New Roman"/>
          <w:szCs w:val="24"/>
        </w:rPr>
        <w:t>, 17, pp. 196-203.</w:t>
      </w:r>
    </w:p>
    <w:p w14:paraId="5D60E984" w14:textId="77777777" w:rsidR="00503349" w:rsidRDefault="00503349" w:rsidP="00503349">
      <w:pPr>
        <w:spacing w:before="240"/>
        <w:rPr>
          <w:rFonts w:ascii="Times New Roman" w:hAnsi="Times New Roman"/>
          <w:szCs w:val="24"/>
        </w:rPr>
      </w:pPr>
      <w:r>
        <w:rPr>
          <w:rFonts w:ascii="Times New Roman" w:hAnsi="Times New Roman"/>
          <w:iCs/>
          <w:szCs w:val="24"/>
        </w:rPr>
        <w:t xml:space="preserve">Thompsell, A. and Lovestone, S., 2002. </w:t>
      </w:r>
      <w:r>
        <w:rPr>
          <w:rFonts w:ascii="Times New Roman" w:hAnsi="Times New Roman"/>
          <w:szCs w:val="24"/>
          <w:shd w:val="clear" w:color="auto" w:fill="FFFFFF"/>
        </w:rPr>
        <w:t>Out of sight out of mind? Support and information given to distant and near relatives of those with dementia.</w:t>
      </w:r>
      <w:r>
        <w:rPr>
          <w:rFonts w:ascii="Times New Roman" w:hAnsi="Times New Roman"/>
          <w:i/>
          <w:iCs/>
          <w:szCs w:val="24"/>
        </w:rPr>
        <w:t xml:space="preserve"> International Journal of Geriatric Psychiatry</w:t>
      </w:r>
      <w:r>
        <w:rPr>
          <w:rFonts w:ascii="Times New Roman" w:hAnsi="Times New Roman"/>
          <w:iCs/>
          <w:szCs w:val="24"/>
        </w:rPr>
        <w:t>, 17(9), pp. 804-807.</w:t>
      </w:r>
    </w:p>
    <w:p w14:paraId="69EB54E0" w14:textId="77777777" w:rsidR="00503349" w:rsidRDefault="00503349" w:rsidP="00503349">
      <w:pPr>
        <w:jc w:val="both"/>
        <w:rPr>
          <w:rFonts w:ascii="Times New Roman" w:hAnsi="Times New Roman"/>
          <w:szCs w:val="24"/>
        </w:rPr>
      </w:pPr>
      <w:r w:rsidRPr="00050B53">
        <w:rPr>
          <w:rFonts w:ascii="Times New Roman" w:hAnsi="Times New Roman"/>
          <w:szCs w:val="24"/>
        </w:rPr>
        <w:t>Thompson, R.T.L., Lewis, S.L., Murphy, M.R., Hale, J.M., Blackwell, P.H., Acton, G.J., Clough, D.H., Patrick, G.J. and Bonner, P.N., 2004. Are there sex differences in emotional and biological responses in spousal caregivers of patients with Alzheimer’s disease? </w:t>
      </w:r>
      <w:r w:rsidRPr="00050B53">
        <w:rPr>
          <w:rFonts w:ascii="Times New Roman" w:hAnsi="Times New Roman"/>
          <w:i/>
          <w:iCs/>
          <w:szCs w:val="24"/>
        </w:rPr>
        <w:t>Biological Research for Nursing</w:t>
      </w:r>
      <w:r w:rsidRPr="00050B53">
        <w:rPr>
          <w:rFonts w:ascii="Times New Roman" w:hAnsi="Times New Roman"/>
          <w:szCs w:val="24"/>
        </w:rPr>
        <w:t>, </w:t>
      </w:r>
      <w:r w:rsidRPr="00FD2E73">
        <w:rPr>
          <w:rFonts w:ascii="Times New Roman" w:hAnsi="Times New Roman"/>
          <w:szCs w:val="24"/>
        </w:rPr>
        <w:t>5</w:t>
      </w:r>
      <w:r w:rsidRPr="00050B53">
        <w:rPr>
          <w:rFonts w:ascii="Times New Roman" w:hAnsi="Times New Roman"/>
          <w:szCs w:val="24"/>
        </w:rPr>
        <w:t>(4), pp.</w:t>
      </w:r>
      <w:r>
        <w:rPr>
          <w:rFonts w:ascii="Times New Roman" w:hAnsi="Times New Roman"/>
          <w:szCs w:val="24"/>
        </w:rPr>
        <w:t xml:space="preserve"> </w:t>
      </w:r>
      <w:r w:rsidRPr="00050B53">
        <w:rPr>
          <w:rFonts w:ascii="Times New Roman" w:hAnsi="Times New Roman"/>
          <w:szCs w:val="24"/>
        </w:rPr>
        <w:t>319-330.</w:t>
      </w:r>
    </w:p>
    <w:p w14:paraId="0424131C" w14:textId="77777777" w:rsidR="00503349" w:rsidRPr="00481809" w:rsidRDefault="00503349" w:rsidP="00503349">
      <w:pPr>
        <w:jc w:val="both"/>
        <w:rPr>
          <w:rFonts w:ascii="Times New Roman" w:hAnsi="Times New Roman"/>
          <w:szCs w:val="24"/>
        </w:rPr>
      </w:pPr>
      <w:r w:rsidRPr="0090454F">
        <w:rPr>
          <w:rFonts w:ascii="Times New Roman" w:hAnsi="Times New Roman"/>
          <w:szCs w:val="24"/>
        </w:rPr>
        <w:t>Timmons, S., Manning, E., Barrett, A., Brady, N.M., Browne, V., O’Shea, E., Molloy, D.W., O'Regan, N.A., Trawley, S., Cahill, S. and O'Sullivan, K., 2015. Dementia in older people admitted to hospital: a regional multi-hospital observational study of prevalence, associations and case recognition. </w:t>
      </w:r>
      <w:r w:rsidRPr="0090454F">
        <w:rPr>
          <w:rFonts w:ascii="Times New Roman" w:hAnsi="Times New Roman"/>
          <w:i/>
          <w:iCs/>
          <w:szCs w:val="24"/>
        </w:rPr>
        <w:t xml:space="preserve">Age and </w:t>
      </w:r>
      <w:r>
        <w:rPr>
          <w:rFonts w:ascii="Times New Roman" w:hAnsi="Times New Roman"/>
          <w:i/>
          <w:iCs/>
          <w:szCs w:val="24"/>
        </w:rPr>
        <w:t>A</w:t>
      </w:r>
      <w:r w:rsidRPr="0090454F">
        <w:rPr>
          <w:rFonts w:ascii="Times New Roman" w:hAnsi="Times New Roman"/>
          <w:i/>
          <w:iCs/>
          <w:szCs w:val="24"/>
        </w:rPr>
        <w:t>geing</w:t>
      </w:r>
      <w:r w:rsidRPr="0090454F">
        <w:rPr>
          <w:rFonts w:ascii="Times New Roman" w:hAnsi="Times New Roman"/>
          <w:szCs w:val="24"/>
        </w:rPr>
        <w:t>, 44(6), pp.</w:t>
      </w:r>
      <w:r>
        <w:rPr>
          <w:rFonts w:ascii="Times New Roman" w:hAnsi="Times New Roman"/>
          <w:szCs w:val="24"/>
        </w:rPr>
        <w:t xml:space="preserve"> </w:t>
      </w:r>
      <w:r w:rsidRPr="0090454F">
        <w:rPr>
          <w:rFonts w:ascii="Times New Roman" w:hAnsi="Times New Roman"/>
          <w:szCs w:val="24"/>
        </w:rPr>
        <w:t>993-999.</w:t>
      </w:r>
    </w:p>
    <w:p w14:paraId="76FDC4B4"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Todd, S. and Watts, S., 2005. Staff responses to challenging behaviour shown by people with dementia: an application of an attributional‐emotional model of helping behaviour. </w:t>
      </w:r>
      <w:r w:rsidRPr="000A56C6">
        <w:rPr>
          <w:rFonts w:ascii="Times New Roman" w:hAnsi="Times New Roman"/>
          <w:i/>
          <w:iCs/>
          <w:szCs w:val="24"/>
        </w:rPr>
        <w:t>Aging and Mental Health</w:t>
      </w:r>
      <w:r w:rsidRPr="000A56C6">
        <w:rPr>
          <w:rFonts w:ascii="Times New Roman" w:hAnsi="Times New Roman"/>
          <w:szCs w:val="24"/>
        </w:rPr>
        <w:t>, 9, pp. 71-81.</w:t>
      </w:r>
    </w:p>
    <w:p w14:paraId="00701BB0" w14:textId="77777777" w:rsidR="00503349" w:rsidRDefault="00503349" w:rsidP="00503349">
      <w:pPr>
        <w:tabs>
          <w:tab w:val="left" w:pos="5445"/>
        </w:tabs>
        <w:jc w:val="both"/>
        <w:rPr>
          <w:rFonts w:ascii="Times New Roman" w:hAnsi="Times New Roman"/>
          <w:szCs w:val="24"/>
        </w:rPr>
      </w:pPr>
      <w:r w:rsidRPr="00AA347C">
        <w:rPr>
          <w:rFonts w:ascii="Times New Roman" w:hAnsi="Times New Roman"/>
          <w:szCs w:val="24"/>
        </w:rPr>
        <w:t xml:space="preserve">Tom, S.E., Hubbard, R.A., Crane, P.K., Haneuse, S.J., Bowen, J., McCormick, W.C., McCurry, S. and Larson, E.B., 2015. Characterization of dementia and Alzheimer’s </w:t>
      </w:r>
      <w:r w:rsidRPr="00AA347C">
        <w:rPr>
          <w:rFonts w:ascii="Times New Roman" w:hAnsi="Times New Roman"/>
          <w:szCs w:val="24"/>
        </w:rPr>
        <w:lastRenderedPageBreak/>
        <w:t>disease in an older population: updated incidence and life expectancy with and without dementia. </w:t>
      </w:r>
      <w:r w:rsidRPr="00AA347C">
        <w:rPr>
          <w:rFonts w:ascii="Times New Roman" w:hAnsi="Times New Roman"/>
          <w:i/>
          <w:iCs/>
          <w:szCs w:val="24"/>
        </w:rPr>
        <w:t>American Journal of Public Health</w:t>
      </w:r>
      <w:r w:rsidRPr="00AA347C">
        <w:rPr>
          <w:rFonts w:ascii="Times New Roman" w:hAnsi="Times New Roman"/>
          <w:szCs w:val="24"/>
        </w:rPr>
        <w:t>, 105(2), pp.</w:t>
      </w:r>
      <w:r>
        <w:rPr>
          <w:rFonts w:ascii="Times New Roman" w:hAnsi="Times New Roman"/>
          <w:szCs w:val="24"/>
        </w:rPr>
        <w:t xml:space="preserve"> </w:t>
      </w:r>
      <w:r w:rsidRPr="00AA347C">
        <w:rPr>
          <w:rFonts w:ascii="Times New Roman" w:hAnsi="Times New Roman"/>
          <w:szCs w:val="24"/>
        </w:rPr>
        <w:t>408-413.</w:t>
      </w:r>
    </w:p>
    <w:p w14:paraId="67E2F0CC"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Tomietto, M., Rappagliosi, C.M., Sartori, R. and Battistelli, A., 2015. Newcomer nurses’ organisational socialisation and turnover intention during the first 2 years of employment. </w:t>
      </w:r>
      <w:r w:rsidRPr="00CF1AE8">
        <w:rPr>
          <w:rFonts w:ascii="Times New Roman" w:hAnsi="Times New Roman"/>
          <w:i/>
          <w:iCs/>
          <w:szCs w:val="24"/>
        </w:rPr>
        <w:t>Journal of Nursing Management</w:t>
      </w:r>
      <w:r w:rsidRPr="00CF1AE8">
        <w:rPr>
          <w:rFonts w:ascii="Times New Roman" w:hAnsi="Times New Roman"/>
          <w:iCs/>
          <w:szCs w:val="24"/>
        </w:rPr>
        <w:t>, 23, pp. 851-858.</w:t>
      </w:r>
    </w:p>
    <w:p w14:paraId="083CB55B" w14:textId="77777777" w:rsidR="00503349" w:rsidRPr="0042674F" w:rsidRDefault="00503349" w:rsidP="00503349">
      <w:pPr>
        <w:spacing w:before="240"/>
        <w:jc w:val="both"/>
        <w:rPr>
          <w:rFonts w:ascii="Times New Roman" w:hAnsi="Times New Roman"/>
          <w:b/>
          <w:bCs/>
          <w:color w:val="1C1D1E"/>
          <w:szCs w:val="24"/>
        </w:rPr>
      </w:pPr>
      <w:r w:rsidRPr="002C17CC">
        <w:rPr>
          <w:rFonts w:ascii="Times New Roman" w:hAnsi="Times New Roman"/>
          <w:bCs/>
          <w:szCs w:val="24"/>
        </w:rPr>
        <w:t>Toot, S., Swinson, T., Devine, M., Challis, D. and Orrell, M., 2017. Causes of nursing home placement for older people with dementia: a systematic review and meta-analysis.</w:t>
      </w:r>
      <w:r>
        <w:rPr>
          <w:rFonts w:ascii="Times New Roman" w:hAnsi="Times New Roman"/>
          <w:bCs/>
          <w:szCs w:val="24"/>
        </w:rPr>
        <w:t xml:space="preserve"> </w:t>
      </w:r>
      <w:r w:rsidRPr="002C17CC">
        <w:rPr>
          <w:rFonts w:ascii="Times New Roman" w:hAnsi="Times New Roman"/>
          <w:bCs/>
          <w:i/>
          <w:iCs/>
          <w:szCs w:val="24"/>
        </w:rPr>
        <w:t>International Psychogeriatrics</w:t>
      </w:r>
      <w:r w:rsidRPr="002C17CC">
        <w:rPr>
          <w:rFonts w:ascii="Times New Roman" w:hAnsi="Times New Roman"/>
          <w:bCs/>
          <w:szCs w:val="24"/>
        </w:rPr>
        <w:t>, 29, pp. 195</w:t>
      </w:r>
      <w:r>
        <w:rPr>
          <w:rFonts w:ascii="Times New Roman" w:hAnsi="Times New Roman"/>
          <w:bCs/>
          <w:szCs w:val="24"/>
        </w:rPr>
        <w:t>-</w:t>
      </w:r>
      <w:r w:rsidRPr="002C17CC">
        <w:rPr>
          <w:rFonts w:ascii="Times New Roman" w:hAnsi="Times New Roman"/>
          <w:bCs/>
          <w:szCs w:val="24"/>
        </w:rPr>
        <w:t>208.</w:t>
      </w:r>
    </w:p>
    <w:p w14:paraId="1C060A93"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Torres, S., 2015. Expanding the gerontological imagination on ethnicity: conceptual and theoretical perspectives. </w:t>
      </w:r>
      <w:r w:rsidRPr="002B3011">
        <w:rPr>
          <w:rFonts w:ascii="Times New Roman" w:hAnsi="Times New Roman"/>
          <w:i/>
          <w:iCs/>
          <w:color w:val="000000"/>
          <w:szCs w:val="24"/>
        </w:rPr>
        <w:t>Ageing and Society</w:t>
      </w:r>
      <w:r w:rsidRPr="002B3011">
        <w:rPr>
          <w:rFonts w:ascii="Times New Roman" w:hAnsi="Times New Roman"/>
          <w:color w:val="000000"/>
          <w:szCs w:val="24"/>
        </w:rPr>
        <w:t>, 35(5), pp. 935-960.</w:t>
      </w:r>
    </w:p>
    <w:p w14:paraId="2ED06AD1" w14:textId="77777777" w:rsidR="00503349" w:rsidRPr="00BA6E2D" w:rsidRDefault="00503349" w:rsidP="00503349">
      <w:pPr>
        <w:jc w:val="both"/>
        <w:rPr>
          <w:rFonts w:ascii="Times New Roman" w:hAnsi="Times New Roman"/>
          <w:szCs w:val="24"/>
        </w:rPr>
      </w:pPr>
      <w:r w:rsidRPr="00CF1AE8">
        <w:rPr>
          <w:rFonts w:ascii="Times New Roman" w:hAnsi="Times New Roman"/>
          <w:iCs/>
          <w:szCs w:val="24"/>
        </w:rPr>
        <w:t xml:space="preserve">Tourigny, L., Baba, V.V. and Lituchy, T., 2016. On the Retention of Younger Nurses. </w:t>
      </w:r>
      <w:r w:rsidRPr="00CF1AE8">
        <w:rPr>
          <w:rFonts w:ascii="Times New Roman" w:hAnsi="Times New Roman"/>
          <w:i/>
          <w:iCs/>
          <w:szCs w:val="24"/>
        </w:rPr>
        <w:t>J</w:t>
      </w:r>
      <w:r>
        <w:rPr>
          <w:rFonts w:ascii="Times New Roman" w:hAnsi="Times New Roman"/>
          <w:i/>
          <w:iCs/>
          <w:szCs w:val="24"/>
        </w:rPr>
        <w:t>ournal of</w:t>
      </w:r>
      <w:r w:rsidRPr="00CF1AE8">
        <w:rPr>
          <w:rFonts w:ascii="Times New Roman" w:hAnsi="Times New Roman"/>
          <w:i/>
          <w:iCs/>
          <w:szCs w:val="24"/>
        </w:rPr>
        <w:t xml:space="preserve"> Nurs</w:t>
      </w:r>
      <w:r>
        <w:rPr>
          <w:rFonts w:ascii="Times New Roman" w:hAnsi="Times New Roman"/>
          <w:i/>
          <w:iCs/>
          <w:szCs w:val="24"/>
        </w:rPr>
        <w:t>ing &amp;</w:t>
      </w:r>
      <w:r w:rsidRPr="00CF1AE8">
        <w:rPr>
          <w:rFonts w:ascii="Times New Roman" w:hAnsi="Times New Roman"/>
          <w:i/>
          <w:iCs/>
          <w:szCs w:val="24"/>
        </w:rPr>
        <w:t xml:space="preserve"> Care</w:t>
      </w:r>
      <w:r w:rsidRPr="00CF1AE8">
        <w:rPr>
          <w:rFonts w:ascii="Times New Roman" w:hAnsi="Times New Roman"/>
          <w:iCs/>
          <w:szCs w:val="24"/>
        </w:rPr>
        <w:t>, 5(3).</w:t>
      </w:r>
    </w:p>
    <w:p w14:paraId="0C9E9D5C"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Tremayne, P., Burdett, J. and Utecht, C., 2011. Simulation suit aids tailored care. </w:t>
      </w:r>
      <w:r w:rsidRPr="00DA2952">
        <w:rPr>
          <w:rFonts w:ascii="Times New Roman" w:hAnsi="Times New Roman"/>
          <w:i/>
          <w:iCs/>
          <w:szCs w:val="24"/>
        </w:rPr>
        <w:t>Nursing Older People</w:t>
      </w:r>
      <w:r w:rsidRPr="00DA2952">
        <w:rPr>
          <w:rFonts w:ascii="Times New Roman" w:hAnsi="Times New Roman"/>
          <w:szCs w:val="24"/>
        </w:rPr>
        <w:t>, 23(7), pp. 19-22.</w:t>
      </w:r>
    </w:p>
    <w:p w14:paraId="3C078633"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Triandis, H.C., Marin, G., Betancourt, H., Lisansky, J. and Chang, B.H., 1982. </w:t>
      </w:r>
      <w:r w:rsidRPr="002B3011">
        <w:rPr>
          <w:rFonts w:ascii="Times New Roman" w:hAnsi="Times New Roman"/>
          <w:i/>
          <w:iCs/>
          <w:color w:val="000000"/>
          <w:szCs w:val="24"/>
        </w:rPr>
        <w:t>Dimensions of familism among Hispanic and mainstream Navy recruits</w:t>
      </w:r>
      <w:r w:rsidRPr="002B3011">
        <w:rPr>
          <w:rFonts w:ascii="Times New Roman" w:hAnsi="Times New Roman"/>
          <w:color w:val="000000"/>
          <w:szCs w:val="24"/>
        </w:rPr>
        <w:t>. Technical Report No 14. Department of Psychology, University of Illinois. Urbana-Champaign: University of Illinois. Available at: &lt;https://apps.dtic.mil/sti/pdfs/ADA114898.pdf&gt;[Accessed 13 February 2019]</w:t>
      </w:r>
    </w:p>
    <w:p w14:paraId="07B419B7"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Triandis, H.C., Marin, G., Hui, C.H., Lisansky, J. and Ottati, V., 1984. Role perceptions of Hispanic young adults. </w:t>
      </w:r>
      <w:r w:rsidRPr="002B3011">
        <w:rPr>
          <w:rFonts w:ascii="Times New Roman" w:hAnsi="Times New Roman"/>
          <w:i/>
          <w:iCs/>
          <w:color w:val="000000"/>
          <w:szCs w:val="24"/>
        </w:rPr>
        <w:t>Journal of Cross-Cultural Psychology</w:t>
      </w:r>
      <w:r w:rsidRPr="002B3011">
        <w:rPr>
          <w:rFonts w:ascii="Times New Roman" w:hAnsi="Times New Roman"/>
          <w:color w:val="000000"/>
          <w:szCs w:val="24"/>
        </w:rPr>
        <w:t>, 15(3), pp. 297-320.</w:t>
      </w:r>
    </w:p>
    <w:p w14:paraId="234B2406" w14:textId="77777777" w:rsidR="00503349" w:rsidRPr="004E3E8F" w:rsidRDefault="00503349" w:rsidP="00503349">
      <w:pPr>
        <w:spacing w:before="240"/>
        <w:jc w:val="both"/>
        <w:rPr>
          <w:rFonts w:ascii="Times New Roman" w:hAnsi="Times New Roman"/>
          <w:iCs/>
          <w:szCs w:val="24"/>
        </w:rPr>
      </w:pPr>
      <w:bookmarkStart w:id="317" w:name="_Hlk79627156"/>
      <w:r w:rsidRPr="004E3E8F">
        <w:rPr>
          <w:rFonts w:ascii="Times New Roman" w:hAnsi="Times New Roman"/>
          <w:iCs/>
          <w:szCs w:val="24"/>
        </w:rPr>
        <w:t>Triggle, N., 2019</w:t>
      </w:r>
      <w:bookmarkEnd w:id="317"/>
      <w:r w:rsidRPr="004E3E8F">
        <w:rPr>
          <w:rFonts w:ascii="Times New Roman" w:hAnsi="Times New Roman"/>
          <w:iCs/>
          <w:szCs w:val="24"/>
        </w:rPr>
        <w:t>. Whorlton Hall: Hospital abuse missed despite at least 100 official visits, BBC News, 23 May 2019. Available at: &lt;https://www.bbc.co.uk/news/health-48388430&gt;[Accessed 13 February 2020]</w:t>
      </w:r>
    </w:p>
    <w:p w14:paraId="14B1C9E8" w14:textId="77777777" w:rsidR="00503349" w:rsidRDefault="00503349" w:rsidP="00503349">
      <w:pPr>
        <w:jc w:val="both"/>
        <w:rPr>
          <w:rFonts w:ascii="Times New Roman" w:hAnsi="Times New Roman"/>
          <w:szCs w:val="24"/>
        </w:rPr>
      </w:pPr>
      <w:r w:rsidRPr="00CF1AE8">
        <w:rPr>
          <w:rFonts w:ascii="Times New Roman" w:hAnsi="Times New Roman"/>
          <w:szCs w:val="24"/>
        </w:rPr>
        <w:lastRenderedPageBreak/>
        <w:t xml:space="preserve">Trussell, D.E. and Shaw, S.M., 2007. “Daddy's gone and he'll be back in October”: Farm women's experiences of family leisure. </w:t>
      </w:r>
      <w:r w:rsidRPr="00CF1AE8">
        <w:rPr>
          <w:rFonts w:ascii="Times New Roman" w:hAnsi="Times New Roman"/>
          <w:i/>
          <w:szCs w:val="24"/>
        </w:rPr>
        <w:t>Journal of Leisure Research</w:t>
      </w:r>
      <w:r w:rsidRPr="00CF1AE8">
        <w:rPr>
          <w:rFonts w:ascii="Times New Roman" w:hAnsi="Times New Roman"/>
          <w:szCs w:val="24"/>
        </w:rPr>
        <w:t>, 39, pp. 366-387.</w:t>
      </w:r>
    </w:p>
    <w:p w14:paraId="039B86F4"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Trybou, J., Gemmel, P., Pauwels, Y., Henninck, C. and Clays, E., 2014. The impact of organizational support and leader–member exchange on the work‐related behaviour of nursing professionals: the moderating effect of professional and organizational identification. </w:t>
      </w:r>
      <w:r w:rsidRPr="00EF189A">
        <w:rPr>
          <w:rFonts w:ascii="Times New Roman" w:hAnsi="Times New Roman"/>
          <w:i/>
          <w:szCs w:val="24"/>
          <w:bdr w:val="none" w:sz="0" w:space="0" w:color="auto" w:frame="1"/>
        </w:rPr>
        <w:t>Journal of Advanced Nursing</w:t>
      </w:r>
      <w:r w:rsidRPr="00EF189A">
        <w:rPr>
          <w:rFonts w:ascii="Times New Roman" w:hAnsi="Times New Roman"/>
          <w:szCs w:val="24"/>
          <w:bdr w:val="none" w:sz="0" w:space="0" w:color="auto" w:frame="1"/>
        </w:rPr>
        <w:t>, 70(2), pp. 373-382.</w:t>
      </w:r>
    </w:p>
    <w:p w14:paraId="0094DE90" w14:textId="77777777" w:rsidR="00503349" w:rsidRPr="00DA2952" w:rsidRDefault="00503349" w:rsidP="00503349">
      <w:pPr>
        <w:jc w:val="both"/>
        <w:rPr>
          <w:rFonts w:ascii="Times New Roman" w:hAnsi="Times New Roman"/>
          <w:b/>
          <w:bCs/>
          <w:szCs w:val="24"/>
        </w:rPr>
      </w:pPr>
      <w:r w:rsidRPr="00DA2952">
        <w:rPr>
          <w:rFonts w:ascii="Times New Roman" w:hAnsi="Times New Roman"/>
          <w:szCs w:val="24"/>
        </w:rPr>
        <w:t>Tsai, J.L., Levenson, R.W. and McCoy, K., 2006. Cultural and temperamental variation in emotional response. </w:t>
      </w:r>
      <w:r w:rsidRPr="00DA2952">
        <w:rPr>
          <w:rFonts w:ascii="Times New Roman" w:hAnsi="Times New Roman"/>
          <w:i/>
          <w:iCs/>
          <w:szCs w:val="24"/>
        </w:rPr>
        <w:t>Emotion</w:t>
      </w:r>
      <w:r w:rsidRPr="00DA2952">
        <w:rPr>
          <w:rFonts w:ascii="Times New Roman" w:hAnsi="Times New Roman"/>
          <w:szCs w:val="24"/>
        </w:rPr>
        <w:t>, </w:t>
      </w:r>
      <w:r w:rsidRPr="00DA2952">
        <w:rPr>
          <w:rFonts w:ascii="Times New Roman" w:hAnsi="Times New Roman"/>
          <w:i/>
          <w:iCs/>
          <w:szCs w:val="24"/>
        </w:rPr>
        <w:t>6</w:t>
      </w:r>
      <w:r w:rsidRPr="00DA2952">
        <w:rPr>
          <w:rFonts w:ascii="Times New Roman" w:hAnsi="Times New Roman"/>
          <w:szCs w:val="24"/>
        </w:rPr>
        <w:t>(3), pp. 484-497.</w:t>
      </w:r>
    </w:p>
    <w:p w14:paraId="6A2AFC52"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Tsuji, I., Sauvaget, C. and Hisamichi, S., 2002. Health expectancies in japan: gender differences and policy implications for women. </w:t>
      </w:r>
      <w:r w:rsidRPr="00CF1AE8">
        <w:rPr>
          <w:rFonts w:ascii="Times New Roman" w:hAnsi="Times New Roman"/>
          <w:i/>
          <w:szCs w:val="24"/>
        </w:rPr>
        <w:t>Journal of Women &amp; Aging</w:t>
      </w:r>
      <w:r w:rsidRPr="00CF1AE8">
        <w:rPr>
          <w:rFonts w:ascii="Times New Roman" w:hAnsi="Times New Roman"/>
          <w:szCs w:val="24"/>
        </w:rPr>
        <w:t>, 14(1-2), pp. 135-148.</w:t>
      </w:r>
    </w:p>
    <w:p w14:paraId="0E1ED6F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Tuerk, R. and Sauer, J., 2015. Dementia in a Black and minority ethnic population: characteristics of presentation to an inner London memory service. </w:t>
      </w:r>
      <w:r w:rsidRPr="002B3011">
        <w:rPr>
          <w:rFonts w:ascii="Times New Roman" w:hAnsi="Times New Roman"/>
          <w:i/>
          <w:iCs/>
          <w:color w:val="000000"/>
          <w:szCs w:val="24"/>
        </w:rPr>
        <w:t>British Journal of Psychiatry Bulletin</w:t>
      </w:r>
      <w:r w:rsidRPr="002B3011">
        <w:rPr>
          <w:rFonts w:ascii="Times New Roman" w:hAnsi="Times New Roman"/>
          <w:color w:val="000000"/>
          <w:szCs w:val="24"/>
        </w:rPr>
        <w:t>, 39, pp. 162-166.</w:t>
      </w:r>
    </w:p>
    <w:p w14:paraId="5029ACBA" w14:textId="77777777" w:rsidR="00503349" w:rsidRPr="004E3E8F" w:rsidRDefault="00503349" w:rsidP="00503349">
      <w:pPr>
        <w:spacing w:before="240"/>
        <w:jc w:val="both"/>
        <w:rPr>
          <w:rFonts w:ascii="Times New Roman" w:hAnsi="Times New Roman"/>
          <w:szCs w:val="24"/>
        </w:rPr>
      </w:pPr>
      <w:r w:rsidRPr="004E3E8F">
        <w:rPr>
          <w:rFonts w:ascii="Times New Roman" w:hAnsi="Times New Roman"/>
          <w:szCs w:val="24"/>
        </w:rPr>
        <w:t xml:space="preserve">Turner III, D.W., 2010. Qualitative interview design: A practical guide for novice investigators. </w:t>
      </w:r>
      <w:r w:rsidRPr="004E3E8F">
        <w:rPr>
          <w:rFonts w:ascii="Times New Roman" w:hAnsi="Times New Roman"/>
          <w:i/>
          <w:iCs/>
          <w:szCs w:val="24"/>
        </w:rPr>
        <w:t>The Qualitative Report</w:t>
      </w:r>
      <w:r w:rsidRPr="004E3E8F">
        <w:rPr>
          <w:rFonts w:ascii="Times New Roman" w:hAnsi="Times New Roman"/>
          <w:szCs w:val="24"/>
        </w:rPr>
        <w:t>, 15(3), p. 754.</w:t>
      </w:r>
    </w:p>
    <w:p w14:paraId="69D44418" w14:textId="77777777" w:rsidR="00503349" w:rsidRDefault="00503349" w:rsidP="00503349">
      <w:pPr>
        <w:jc w:val="both"/>
        <w:rPr>
          <w:rFonts w:ascii="Times New Roman" w:hAnsi="Times New Roman"/>
          <w:szCs w:val="24"/>
        </w:rPr>
      </w:pPr>
      <w:r w:rsidRPr="00534999">
        <w:rPr>
          <w:rFonts w:ascii="Times New Roman" w:hAnsi="Times New Roman"/>
          <w:szCs w:val="24"/>
        </w:rPr>
        <w:t xml:space="preserve">Turner, A., Eccles, F.J., Elvish, R., Simpson, J. and Keady, J., 2017. The experience of caring for patients with dementia within a general hospital setting: a meta-synthesis of the qualitative literature. </w:t>
      </w:r>
      <w:r w:rsidRPr="00534999">
        <w:rPr>
          <w:rFonts w:ascii="Times New Roman" w:hAnsi="Times New Roman"/>
          <w:i/>
          <w:iCs/>
          <w:szCs w:val="24"/>
        </w:rPr>
        <w:t>Aging &amp; Mental Health</w:t>
      </w:r>
      <w:r w:rsidRPr="00534999">
        <w:rPr>
          <w:rFonts w:ascii="Times New Roman" w:hAnsi="Times New Roman"/>
          <w:szCs w:val="24"/>
        </w:rPr>
        <w:t>, 21, pp.</w:t>
      </w:r>
      <w:r>
        <w:rPr>
          <w:rFonts w:ascii="Times New Roman" w:hAnsi="Times New Roman"/>
          <w:szCs w:val="24"/>
        </w:rPr>
        <w:t xml:space="preserve"> </w:t>
      </w:r>
      <w:r w:rsidRPr="00534999">
        <w:rPr>
          <w:rFonts w:ascii="Times New Roman" w:hAnsi="Times New Roman"/>
          <w:szCs w:val="24"/>
        </w:rPr>
        <w:t>66-76.</w:t>
      </w:r>
    </w:p>
    <w:p w14:paraId="0F453579" w14:textId="77777777" w:rsidR="00503349" w:rsidRDefault="00503349" w:rsidP="00503349">
      <w:pPr>
        <w:tabs>
          <w:tab w:val="left" w:pos="5445"/>
        </w:tabs>
        <w:jc w:val="both"/>
        <w:rPr>
          <w:rFonts w:ascii="Times New Roman" w:hAnsi="Times New Roman"/>
          <w:szCs w:val="24"/>
        </w:rPr>
      </w:pPr>
      <w:r w:rsidRPr="003A7230">
        <w:rPr>
          <w:rFonts w:ascii="Times New Roman" w:hAnsi="Times New Roman"/>
          <w:szCs w:val="24"/>
        </w:rPr>
        <w:t>Turner, S., 2005. Behavioural symptoms of dementia in residential settings: a selective review of non-pharmacological interventions. </w:t>
      </w:r>
      <w:r w:rsidRPr="003A7230">
        <w:rPr>
          <w:rFonts w:ascii="Times New Roman" w:hAnsi="Times New Roman"/>
          <w:i/>
          <w:iCs/>
          <w:szCs w:val="24"/>
        </w:rPr>
        <w:t xml:space="preserve">Aging &amp; </w:t>
      </w:r>
      <w:r>
        <w:rPr>
          <w:rFonts w:ascii="Times New Roman" w:hAnsi="Times New Roman"/>
          <w:i/>
          <w:iCs/>
          <w:szCs w:val="24"/>
        </w:rPr>
        <w:t>M</w:t>
      </w:r>
      <w:r w:rsidRPr="003A7230">
        <w:rPr>
          <w:rFonts w:ascii="Times New Roman" w:hAnsi="Times New Roman"/>
          <w:i/>
          <w:iCs/>
          <w:szCs w:val="24"/>
        </w:rPr>
        <w:t xml:space="preserve">ental </w:t>
      </w:r>
      <w:r>
        <w:rPr>
          <w:rFonts w:ascii="Times New Roman" w:hAnsi="Times New Roman"/>
          <w:i/>
          <w:iCs/>
          <w:szCs w:val="24"/>
        </w:rPr>
        <w:t>H</w:t>
      </w:r>
      <w:r w:rsidRPr="003A7230">
        <w:rPr>
          <w:rFonts w:ascii="Times New Roman" w:hAnsi="Times New Roman"/>
          <w:i/>
          <w:iCs/>
          <w:szCs w:val="24"/>
        </w:rPr>
        <w:t>ealth</w:t>
      </w:r>
      <w:r w:rsidRPr="003A7230">
        <w:rPr>
          <w:rFonts w:ascii="Times New Roman" w:hAnsi="Times New Roman"/>
          <w:szCs w:val="24"/>
        </w:rPr>
        <w:t>, </w:t>
      </w:r>
      <w:r w:rsidRPr="003A7230">
        <w:rPr>
          <w:rFonts w:ascii="Times New Roman" w:hAnsi="Times New Roman"/>
          <w:i/>
          <w:iCs/>
          <w:szCs w:val="24"/>
        </w:rPr>
        <w:t>9</w:t>
      </w:r>
      <w:r w:rsidRPr="003A7230">
        <w:rPr>
          <w:rFonts w:ascii="Times New Roman" w:hAnsi="Times New Roman"/>
          <w:szCs w:val="24"/>
        </w:rPr>
        <w:t>(2), pp.93-104.</w:t>
      </w:r>
    </w:p>
    <w:p w14:paraId="6D2113E2" w14:textId="77777777" w:rsidR="00503349" w:rsidRDefault="00503349" w:rsidP="00503349">
      <w:pPr>
        <w:spacing w:before="240"/>
        <w:rPr>
          <w:rFonts w:ascii="Times New Roman" w:hAnsi="Times New Roman"/>
          <w:szCs w:val="24"/>
        </w:rPr>
      </w:pPr>
      <w:r>
        <w:rPr>
          <w:rFonts w:ascii="Times New Roman" w:hAnsi="Times New Roman"/>
          <w:szCs w:val="24"/>
        </w:rPr>
        <w:t xml:space="preserve">Turton, D., 2003. </w:t>
      </w:r>
      <w:r>
        <w:rPr>
          <w:rFonts w:ascii="Times New Roman" w:hAnsi="Times New Roman"/>
          <w:i/>
          <w:iCs/>
          <w:szCs w:val="24"/>
        </w:rPr>
        <w:t>Refugees, forced resettlers and “other forced migrants”: towards a unitary study of forced migration</w:t>
      </w:r>
      <w:r>
        <w:rPr>
          <w:rFonts w:ascii="Times New Roman" w:hAnsi="Times New Roman"/>
          <w:szCs w:val="24"/>
        </w:rPr>
        <w:t>. Geneva: UNHCR.</w:t>
      </w:r>
    </w:p>
    <w:p w14:paraId="2904B665" w14:textId="77777777" w:rsidR="00503349" w:rsidRPr="00DA2952" w:rsidRDefault="00503349" w:rsidP="00503349">
      <w:pPr>
        <w:rPr>
          <w:rFonts w:ascii="Times New Roman" w:hAnsi="Times New Roman"/>
          <w:bCs/>
          <w:szCs w:val="24"/>
        </w:rPr>
      </w:pPr>
      <w:r w:rsidRPr="00DA2952">
        <w:rPr>
          <w:rFonts w:ascii="Times New Roman" w:hAnsi="Times New Roman"/>
          <w:bCs/>
          <w:szCs w:val="24"/>
        </w:rPr>
        <w:t xml:space="preserve">Twigg, J., 2000a. </w:t>
      </w:r>
      <w:r w:rsidRPr="00DA2952">
        <w:rPr>
          <w:rFonts w:ascii="Times New Roman" w:hAnsi="Times New Roman"/>
          <w:bCs/>
          <w:i/>
          <w:szCs w:val="24"/>
        </w:rPr>
        <w:t>Bathing, the body and community care</w:t>
      </w:r>
      <w:r w:rsidRPr="00DA2952">
        <w:rPr>
          <w:rFonts w:ascii="Times New Roman" w:hAnsi="Times New Roman"/>
          <w:bCs/>
          <w:szCs w:val="24"/>
        </w:rPr>
        <w:t xml:space="preserve">. London: Routledge. </w:t>
      </w:r>
    </w:p>
    <w:p w14:paraId="34D60CBF" w14:textId="77777777" w:rsidR="00503349" w:rsidRPr="00DA2952" w:rsidRDefault="00503349" w:rsidP="00503349">
      <w:pPr>
        <w:rPr>
          <w:rFonts w:ascii="Times New Roman" w:hAnsi="Times New Roman"/>
          <w:szCs w:val="24"/>
        </w:rPr>
      </w:pPr>
      <w:r w:rsidRPr="00DA2952">
        <w:rPr>
          <w:rFonts w:ascii="Times New Roman" w:hAnsi="Times New Roman"/>
          <w:szCs w:val="24"/>
        </w:rPr>
        <w:lastRenderedPageBreak/>
        <w:t xml:space="preserve">Twigg, J., 2000b. Carework as a form of bodywork. </w:t>
      </w:r>
      <w:r w:rsidRPr="00DA2952">
        <w:rPr>
          <w:rFonts w:ascii="Times New Roman" w:hAnsi="Times New Roman"/>
          <w:i/>
          <w:szCs w:val="24"/>
        </w:rPr>
        <w:t xml:space="preserve">Ageing </w:t>
      </w:r>
      <w:r>
        <w:rPr>
          <w:rFonts w:ascii="Times New Roman" w:hAnsi="Times New Roman"/>
          <w:i/>
          <w:szCs w:val="24"/>
        </w:rPr>
        <w:t>&amp;</w:t>
      </w:r>
      <w:r w:rsidRPr="00DA2952">
        <w:rPr>
          <w:rFonts w:ascii="Times New Roman" w:hAnsi="Times New Roman"/>
          <w:i/>
          <w:szCs w:val="24"/>
        </w:rPr>
        <w:t xml:space="preserve"> Society</w:t>
      </w:r>
      <w:r w:rsidRPr="00DA2952">
        <w:rPr>
          <w:rFonts w:ascii="Times New Roman" w:hAnsi="Times New Roman"/>
          <w:szCs w:val="24"/>
        </w:rPr>
        <w:t>, 20(4), pp. 389-411.</w:t>
      </w:r>
    </w:p>
    <w:p w14:paraId="12B3BCE1" w14:textId="77777777" w:rsidR="00503349" w:rsidRDefault="00503349" w:rsidP="00503349">
      <w:pPr>
        <w:tabs>
          <w:tab w:val="left" w:pos="5445"/>
        </w:tabs>
        <w:jc w:val="both"/>
        <w:rPr>
          <w:rFonts w:ascii="Times New Roman" w:hAnsi="Times New Roman"/>
          <w:szCs w:val="24"/>
        </w:rPr>
      </w:pPr>
      <w:r w:rsidRPr="00880080">
        <w:rPr>
          <w:rFonts w:ascii="Times New Roman" w:hAnsi="Times New Roman"/>
          <w:szCs w:val="24"/>
        </w:rPr>
        <w:t>Twigg, J., 2010. Clashing temporalities: Time, home, and the bodywork of care. In</w:t>
      </w:r>
      <w:r>
        <w:rPr>
          <w:rFonts w:ascii="Times New Roman" w:hAnsi="Times New Roman"/>
          <w:szCs w:val="24"/>
        </w:rPr>
        <w:t xml:space="preserve">: A. </w:t>
      </w:r>
      <w:r w:rsidRPr="00880080">
        <w:rPr>
          <w:rFonts w:ascii="Times New Roman" w:hAnsi="Times New Roman"/>
          <w:szCs w:val="24"/>
        </w:rPr>
        <w:t xml:space="preserve">Martin-Matthews and </w:t>
      </w:r>
      <w:r>
        <w:rPr>
          <w:rFonts w:ascii="Times New Roman" w:hAnsi="Times New Roman"/>
          <w:szCs w:val="24"/>
        </w:rPr>
        <w:t xml:space="preserve">J.E. </w:t>
      </w:r>
      <w:r w:rsidRPr="00880080">
        <w:rPr>
          <w:rFonts w:ascii="Times New Roman" w:hAnsi="Times New Roman"/>
          <w:szCs w:val="24"/>
        </w:rPr>
        <w:t>Phillips</w:t>
      </w:r>
      <w:r>
        <w:rPr>
          <w:rFonts w:ascii="Times New Roman" w:hAnsi="Times New Roman"/>
          <w:szCs w:val="24"/>
        </w:rPr>
        <w:t>,</w:t>
      </w:r>
      <w:r w:rsidRPr="00880080">
        <w:rPr>
          <w:rFonts w:ascii="Times New Roman" w:hAnsi="Times New Roman"/>
          <w:szCs w:val="24"/>
        </w:rPr>
        <w:t xml:space="preserve"> eds. 2010. </w:t>
      </w:r>
      <w:r w:rsidRPr="00880080">
        <w:rPr>
          <w:rFonts w:ascii="Times New Roman" w:hAnsi="Times New Roman"/>
          <w:i/>
          <w:iCs/>
          <w:szCs w:val="24"/>
        </w:rPr>
        <w:t>Aging and caring at the intersection of work and home life: blurring the boundaries</w:t>
      </w:r>
      <w:r w:rsidRPr="00880080">
        <w:rPr>
          <w:rFonts w:ascii="Times New Roman" w:hAnsi="Times New Roman"/>
          <w:szCs w:val="24"/>
        </w:rPr>
        <w:t xml:space="preserve">. </w:t>
      </w:r>
      <w:r>
        <w:rPr>
          <w:rFonts w:ascii="Times New Roman" w:hAnsi="Times New Roman"/>
          <w:szCs w:val="24"/>
        </w:rPr>
        <w:t xml:space="preserve">New York: </w:t>
      </w:r>
      <w:r w:rsidRPr="00880080">
        <w:rPr>
          <w:rFonts w:ascii="Times New Roman" w:hAnsi="Times New Roman"/>
          <w:szCs w:val="24"/>
        </w:rPr>
        <w:t>Psychology Press</w:t>
      </w:r>
      <w:r>
        <w:rPr>
          <w:rFonts w:ascii="Times New Roman" w:hAnsi="Times New Roman"/>
          <w:szCs w:val="24"/>
        </w:rPr>
        <w:t xml:space="preserve">, </w:t>
      </w:r>
      <w:r w:rsidRPr="00880080">
        <w:rPr>
          <w:rFonts w:ascii="Times New Roman" w:hAnsi="Times New Roman"/>
          <w:szCs w:val="24"/>
        </w:rPr>
        <w:t>pp. 271-286</w:t>
      </w:r>
      <w:r>
        <w:rPr>
          <w:rFonts w:ascii="Times New Roman" w:hAnsi="Times New Roman"/>
          <w:szCs w:val="24"/>
        </w:rPr>
        <w:t>.</w:t>
      </w:r>
    </w:p>
    <w:p w14:paraId="02545AF4" w14:textId="3A47F0E2" w:rsidR="00503349" w:rsidRPr="000C06EF" w:rsidRDefault="00503349" w:rsidP="000C06EF">
      <w:pPr>
        <w:jc w:val="both"/>
        <w:rPr>
          <w:rFonts w:ascii="Times New Roman" w:hAnsi="Times New Roman"/>
          <w:szCs w:val="24"/>
        </w:rPr>
      </w:pPr>
      <w:r w:rsidRPr="003811B7">
        <w:rPr>
          <w:rFonts w:ascii="Times New Roman" w:hAnsi="Times New Roman"/>
          <w:bCs/>
          <w:szCs w:val="24"/>
          <w:bdr w:val="none" w:sz="0" w:space="0" w:color="auto" w:frame="1"/>
        </w:rPr>
        <w:t xml:space="preserve">Twigg, J., Wolkowitz, C., Cohen, R.L. and Nettleton. S., 2011. Conceptualising body work in health and social care. </w:t>
      </w:r>
      <w:r w:rsidRPr="003811B7">
        <w:rPr>
          <w:rFonts w:ascii="Times New Roman" w:hAnsi="Times New Roman"/>
          <w:bCs/>
          <w:i/>
          <w:szCs w:val="24"/>
          <w:bdr w:val="none" w:sz="0" w:space="0" w:color="auto" w:frame="1"/>
        </w:rPr>
        <w:t>Sociology of Health and Illness</w:t>
      </w:r>
      <w:r w:rsidRPr="003811B7">
        <w:rPr>
          <w:rFonts w:ascii="Times New Roman" w:hAnsi="Times New Roman"/>
          <w:bCs/>
          <w:szCs w:val="24"/>
          <w:bdr w:val="none" w:sz="0" w:space="0" w:color="auto" w:frame="1"/>
        </w:rPr>
        <w:t>, 33(2), pp. 171-188.</w:t>
      </w:r>
    </w:p>
    <w:p w14:paraId="7931E3D5" w14:textId="77777777" w:rsidR="00503349" w:rsidRDefault="00503349" w:rsidP="00503349">
      <w:pPr>
        <w:tabs>
          <w:tab w:val="left" w:pos="5445"/>
        </w:tabs>
        <w:jc w:val="both"/>
        <w:rPr>
          <w:rFonts w:ascii="Times New Roman" w:hAnsi="Times New Roman"/>
          <w:szCs w:val="24"/>
        </w:rPr>
      </w:pPr>
      <w:r w:rsidRPr="003A7230">
        <w:rPr>
          <w:rFonts w:ascii="Times New Roman" w:hAnsi="Times New Roman"/>
          <w:szCs w:val="24"/>
        </w:rPr>
        <w:t>Twomey, J.C. and Meadus, R.J., 2008. Despite the barriers men nurses are satisfied with career choice. </w:t>
      </w:r>
      <w:r w:rsidRPr="003A7230">
        <w:rPr>
          <w:rFonts w:ascii="Times New Roman" w:hAnsi="Times New Roman"/>
          <w:i/>
          <w:iCs/>
          <w:szCs w:val="24"/>
        </w:rPr>
        <w:t>Canadian Journal of Career Development</w:t>
      </w:r>
      <w:r w:rsidRPr="003A7230">
        <w:rPr>
          <w:rFonts w:ascii="Times New Roman" w:hAnsi="Times New Roman"/>
          <w:szCs w:val="24"/>
        </w:rPr>
        <w:t>, </w:t>
      </w:r>
      <w:r w:rsidRPr="00FA53DE">
        <w:rPr>
          <w:rFonts w:ascii="Times New Roman" w:hAnsi="Times New Roman"/>
          <w:szCs w:val="24"/>
        </w:rPr>
        <w:t>7</w:t>
      </w:r>
      <w:r w:rsidRPr="003A7230">
        <w:rPr>
          <w:rFonts w:ascii="Times New Roman" w:hAnsi="Times New Roman"/>
          <w:szCs w:val="24"/>
        </w:rPr>
        <w:t>, pp.</w:t>
      </w:r>
      <w:r>
        <w:rPr>
          <w:rFonts w:ascii="Times New Roman" w:hAnsi="Times New Roman"/>
          <w:szCs w:val="24"/>
        </w:rPr>
        <w:t xml:space="preserve"> </w:t>
      </w:r>
      <w:r w:rsidRPr="003A7230">
        <w:rPr>
          <w:rFonts w:ascii="Times New Roman" w:hAnsi="Times New Roman"/>
          <w:szCs w:val="24"/>
        </w:rPr>
        <w:t>30-34.</w:t>
      </w:r>
    </w:p>
    <w:p w14:paraId="09FE4E22" w14:textId="77777777" w:rsidR="00503349" w:rsidRDefault="00503349" w:rsidP="00503349">
      <w:pPr>
        <w:rPr>
          <w:rFonts w:ascii="Times New Roman" w:hAnsi="Times New Roman"/>
          <w:szCs w:val="24"/>
        </w:rPr>
      </w:pPr>
      <w:r w:rsidRPr="005E286A">
        <w:rPr>
          <w:rFonts w:ascii="Times New Roman" w:hAnsi="Times New Roman"/>
          <w:szCs w:val="24"/>
        </w:rPr>
        <w:t xml:space="preserve">UK Visas and Immigration, </w:t>
      </w:r>
      <w:r>
        <w:rPr>
          <w:rFonts w:ascii="Times New Roman" w:hAnsi="Times New Roman"/>
          <w:szCs w:val="24"/>
        </w:rPr>
        <w:t xml:space="preserve">2008. </w:t>
      </w:r>
      <w:r w:rsidRPr="005E286A">
        <w:rPr>
          <w:rFonts w:ascii="Times New Roman" w:hAnsi="Times New Roman"/>
          <w:szCs w:val="24"/>
        </w:rPr>
        <w:t>Highly Skilled Migrant Programme (HSMP) caseworker guidance</w:t>
      </w:r>
      <w:r>
        <w:rPr>
          <w:rFonts w:ascii="Times New Roman" w:hAnsi="Times New Roman"/>
          <w:szCs w:val="24"/>
        </w:rPr>
        <w:t>. Available at:&lt;</w:t>
      </w:r>
      <w:r w:rsidRPr="00F17EFD">
        <w:rPr>
          <w:rFonts w:ascii="Times New Roman" w:hAnsi="Times New Roman"/>
          <w:szCs w:val="24"/>
        </w:rPr>
        <w:t>https://www.gov.uk/government/publications/highly-skilled-migrant-programme-hsmp-caseworker-guidance</w:t>
      </w:r>
      <w:r>
        <w:rPr>
          <w:rFonts w:ascii="Times New Roman" w:hAnsi="Times New Roman"/>
          <w:szCs w:val="24"/>
        </w:rPr>
        <w:t>&gt;[Accessed 20 April 2020]</w:t>
      </w:r>
    </w:p>
    <w:p w14:paraId="7C081A2E" w14:textId="77777777" w:rsidR="00503349" w:rsidRDefault="00503349" w:rsidP="00503349">
      <w:pPr>
        <w:jc w:val="both"/>
        <w:rPr>
          <w:rFonts w:ascii="Times New Roman" w:hAnsi="Times New Roman"/>
          <w:noProof/>
          <w:szCs w:val="24"/>
        </w:rPr>
      </w:pPr>
      <w:r w:rsidRPr="00AB40E2">
        <w:rPr>
          <w:rFonts w:ascii="Times New Roman" w:hAnsi="Times New Roman"/>
          <w:szCs w:val="24"/>
        </w:rPr>
        <w:t>UNISON, 2016. Care in crisis. UNISON Report. London: UNISON. Available at: &lt;https://www.unison.org.uk/content/uploads/2016/11/24149_The_Damage_care_in_crisis_web.pdf&gt;[Accessed 03 April 2019]</w:t>
      </w:r>
    </w:p>
    <w:p w14:paraId="5DE160E1" w14:textId="77777777" w:rsidR="00503349" w:rsidRDefault="00503349" w:rsidP="00503349">
      <w:pPr>
        <w:spacing w:before="240"/>
        <w:rPr>
          <w:rFonts w:ascii="Times New Roman" w:hAnsi="Times New Roman"/>
          <w:szCs w:val="24"/>
        </w:rPr>
      </w:pPr>
      <w:r>
        <w:rPr>
          <w:rFonts w:ascii="Times New Roman" w:hAnsi="Times New Roman"/>
          <w:szCs w:val="24"/>
        </w:rPr>
        <w:t xml:space="preserve">United Nations Department of Economic and Social Affairs (UN DESA), 1998. </w:t>
      </w:r>
      <w:r w:rsidRPr="00135FDB">
        <w:rPr>
          <w:rFonts w:ascii="Times New Roman" w:hAnsi="Times New Roman"/>
          <w:i/>
          <w:iCs/>
          <w:szCs w:val="24"/>
        </w:rPr>
        <w:t>Recommendations on Statistics of International Migration: Revision 1</w:t>
      </w:r>
      <w:r>
        <w:rPr>
          <w:rFonts w:ascii="Times New Roman" w:hAnsi="Times New Roman"/>
          <w:szCs w:val="24"/>
        </w:rPr>
        <w:t>. New York: United Nations. Available at: &lt;https://unstats.un.org/unsd/publication/SeriesM/SeriesM_58rev1E.pdf&gt; [Accessed 20 January 2019]</w:t>
      </w:r>
    </w:p>
    <w:p w14:paraId="2A4E6F7B"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United Nations Department of Economic and Social Affairs (UN DESA), 2008. </w:t>
      </w:r>
      <w:r w:rsidRPr="002B46B4">
        <w:rPr>
          <w:rFonts w:ascii="Times New Roman" w:hAnsi="Times New Roman"/>
          <w:i/>
          <w:iCs/>
          <w:szCs w:val="24"/>
        </w:rPr>
        <w:t>International Migrant Stock: The 2008 Revision</w:t>
      </w:r>
      <w:r>
        <w:rPr>
          <w:rFonts w:ascii="Times New Roman" w:hAnsi="Times New Roman"/>
          <w:szCs w:val="24"/>
        </w:rPr>
        <w:t>. New York: United Nations.</w:t>
      </w:r>
    </w:p>
    <w:p w14:paraId="1E179010" w14:textId="77777777" w:rsidR="00503349" w:rsidRDefault="00503349" w:rsidP="00503349">
      <w:pPr>
        <w:spacing w:before="240"/>
        <w:rPr>
          <w:rFonts w:ascii="Times New Roman" w:hAnsi="Times New Roman"/>
          <w:szCs w:val="24"/>
        </w:rPr>
      </w:pPr>
      <w:r>
        <w:rPr>
          <w:rFonts w:ascii="Times New Roman" w:hAnsi="Times New Roman"/>
          <w:szCs w:val="24"/>
        </w:rPr>
        <w:t>United Nations Department of Economic and Social Affairs (UN DESA), 2015a International Migration Report 2015. Available at: &lt;http://www.un.org/en/development/desa/population/migration/data/estimates2/estimates15.shtml&gt; [Accessed 20 January 2019]</w:t>
      </w:r>
    </w:p>
    <w:p w14:paraId="08FE6924" w14:textId="77777777" w:rsidR="00503349" w:rsidRDefault="00503349" w:rsidP="00503349">
      <w:pPr>
        <w:spacing w:before="240"/>
        <w:rPr>
          <w:rFonts w:ascii="Times New Roman" w:hAnsi="Times New Roman"/>
          <w:szCs w:val="24"/>
        </w:rPr>
      </w:pPr>
      <w:r>
        <w:rPr>
          <w:rFonts w:ascii="Times New Roman" w:hAnsi="Times New Roman"/>
          <w:szCs w:val="24"/>
        </w:rPr>
        <w:lastRenderedPageBreak/>
        <w:t>United Nations Department of Economic and Social Affairs (UN DESA), 2015b. International Migrant Stock: The 2015 Revision: CD-ROM Documentation. Available at: &lt;www.un.org/en/development/desa/population/migration/data/estimates2/docs/MigrationStockDocumentation_2015.pdf&gt;[Accessed 20 January 2019]</w:t>
      </w:r>
    </w:p>
    <w:p w14:paraId="23144DD1" w14:textId="77777777" w:rsidR="00503349" w:rsidRDefault="00503349" w:rsidP="00503349">
      <w:pPr>
        <w:spacing w:before="240"/>
        <w:rPr>
          <w:rFonts w:ascii="Times New Roman" w:hAnsi="Times New Roman"/>
          <w:szCs w:val="24"/>
        </w:rPr>
      </w:pPr>
      <w:r>
        <w:rPr>
          <w:rFonts w:ascii="Times New Roman" w:hAnsi="Times New Roman"/>
          <w:szCs w:val="24"/>
        </w:rPr>
        <w:t xml:space="preserve">United Nations Department of Economic and Social Affairs (UN DESA), 2015c. </w:t>
      </w:r>
      <w:r w:rsidRPr="002B46B4">
        <w:rPr>
          <w:rFonts w:ascii="Times New Roman" w:hAnsi="Times New Roman"/>
          <w:i/>
          <w:iCs/>
          <w:szCs w:val="24"/>
        </w:rPr>
        <w:t>World Population Ageing 2015 (ST/ESA/SER.A/390)</w:t>
      </w:r>
      <w:r>
        <w:rPr>
          <w:rFonts w:ascii="Times New Roman" w:hAnsi="Times New Roman"/>
          <w:szCs w:val="24"/>
        </w:rPr>
        <w:t>.  New York: UN DESA Population Division. Available at: &lt;https://www.un.org/development/desa/pd/sites/www.un.org.development.desa.pd/files/files/documents/2020/May/un_2015_worldpopulationageing_report.pdf&gt;[Accessed 21 February 2020]</w:t>
      </w:r>
    </w:p>
    <w:p w14:paraId="5CFA0631"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United Nations Department of Economic and Social Affairs (UN DESA), 2015d. </w:t>
      </w:r>
      <w:r w:rsidRPr="002B46B4">
        <w:rPr>
          <w:rFonts w:ascii="Times New Roman" w:hAnsi="Times New Roman"/>
          <w:i/>
          <w:iCs/>
          <w:szCs w:val="24"/>
        </w:rPr>
        <w:t>World Population Prospects: The 2015 Revision, Key Findings and Advance Tables</w:t>
      </w:r>
      <w:r>
        <w:rPr>
          <w:rFonts w:ascii="Times New Roman" w:hAnsi="Times New Roman"/>
          <w:szCs w:val="24"/>
        </w:rPr>
        <w:t xml:space="preserve">. Working Paper </w:t>
      </w:r>
      <w:r w:rsidRPr="004E245C">
        <w:rPr>
          <w:rFonts w:ascii="Times New Roman" w:hAnsi="Times New Roman"/>
          <w:szCs w:val="24"/>
        </w:rPr>
        <w:t>No. ESA/P/WP.241. New York: UN DESA Population Division. Available at: &lt;</w:t>
      </w:r>
      <w:r w:rsidRPr="002B46B4">
        <w:rPr>
          <w:rFonts w:ascii="Times New Roman" w:hAnsi="Times New Roman"/>
          <w:szCs w:val="24"/>
        </w:rPr>
        <w:t>https://www.helpage.org/global-agewatch/reports/global-agewatch-index-2015-insight-report-summary-and-methodology/</w:t>
      </w:r>
      <w:r w:rsidRPr="004E245C">
        <w:rPr>
          <w:rFonts w:ascii="Times New Roman" w:hAnsi="Times New Roman"/>
          <w:szCs w:val="24"/>
        </w:rPr>
        <w:t xml:space="preserve">&gt;[Accessed 21 February </w:t>
      </w:r>
      <w:r>
        <w:rPr>
          <w:rFonts w:ascii="Times New Roman" w:hAnsi="Times New Roman"/>
          <w:szCs w:val="24"/>
        </w:rPr>
        <w:t>2020]</w:t>
      </w:r>
    </w:p>
    <w:p w14:paraId="7ECC79A3" w14:textId="77777777" w:rsidR="00503349" w:rsidRDefault="00503349" w:rsidP="00503349">
      <w:pPr>
        <w:spacing w:before="240"/>
        <w:rPr>
          <w:rFonts w:ascii="Times New Roman" w:hAnsi="Times New Roman"/>
          <w:szCs w:val="24"/>
        </w:rPr>
      </w:pPr>
      <w:r>
        <w:rPr>
          <w:rFonts w:ascii="Times New Roman" w:hAnsi="Times New Roman"/>
          <w:szCs w:val="24"/>
        </w:rPr>
        <w:t>United Nations Department of Economic and Social Affairs (UN DESA), 2017. Population facts. Trends in International Migrant Stock: The 2017 revision. Available at: &lt;http://www.un.org/en/development/desa/population/migration/publications/populationfacts/docs/MigrationPopFacts20175.pdf&gt;[Accessed 20 January 2019]</w:t>
      </w:r>
    </w:p>
    <w:p w14:paraId="05635B61" w14:textId="77777777" w:rsidR="00503349" w:rsidRDefault="00503349" w:rsidP="00503349">
      <w:pPr>
        <w:spacing w:before="240"/>
        <w:jc w:val="both"/>
        <w:rPr>
          <w:rFonts w:ascii="Times New Roman" w:hAnsi="Times New Roman"/>
          <w:szCs w:val="24"/>
        </w:rPr>
      </w:pPr>
      <w:r>
        <w:rPr>
          <w:rFonts w:ascii="Times New Roman" w:hAnsi="Times New Roman"/>
          <w:szCs w:val="24"/>
        </w:rPr>
        <w:t>United Nations Department of Economic and Social Affairs (UN DESA), 2019. International Migrant Stock 2019. New York: UN DESA Population Division. Available at:&lt;</w:t>
      </w:r>
      <w:r>
        <w:t xml:space="preserve"> </w:t>
      </w:r>
      <w:r>
        <w:rPr>
          <w:rFonts w:ascii="Times New Roman" w:hAnsi="Times New Roman"/>
          <w:szCs w:val="24"/>
        </w:rPr>
        <w:t>https://www.un.org/en/development/desa/population/migration/data/estimates2/estimates19.asp&gt;[Accessed 21 February 2020]</w:t>
      </w:r>
    </w:p>
    <w:p w14:paraId="4FB540C6"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Usher, K., West, C., MacManus, M., Waqa, S., Stewart, L., Henry, R. and Redman-MacLaren, M., 2013. Motivations to nurse: An exploration of what motivates students </w:t>
      </w:r>
      <w:r w:rsidRPr="00CF1AE8">
        <w:rPr>
          <w:rFonts w:ascii="Times New Roman" w:hAnsi="Times New Roman"/>
          <w:szCs w:val="24"/>
        </w:rPr>
        <w:lastRenderedPageBreak/>
        <w:t xml:space="preserve">in Pacific Island countries to enter nursing. </w:t>
      </w:r>
      <w:r w:rsidRPr="00CF1AE8">
        <w:rPr>
          <w:rFonts w:ascii="Times New Roman" w:hAnsi="Times New Roman"/>
          <w:i/>
          <w:szCs w:val="24"/>
        </w:rPr>
        <w:t>International Journal of Nursing Practice</w:t>
      </w:r>
      <w:r w:rsidRPr="00CF1AE8">
        <w:rPr>
          <w:rFonts w:ascii="Times New Roman" w:hAnsi="Times New Roman"/>
          <w:szCs w:val="24"/>
        </w:rPr>
        <w:t>, 19(5), pp. 447-454.</w:t>
      </w:r>
    </w:p>
    <w:p w14:paraId="7782D008" w14:textId="77777777" w:rsidR="00503349" w:rsidRPr="00DA2952" w:rsidRDefault="00503349" w:rsidP="00503349">
      <w:pPr>
        <w:jc w:val="both"/>
        <w:rPr>
          <w:rFonts w:ascii="Times" w:hAnsi="Times" w:cs="Times"/>
          <w:szCs w:val="24"/>
        </w:rPr>
      </w:pPr>
      <w:r w:rsidRPr="00DA2952">
        <w:rPr>
          <w:rFonts w:ascii="Times" w:hAnsi="Times" w:cs="Times"/>
          <w:szCs w:val="24"/>
        </w:rPr>
        <w:t xml:space="preserve">Uwakwe, R., 2000. Psychiatric morbidity in elderly patients admitted to non-psychiatric wards in a general/teaching hospital in Nigeria. </w:t>
      </w:r>
      <w:r w:rsidRPr="00DA2952">
        <w:rPr>
          <w:rFonts w:ascii="Times" w:hAnsi="Times" w:cs="Times"/>
          <w:i/>
          <w:iCs/>
          <w:szCs w:val="24"/>
        </w:rPr>
        <w:t>International Journal of Geriatric Psychiatry</w:t>
      </w:r>
      <w:r w:rsidRPr="00DA2952">
        <w:rPr>
          <w:rFonts w:ascii="Times" w:hAnsi="Times" w:cs="Times"/>
          <w:szCs w:val="24"/>
        </w:rPr>
        <w:t>, 15, pp. 346-354.</w:t>
      </w:r>
    </w:p>
    <w:p w14:paraId="7073B685"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Valle, R., King, M. and Halling, S., 1989. An introduction to existential-phenomenological thought in psychology. In: R. Valle &amp; S. Halling, eds. </w:t>
      </w:r>
      <w:r w:rsidRPr="008101DD">
        <w:rPr>
          <w:rFonts w:ascii="Times New Roman" w:hAnsi="Times New Roman"/>
          <w:i/>
          <w:iCs/>
          <w:szCs w:val="24"/>
        </w:rPr>
        <w:t>Existential-phenomenological Perspective in Psychology</w:t>
      </w:r>
      <w:r w:rsidRPr="008101DD">
        <w:rPr>
          <w:rFonts w:ascii="Times New Roman" w:hAnsi="Times New Roman"/>
          <w:szCs w:val="24"/>
        </w:rPr>
        <w:t xml:space="preserve"> (pp. 3-16). New York: Plenum Press. pp. 3-16.</w:t>
      </w:r>
    </w:p>
    <w:p w14:paraId="222DF0A6" w14:textId="77777777" w:rsidR="00503349" w:rsidRDefault="00503349" w:rsidP="00503349">
      <w:pPr>
        <w:tabs>
          <w:tab w:val="left" w:pos="5445"/>
        </w:tabs>
        <w:jc w:val="both"/>
        <w:rPr>
          <w:rFonts w:ascii="Times New Roman" w:hAnsi="Times New Roman"/>
          <w:szCs w:val="24"/>
        </w:rPr>
      </w:pPr>
      <w:r w:rsidRPr="003A7230">
        <w:rPr>
          <w:rFonts w:ascii="Times New Roman" w:hAnsi="Times New Roman"/>
          <w:szCs w:val="24"/>
        </w:rPr>
        <w:t>Vallet, G.T., Rouleau, I., Benoit, S., Langlois, R., Barbeau, E.J. and Joubert, S., 2016.</w:t>
      </w:r>
      <w:r>
        <w:rPr>
          <w:rFonts w:ascii="Times New Roman" w:hAnsi="Times New Roman"/>
          <w:szCs w:val="24"/>
        </w:rPr>
        <w:t xml:space="preserve"> </w:t>
      </w:r>
      <w:r w:rsidRPr="003A7230">
        <w:rPr>
          <w:rFonts w:ascii="Times New Roman" w:hAnsi="Times New Roman"/>
          <w:szCs w:val="24"/>
        </w:rPr>
        <w:t>Alzheimer’s disease and memory strength: Gradual decline of memory traces as a</w:t>
      </w:r>
      <w:r>
        <w:rPr>
          <w:rFonts w:ascii="Times New Roman" w:hAnsi="Times New Roman"/>
          <w:szCs w:val="24"/>
        </w:rPr>
        <w:t xml:space="preserve"> </w:t>
      </w:r>
      <w:r w:rsidRPr="003A7230">
        <w:rPr>
          <w:rFonts w:ascii="Times New Roman" w:hAnsi="Times New Roman"/>
          <w:szCs w:val="24"/>
        </w:rPr>
        <w:t>function of their strength. </w:t>
      </w:r>
      <w:r w:rsidRPr="003A7230">
        <w:rPr>
          <w:rFonts w:ascii="Times New Roman" w:hAnsi="Times New Roman"/>
          <w:i/>
          <w:iCs/>
          <w:szCs w:val="24"/>
        </w:rPr>
        <w:t>Journal of Clinical and Experimental</w:t>
      </w:r>
      <w:r>
        <w:rPr>
          <w:rFonts w:ascii="Times New Roman" w:hAnsi="Times New Roman"/>
          <w:i/>
          <w:iCs/>
          <w:szCs w:val="24"/>
        </w:rPr>
        <w:t xml:space="preserve"> </w:t>
      </w:r>
      <w:r w:rsidRPr="003A7230">
        <w:rPr>
          <w:rFonts w:ascii="Times New Roman" w:hAnsi="Times New Roman"/>
          <w:i/>
          <w:iCs/>
          <w:szCs w:val="24"/>
        </w:rPr>
        <w:t>Neuropsychology</w:t>
      </w:r>
      <w:r w:rsidRPr="003A7230">
        <w:rPr>
          <w:rFonts w:ascii="Times New Roman" w:hAnsi="Times New Roman"/>
          <w:szCs w:val="24"/>
        </w:rPr>
        <w:t>, </w:t>
      </w:r>
      <w:r w:rsidRPr="000954D2">
        <w:rPr>
          <w:rFonts w:ascii="Times New Roman" w:hAnsi="Times New Roman"/>
          <w:szCs w:val="24"/>
        </w:rPr>
        <w:t>38</w:t>
      </w:r>
      <w:r w:rsidRPr="003A7230">
        <w:rPr>
          <w:rFonts w:ascii="Times New Roman" w:hAnsi="Times New Roman"/>
          <w:szCs w:val="24"/>
        </w:rPr>
        <w:t>(6), pp.</w:t>
      </w:r>
      <w:r>
        <w:rPr>
          <w:rFonts w:ascii="Times New Roman" w:hAnsi="Times New Roman"/>
          <w:szCs w:val="24"/>
        </w:rPr>
        <w:t xml:space="preserve"> </w:t>
      </w:r>
      <w:r w:rsidRPr="003A7230">
        <w:rPr>
          <w:rFonts w:ascii="Times New Roman" w:hAnsi="Times New Roman"/>
          <w:szCs w:val="24"/>
        </w:rPr>
        <w:t>648-660.</w:t>
      </w:r>
    </w:p>
    <w:p w14:paraId="5775CC2C"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Van der Lee, J., Bakker, T.J., Duivenvoorden, H.J. and Dröes, R.M, 2017. Do determinants of burden and emotional distress in dementia caregivers change over time? </w:t>
      </w:r>
      <w:r w:rsidRPr="00AB40E2">
        <w:rPr>
          <w:rFonts w:ascii="Times New Roman" w:hAnsi="Times New Roman"/>
          <w:i/>
          <w:szCs w:val="24"/>
        </w:rPr>
        <w:t>Aging &amp; Mental Health</w:t>
      </w:r>
      <w:r w:rsidRPr="00AB40E2">
        <w:rPr>
          <w:rFonts w:ascii="Times New Roman" w:hAnsi="Times New Roman"/>
          <w:szCs w:val="24"/>
        </w:rPr>
        <w:t>, 21(3), pp. 232-240.</w:t>
      </w:r>
    </w:p>
    <w:p w14:paraId="5D2692D8"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Van Hear, N., Bakewell, O. and Long, K., 2018. Push-pull plus: reconsidering the drivers of migration. </w:t>
      </w:r>
      <w:r>
        <w:rPr>
          <w:rFonts w:ascii="Times New Roman" w:hAnsi="Times New Roman"/>
          <w:i/>
          <w:iCs/>
          <w:szCs w:val="24"/>
        </w:rPr>
        <w:t>Journal of Ethnic and Migration Studies</w:t>
      </w:r>
      <w:r>
        <w:rPr>
          <w:rFonts w:ascii="Times New Roman" w:hAnsi="Times New Roman"/>
          <w:szCs w:val="24"/>
        </w:rPr>
        <w:t>, 44(6), pp. 927-944.</w:t>
      </w:r>
    </w:p>
    <w:p w14:paraId="2BDC40A9" w14:textId="77777777" w:rsidR="00503349" w:rsidRDefault="00503349" w:rsidP="00503349">
      <w:pPr>
        <w:spacing w:before="240"/>
        <w:jc w:val="both"/>
        <w:rPr>
          <w:rFonts w:ascii="Times New Roman" w:hAnsi="Times New Roman"/>
          <w:szCs w:val="24"/>
        </w:rPr>
      </w:pPr>
      <w:r>
        <w:rPr>
          <w:rFonts w:ascii="Times New Roman" w:hAnsi="Times New Roman"/>
          <w:szCs w:val="24"/>
        </w:rPr>
        <w:t xml:space="preserve">Van Hooren, F.J., 2012. Varieties of migrant care work: comparing patterns of migrant labour in social care. </w:t>
      </w:r>
      <w:r>
        <w:rPr>
          <w:rFonts w:ascii="Times New Roman" w:hAnsi="Times New Roman"/>
          <w:i/>
          <w:szCs w:val="24"/>
        </w:rPr>
        <w:t>Journal of European Social Policy</w:t>
      </w:r>
      <w:r>
        <w:rPr>
          <w:rFonts w:ascii="Times New Roman" w:hAnsi="Times New Roman"/>
          <w:szCs w:val="24"/>
        </w:rPr>
        <w:t>, 22, pp. 133-147.</w:t>
      </w:r>
    </w:p>
    <w:p w14:paraId="3BA96538" w14:textId="77777777" w:rsidR="00503349" w:rsidRDefault="00503349" w:rsidP="00503349">
      <w:pPr>
        <w:spacing w:before="240"/>
        <w:rPr>
          <w:rFonts w:ascii="Times New Roman" w:hAnsi="Times New Roman"/>
          <w:szCs w:val="24"/>
        </w:rPr>
      </w:pPr>
      <w:r>
        <w:rPr>
          <w:rFonts w:ascii="Times New Roman" w:hAnsi="Times New Roman"/>
          <w:szCs w:val="24"/>
        </w:rPr>
        <w:t xml:space="preserve">Van Iersel, M., Latour, C.H.M., de Vos, R., Kirschner, P.A. and Scholte op Reimer, W.J.M., 2016. </w:t>
      </w:r>
      <w:r>
        <w:rPr>
          <w:rFonts w:ascii="Times New Roman" w:hAnsi="Times New Roman"/>
          <w:bCs/>
          <w:szCs w:val="24"/>
        </w:rPr>
        <w:t xml:space="preserve">Nursing students' perceptions of community care and other areas of nursing practice - a review of the literature. </w:t>
      </w:r>
      <w:r>
        <w:rPr>
          <w:rFonts w:ascii="Times New Roman" w:hAnsi="Times New Roman"/>
          <w:i/>
          <w:szCs w:val="24"/>
        </w:rPr>
        <w:t>International Journal of Nursing Studies</w:t>
      </w:r>
      <w:r>
        <w:rPr>
          <w:rFonts w:ascii="Times New Roman" w:hAnsi="Times New Roman"/>
          <w:szCs w:val="24"/>
        </w:rPr>
        <w:t>, [e-journal] 61, pp. 1-19. Available at: &lt;https://www.sciencedirect.com/science/article/pii/S0020748916300608&gt;[Accessed 15 March 2019].</w:t>
      </w:r>
    </w:p>
    <w:p w14:paraId="6C9CD64E" w14:textId="77777777" w:rsidR="00503349" w:rsidRDefault="00503349" w:rsidP="00503349">
      <w:pPr>
        <w:spacing w:before="240"/>
        <w:rPr>
          <w:rFonts w:ascii="Times New Roman" w:hAnsi="Times New Roman"/>
          <w:szCs w:val="24"/>
        </w:rPr>
      </w:pPr>
      <w:r>
        <w:rPr>
          <w:rFonts w:ascii="Times New Roman" w:hAnsi="Times New Roman"/>
          <w:szCs w:val="24"/>
        </w:rPr>
        <w:t xml:space="preserve">Van Iersel, M., Latour, C.H.M., de Vos, R., Kirschner, P.A. and Scholte op Reimer, W.J.M., 2018. Perceptions of community care and placement preferences in first-year </w:t>
      </w:r>
      <w:r>
        <w:rPr>
          <w:rFonts w:ascii="Times New Roman" w:hAnsi="Times New Roman"/>
          <w:szCs w:val="24"/>
        </w:rPr>
        <w:lastRenderedPageBreak/>
        <w:t xml:space="preserve">nursing students: A multicentre, cross-sectional study. </w:t>
      </w:r>
      <w:r>
        <w:rPr>
          <w:rFonts w:ascii="Times New Roman" w:hAnsi="Times New Roman"/>
          <w:i/>
          <w:szCs w:val="24"/>
        </w:rPr>
        <w:t>Nurse Education Today</w:t>
      </w:r>
      <w:r>
        <w:rPr>
          <w:rFonts w:ascii="Times New Roman" w:hAnsi="Times New Roman"/>
          <w:szCs w:val="24"/>
        </w:rPr>
        <w:t>, 60, pp. 92-97.</w:t>
      </w:r>
    </w:p>
    <w:p w14:paraId="57D65AAE"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van Manen, M. and Adams, C.A., 2010. Qualitative research: phenomenology. In: E. Baker, P. Peterson &amp; B. McGaw, eds. </w:t>
      </w:r>
      <w:r w:rsidRPr="008101DD">
        <w:rPr>
          <w:rFonts w:ascii="Times New Roman" w:hAnsi="Times New Roman"/>
          <w:i/>
          <w:szCs w:val="24"/>
        </w:rPr>
        <w:t>International Encyclopedia of Education</w:t>
      </w:r>
      <w:r w:rsidRPr="008101DD">
        <w:rPr>
          <w:rFonts w:ascii="Times New Roman" w:hAnsi="Times New Roman"/>
          <w:szCs w:val="24"/>
        </w:rPr>
        <w:t>, 6. Oxford: Elsevier.</w:t>
      </w:r>
    </w:p>
    <w:p w14:paraId="5561B83A" w14:textId="77777777" w:rsidR="00503349" w:rsidRPr="000A56C6" w:rsidRDefault="00503349" w:rsidP="00503349">
      <w:pPr>
        <w:spacing w:after="200"/>
        <w:jc w:val="both"/>
        <w:rPr>
          <w:rFonts w:ascii="Times New Roman" w:hAnsi="Times New Roman"/>
          <w:szCs w:val="24"/>
        </w:rPr>
      </w:pPr>
      <w:r w:rsidRPr="008101DD">
        <w:rPr>
          <w:rFonts w:ascii="Times New Roman" w:hAnsi="Times New Roman"/>
          <w:szCs w:val="24"/>
        </w:rPr>
        <w:t xml:space="preserve">Van Manen, M., 1990. </w:t>
      </w:r>
      <w:r w:rsidRPr="008101DD">
        <w:rPr>
          <w:rFonts w:ascii="Times New Roman" w:hAnsi="Times New Roman"/>
          <w:i/>
          <w:szCs w:val="24"/>
        </w:rPr>
        <w:t>Researching lived experience: human science of action sensitive pedagogy</w:t>
      </w:r>
      <w:r w:rsidRPr="008101DD">
        <w:rPr>
          <w:rFonts w:ascii="Times New Roman" w:hAnsi="Times New Roman"/>
          <w:szCs w:val="24"/>
        </w:rPr>
        <w:t xml:space="preserve">. London, Ontario: Althouse Press </w:t>
      </w:r>
    </w:p>
    <w:p w14:paraId="20E55BF1"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van Manen, M., 1997. </w:t>
      </w:r>
      <w:r w:rsidRPr="004E3E8F">
        <w:rPr>
          <w:rFonts w:ascii="Times New Roman" w:hAnsi="Times New Roman"/>
          <w:i/>
          <w:iCs/>
          <w:szCs w:val="24"/>
        </w:rPr>
        <w:t>Researching lived experience</w:t>
      </w:r>
      <w:r w:rsidRPr="004E3E8F">
        <w:rPr>
          <w:rFonts w:ascii="Times New Roman" w:hAnsi="Times New Roman"/>
          <w:szCs w:val="24"/>
        </w:rPr>
        <w:t>. London: Routledge.</w:t>
      </w:r>
    </w:p>
    <w:p w14:paraId="1A05025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van Manen, M., 2007. Phenomenology of practice. </w:t>
      </w:r>
      <w:r w:rsidRPr="004E3E8F">
        <w:rPr>
          <w:rFonts w:ascii="Times New Roman" w:hAnsi="Times New Roman"/>
          <w:i/>
          <w:iCs/>
          <w:szCs w:val="24"/>
        </w:rPr>
        <w:t>Phenomenology &amp; Practice</w:t>
      </w:r>
      <w:r w:rsidRPr="004E3E8F">
        <w:rPr>
          <w:rFonts w:ascii="Times New Roman" w:hAnsi="Times New Roman"/>
          <w:szCs w:val="24"/>
        </w:rPr>
        <w:t xml:space="preserve">, </w:t>
      </w:r>
      <w:r w:rsidRPr="004E3E8F">
        <w:rPr>
          <w:rFonts w:ascii="Times New Roman" w:hAnsi="Times New Roman"/>
          <w:iCs/>
          <w:szCs w:val="24"/>
        </w:rPr>
        <w:t>1</w:t>
      </w:r>
      <w:r w:rsidRPr="004E3E8F">
        <w:rPr>
          <w:rFonts w:ascii="Times New Roman" w:hAnsi="Times New Roman"/>
          <w:szCs w:val="24"/>
        </w:rPr>
        <w:t>(1).</w:t>
      </w:r>
    </w:p>
    <w:p w14:paraId="4D37C2FC" w14:textId="77777777" w:rsidR="00503349" w:rsidRPr="004E3E8F" w:rsidRDefault="00503349" w:rsidP="00503349">
      <w:pPr>
        <w:autoSpaceDE w:val="0"/>
        <w:autoSpaceDN w:val="0"/>
        <w:adjustRightInd w:val="0"/>
        <w:spacing w:before="240"/>
        <w:rPr>
          <w:rFonts w:ascii="Times New Roman" w:hAnsi="Times New Roman"/>
          <w:color w:val="000000"/>
          <w:szCs w:val="24"/>
        </w:rPr>
      </w:pPr>
    </w:p>
    <w:p w14:paraId="6F400F4B" w14:textId="77777777" w:rsidR="00503349" w:rsidRPr="000A56C6" w:rsidRDefault="00503349" w:rsidP="00503349">
      <w:pPr>
        <w:rPr>
          <w:rFonts w:ascii="Times New Roman" w:hAnsi="Times New Roman"/>
          <w:szCs w:val="24"/>
        </w:rPr>
      </w:pPr>
      <w:r w:rsidRPr="00CF1AE8">
        <w:rPr>
          <w:rFonts w:ascii="Times New Roman" w:hAnsi="Times New Roman"/>
          <w:szCs w:val="24"/>
        </w:rPr>
        <w:t xml:space="preserve">van Manen, M., 2014. </w:t>
      </w:r>
      <w:r w:rsidRPr="00286A9B">
        <w:rPr>
          <w:rFonts w:ascii="Times New Roman" w:hAnsi="Times New Roman"/>
          <w:i/>
          <w:iCs/>
          <w:szCs w:val="24"/>
        </w:rPr>
        <w:t>Phenomenology of Practice: Meaning-Giving Methods</w:t>
      </w:r>
      <w:r w:rsidRPr="00DF73BC">
        <w:rPr>
          <w:rFonts w:ascii="Times New Roman" w:hAnsi="Times New Roman"/>
          <w:i/>
          <w:iCs/>
          <w:szCs w:val="24"/>
        </w:rPr>
        <w:t xml:space="preserve"> </w:t>
      </w:r>
      <w:r w:rsidRPr="00286A9B">
        <w:rPr>
          <w:rFonts w:ascii="Times New Roman" w:hAnsi="Times New Roman"/>
          <w:i/>
          <w:iCs/>
          <w:szCs w:val="24"/>
        </w:rPr>
        <w:t>in</w:t>
      </w:r>
      <w:r w:rsidRPr="00DF73BC">
        <w:rPr>
          <w:rFonts w:ascii="Times New Roman" w:hAnsi="Times New Roman"/>
          <w:i/>
          <w:iCs/>
          <w:szCs w:val="24"/>
        </w:rPr>
        <w:t xml:space="preserve"> Phenomenological Research and Writing</w:t>
      </w:r>
      <w:r w:rsidRPr="00CF1AE8">
        <w:rPr>
          <w:rFonts w:ascii="Times New Roman" w:hAnsi="Times New Roman"/>
          <w:szCs w:val="24"/>
        </w:rPr>
        <w:t xml:space="preserve">. Walnut Creek, California: Left Coast Press, Inc. </w:t>
      </w:r>
    </w:p>
    <w:p w14:paraId="0797909C"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van Manen, M., 2016. </w:t>
      </w:r>
      <w:r w:rsidRPr="004E3E8F">
        <w:rPr>
          <w:rFonts w:ascii="Times New Roman" w:hAnsi="Times New Roman"/>
          <w:i/>
          <w:iCs/>
          <w:szCs w:val="24"/>
        </w:rPr>
        <w:t>Researching lived experience</w:t>
      </w:r>
      <w:r w:rsidRPr="004E3E8F">
        <w:rPr>
          <w:rFonts w:ascii="Times New Roman" w:hAnsi="Times New Roman"/>
          <w:szCs w:val="24"/>
        </w:rPr>
        <w:t>. 2</w:t>
      </w:r>
      <w:r w:rsidRPr="004E3E8F">
        <w:rPr>
          <w:rFonts w:ascii="Times New Roman" w:hAnsi="Times New Roman"/>
          <w:szCs w:val="24"/>
          <w:vertAlign w:val="superscript"/>
        </w:rPr>
        <w:t>nd</w:t>
      </w:r>
      <w:r w:rsidRPr="004E3E8F">
        <w:rPr>
          <w:rFonts w:ascii="Times New Roman" w:hAnsi="Times New Roman"/>
          <w:szCs w:val="24"/>
        </w:rPr>
        <w:t xml:space="preserve"> ed. London: Routledge.</w:t>
      </w:r>
    </w:p>
    <w:p w14:paraId="5C935490" w14:textId="77777777" w:rsidR="00503349" w:rsidRPr="004E3E8F" w:rsidRDefault="00503349" w:rsidP="00503349">
      <w:pPr>
        <w:spacing w:before="240"/>
        <w:rPr>
          <w:rFonts w:ascii="Times New Roman" w:hAnsi="Times New Roman"/>
          <w:szCs w:val="24"/>
        </w:rPr>
      </w:pPr>
      <w:r w:rsidRPr="004E3E8F">
        <w:rPr>
          <w:rFonts w:ascii="Times New Roman" w:hAnsi="Times New Roman"/>
          <w:bCs/>
          <w:szCs w:val="24"/>
        </w:rPr>
        <w:t xml:space="preserve">van Teijlingen, E. and Hundley, V., 2002. The importance of pilot studies. </w:t>
      </w:r>
      <w:r w:rsidRPr="004E3E8F">
        <w:rPr>
          <w:rFonts w:ascii="Times New Roman" w:hAnsi="Times New Roman"/>
          <w:i/>
          <w:szCs w:val="24"/>
        </w:rPr>
        <w:t>Nursing Standard</w:t>
      </w:r>
      <w:r w:rsidRPr="004E3E8F">
        <w:rPr>
          <w:rFonts w:ascii="Times New Roman" w:hAnsi="Times New Roman"/>
          <w:szCs w:val="24"/>
        </w:rPr>
        <w:t>, 16(40), pp. 33-36.</w:t>
      </w:r>
    </w:p>
    <w:p w14:paraId="1B1FF261" w14:textId="77777777" w:rsidR="00503349" w:rsidRDefault="00503349" w:rsidP="00503349">
      <w:pPr>
        <w:jc w:val="both"/>
        <w:rPr>
          <w:rFonts w:ascii="Times New Roman" w:hAnsi="Times New Roman"/>
          <w:iCs/>
          <w:szCs w:val="24"/>
        </w:rPr>
      </w:pPr>
      <w:r w:rsidRPr="00CF1AE8">
        <w:rPr>
          <w:rFonts w:ascii="Times New Roman" w:hAnsi="Times New Roman"/>
          <w:iCs/>
          <w:szCs w:val="24"/>
        </w:rPr>
        <w:t xml:space="preserve">Van Wijk, C., 1997. Factors influencing burnout and job stress among military nurses. </w:t>
      </w:r>
      <w:r w:rsidRPr="00CF1AE8">
        <w:rPr>
          <w:rFonts w:ascii="Times New Roman" w:hAnsi="Times New Roman"/>
          <w:i/>
          <w:iCs/>
          <w:szCs w:val="24"/>
        </w:rPr>
        <w:t>Military Medicine</w:t>
      </w:r>
      <w:r w:rsidRPr="00CF1AE8">
        <w:rPr>
          <w:rFonts w:ascii="Times New Roman" w:hAnsi="Times New Roman"/>
          <w:iCs/>
          <w:szCs w:val="24"/>
        </w:rPr>
        <w:t>, 162(10), pp. 707-710.</w:t>
      </w:r>
    </w:p>
    <w:p w14:paraId="33A23374"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Vande, P.T., 2012. Ethnicity and the politics of state creation in Nigeria. </w:t>
      </w:r>
      <w:r w:rsidRPr="00CF1AE8">
        <w:rPr>
          <w:rFonts w:ascii="Times New Roman" w:hAnsi="Times New Roman"/>
          <w:i/>
          <w:szCs w:val="24"/>
        </w:rPr>
        <w:t>European Scientific Journal</w:t>
      </w:r>
      <w:r w:rsidRPr="00CF1AE8">
        <w:rPr>
          <w:rFonts w:ascii="Times New Roman" w:hAnsi="Times New Roman"/>
          <w:szCs w:val="24"/>
        </w:rPr>
        <w:t>, 8(16), pp. 33-51.</w:t>
      </w:r>
      <w:r w:rsidRPr="00BA6E2D">
        <w:rPr>
          <w:rFonts w:ascii="Times New Roman" w:hAnsi="Times New Roman"/>
          <w:szCs w:val="24"/>
        </w:rPr>
        <w:t xml:space="preserve"> </w:t>
      </w:r>
    </w:p>
    <w:p w14:paraId="709CB62A" w14:textId="77777777" w:rsidR="00503349" w:rsidRPr="00EF189A" w:rsidRDefault="00503349" w:rsidP="00503349">
      <w:pPr>
        <w:jc w:val="both"/>
        <w:rPr>
          <w:rFonts w:ascii="Times New Roman" w:hAnsi="Times New Roman"/>
          <w:szCs w:val="24"/>
          <w:bdr w:val="none" w:sz="0" w:space="0" w:color="auto" w:frame="1"/>
        </w:rPr>
      </w:pPr>
      <w:r w:rsidRPr="00EF189A">
        <w:rPr>
          <w:rFonts w:ascii="Times New Roman" w:hAnsi="Times New Roman"/>
          <w:szCs w:val="24"/>
          <w:bdr w:val="none" w:sz="0" w:space="0" w:color="auto" w:frame="1"/>
        </w:rPr>
        <w:t xml:space="preserve">Vansteenkiste, M., Lens, W. and Deci, E.L., 2006. Intrinsic versus extrinsic goal‐contents in self‐determination theory: Another look at the quality of academic motivation </w:t>
      </w:r>
      <w:r w:rsidRPr="00EF189A">
        <w:rPr>
          <w:rFonts w:ascii="Times New Roman" w:hAnsi="Times New Roman"/>
          <w:i/>
          <w:iCs/>
          <w:szCs w:val="24"/>
          <w:bdr w:val="none" w:sz="0" w:space="0" w:color="auto" w:frame="1"/>
        </w:rPr>
        <w:t>Educational Psychologist</w:t>
      </w:r>
      <w:r w:rsidRPr="00EF189A">
        <w:rPr>
          <w:rFonts w:ascii="Times New Roman" w:hAnsi="Times New Roman"/>
          <w:iCs/>
          <w:szCs w:val="24"/>
          <w:bdr w:val="none" w:sz="0" w:space="0" w:color="auto" w:frame="1"/>
        </w:rPr>
        <w:t>,</w:t>
      </w:r>
      <w:r w:rsidRPr="00EF189A">
        <w:rPr>
          <w:rFonts w:ascii="Times New Roman" w:hAnsi="Times New Roman"/>
          <w:szCs w:val="24"/>
          <w:bdr w:val="none" w:sz="0" w:space="0" w:color="auto" w:frame="1"/>
        </w:rPr>
        <w:t xml:space="preserve"> </w:t>
      </w:r>
      <w:r w:rsidRPr="00EF189A">
        <w:rPr>
          <w:rFonts w:ascii="Times New Roman" w:hAnsi="Times New Roman"/>
          <w:bCs/>
          <w:szCs w:val="24"/>
          <w:bdr w:val="none" w:sz="0" w:space="0" w:color="auto" w:frame="1"/>
        </w:rPr>
        <w:t>41,</w:t>
      </w:r>
      <w:r w:rsidRPr="00EF189A">
        <w:rPr>
          <w:rFonts w:ascii="Times New Roman" w:hAnsi="Times New Roman"/>
          <w:szCs w:val="24"/>
          <w:bdr w:val="none" w:sz="0" w:space="0" w:color="auto" w:frame="1"/>
        </w:rPr>
        <w:t xml:space="preserve"> pp. 19-31.</w:t>
      </w:r>
    </w:p>
    <w:p w14:paraId="47055EF8" w14:textId="77777777" w:rsidR="00503349" w:rsidRDefault="00503349" w:rsidP="00503349">
      <w:pPr>
        <w:jc w:val="both"/>
        <w:rPr>
          <w:rFonts w:ascii="Times New Roman" w:hAnsi="Times New Roman"/>
          <w:szCs w:val="24"/>
        </w:rPr>
      </w:pPr>
      <w:r w:rsidRPr="00AB40E2">
        <w:rPr>
          <w:rFonts w:ascii="Times New Roman" w:hAnsi="Times New Roman"/>
          <w:szCs w:val="24"/>
        </w:rPr>
        <w:lastRenderedPageBreak/>
        <w:t xml:space="preserve">Vendhara, K., Cox, N.K., Wilcock, G.K., Perks, P., Hunt, M. and Anderson, S., 1999. Chronic stress in elderly carers of dementia patients and antibody responses to influenza vaccination. </w:t>
      </w:r>
      <w:r w:rsidRPr="00AB40E2">
        <w:rPr>
          <w:rFonts w:ascii="Times New Roman" w:hAnsi="Times New Roman"/>
          <w:i/>
          <w:szCs w:val="24"/>
        </w:rPr>
        <w:t>Lancet</w:t>
      </w:r>
      <w:r w:rsidRPr="00AB40E2">
        <w:rPr>
          <w:rFonts w:ascii="Times New Roman" w:hAnsi="Times New Roman"/>
          <w:szCs w:val="24"/>
        </w:rPr>
        <w:t>, 353, pp. 627-631.</w:t>
      </w:r>
    </w:p>
    <w:p w14:paraId="341937B8"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Verbik, L. and Lasanowski, V., 2007. </w:t>
      </w:r>
      <w:r w:rsidRPr="00CF1AE8">
        <w:rPr>
          <w:rFonts w:ascii="Times New Roman" w:hAnsi="Times New Roman"/>
          <w:i/>
          <w:iCs/>
          <w:szCs w:val="24"/>
        </w:rPr>
        <w:t>International student mobility: Patterns and trends</w:t>
      </w:r>
      <w:r w:rsidRPr="00CF1AE8">
        <w:rPr>
          <w:rFonts w:ascii="Times New Roman" w:hAnsi="Times New Roman"/>
          <w:szCs w:val="24"/>
        </w:rPr>
        <w:t>. London: Observatory on Borderless Higher Education, OBHE. Available at: &lt;https://nccastaff.bournemouth.ac.uk/hncharif/MathsCGs/Desktop/PGCertificate/Assignment%20-%2002/International_student_mobility_abridged.pdf&gt;[Accessed 9 May 2019]</w:t>
      </w:r>
    </w:p>
    <w:p w14:paraId="467B6FB3" w14:textId="77777777" w:rsidR="00503349" w:rsidRPr="00DA2952" w:rsidRDefault="00503349" w:rsidP="00503349">
      <w:pPr>
        <w:jc w:val="both"/>
        <w:rPr>
          <w:rFonts w:ascii="Times New Roman" w:hAnsi="Times New Roman"/>
          <w:szCs w:val="24"/>
        </w:rPr>
      </w:pPr>
      <w:r w:rsidRPr="00DA2952">
        <w:rPr>
          <w:rFonts w:ascii="Times" w:hAnsi="Times" w:cs="Times"/>
          <w:szCs w:val="24"/>
        </w:rPr>
        <w:t xml:space="preserve">Vernooij-Dassen, M. and Moniz-Cook, E., 2016. Person-centred dementia care: Moving beyond caregiving. </w:t>
      </w:r>
      <w:r w:rsidRPr="00DA2952">
        <w:rPr>
          <w:rFonts w:ascii="Times" w:hAnsi="Times" w:cs="Times"/>
          <w:i/>
          <w:iCs/>
          <w:szCs w:val="24"/>
        </w:rPr>
        <w:t>Aging &amp; Mental Health</w:t>
      </w:r>
      <w:r w:rsidRPr="00DA2952">
        <w:rPr>
          <w:rFonts w:ascii="Times" w:hAnsi="Times" w:cs="Times"/>
          <w:szCs w:val="24"/>
        </w:rPr>
        <w:t>, 20, pp. 667-668.</w:t>
      </w:r>
    </w:p>
    <w:p w14:paraId="08790869"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Vitaliano, P.P., Russo, J., Young, H.M., Becker, J. and Maiuro, R.D., 1991. The screen for caregiver burden. </w:t>
      </w:r>
      <w:r w:rsidRPr="002B3011">
        <w:rPr>
          <w:rFonts w:ascii="Times New Roman" w:hAnsi="Times New Roman"/>
          <w:i/>
          <w:iCs/>
          <w:color w:val="000000"/>
          <w:szCs w:val="24"/>
        </w:rPr>
        <w:t>The Gerontologist</w:t>
      </w:r>
      <w:r w:rsidRPr="002B3011">
        <w:rPr>
          <w:rFonts w:ascii="Times New Roman" w:hAnsi="Times New Roman"/>
          <w:color w:val="000000"/>
          <w:szCs w:val="24"/>
        </w:rPr>
        <w:t>, 31, pp. 76-83.</w:t>
      </w:r>
    </w:p>
    <w:p w14:paraId="26446A9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Vogt, W.P., 2005. </w:t>
      </w:r>
      <w:r w:rsidRPr="004E3E8F">
        <w:rPr>
          <w:rFonts w:ascii="Times New Roman" w:hAnsi="Times New Roman"/>
          <w:i/>
          <w:szCs w:val="24"/>
        </w:rPr>
        <w:t>Dictionary of Statistics and Methodology: a nontechnical guide for the social sciences</w:t>
      </w:r>
      <w:r w:rsidRPr="004E3E8F">
        <w:rPr>
          <w:rFonts w:ascii="Times New Roman" w:hAnsi="Times New Roman"/>
          <w:szCs w:val="24"/>
        </w:rPr>
        <w:t>. London: Sage.</w:t>
      </w:r>
    </w:p>
    <w:p w14:paraId="29B97FB7" w14:textId="77777777" w:rsidR="00503349" w:rsidRPr="00DA2952" w:rsidRDefault="00503349" w:rsidP="00503349">
      <w:pPr>
        <w:rPr>
          <w:rFonts w:ascii="Times" w:hAnsi="Times" w:cs="Times"/>
          <w:szCs w:val="24"/>
        </w:rPr>
      </w:pPr>
      <w:r w:rsidRPr="00DA2952">
        <w:rPr>
          <w:rFonts w:ascii="Times" w:hAnsi="Times" w:cs="Times"/>
          <w:szCs w:val="24"/>
        </w:rPr>
        <w:t>Wade, D.T. and Halligan, P.W., 2017. The biopsychosocial model of illness: a model whose time has come. </w:t>
      </w:r>
      <w:r w:rsidRPr="00DA2952">
        <w:rPr>
          <w:rFonts w:ascii="Times" w:hAnsi="Times" w:cs="Times"/>
          <w:i/>
          <w:iCs/>
          <w:szCs w:val="24"/>
        </w:rPr>
        <w:t>Clinical Rehabilitation</w:t>
      </w:r>
      <w:r w:rsidRPr="00DA2952">
        <w:rPr>
          <w:rFonts w:ascii="Times" w:hAnsi="Times" w:cs="Times"/>
          <w:szCs w:val="24"/>
        </w:rPr>
        <w:t>, 31(8), pp. 995-1004.</w:t>
      </w:r>
    </w:p>
    <w:p w14:paraId="4C65620D" w14:textId="77777777" w:rsidR="00503349" w:rsidRDefault="00503349" w:rsidP="00503349">
      <w:pPr>
        <w:spacing w:before="240"/>
        <w:rPr>
          <w:rFonts w:ascii="Times New Roman" w:hAnsi="Times New Roman"/>
          <w:szCs w:val="24"/>
        </w:rPr>
      </w:pPr>
      <w:r>
        <w:rPr>
          <w:rFonts w:ascii="Times New Roman" w:hAnsi="Times New Roman"/>
          <w:szCs w:val="24"/>
        </w:rPr>
        <w:t xml:space="preserve">Wadsworth, J., 2017. </w:t>
      </w:r>
      <w:r>
        <w:rPr>
          <w:rFonts w:ascii="Times New Roman" w:hAnsi="Times New Roman"/>
          <w:i/>
          <w:iCs/>
          <w:szCs w:val="24"/>
        </w:rPr>
        <w:t>Immigration and the UK Economy</w:t>
      </w:r>
      <w:r>
        <w:rPr>
          <w:rFonts w:ascii="Times New Roman" w:hAnsi="Times New Roman"/>
          <w:szCs w:val="24"/>
        </w:rPr>
        <w:t>. Paper EA039</w:t>
      </w:r>
      <w:r>
        <w:rPr>
          <w:rFonts w:ascii="Times New Roman" w:hAnsi="Times New Roman"/>
          <w:i/>
          <w:iCs/>
          <w:szCs w:val="24"/>
        </w:rPr>
        <w:t xml:space="preserve">. </w:t>
      </w:r>
      <w:r>
        <w:rPr>
          <w:rFonts w:ascii="Times New Roman" w:hAnsi="Times New Roman"/>
          <w:szCs w:val="24"/>
        </w:rPr>
        <w:t>London: The Centre for Economic Performance at the London School of Economics and Political Science</w:t>
      </w:r>
      <w:r>
        <w:rPr>
          <w:rFonts w:ascii="Times New Roman" w:hAnsi="Times New Roman"/>
          <w:i/>
          <w:iCs/>
          <w:szCs w:val="24"/>
        </w:rPr>
        <w:t>.</w:t>
      </w:r>
      <w:r>
        <w:rPr>
          <w:rFonts w:ascii="Times New Roman" w:hAnsi="Times New Roman"/>
          <w:szCs w:val="24"/>
        </w:rPr>
        <w:t xml:space="preserve"> Available at: &lt;http://cep.lse.ac.uk/pubs/download/ea039.pdf&gt;[Accessed 15 April 2020].</w:t>
      </w:r>
    </w:p>
    <w:p w14:paraId="686F6D01" w14:textId="77777777" w:rsidR="00503349" w:rsidRDefault="00503349" w:rsidP="00503349">
      <w:pPr>
        <w:jc w:val="both"/>
        <w:rPr>
          <w:rFonts w:ascii="Times New Roman" w:hAnsi="Times New Roman"/>
          <w:szCs w:val="24"/>
        </w:rPr>
      </w:pPr>
      <w:r w:rsidRPr="00C6029B">
        <w:rPr>
          <w:rFonts w:ascii="Times New Roman" w:hAnsi="Times New Roman"/>
          <w:szCs w:val="24"/>
        </w:rPr>
        <w:t xml:space="preserve">Wadsworth, J., 2018. Off EU go? Brexit, the UK labour market and immigration. </w:t>
      </w:r>
      <w:r w:rsidRPr="00C6029B">
        <w:rPr>
          <w:rFonts w:ascii="Times New Roman" w:hAnsi="Times New Roman"/>
          <w:i/>
          <w:iCs/>
          <w:szCs w:val="24"/>
        </w:rPr>
        <w:t>Fiscal Studies</w:t>
      </w:r>
      <w:r w:rsidRPr="00C6029B">
        <w:rPr>
          <w:rFonts w:ascii="Times New Roman" w:hAnsi="Times New Roman"/>
          <w:szCs w:val="24"/>
        </w:rPr>
        <w:t>, 39, pp. 625-649.</w:t>
      </w:r>
    </w:p>
    <w:p w14:paraId="15B5A8DD" w14:textId="77777777" w:rsidR="00503349" w:rsidRDefault="00503349" w:rsidP="00503349">
      <w:pPr>
        <w:tabs>
          <w:tab w:val="left" w:pos="5445"/>
        </w:tabs>
        <w:jc w:val="both"/>
        <w:rPr>
          <w:rFonts w:ascii="Times New Roman" w:hAnsi="Times New Roman"/>
          <w:szCs w:val="24"/>
        </w:rPr>
      </w:pPr>
      <w:r w:rsidRPr="002D6361">
        <w:rPr>
          <w:rFonts w:ascii="Times New Roman" w:hAnsi="Times New Roman"/>
          <w:szCs w:val="24"/>
        </w:rPr>
        <w:t>Walker, A.J., Pratt, C.C. and Eddy, L., 1995. Informal caregiving to aging family members: A critical review. </w:t>
      </w:r>
      <w:r w:rsidRPr="002D6361">
        <w:rPr>
          <w:rFonts w:ascii="Times New Roman" w:hAnsi="Times New Roman"/>
          <w:i/>
          <w:iCs/>
          <w:szCs w:val="24"/>
        </w:rPr>
        <w:t>Family relations</w:t>
      </w:r>
      <w:r w:rsidRPr="002D6361">
        <w:rPr>
          <w:rFonts w:ascii="Times New Roman" w:hAnsi="Times New Roman"/>
          <w:szCs w:val="24"/>
        </w:rPr>
        <w:t>, pp.</w:t>
      </w:r>
      <w:r>
        <w:rPr>
          <w:rFonts w:ascii="Times New Roman" w:hAnsi="Times New Roman"/>
          <w:szCs w:val="24"/>
        </w:rPr>
        <w:t xml:space="preserve"> </w:t>
      </w:r>
      <w:r w:rsidRPr="002D6361">
        <w:rPr>
          <w:rFonts w:ascii="Times New Roman" w:hAnsi="Times New Roman"/>
          <w:szCs w:val="24"/>
        </w:rPr>
        <w:t>402-411.</w:t>
      </w:r>
    </w:p>
    <w:p w14:paraId="751BF68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Wallace, D.C., Witucki, J.M., Boland, C.S. and Tuck, I., 1998. Cultural context of caregiving with elders. </w:t>
      </w:r>
      <w:r w:rsidRPr="002B3011">
        <w:rPr>
          <w:rFonts w:ascii="Times New Roman" w:hAnsi="Times New Roman"/>
          <w:i/>
          <w:iCs/>
          <w:color w:val="000000"/>
          <w:szCs w:val="24"/>
        </w:rPr>
        <w:t>Journal of Multicultural Nursing &amp; Health</w:t>
      </w:r>
      <w:r w:rsidRPr="002B3011">
        <w:rPr>
          <w:rFonts w:ascii="Times New Roman" w:hAnsi="Times New Roman"/>
          <w:color w:val="000000"/>
          <w:szCs w:val="24"/>
        </w:rPr>
        <w:t>, 4(3), pp. 42-48.</w:t>
      </w:r>
    </w:p>
    <w:p w14:paraId="4CCDADDA" w14:textId="77777777" w:rsidR="00503349" w:rsidRDefault="00503349" w:rsidP="00503349">
      <w:pPr>
        <w:spacing w:before="240"/>
        <w:jc w:val="both"/>
        <w:rPr>
          <w:rFonts w:ascii="Times New Roman" w:hAnsi="Times New Roman"/>
          <w:szCs w:val="24"/>
        </w:rPr>
      </w:pPr>
      <w:r>
        <w:rPr>
          <w:rFonts w:ascii="Times New Roman" w:hAnsi="Times New Roman"/>
          <w:szCs w:val="24"/>
        </w:rPr>
        <w:lastRenderedPageBreak/>
        <w:t xml:space="preserve">Wallerstein, I. 1974. </w:t>
      </w:r>
      <w:r>
        <w:rPr>
          <w:rFonts w:ascii="Times New Roman" w:hAnsi="Times New Roman"/>
          <w:i/>
          <w:iCs/>
          <w:szCs w:val="24"/>
        </w:rPr>
        <w:t>The Modern World-System</w:t>
      </w:r>
      <w:r>
        <w:rPr>
          <w:rFonts w:ascii="Times New Roman" w:hAnsi="Times New Roman"/>
          <w:szCs w:val="24"/>
        </w:rPr>
        <w:t>. New York: Academic Press.</w:t>
      </w:r>
    </w:p>
    <w:p w14:paraId="09935426" w14:textId="77777777" w:rsidR="00503349" w:rsidRDefault="00503349" w:rsidP="00503349">
      <w:pPr>
        <w:tabs>
          <w:tab w:val="left" w:pos="5445"/>
        </w:tabs>
        <w:jc w:val="both"/>
        <w:rPr>
          <w:rFonts w:ascii="Times New Roman" w:hAnsi="Times New Roman"/>
          <w:szCs w:val="24"/>
        </w:rPr>
      </w:pPr>
      <w:r w:rsidRPr="002D6361">
        <w:rPr>
          <w:rFonts w:ascii="Times New Roman" w:hAnsi="Times New Roman"/>
          <w:szCs w:val="24"/>
        </w:rPr>
        <w:t>Wallhagen, M.I. and Yamamoto-Mitani, N., 2006. The meaning of family caregiving in Japan and the United States: a qualitative comparative study. </w:t>
      </w:r>
      <w:r w:rsidRPr="002D6361">
        <w:rPr>
          <w:rFonts w:ascii="Times New Roman" w:hAnsi="Times New Roman"/>
          <w:i/>
          <w:iCs/>
          <w:szCs w:val="24"/>
        </w:rPr>
        <w:t>Journal of Transcultural Nursing</w:t>
      </w:r>
      <w:r w:rsidRPr="002D6361">
        <w:rPr>
          <w:rFonts w:ascii="Times New Roman" w:hAnsi="Times New Roman"/>
          <w:szCs w:val="24"/>
        </w:rPr>
        <w:t>, </w:t>
      </w:r>
      <w:r w:rsidRPr="00B74555">
        <w:rPr>
          <w:rFonts w:ascii="Times New Roman" w:hAnsi="Times New Roman"/>
          <w:szCs w:val="24"/>
        </w:rPr>
        <w:t>17</w:t>
      </w:r>
      <w:r w:rsidRPr="002D6361">
        <w:rPr>
          <w:rFonts w:ascii="Times New Roman" w:hAnsi="Times New Roman"/>
          <w:szCs w:val="24"/>
        </w:rPr>
        <w:t>, pp.</w:t>
      </w:r>
      <w:r>
        <w:rPr>
          <w:rFonts w:ascii="Times New Roman" w:hAnsi="Times New Roman"/>
          <w:szCs w:val="24"/>
        </w:rPr>
        <w:t xml:space="preserve"> </w:t>
      </w:r>
      <w:r w:rsidRPr="002D6361">
        <w:rPr>
          <w:rFonts w:ascii="Times New Roman" w:hAnsi="Times New Roman"/>
          <w:szCs w:val="24"/>
        </w:rPr>
        <w:t>65-73.</w:t>
      </w:r>
    </w:p>
    <w:p w14:paraId="740FE202"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 xml:space="preserve">Walters, A J., 1995. The phenomenological movement: implications for nursing research. </w:t>
      </w:r>
      <w:r w:rsidRPr="008101DD">
        <w:rPr>
          <w:rFonts w:ascii="Times New Roman" w:hAnsi="Times New Roman"/>
          <w:i/>
          <w:iCs/>
          <w:szCs w:val="24"/>
        </w:rPr>
        <w:t>Journal of Advanced Nursing</w:t>
      </w:r>
      <w:r w:rsidRPr="008101DD">
        <w:rPr>
          <w:rFonts w:ascii="Times New Roman" w:hAnsi="Times New Roman"/>
          <w:szCs w:val="24"/>
        </w:rPr>
        <w:t>, 22(4), pp. 791-799.</w:t>
      </w:r>
    </w:p>
    <w:p w14:paraId="205E6D60" w14:textId="77777777" w:rsidR="00503349" w:rsidRDefault="00503349" w:rsidP="00503349">
      <w:pPr>
        <w:jc w:val="both"/>
        <w:rPr>
          <w:rFonts w:ascii="Times New Roman" w:hAnsi="Times New Roman"/>
          <w:szCs w:val="24"/>
        </w:rPr>
      </w:pPr>
      <w:r w:rsidRPr="003F2996">
        <w:rPr>
          <w:rFonts w:ascii="Times New Roman" w:hAnsi="Times New Roman"/>
          <w:bCs/>
          <w:szCs w:val="24"/>
        </w:rPr>
        <w:t>Wang, J.J., Hsieh, P.F. and Wang, C.J., 2013. Long-term care nurses' communication difficulties with people living with dementia in Taiwan. </w:t>
      </w:r>
      <w:r w:rsidRPr="003F2996">
        <w:rPr>
          <w:rFonts w:ascii="Times New Roman" w:hAnsi="Times New Roman"/>
          <w:bCs/>
          <w:i/>
          <w:iCs/>
          <w:szCs w:val="24"/>
        </w:rPr>
        <w:t>Asian Nursing Research</w:t>
      </w:r>
      <w:r w:rsidRPr="003F2996">
        <w:rPr>
          <w:rFonts w:ascii="Times New Roman" w:hAnsi="Times New Roman"/>
          <w:bCs/>
          <w:szCs w:val="24"/>
        </w:rPr>
        <w:t>, 7(3), pp.</w:t>
      </w:r>
      <w:r>
        <w:rPr>
          <w:rFonts w:ascii="Times New Roman" w:hAnsi="Times New Roman"/>
          <w:bCs/>
          <w:szCs w:val="24"/>
        </w:rPr>
        <w:t xml:space="preserve"> </w:t>
      </w:r>
      <w:r w:rsidRPr="003F2996">
        <w:rPr>
          <w:rFonts w:ascii="Times New Roman" w:hAnsi="Times New Roman"/>
          <w:bCs/>
          <w:szCs w:val="24"/>
        </w:rPr>
        <w:t>99-103.</w:t>
      </w:r>
    </w:p>
    <w:p w14:paraId="6196BF15"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Ward, C., Bochner, S. and Furnham, A., 2001. </w:t>
      </w:r>
      <w:r w:rsidRPr="00CF1AE8">
        <w:rPr>
          <w:rFonts w:ascii="Times New Roman" w:hAnsi="Times New Roman"/>
          <w:i/>
          <w:szCs w:val="24"/>
        </w:rPr>
        <w:t>The Psychology of Culture Shock</w:t>
      </w:r>
      <w:r>
        <w:rPr>
          <w:rFonts w:ascii="Times New Roman" w:hAnsi="Times New Roman"/>
          <w:iCs/>
          <w:szCs w:val="24"/>
        </w:rPr>
        <w:t>.</w:t>
      </w:r>
      <w:r w:rsidRPr="00CF1AE8">
        <w:rPr>
          <w:rFonts w:ascii="Times New Roman" w:hAnsi="Times New Roman"/>
          <w:szCs w:val="24"/>
        </w:rPr>
        <w:t xml:space="preserve"> 2</w:t>
      </w:r>
      <w:r w:rsidRPr="000C2CD1">
        <w:rPr>
          <w:rFonts w:ascii="Times New Roman" w:hAnsi="Times New Roman"/>
          <w:szCs w:val="24"/>
          <w:vertAlign w:val="superscript"/>
        </w:rPr>
        <w:t>nd</w:t>
      </w:r>
      <w:r>
        <w:rPr>
          <w:rFonts w:ascii="Times New Roman" w:hAnsi="Times New Roman"/>
          <w:szCs w:val="24"/>
        </w:rPr>
        <w:t xml:space="preserve"> </w:t>
      </w:r>
      <w:r w:rsidRPr="00CF1AE8">
        <w:rPr>
          <w:rFonts w:ascii="Times New Roman" w:hAnsi="Times New Roman"/>
          <w:szCs w:val="24"/>
        </w:rPr>
        <w:t>ed. Hove, UK: Routledge.</w:t>
      </w:r>
    </w:p>
    <w:p w14:paraId="6F2D8635" w14:textId="77777777" w:rsidR="00503349" w:rsidRPr="00DA2952" w:rsidRDefault="00503349" w:rsidP="00503349">
      <w:pPr>
        <w:jc w:val="both"/>
        <w:rPr>
          <w:rFonts w:ascii="Times New Roman" w:hAnsi="Times New Roman"/>
          <w:b/>
          <w:bCs/>
          <w:szCs w:val="24"/>
        </w:rPr>
      </w:pPr>
      <w:r w:rsidRPr="00DA2952">
        <w:rPr>
          <w:rFonts w:ascii="Times New Roman" w:hAnsi="Times New Roman"/>
          <w:szCs w:val="24"/>
        </w:rPr>
        <w:t>Ward, R., Campbell, S. and Keady, J., 2016. Assembling the salon: learning from alternative forms of body work in dementia care. </w:t>
      </w:r>
      <w:r w:rsidRPr="00DA2952">
        <w:rPr>
          <w:rFonts w:ascii="Times New Roman" w:hAnsi="Times New Roman"/>
          <w:i/>
          <w:iCs/>
          <w:szCs w:val="24"/>
        </w:rPr>
        <w:t>Sociology of Health &amp; Illness</w:t>
      </w:r>
      <w:r w:rsidRPr="00DA2952">
        <w:rPr>
          <w:rFonts w:ascii="Times New Roman" w:hAnsi="Times New Roman"/>
          <w:szCs w:val="24"/>
        </w:rPr>
        <w:t>, 38(8), pp. 1287-1302.</w:t>
      </w:r>
    </w:p>
    <w:p w14:paraId="40828994" w14:textId="77777777" w:rsidR="00503349" w:rsidRDefault="00503349" w:rsidP="00503349">
      <w:pPr>
        <w:jc w:val="both"/>
        <w:rPr>
          <w:rFonts w:ascii="Times New Roman" w:hAnsi="Times New Roman"/>
          <w:szCs w:val="24"/>
        </w:rPr>
      </w:pPr>
      <w:r w:rsidRPr="00CF1AE8">
        <w:rPr>
          <w:rFonts w:ascii="Times New Roman" w:hAnsi="Times New Roman"/>
          <w:szCs w:val="24"/>
        </w:rPr>
        <w:t>Watkins, L. M. and Johnston, L., 2000. Screening job applicants: the impact of physical attractiveness and application quality. I</w:t>
      </w:r>
      <w:r w:rsidRPr="00CF1AE8">
        <w:rPr>
          <w:rFonts w:ascii="Times New Roman" w:hAnsi="Times New Roman"/>
          <w:i/>
          <w:szCs w:val="24"/>
        </w:rPr>
        <w:t>nternational Journal of Selection and Assessment</w:t>
      </w:r>
      <w:r w:rsidRPr="00CF1AE8">
        <w:rPr>
          <w:rFonts w:ascii="Times New Roman" w:hAnsi="Times New Roman"/>
          <w:szCs w:val="24"/>
        </w:rPr>
        <w:t>, 8, pp. 76-84.</w:t>
      </w:r>
    </w:p>
    <w:p w14:paraId="6AE4C303" w14:textId="77777777" w:rsidR="00503349" w:rsidRPr="00C72FAA" w:rsidRDefault="00503349" w:rsidP="00503349">
      <w:pPr>
        <w:rPr>
          <w:rFonts w:ascii="Times New Roman" w:hAnsi="Times New Roman"/>
          <w:szCs w:val="24"/>
        </w:rPr>
      </w:pPr>
      <w:r w:rsidRPr="002C17CC">
        <w:rPr>
          <w:rFonts w:ascii="Times New Roman" w:hAnsi="Times New Roman"/>
          <w:bCs/>
          <w:szCs w:val="24"/>
        </w:rPr>
        <w:t xml:space="preserve">Wattis, L., Standing, K. and Yerkes, M.A., 2013. Mothers and work–life balance: exploring the contradictions and complexities involved in work–family negotiation. </w:t>
      </w:r>
      <w:r w:rsidRPr="0005319F">
        <w:rPr>
          <w:rFonts w:ascii="Times New Roman" w:hAnsi="Times New Roman"/>
          <w:bCs/>
          <w:i/>
          <w:iCs/>
          <w:szCs w:val="24"/>
        </w:rPr>
        <w:t>Community, Work &amp; Family</w:t>
      </w:r>
      <w:r w:rsidRPr="002C17CC">
        <w:rPr>
          <w:rFonts w:ascii="Times New Roman" w:hAnsi="Times New Roman"/>
          <w:bCs/>
          <w:szCs w:val="24"/>
        </w:rPr>
        <w:t>, 16, pp. 1-19.</w:t>
      </w:r>
    </w:p>
    <w:p w14:paraId="651A3888" w14:textId="77777777" w:rsidR="00503349" w:rsidRDefault="00503349" w:rsidP="00503349">
      <w:pPr>
        <w:jc w:val="both"/>
        <w:rPr>
          <w:rFonts w:ascii="Times New Roman" w:hAnsi="Times New Roman"/>
          <w:szCs w:val="24"/>
        </w:rPr>
      </w:pPr>
      <w:r w:rsidRPr="00E30F2F">
        <w:rPr>
          <w:rFonts w:ascii="Times New Roman" w:hAnsi="Times New Roman"/>
          <w:szCs w:val="24"/>
        </w:rPr>
        <w:t>Webber, F.</w:t>
      </w:r>
      <w:r>
        <w:rPr>
          <w:rFonts w:ascii="Times New Roman" w:hAnsi="Times New Roman"/>
          <w:szCs w:val="24"/>
        </w:rPr>
        <w:t>,</w:t>
      </w:r>
      <w:r w:rsidRPr="00E30F2F">
        <w:rPr>
          <w:rFonts w:ascii="Times New Roman" w:hAnsi="Times New Roman"/>
          <w:szCs w:val="24"/>
        </w:rPr>
        <w:t xml:space="preserve"> 2019. On the creation of the UK’s “hostile environment.” </w:t>
      </w:r>
      <w:r w:rsidRPr="00E30F2F">
        <w:rPr>
          <w:rFonts w:ascii="Times New Roman" w:hAnsi="Times New Roman"/>
          <w:i/>
          <w:iCs/>
          <w:szCs w:val="24"/>
        </w:rPr>
        <w:t>Race &amp; Class</w:t>
      </w:r>
      <w:r w:rsidRPr="00E30F2F">
        <w:rPr>
          <w:rFonts w:ascii="Times New Roman" w:hAnsi="Times New Roman"/>
          <w:szCs w:val="24"/>
        </w:rPr>
        <w:t xml:space="preserve">, 60(4), </w:t>
      </w:r>
      <w:r>
        <w:rPr>
          <w:rFonts w:ascii="Times New Roman" w:hAnsi="Times New Roman"/>
          <w:szCs w:val="24"/>
        </w:rPr>
        <w:t xml:space="preserve">pp. </w:t>
      </w:r>
      <w:r w:rsidRPr="00E30F2F">
        <w:rPr>
          <w:rFonts w:ascii="Times New Roman" w:hAnsi="Times New Roman"/>
          <w:szCs w:val="24"/>
        </w:rPr>
        <w:t>76</w:t>
      </w:r>
      <w:r>
        <w:rPr>
          <w:rFonts w:ascii="Times New Roman" w:hAnsi="Times New Roman"/>
          <w:szCs w:val="24"/>
        </w:rPr>
        <w:t>-</w:t>
      </w:r>
      <w:r w:rsidRPr="00E30F2F">
        <w:rPr>
          <w:rFonts w:ascii="Times New Roman" w:hAnsi="Times New Roman"/>
          <w:szCs w:val="24"/>
        </w:rPr>
        <w:t>87.</w:t>
      </w:r>
    </w:p>
    <w:p w14:paraId="39F7AFB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Weiss, C.O., Gonzalez, H.M., Kabeto, M.U. and Langa, K.M., 2005. Differences in amount of informal care received by non‐Hispanic whites and Latinos in a nationally representative sample of older Americans. </w:t>
      </w:r>
      <w:r w:rsidRPr="002B3011">
        <w:rPr>
          <w:rFonts w:ascii="Times New Roman" w:hAnsi="Times New Roman"/>
          <w:i/>
          <w:iCs/>
          <w:color w:val="000000"/>
          <w:szCs w:val="24"/>
        </w:rPr>
        <w:t>Journal of the American Geriatrics Society</w:t>
      </w:r>
      <w:r w:rsidRPr="002B3011">
        <w:rPr>
          <w:rFonts w:ascii="Times New Roman" w:hAnsi="Times New Roman"/>
          <w:color w:val="000000"/>
          <w:szCs w:val="24"/>
        </w:rPr>
        <w:t>, 53, pp. 146-151.</w:t>
      </w:r>
    </w:p>
    <w:p w14:paraId="6E1CF86A" w14:textId="77777777" w:rsidR="00503349" w:rsidRDefault="00503349" w:rsidP="00503349">
      <w:pPr>
        <w:jc w:val="both"/>
        <w:rPr>
          <w:rFonts w:ascii="Times New Roman" w:hAnsi="Times New Roman"/>
          <w:szCs w:val="24"/>
        </w:rPr>
      </w:pPr>
      <w:r w:rsidRPr="002C65B5">
        <w:rPr>
          <w:rFonts w:ascii="Times New Roman" w:hAnsi="Times New Roman"/>
          <w:szCs w:val="24"/>
        </w:rPr>
        <w:lastRenderedPageBreak/>
        <w:t>Wells, J.S.G.</w:t>
      </w:r>
      <w:r>
        <w:rPr>
          <w:rFonts w:ascii="Times New Roman" w:hAnsi="Times New Roman"/>
          <w:szCs w:val="24"/>
        </w:rPr>
        <w:t>,</w:t>
      </w:r>
      <w:r w:rsidRPr="002C65B5">
        <w:rPr>
          <w:rFonts w:ascii="Times New Roman" w:hAnsi="Times New Roman"/>
          <w:szCs w:val="24"/>
        </w:rPr>
        <w:t xml:space="preserve"> 2020</w:t>
      </w:r>
      <w:r>
        <w:rPr>
          <w:rFonts w:ascii="Times New Roman" w:hAnsi="Times New Roman"/>
          <w:szCs w:val="24"/>
        </w:rPr>
        <w:t>.</w:t>
      </w:r>
      <w:r w:rsidRPr="002C65B5">
        <w:rPr>
          <w:rFonts w:ascii="Times New Roman" w:hAnsi="Times New Roman"/>
          <w:szCs w:val="24"/>
        </w:rPr>
        <w:t xml:space="preserve"> Brexit in the “International Year of the Nurse and Midwife” and its implications for nursing in the European Union. </w:t>
      </w:r>
      <w:r w:rsidRPr="002C65B5">
        <w:rPr>
          <w:rFonts w:ascii="Times New Roman" w:hAnsi="Times New Roman"/>
          <w:i/>
          <w:iCs/>
          <w:szCs w:val="24"/>
        </w:rPr>
        <w:t>Journal of Nursing Management</w:t>
      </w:r>
      <w:r w:rsidRPr="002C65B5">
        <w:rPr>
          <w:rFonts w:ascii="Times New Roman" w:hAnsi="Times New Roman"/>
          <w:szCs w:val="24"/>
        </w:rPr>
        <w:t>, 28</w:t>
      </w:r>
      <w:r>
        <w:rPr>
          <w:rFonts w:ascii="Times New Roman" w:hAnsi="Times New Roman"/>
          <w:szCs w:val="24"/>
        </w:rPr>
        <w:t>, pp.</w:t>
      </w:r>
      <w:r w:rsidRPr="002C65B5">
        <w:rPr>
          <w:rFonts w:ascii="Times New Roman" w:hAnsi="Times New Roman"/>
          <w:szCs w:val="24"/>
        </w:rPr>
        <w:t xml:space="preserve"> 185-187.</w:t>
      </w:r>
    </w:p>
    <w:p w14:paraId="6872DACA" w14:textId="77777777" w:rsidR="00503349" w:rsidRPr="000A56C6" w:rsidRDefault="00503349" w:rsidP="00503349">
      <w:pPr>
        <w:shd w:val="clear" w:color="auto" w:fill="FFFFFF"/>
        <w:spacing w:before="240"/>
        <w:rPr>
          <w:rFonts w:ascii="Times New Roman" w:hAnsi="Times New Roman"/>
          <w:szCs w:val="24"/>
        </w:rPr>
      </w:pPr>
      <w:r w:rsidRPr="000A56C6">
        <w:rPr>
          <w:rFonts w:ascii="Times New Roman" w:hAnsi="Times New Roman"/>
          <w:szCs w:val="24"/>
        </w:rPr>
        <w:t xml:space="preserve">West, M., Dawson, J. and Kaur, M., 2015. </w:t>
      </w:r>
      <w:r w:rsidRPr="000A56C6">
        <w:rPr>
          <w:rFonts w:ascii="Times New Roman" w:hAnsi="Times New Roman"/>
          <w:i/>
          <w:iCs/>
          <w:szCs w:val="24"/>
        </w:rPr>
        <w:t>Making the difference: diversity and inclusion in the NHS</w:t>
      </w:r>
      <w:r w:rsidRPr="000A56C6">
        <w:rPr>
          <w:rFonts w:ascii="Times New Roman" w:hAnsi="Times New Roman"/>
          <w:szCs w:val="24"/>
        </w:rPr>
        <w:t>. London: The King’s Fund.</w:t>
      </w:r>
    </w:p>
    <w:p w14:paraId="194060F6"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Westra, A.E., Willems, D.L. and Smit, B.J., 2009. Communicating with Muslim parents: “the four principles” are not as culturally neutral as suggested. </w:t>
      </w:r>
      <w:r w:rsidRPr="004E3E8F">
        <w:rPr>
          <w:rFonts w:ascii="Times New Roman" w:hAnsi="Times New Roman"/>
          <w:i/>
          <w:iCs/>
          <w:szCs w:val="24"/>
        </w:rPr>
        <w:t>European Journal of Pediatrics</w:t>
      </w:r>
      <w:r w:rsidRPr="004E3E8F">
        <w:rPr>
          <w:rFonts w:ascii="Times New Roman" w:hAnsi="Times New Roman"/>
          <w:szCs w:val="24"/>
        </w:rPr>
        <w:t xml:space="preserve">, </w:t>
      </w:r>
      <w:r w:rsidRPr="004E3E8F">
        <w:rPr>
          <w:rFonts w:ascii="Times New Roman" w:hAnsi="Times New Roman"/>
          <w:iCs/>
          <w:szCs w:val="24"/>
        </w:rPr>
        <w:t>168</w:t>
      </w:r>
      <w:r w:rsidRPr="004E3E8F">
        <w:rPr>
          <w:rFonts w:ascii="Times New Roman" w:hAnsi="Times New Roman"/>
          <w:szCs w:val="24"/>
        </w:rPr>
        <w:t>(11), pp. 1383-1387.</w:t>
      </w:r>
    </w:p>
    <w:p w14:paraId="55D46E38"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color w:val="000000"/>
          <w:szCs w:val="24"/>
        </w:rPr>
        <w:t xml:space="preserve">Weuve, J.L., Boult, C. and Morishita, L., 2000. The effects of outpatient geriatric evaluation and management on caregiver burden. </w:t>
      </w:r>
      <w:r w:rsidRPr="002B3011">
        <w:rPr>
          <w:rFonts w:ascii="Times New Roman" w:hAnsi="Times New Roman"/>
          <w:i/>
          <w:iCs/>
          <w:color w:val="000000"/>
          <w:szCs w:val="24"/>
        </w:rPr>
        <w:t>The Gerontologist</w:t>
      </w:r>
      <w:r w:rsidRPr="002B3011">
        <w:rPr>
          <w:rFonts w:ascii="Times New Roman" w:hAnsi="Times New Roman"/>
          <w:color w:val="000000"/>
          <w:szCs w:val="24"/>
        </w:rPr>
        <w:t>, 40, pp. 429-436.</w:t>
      </w:r>
    </w:p>
    <w:p w14:paraId="519544AB" w14:textId="77777777" w:rsidR="00503349" w:rsidRDefault="00503349" w:rsidP="00503349">
      <w:pPr>
        <w:jc w:val="both"/>
        <w:rPr>
          <w:rFonts w:ascii="Times New Roman" w:hAnsi="Times New Roman"/>
          <w:szCs w:val="24"/>
        </w:rPr>
      </w:pPr>
      <w:r w:rsidRPr="00CF1AE8">
        <w:rPr>
          <w:rFonts w:ascii="Times New Roman" w:hAnsi="Times New Roman"/>
          <w:szCs w:val="24"/>
        </w:rPr>
        <w:t xml:space="preserve">Wheatley, I., 2006. The nursing practice of taking level 1 patient observations. </w:t>
      </w:r>
      <w:r w:rsidRPr="00CF1AE8">
        <w:rPr>
          <w:rFonts w:ascii="Times New Roman" w:hAnsi="Times New Roman"/>
          <w:i/>
          <w:iCs/>
          <w:szCs w:val="24"/>
        </w:rPr>
        <w:t>Intensive and Critical Care Nursing</w:t>
      </w:r>
      <w:r w:rsidRPr="00CF1AE8">
        <w:rPr>
          <w:rFonts w:ascii="Times New Roman" w:hAnsi="Times New Roman"/>
          <w:szCs w:val="24"/>
        </w:rPr>
        <w:t xml:space="preserve">, </w:t>
      </w:r>
      <w:r w:rsidRPr="00CF1AE8">
        <w:rPr>
          <w:rFonts w:ascii="Times New Roman" w:hAnsi="Times New Roman"/>
          <w:bCs/>
          <w:szCs w:val="24"/>
        </w:rPr>
        <w:t>22</w:t>
      </w:r>
      <w:r w:rsidRPr="00CF1AE8">
        <w:rPr>
          <w:rFonts w:ascii="Times New Roman" w:hAnsi="Times New Roman"/>
          <w:szCs w:val="24"/>
        </w:rPr>
        <w:t>(2), pp. 115–121.</w:t>
      </w:r>
    </w:p>
    <w:p w14:paraId="6678244B" w14:textId="77777777" w:rsidR="00503349" w:rsidRPr="00DA2952" w:rsidRDefault="00503349" w:rsidP="00503349">
      <w:pPr>
        <w:spacing w:line="240" w:lineRule="auto"/>
        <w:rPr>
          <w:rFonts w:ascii="Times New Roman" w:hAnsi="Times New Roman"/>
          <w:szCs w:val="24"/>
        </w:rPr>
      </w:pPr>
      <w:r w:rsidRPr="00DA2952">
        <w:rPr>
          <w:rFonts w:ascii="Times New Roman" w:hAnsi="Times New Roman"/>
          <w:szCs w:val="24"/>
        </w:rPr>
        <w:t xml:space="preserve">White, R., 2013. The Globalisation of mental illness. </w:t>
      </w:r>
      <w:r w:rsidRPr="00DA2952">
        <w:rPr>
          <w:rFonts w:ascii="Times New Roman" w:hAnsi="Times New Roman"/>
          <w:i/>
          <w:iCs/>
          <w:szCs w:val="24"/>
        </w:rPr>
        <w:t>The Psychologist</w:t>
      </w:r>
      <w:r w:rsidRPr="00DA2952">
        <w:rPr>
          <w:rFonts w:ascii="Times New Roman" w:hAnsi="Times New Roman"/>
          <w:szCs w:val="24"/>
        </w:rPr>
        <w:t>, 26(3), 182-185. </w:t>
      </w:r>
    </w:p>
    <w:p w14:paraId="2A1538B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Whiting, L.S., 2008. Semi-structured interviews: guidance for novice researchers. </w:t>
      </w:r>
      <w:r w:rsidRPr="004E3E8F">
        <w:rPr>
          <w:rFonts w:ascii="Times New Roman" w:hAnsi="Times New Roman"/>
          <w:i/>
          <w:iCs/>
          <w:szCs w:val="24"/>
        </w:rPr>
        <w:t>Nursing Standard</w:t>
      </w:r>
      <w:r w:rsidRPr="004E3E8F">
        <w:rPr>
          <w:rFonts w:ascii="Times New Roman" w:hAnsi="Times New Roman"/>
          <w:szCs w:val="24"/>
        </w:rPr>
        <w:t>, 22(23), pp. 35-40.</w:t>
      </w:r>
    </w:p>
    <w:p w14:paraId="0B2DE521" w14:textId="77777777" w:rsidR="00503349" w:rsidRPr="002B3011" w:rsidRDefault="00503349" w:rsidP="00503349">
      <w:pPr>
        <w:textAlignment w:val="baseline"/>
        <w:rPr>
          <w:rFonts w:ascii="Times New Roman" w:hAnsi="Times New Roman"/>
          <w:color w:val="000000"/>
          <w:szCs w:val="24"/>
        </w:rPr>
      </w:pPr>
      <w:r w:rsidRPr="002B3011">
        <w:rPr>
          <w:rFonts w:ascii="Times New Roman" w:hAnsi="Times New Roman"/>
          <w:szCs w:val="24"/>
        </w:rPr>
        <w:t xml:space="preserve">Wigglesworth, A., Mosqueda, L., Mulnard, R., Liao, S., Gibbs, L. and Fitzgerald, W., </w:t>
      </w:r>
      <w:r w:rsidRPr="002B3011">
        <w:rPr>
          <w:rFonts w:ascii="Times New Roman" w:hAnsi="Times New Roman"/>
          <w:noProof/>
          <w:szCs w:val="24"/>
        </w:rPr>
        <w:t xml:space="preserve">2010. Screening for abuse and neglect of people with dementia. </w:t>
      </w:r>
      <w:r w:rsidRPr="002B3011">
        <w:rPr>
          <w:rFonts w:ascii="Times New Roman" w:hAnsi="Times New Roman"/>
          <w:i/>
          <w:iCs/>
          <w:noProof/>
          <w:szCs w:val="24"/>
        </w:rPr>
        <w:t>Journal of the American Geriatrics Society</w:t>
      </w:r>
      <w:r w:rsidRPr="002B3011">
        <w:rPr>
          <w:rFonts w:ascii="Times New Roman" w:hAnsi="Times New Roman"/>
          <w:noProof/>
          <w:szCs w:val="24"/>
        </w:rPr>
        <w:t xml:space="preserve">, </w:t>
      </w:r>
      <w:r w:rsidRPr="002B3011">
        <w:rPr>
          <w:rFonts w:ascii="Times New Roman" w:hAnsi="Times New Roman"/>
          <w:bCs/>
          <w:noProof/>
          <w:szCs w:val="24"/>
        </w:rPr>
        <w:t>58</w:t>
      </w:r>
      <w:r w:rsidRPr="002B3011">
        <w:rPr>
          <w:rFonts w:ascii="Times New Roman" w:hAnsi="Times New Roman"/>
          <w:noProof/>
          <w:szCs w:val="24"/>
        </w:rPr>
        <w:t>,</w:t>
      </w:r>
      <w:r w:rsidRPr="002B3011">
        <w:rPr>
          <w:rFonts w:ascii="Times New Roman" w:hAnsi="Times New Roman"/>
          <w:szCs w:val="24"/>
        </w:rPr>
        <w:t xml:space="preserve"> pp. 493-500.</w:t>
      </w:r>
    </w:p>
    <w:p w14:paraId="7ABBE73F"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Wiles, R., Crow, G., Heath, S. and Charles, V., 2008. The management of confidentiality and anonymity in social research. </w:t>
      </w:r>
      <w:r w:rsidRPr="004E3E8F">
        <w:rPr>
          <w:rFonts w:ascii="Times New Roman" w:hAnsi="Times New Roman"/>
          <w:i/>
          <w:iCs/>
          <w:szCs w:val="24"/>
        </w:rPr>
        <w:t>International Journal of Social Research Methodology</w:t>
      </w:r>
      <w:r w:rsidRPr="004E3E8F">
        <w:rPr>
          <w:rFonts w:ascii="Times New Roman" w:hAnsi="Times New Roman"/>
          <w:szCs w:val="24"/>
        </w:rPr>
        <w:t>, 11(5), pp. 417-428.</w:t>
      </w:r>
    </w:p>
    <w:p w14:paraId="15A347F0"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Willemse, B.M., De Jonge, J., Smit, D., Visser, Q., Depla, M.F.I.A. and Pot, A.M., 2014. Staff’s person-centredness in dementia care in relation to job characteristics and job-related well-being: a cross-sectional survey in nursing homes. </w:t>
      </w:r>
      <w:r w:rsidRPr="00AB40E2">
        <w:rPr>
          <w:rFonts w:ascii="Times New Roman" w:hAnsi="Times New Roman"/>
          <w:i/>
          <w:szCs w:val="24"/>
        </w:rPr>
        <w:t>Journal of Advanced Nursing</w:t>
      </w:r>
      <w:r w:rsidRPr="00AB40E2">
        <w:rPr>
          <w:rFonts w:ascii="Times New Roman" w:hAnsi="Times New Roman"/>
          <w:szCs w:val="24"/>
        </w:rPr>
        <w:t>, 71, pp. 404-416.</w:t>
      </w:r>
    </w:p>
    <w:p w14:paraId="340B72F8" w14:textId="77777777" w:rsidR="00503349" w:rsidRDefault="00503349" w:rsidP="00503349">
      <w:pPr>
        <w:jc w:val="both"/>
        <w:rPr>
          <w:rFonts w:ascii="Times New Roman" w:hAnsi="Times New Roman"/>
          <w:szCs w:val="24"/>
        </w:rPr>
      </w:pPr>
      <w:r w:rsidRPr="00196C46">
        <w:rPr>
          <w:rFonts w:ascii="Times New Roman" w:hAnsi="Times New Roman"/>
          <w:szCs w:val="24"/>
        </w:rPr>
        <w:lastRenderedPageBreak/>
        <w:t xml:space="preserve">Williams, B., Brown, T., McKenna, L., Boyle, M.J., Palermo, C., Nestel, D., Brightwell, R., McCall, L., Russo, V., 2014. Empathy levels among health professional students: a cross-sectional study at two universities in Australia. </w:t>
      </w:r>
      <w:r w:rsidRPr="00196C46">
        <w:rPr>
          <w:rFonts w:ascii="Times New Roman" w:hAnsi="Times New Roman"/>
          <w:i/>
          <w:iCs/>
          <w:szCs w:val="24"/>
        </w:rPr>
        <w:t>Advance in Medical Education &amp; Practice</w:t>
      </w:r>
      <w:r w:rsidRPr="00196C46">
        <w:rPr>
          <w:rFonts w:ascii="Times New Roman" w:hAnsi="Times New Roman"/>
          <w:szCs w:val="24"/>
        </w:rPr>
        <w:t>, 5, pp. 107-113.</w:t>
      </w:r>
    </w:p>
    <w:p w14:paraId="36465116" w14:textId="77777777" w:rsidR="00503349" w:rsidRDefault="00503349" w:rsidP="00503349">
      <w:pPr>
        <w:spacing w:after="200"/>
        <w:jc w:val="both"/>
        <w:rPr>
          <w:rFonts w:ascii="Times New Roman" w:eastAsia="Calibri" w:hAnsi="Times New Roman"/>
          <w:szCs w:val="24"/>
          <w:lang w:eastAsia="en-US"/>
        </w:rPr>
      </w:pPr>
      <w:r w:rsidRPr="003F2996">
        <w:rPr>
          <w:rFonts w:ascii="Times New Roman" w:eastAsia="Calibri" w:hAnsi="Times New Roman"/>
          <w:szCs w:val="24"/>
          <w:lang w:eastAsia="en-US"/>
        </w:rPr>
        <w:t>Williams, K.N., Herman, R., Gajewski, B. and Wilson, K., 2009. Elderspeak communication: Impact on dementia care. </w:t>
      </w:r>
      <w:r w:rsidRPr="003F2996">
        <w:rPr>
          <w:rFonts w:ascii="Times New Roman" w:eastAsia="Calibri" w:hAnsi="Times New Roman"/>
          <w:i/>
          <w:iCs/>
          <w:szCs w:val="24"/>
          <w:lang w:eastAsia="en-US"/>
        </w:rPr>
        <w:t>American Journal of Alzheimer's Disease &amp; Other Dementias</w:t>
      </w:r>
      <w:r w:rsidRPr="00FD5E8A">
        <w:rPr>
          <w:rFonts w:ascii="Times New Roman" w:eastAsia="Calibri" w:hAnsi="Times New Roman"/>
          <w:i/>
          <w:iCs/>
          <w:szCs w:val="24"/>
          <w:lang w:eastAsia="en-US"/>
        </w:rPr>
        <w:t>®</w:t>
      </w:r>
      <w:r w:rsidRPr="003F2996">
        <w:rPr>
          <w:rFonts w:ascii="Times New Roman" w:eastAsia="Calibri" w:hAnsi="Times New Roman"/>
          <w:szCs w:val="24"/>
          <w:lang w:eastAsia="en-US"/>
        </w:rPr>
        <w:t>, 24</w:t>
      </w:r>
      <w:r>
        <w:rPr>
          <w:rFonts w:ascii="Times New Roman" w:eastAsia="Calibri" w:hAnsi="Times New Roman"/>
          <w:szCs w:val="24"/>
          <w:lang w:eastAsia="en-US"/>
        </w:rPr>
        <w:t xml:space="preserve">, </w:t>
      </w:r>
      <w:r w:rsidRPr="003F2996">
        <w:rPr>
          <w:rFonts w:ascii="Times New Roman" w:eastAsia="Calibri" w:hAnsi="Times New Roman"/>
          <w:szCs w:val="24"/>
          <w:lang w:eastAsia="en-US"/>
        </w:rPr>
        <w:t>pp.</w:t>
      </w:r>
      <w:r>
        <w:rPr>
          <w:rFonts w:ascii="Times New Roman" w:eastAsia="Calibri" w:hAnsi="Times New Roman"/>
          <w:szCs w:val="24"/>
          <w:lang w:eastAsia="en-US"/>
        </w:rPr>
        <w:t xml:space="preserve"> </w:t>
      </w:r>
      <w:r w:rsidRPr="003F2996">
        <w:rPr>
          <w:rFonts w:ascii="Times New Roman" w:eastAsia="Calibri" w:hAnsi="Times New Roman"/>
          <w:szCs w:val="24"/>
          <w:lang w:eastAsia="en-US"/>
        </w:rPr>
        <w:t>11-20.</w:t>
      </w:r>
    </w:p>
    <w:p w14:paraId="42A18D49"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Williams, M.T., Beckmann-Mendez, D.A. and Turkheimer, E., 2013. </w:t>
      </w:r>
      <w:r w:rsidRPr="004E3E8F">
        <w:rPr>
          <w:rFonts w:ascii="Times New Roman" w:hAnsi="Times New Roman"/>
          <w:bCs/>
          <w:szCs w:val="24"/>
        </w:rPr>
        <w:t xml:space="preserve">Cultural barriers to African American participation in anxiety disorders research. </w:t>
      </w:r>
      <w:r w:rsidRPr="004E3E8F">
        <w:rPr>
          <w:rFonts w:ascii="Times New Roman" w:hAnsi="Times New Roman"/>
          <w:i/>
          <w:szCs w:val="24"/>
        </w:rPr>
        <w:t>Journal of the National Medical Association</w:t>
      </w:r>
      <w:r w:rsidRPr="004E3E8F">
        <w:rPr>
          <w:rFonts w:ascii="Times New Roman" w:hAnsi="Times New Roman"/>
          <w:szCs w:val="24"/>
        </w:rPr>
        <w:t>, 105, pp. 33-41.</w:t>
      </w:r>
    </w:p>
    <w:p w14:paraId="4AB6109F"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Williams, S, and Villemez, W.J., 1993. Seekers and Finders: male entry and exit in female-dominated jobs. In: C.L. Williams, ed. 1993. </w:t>
      </w:r>
      <w:r w:rsidRPr="000A56C6">
        <w:rPr>
          <w:rFonts w:ascii="Times New Roman" w:hAnsi="Times New Roman"/>
          <w:i/>
          <w:szCs w:val="24"/>
        </w:rPr>
        <w:t>Doing women’s work: men in non-traditional occupations</w:t>
      </w:r>
      <w:r w:rsidRPr="000A56C6">
        <w:rPr>
          <w:rFonts w:ascii="Times New Roman" w:hAnsi="Times New Roman"/>
          <w:szCs w:val="24"/>
        </w:rPr>
        <w:t>. London: Sage. Ch.5.</w:t>
      </w:r>
    </w:p>
    <w:p w14:paraId="45A87B34"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rPr>
        <w:t xml:space="preserve">Willig, C., 2008. A phenomenological investigation of the experience of taking part in extreme sports. </w:t>
      </w:r>
      <w:r w:rsidRPr="004E3E8F">
        <w:rPr>
          <w:rFonts w:ascii="Times New Roman" w:hAnsi="Times New Roman"/>
          <w:i/>
          <w:iCs/>
          <w:szCs w:val="24"/>
        </w:rPr>
        <w:t>Journal of Health Psychology</w:t>
      </w:r>
      <w:r w:rsidRPr="004E3E8F">
        <w:rPr>
          <w:rFonts w:ascii="Times New Roman" w:hAnsi="Times New Roman"/>
          <w:szCs w:val="24"/>
        </w:rPr>
        <w:t>, 13(5), pp. 690-702.</w:t>
      </w:r>
    </w:p>
    <w:p w14:paraId="6B8B52C1" w14:textId="77777777" w:rsidR="00503349" w:rsidRDefault="00503349" w:rsidP="00503349">
      <w:pPr>
        <w:spacing w:before="240"/>
        <w:rPr>
          <w:rFonts w:ascii="Times New Roman" w:hAnsi="Times New Roman"/>
          <w:szCs w:val="24"/>
        </w:rPr>
      </w:pPr>
      <w:r>
        <w:rPr>
          <w:rStyle w:val="hlfld-contribauthor"/>
          <w:rFonts w:ascii="Times New Roman" w:eastAsiaTheme="majorEastAsia" w:hAnsi="Times New Roman"/>
          <w:szCs w:val="24"/>
        </w:rPr>
        <w:t xml:space="preserve">Willis, </w:t>
      </w:r>
      <w:r>
        <w:rPr>
          <w:rStyle w:val="nlmgiven-names"/>
          <w:rFonts w:ascii="Times New Roman" w:hAnsi="Times New Roman"/>
          <w:szCs w:val="24"/>
        </w:rPr>
        <w:t>K.G.</w:t>
      </w:r>
      <w:r>
        <w:rPr>
          <w:rStyle w:val="nlmyear"/>
          <w:rFonts w:ascii="Times New Roman" w:eastAsiaTheme="minorEastAsia" w:hAnsi="Times New Roman"/>
          <w:szCs w:val="24"/>
        </w:rPr>
        <w:t>1974</w:t>
      </w:r>
      <w:r>
        <w:rPr>
          <w:rFonts w:ascii="Times New Roman" w:hAnsi="Times New Roman"/>
          <w:szCs w:val="24"/>
        </w:rPr>
        <w:t xml:space="preserve">. </w:t>
      </w:r>
      <w:r>
        <w:rPr>
          <w:rFonts w:ascii="Times New Roman" w:hAnsi="Times New Roman"/>
          <w:i/>
          <w:iCs/>
          <w:szCs w:val="24"/>
        </w:rPr>
        <w:t>Problems in Migration Analysis</w:t>
      </w:r>
      <w:r>
        <w:rPr>
          <w:rFonts w:ascii="Times New Roman" w:hAnsi="Times New Roman"/>
          <w:szCs w:val="24"/>
        </w:rPr>
        <w:t xml:space="preserve">. </w:t>
      </w:r>
      <w:r>
        <w:rPr>
          <w:rStyle w:val="nlmpublisher-loc"/>
          <w:rFonts w:ascii="Times New Roman" w:hAnsi="Times New Roman"/>
          <w:szCs w:val="24"/>
        </w:rPr>
        <w:t>Farnborough, Hants</w:t>
      </w:r>
      <w:r>
        <w:rPr>
          <w:rFonts w:ascii="Times New Roman" w:hAnsi="Times New Roman"/>
          <w:szCs w:val="24"/>
        </w:rPr>
        <w:t xml:space="preserve">: </w:t>
      </w:r>
      <w:r>
        <w:rPr>
          <w:rStyle w:val="nlmpublisher-name"/>
          <w:rFonts w:ascii="Times New Roman" w:hAnsi="Times New Roman"/>
          <w:szCs w:val="24"/>
        </w:rPr>
        <w:t>Saxon House</w:t>
      </w:r>
      <w:r>
        <w:rPr>
          <w:rFonts w:ascii="Times New Roman" w:hAnsi="Times New Roman"/>
          <w:szCs w:val="24"/>
        </w:rPr>
        <w:t>.</w:t>
      </w:r>
    </w:p>
    <w:p w14:paraId="5AF2A049" w14:textId="77777777" w:rsidR="00503349" w:rsidRPr="000A56C6" w:rsidRDefault="00503349" w:rsidP="00503349">
      <w:pPr>
        <w:jc w:val="both"/>
        <w:rPr>
          <w:rFonts w:ascii="Times New Roman" w:hAnsi="Times New Roman"/>
          <w:szCs w:val="24"/>
        </w:rPr>
      </w:pPr>
      <w:r w:rsidRPr="00CF1AE8">
        <w:rPr>
          <w:rFonts w:ascii="Times New Roman" w:hAnsi="Times New Roman"/>
          <w:szCs w:val="24"/>
        </w:rPr>
        <w:t xml:space="preserve">Willott, J. and Stevenson, J., 2013. Attitudes to employment of professionally qualified refugees in the United Kingdom. </w:t>
      </w:r>
      <w:r w:rsidRPr="00CF1AE8">
        <w:rPr>
          <w:rFonts w:ascii="Times New Roman" w:hAnsi="Times New Roman"/>
          <w:i/>
          <w:iCs/>
          <w:szCs w:val="24"/>
        </w:rPr>
        <w:t>International Migration</w:t>
      </w:r>
      <w:r w:rsidRPr="00CF1AE8">
        <w:rPr>
          <w:rFonts w:ascii="Times New Roman" w:hAnsi="Times New Roman"/>
          <w:szCs w:val="24"/>
        </w:rPr>
        <w:t xml:space="preserve">, </w:t>
      </w:r>
      <w:r w:rsidRPr="00CF1AE8">
        <w:rPr>
          <w:rFonts w:ascii="Times New Roman" w:hAnsi="Times New Roman"/>
          <w:bCs/>
          <w:szCs w:val="24"/>
        </w:rPr>
        <w:t>51</w:t>
      </w:r>
      <w:r w:rsidRPr="00CF1AE8">
        <w:rPr>
          <w:rFonts w:ascii="Times New Roman" w:hAnsi="Times New Roman"/>
          <w:szCs w:val="24"/>
        </w:rPr>
        <w:t>, pp. 120-132.</w:t>
      </w:r>
    </w:p>
    <w:p w14:paraId="28FBF932" w14:textId="77777777" w:rsidR="00503349" w:rsidRPr="0099387C" w:rsidRDefault="00503349" w:rsidP="00503349">
      <w:pPr>
        <w:jc w:val="both"/>
        <w:rPr>
          <w:rFonts w:ascii="Times New Roman" w:hAnsi="Times New Roman"/>
          <w:noProof/>
          <w:szCs w:val="24"/>
        </w:rPr>
      </w:pPr>
      <w:r w:rsidRPr="00AB40E2">
        <w:rPr>
          <w:rFonts w:ascii="Times New Roman" w:hAnsi="Times New Roman"/>
          <w:szCs w:val="24"/>
        </w:rPr>
        <w:t xml:space="preserve">Wimo, A., Jönsson, L., Bond, B., Prince, M. and Winblad, B., 2013. The worldwide economic impact of dementia 2010. </w:t>
      </w:r>
      <w:r w:rsidRPr="00AB40E2">
        <w:rPr>
          <w:rFonts w:ascii="Times New Roman" w:hAnsi="Times New Roman"/>
          <w:i/>
          <w:szCs w:val="24"/>
        </w:rPr>
        <w:t>Alzheimer's &amp; Dementia</w:t>
      </w:r>
      <w:r w:rsidRPr="00AB40E2">
        <w:rPr>
          <w:rFonts w:ascii="Times New Roman" w:hAnsi="Times New Roman"/>
          <w:szCs w:val="24"/>
        </w:rPr>
        <w:t>, [e-journal] 9(1). Available through: Anglia Ruskin University Library website &lt;http://libweb.anglia.ac.uk&gt; [Accessed 13 June 2018]</w:t>
      </w:r>
    </w:p>
    <w:p w14:paraId="6593C37C" w14:textId="77777777" w:rsidR="00503349" w:rsidRPr="004E3E8F" w:rsidRDefault="00503349" w:rsidP="00503349">
      <w:pPr>
        <w:spacing w:before="240"/>
        <w:rPr>
          <w:rFonts w:ascii="Times New Roman" w:hAnsi="Times New Roman"/>
          <w:szCs w:val="24"/>
        </w:rPr>
      </w:pPr>
      <w:r w:rsidRPr="004E3E8F">
        <w:rPr>
          <w:rFonts w:ascii="Times New Roman" w:hAnsi="Times New Roman"/>
          <w:szCs w:val="24"/>
          <w:lang w:val="en-AU"/>
        </w:rPr>
        <w:t xml:space="preserve">Wimpenny, P. and Gass, J., 2000. Interviewing in phenomenology and grounded theory: is there a difference? </w:t>
      </w:r>
      <w:r w:rsidRPr="004E3E8F">
        <w:rPr>
          <w:rFonts w:ascii="Times New Roman" w:hAnsi="Times New Roman"/>
          <w:i/>
          <w:szCs w:val="24"/>
          <w:lang w:val="en-AU"/>
        </w:rPr>
        <w:t>Journal of Advance Nursing</w:t>
      </w:r>
      <w:r w:rsidRPr="004E3E8F">
        <w:rPr>
          <w:rFonts w:ascii="Times New Roman" w:hAnsi="Times New Roman"/>
          <w:szCs w:val="24"/>
          <w:lang w:val="en-AU"/>
        </w:rPr>
        <w:t>, 31(6), pp. 1485-1492.</w:t>
      </w:r>
    </w:p>
    <w:p w14:paraId="70BF6175" w14:textId="77777777" w:rsidR="00503349" w:rsidRPr="00602F7D" w:rsidRDefault="00503349" w:rsidP="00503349">
      <w:pPr>
        <w:rPr>
          <w:rFonts w:ascii="Times New Roman" w:hAnsi="Times New Roman"/>
          <w:szCs w:val="24"/>
        </w:rPr>
      </w:pPr>
      <w:r w:rsidRPr="00CF1AE8">
        <w:rPr>
          <w:rFonts w:ascii="Times New Roman" w:hAnsi="Times New Roman"/>
          <w:szCs w:val="24"/>
        </w:rPr>
        <w:t xml:space="preserve">Winkelmann-Gleed, A., 2006. </w:t>
      </w:r>
      <w:r w:rsidRPr="004F3C70">
        <w:rPr>
          <w:rFonts w:ascii="Times New Roman" w:hAnsi="Times New Roman"/>
          <w:i/>
          <w:iCs/>
          <w:szCs w:val="24"/>
        </w:rPr>
        <w:t>Migrant Nurses. Motivation, Integration and Contribution</w:t>
      </w:r>
      <w:r w:rsidRPr="00CF1AE8">
        <w:rPr>
          <w:rFonts w:ascii="Times New Roman" w:hAnsi="Times New Roman"/>
          <w:szCs w:val="24"/>
        </w:rPr>
        <w:t>. Radcliffe: Oxford.</w:t>
      </w:r>
    </w:p>
    <w:p w14:paraId="790AB78B" w14:textId="77777777" w:rsidR="00503349" w:rsidRPr="00EF189A" w:rsidRDefault="00503349" w:rsidP="00503349">
      <w:pPr>
        <w:jc w:val="both"/>
        <w:rPr>
          <w:rFonts w:ascii="Times New Roman" w:hAnsi="Times New Roman"/>
          <w:szCs w:val="24"/>
        </w:rPr>
      </w:pPr>
      <w:r w:rsidRPr="00EF189A">
        <w:rPr>
          <w:rFonts w:ascii="Times New Roman" w:hAnsi="Times New Roman"/>
          <w:szCs w:val="24"/>
          <w:bdr w:val="none" w:sz="0" w:space="0" w:color="auto" w:frame="1"/>
        </w:rPr>
        <w:lastRenderedPageBreak/>
        <w:t xml:space="preserve">Wisener, K.M. and Eva, K.W., 2018. Incentivizing medical teachers: exploring the role of incentives in influencing motivations. </w:t>
      </w:r>
      <w:r w:rsidRPr="00EF189A">
        <w:rPr>
          <w:rFonts w:ascii="Times New Roman" w:hAnsi="Times New Roman"/>
          <w:i/>
          <w:szCs w:val="24"/>
          <w:bdr w:val="none" w:sz="0" w:space="0" w:color="auto" w:frame="1"/>
        </w:rPr>
        <w:t>Academic Medicine</w:t>
      </w:r>
      <w:r w:rsidRPr="00EF189A">
        <w:rPr>
          <w:rFonts w:ascii="Times New Roman" w:hAnsi="Times New Roman"/>
          <w:szCs w:val="24"/>
          <w:bdr w:val="none" w:sz="0" w:space="0" w:color="auto" w:frame="1"/>
        </w:rPr>
        <w:t>, 93(11 Suppl.), pp. S52-S59.</w:t>
      </w:r>
    </w:p>
    <w:p w14:paraId="2B303B05" w14:textId="77777777" w:rsidR="00503349" w:rsidRDefault="00503349" w:rsidP="00503349">
      <w:pPr>
        <w:spacing w:before="240" w:after="0"/>
        <w:rPr>
          <w:rFonts w:ascii="Times New Roman" w:hAnsi="Times New Roman"/>
          <w:szCs w:val="24"/>
        </w:rPr>
      </w:pPr>
      <w:r>
        <w:rPr>
          <w:rFonts w:ascii="Times New Roman" w:hAnsi="Times New Roman"/>
          <w:szCs w:val="24"/>
        </w:rPr>
        <w:t xml:space="preserve">Woetzel, J., Madgavkar, A., Rifai, K., Mattern, F., Bughin, J., Manyika, J., Elmasry, T., Di Lodovico, A. and Hasyagar, A., 2016. </w:t>
      </w:r>
      <w:r>
        <w:rPr>
          <w:rFonts w:ascii="Times New Roman" w:hAnsi="Times New Roman"/>
          <w:i/>
          <w:iCs/>
          <w:szCs w:val="24"/>
        </w:rPr>
        <w:t>People on the move: global migration's impact and opportunity</w:t>
      </w:r>
      <w:r>
        <w:rPr>
          <w:rFonts w:ascii="Times New Roman" w:hAnsi="Times New Roman"/>
          <w:szCs w:val="24"/>
        </w:rPr>
        <w:t>. New York: McKinsey Global Institute.</w:t>
      </w:r>
    </w:p>
    <w:p w14:paraId="7454FB77" w14:textId="77777777" w:rsidR="00503349" w:rsidRPr="00135FDB" w:rsidRDefault="00503349" w:rsidP="00503349">
      <w:pPr>
        <w:spacing w:before="240" w:after="0"/>
        <w:rPr>
          <w:rFonts w:ascii="Times New Roman" w:hAnsi="Times New Roman"/>
          <w:szCs w:val="24"/>
        </w:rPr>
      </w:pPr>
      <w:r>
        <w:rPr>
          <w:rFonts w:ascii="Times New Roman" w:hAnsi="Times New Roman"/>
          <w:iCs/>
          <w:szCs w:val="24"/>
        </w:rPr>
        <w:t xml:space="preserve">Wolf, D.A. and Longino, C.F. (Jr), 2005. </w:t>
      </w:r>
      <w:r>
        <w:rPr>
          <w:rFonts w:ascii="Times New Roman" w:hAnsi="Times New Roman"/>
          <w:szCs w:val="24"/>
        </w:rPr>
        <w:t xml:space="preserve">Our "increasingly mobile society"? The curious persistence of a false belief. </w:t>
      </w:r>
      <w:r>
        <w:rPr>
          <w:rFonts w:ascii="Times New Roman" w:hAnsi="Times New Roman"/>
          <w:i/>
          <w:iCs/>
          <w:szCs w:val="24"/>
        </w:rPr>
        <w:t>Gerontologist</w:t>
      </w:r>
      <w:r>
        <w:rPr>
          <w:rFonts w:ascii="Times New Roman" w:hAnsi="Times New Roman"/>
          <w:iCs/>
          <w:szCs w:val="24"/>
        </w:rPr>
        <w:t>,45, pp. 5-11.</w:t>
      </w:r>
    </w:p>
    <w:p w14:paraId="7B3FFD76" w14:textId="77777777" w:rsidR="00503349" w:rsidRDefault="00503349" w:rsidP="00503349">
      <w:pPr>
        <w:spacing w:before="240"/>
        <w:rPr>
          <w:rFonts w:ascii="Times New Roman" w:hAnsi="Times New Roman"/>
          <w:szCs w:val="24"/>
        </w:rPr>
      </w:pPr>
      <w:r>
        <w:rPr>
          <w:rFonts w:ascii="Times New Roman" w:hAnsi="Times New Roman"/>
          <w:szCs w:val="24"/>
        </w:rPr>
        <w:t xml:space="preserve">Wolfel, R., 2002. Migration in the new world order: Structuration theory and its contribution </w:t>
      </w:r>
      <w:r w:rsidRPr="00A40D36">
        <w:rPr>
          <w:rFonts w:ascii="Times New Roman" w:hAnsi="Times New Roman"/>
          <w:szCs w:val="24"/>
        </w:rPr>
        <w:t>to explanations of migration. [e-journal], pp. 1-28. Available at: &lt;</w:t>
      </w:r>
      <w:r w:rsidRPr="000C2CD1">
        <w:rPr>
          <w:rStyle w:val="Hyperlink"/>
          <w:rFonts w:ascii="Times New Roman" w:hAnsi="Times New Roman"/>
          <w:szCs w:val="24"/>
        </w:rPr>
        <w:t>http://www.siue.edu/GEOGRAPHY/ONLINE/Wolfel05.pdf</w:t>
      </w:r>
      <w:r w:rsidRPr="00A40D36">
        <w:rPr>
          <w:rFonts w:ascii="Times New Roman" w:hAnsi="Times New Roman"/>
          <w:szCs w:val="24"/>
        </w:rPr>
        <w:t xml:space="preserve">&gt;[Accessed 30 December </w:t>
      </w:r>
      <w:r>
        <w:rPr>
          <w:rFonts w:ascii="Times New Roman" w:hAnsi="Times New Roman"/>
          <w:szCs w:val="24"/>
        </w:rPr>
        <w:t>2018]</w:t>
      </w:r>
    </w:p>
    <w:p w14:paraId="60EB942C" w14:textId="77777777" w:rsidR="00503349" w:rsidRDefault="00503349" w:rsidP="00503349">
      <w:pPr>
        <w:rPr>
          <w:rFonts w:ascii="Times New Roman" w:hAnsi="Times New Roman"/>
          <w:color w:val="000000"/>
          <w:szCs w:val="24"/>
          <w:shd w:val="clear" w:color="auto" w:fill="FFFFFF"/>
        </w:rPr>
      </w:pPr>
      <w:r w:rsidRPr="002B3011">
        <w:rPr>
          <w:rFonts w:ascii="Times New Roman" w:hAnsi="Times New Roman"/>
          <w:color w:val="000000"/>
          <w:szCs w:val="24"/>
          <w:shd w:val="clear" w:color="auto" w:fill="FFFFFF"/>
        </w:rPr>
        <w:t>Wong, P.T.P., Wong, L.C.J. and Scott, C., 2006. Beyond stress and coping: the positive psychology of transformation. In</w:t>
      </w:r>
      <w:r>
        <w:rPr>
          <w:rFonts w:ascii="Times New Roman" w:hAnsi="Times New Roman"/>
          <w:color w:val="000000"/>
          <w:szCs w:val="24"/>
          <w:shd w:val="clear" w:color="auto" w:fill="FFFFFF"/>
        </w:rPr>
        <w:t>:</w:t>
      </w:r>
      <w:r w:rsidRPr="002B3011">
        <w:rPr>
          <w:rStyle w:val="apple-converted-space"/>
          <w:rFonts w:ascii="Times New Roman" w:hAnsi="Times New Roman"/>
          <w:color w:val="000000"/>
          <w:szCs w:val="24"/>
          <w:shd w:val="clear" w:color="auto" w:fill="FFFFFF"/>
        </w:rPr>
        <w:t xml:space="preserve"> </w:t>
      </w:r>
      <w:r w:rsidRPr="002B3011">
        <w:rPr>
          <w:rFonts w:ascii="Times New Roman" w:hAnsi="Times New Roman"/>
          <w:color w:val="000000"/>
          <w:szCs w:val="24"/>
          <w:shd w:val="clear" w:color="auto" w:fill="FFFFFF"/>
        </w:rPr>
        <w:t xml:space="preserve">P.T.P. Wong </w:t>
      </w:r>
      <w:r>
        <w:rPr>
          <w:rFonts w:ascii="Times New Roman" w:hAnsi="Times New Roman"/>
          <w:color w:val="000000"/>
          <w:szCs w:val="24"/>
          <w:shd w:val="clear" w:color="auto" w:fill="FFFFFF"/>
        </w:rPr>
        <w:t>&amp;</w:t>
      </w:r>
      <w:r w:rsidRPr="002B3011">
        <w:rPr>
          <w:rFonts w:ascii="Times New Roman" w:hAnsi="Times New Roman"/>
          <w:color w:val="000000"/>
          <w:szCs w:val="24"/>
          <w:shd w:val="clear" w:color="auto" w:fill="FFFFFF"/>
        </w:rPr>
        <w:t xml:space="preserve"> L.C.J. Wong (</w:t>
      </w:r>
      <w:r>
        <w:rPr>
          <w:rFonts w:ascii="Times New Roman" w:hAnsi="Times New Roman"/>
          <w:color w:val="000000"/>
          <w:szCs w:val="24"/>
          <w:shd w:val="clear" w:color="auto" w:fill="FFFFFF"/>
        </w:rPr>
        <w:t>e</w:t>
      </w:r>
      <w:r w:rsidRPr="002B3011">
        <w:rPr>
          <w:rFonts w:ascii="Times New Roman" w:hAnsi="Times New Roman"/>
          <w:color w:val="000000"/>
          <w:szCs w:val="24"/>
          <w:shd w:val="clear" w:color="auto" w:fill="FFFFFF"/>
        </w:rPr>
        <w:t>ds.)</w:t>
      </w:r>
      <w:r>
        <w:rPr>
          <w:rFonts w:ascii="Times New Roman" w:hAnsi="Times New Roman"/>
          <w:color w:val="000000"/>
          <w:szCs w:val="24"/>
          <w:shd w:val="clear" w:color="auto" w:fill="FFFFFF"/>
        </w:rPr>
        <w:t>.</w:t>
      </w:r>
      <w:r w:rsidRPr="002B3011">
        <w:rPr>
          <w:rFonts w:ascii="Times New Roman" w:hAnsi="Times New Roman"/>
          <w:color w:val="000000"/>
          <w:szCs w:val="24"/>
          <w:shd w:val="clear" w:color="auto" w:fill="FFFFFF"/>
        </w:rPr>
        <w:t xml:space="preserve"> </w:t>
      </w:r>
      <w:r w:rsidRPr="002B3011">
        <w:rPr>
          <w:rFonts w:ascii="Times New Roman" w:hAnsi="Times New Roman"/>
          <w:i/>
          <w:color w:val="000000"/>
          <w:szCs w:val="24"/>
          <w:shd w:val="clear" w:color="auto" w:fill="FFFFFF"/>
        </w:rPr>
        <w:t>Handbook of multicultural perspectives on stress and coping</w:t>
      </w:r>
      <w:r>
        <w:rPr>
          <w:rFonts w:ascii="Times New Roman" w:hAnsi="Times New Roman"/>
          <w:color w:val="000000"/>
          <w:szCs w:val="24"/>
          <w:shd w:val="clear" w:color="auto" w:fill="FFFFFF"/>
        </w:rPr>
        <w:t>.</w:t>
      </w:r>
      <w:r w:rsidRPr="002B3011">
        <w:rPr>
          <w:rFonts w:ascii="Times New Roman" w:hAnsi="Times New Roman"/>
          <w:color w:val="000000"/>
          <w:szCs w:val="24"/>
          <w:shd w:val="clear" w:color="auto" w:fill="FFFFFF"/>
        </w:rPr>
        <w:t xml:space="preserve"> New York: Springer+Business Media</w:t>
      </w:r>
      <w:r>
        <w:rPr>
          <w:rFonts w:ascii="Times New Roman" w:hAnsi="Times New Roman"/>
          <w:color w:val="000000"/>
          <w:szCs w:val="24"/>
          <w:shd w:val="clear" w:color="auto" w:fill="FFFFFF"/>
        </w:rPr>
        <w:t xml:space="preserve">, </w:t>
      </w:r>
      <w:r w:rsidRPr="002B3011">
        <w:rPr>
          <w:rFonts w:ascii="Times New Roman" w:hAnsi="Times New Roman"/>
          <w:color w:val="000000"/>
          <w:szCs w:val="24"/>
          <w:shd w:val="clear" w:color="auto" w:fill="FFFFFF"/>
        </w:rPr>
        <w:t>pp. 1–26</w:t>
      </w:r>
      <w:r>
        <w:rPr>
          <w:rFonts w:ascii="Times New Roman" w:hAnsi="Times New Roman"/>
          <w:color w:val="000000"/>
          <w:szCs w:val="24"/>
          <w:shd w:val="clear" w:color="auto" w:fill="FFFFFF"/>
        </w:rPr>
        <w:t>.</w:t>
      </w:r>
    </w:p>
    <w:p w14:paraId="48A04303" w14:textId="77777777" w:rsidR="00503349" w:rsidRPr="000C2CD1" w:rsidRDefault="00503349" w:rsidP="00503349">
      <w:pPr>
        <w:rPr>
          <w:rFonts w:ascii="Times New Roman" w:hAnsi="Times New Roman"/>
          <w:color w:val="000000"/>
          <w:szCs w:val="24"/>
          <w:shd w:val="clear" w:color="auto" w:fill="FFFFFF"/>
        </w:rPr>
      </w:pPr>
      <w:r w:rsidRPr="00DA2952">
        <w:rPr>
          <w:rFonts w:ascii="Times New Roman" w:hAnsi="Times New Roman"/>
          <w:szCs w:val="24"/>
        </w:rPr>
        <w:t xml:space="preserve">Woo, B.K. and Mehta, P., 2017. </w:t>
      </w:r>
      <w:r w:rsidRPr="00DA2952">
        <w:rPr>
          <w:rFonts w:ascii="Times New Roman" w:hAnsi="Times New Roman"/>
          <w:bCs/>
          <w:szCs w:val="24"/>
        </w:rPr>
        <w:t>Examining the differences in the stigma of dementia and diabetes among Chinese Americans.</w:t>
      </w:r>
      <w:r w:rsidRPr="00DA2952">
        <w:rPr>
          <w:rFonts w:ascii="Times New Roman" w:hAnsi="Times New Roman"/>
          <w:szCs w:val="24"/>
        </w:rPr>
        <w:t xml:space="preserve"> </w:t>
      </w:r>
      <w:r w:rsidRPr="00DA2952">
        <w:rPr>
          <w:rFonts w:ascii="Times New Roman" w:hAnsi="Times New Roman"/>
          <w:i/>
          <w:iCs/>
          <w:szCs w:val="24"/>
        </w:rPr>
        <w:t>Geriatrics &amp; Gerontolology International</w:t>
      </w:r>
      <w:r w:rsidRPr="00DA2952">
        <w:rPr>
          <w:rFonts w:ascii="Times New Roman" w:hAnsi="Times New Roman"/>
          <w:szCs w:val="24"/>
        </w:rPr>
        <w:t>, 17(5), pp. 760-764.</w:t>
      </w:r>
    </w:p>
    <w:p w14:paraId="47379A90" w14:textId="77777777" w:rsidR="00503349" w:rsidRDefault="00503349" w:rsidP="00503349">
      <w:pPr>
        <w:spacing w:after="200"/>
        <w:jc w:val="both"/>
        <w:rPr>
          <w:rFonts w:ascii="Times New Roman" w:eastAsia="Calibri" w:hAnsi="Times New Roman"/>
          <w:szCs w:val="24"/>
          <w:lang w:eastAsia="en-US"/>
        </w:rPr>
      </w:pPr>
      <w:r w:rsidRPr="00FD5E8A">
        <w:rPr>
          <w:rFonts w:ascii="Times New Roman" w:eastAsia="Calibri" w:hAnsi="Times New Roman"/>
          <w:szCs w:val="24"/>
          <w:lang w:eastAsia="en-US"/>
        </w:rPr>
        <w:t>Wood, W., Harris, S., Snider, M. and Patchel, S.A., 2005. Activity situations on an Alzheimer's disease special care unit and resident environmental interaction, time use, and affect. </w:t>
      </w:r>
      <w:r w:rsidRPr="00FD5E8A">
        <w:rPr>
          <w:rFonts w:ascii="Times New Roman" w:eastAsia="Calibri" w:hAnsi="Times New Roman"/>
          <w:i/>
          <w:iCs/>
          <w:szCs w:val="24"/>
          <w:lang w:eastAsia="en-US"/>
        </w:rPr>
        <w:t>American Journal of Alzheimer's Disease &amp; Other Dementias®</w:t>
      </w:r>
      <w:r w:rsidRPr="00FD5E8A">
        <w:rPr>
          <w:rFonts w:ascii="Times New Roman" w:eastAsia="Calibri" w:hAnsi="Times New Roman"/>
          <w:szCs w:val="24"/>
          <w:lang w:eastAsia="en-US"/>
        </w:rPr>
        <w:t>, </w:t>
      </w:r>
      <w:r w:rsidRPr="0005319F">
        <w:rPr>
          <w:rFonts w:ascii="Times New Roman" w:eastAsia="Calibri" w:hAnsi="Times New Roman"/>
          <w:szCs w:val="24"/>
          <w:lang w:eastAsia="en-US"/>
        </w:rPr>
        <w:t>20</w:t>
      </w:r>
      <w:r w:rsidRPr="00FD5E8A">
        <w:rPr>
          <w:rFonts w:ascii="Times New Roman" w:eastAsia="Calibri" w:hAnsi="Times New Roman"/>
          <w:szCs w:val="24"/>
          <w:lang w:eastAsia="en-US"/>
        </w:rPr>
        <w:t>(2), pp.</w:t>
      </w:r>
      <w:r>
        <w:rPr>
          <w:rFonts w:ascii="Times New Roman" w:eastAsia="Calibri" w:hAnsi="Times New Roman"/>
          <w:szCs w:val="24"/>
          <w:lang w:eastAsia="en-US"/>
        </w:rPr>
        <w:t xml:space="preserve"> </w:t>
      </w:r>
      <w:r w:rsidRPr="00FD5E8A">
        <w:rPr>
          <w:rFonts w:ascii="Times New Roman" w:eastAsia="Calibri" w:hAnsi="Times New Roman"/>
          <w:szCs w:val="24"/>
          <w:lang w:eastAsia="en-US"/>
        </w:rPr>
        <w:t>105-118.</w:t>
      </w:r>
    </w:p>
    <w:p w14:paraId="3B31634D" w14:textId="77777777" w:rsidR="00503349" w:rsidRPr="00433A37" w:rsidRDefault="00503349" w:rsidP="00503349">
      <w:pPr>
        <w:jc w:val="both"/>
        <w:rPr>
          <w:rFonts w:ascii="Times New Roman" w:hAnsi="Times New Roman"/>
          <w:szCs w:val="24"/>
        </w:rPr>
      </w:pPr>
      <w:r w:rsidRPr="00433A37">
        <w:rPr>
          <w:rFonts w:ascii="Times New Roman" w:hAnsi="Times New Roman"/>
          <w:szCs w:val="24"/>
        </w:rPr>
        <w:t xml:space="preserve">World Bank Group, 2016. </w:t>
      </w:r>
      <w:r w:rsidRPr="004C64C9">
        <w:rPr>
          <w:rFonts w:ascii="Times New Roman" w:hAnsi="Times New Roman"/>
          <w:i/>
          <w:iCs/>
          <w:szCs w:val="24"/>
        </w:rPr>
        <w:t xml:space="preserve">Migration </w:t>
      </w:r>
      <w:r>
        <w:rPr>
          <w:rFonts w:ascii="Times New Roman" w:hAnsi="Times New Roman"/>
          <w:i/>
          <w:iCs/>
          <w:szCs w:val="24"/>
        </w:rPr>
        <w:t>a</w:t>
      </w:r>
      <w:r w:rsidRPr="004C64C9">
        <w:rPr>
          <w:rFonts w:ascii="Times New Roman" w:hAnsi="Times New Roman"/>
          <w:i/>
          <w:iCs/>
          <w:szCs w:val="24"/>
        </w:rPr>
        <w:t>nd Remittances: Fact Book</w:t>
      </w:r>
      <w:r w:rsidRPr="00433A37">
        <w:rPr>
          <w:rFonts w:ascii="Times New Roman" w:hAnsi="Times New Roman"/>
          <w:szCs w:val="24"/>
        </w:rPr>
        <w:t>. Third Ed. Washington: World Bank.</w:t>
      </w:r>
    </w:p>
    <w:p w14:paraId="70BB4468" w14:textId="77777777" w:rsidR="00503349" w:rsidRDefault="00503349" w:rsidP="00503349">
      <w:pPr>
        <w:jc w:val="both"/>
        <w:rPr>
          <w:rFonts w:ascii="Times New Roman" w:hAnsi="Times New Roman"/>
          <w:szCs w:val="24"/>
        </w:rPr>
      </w:pPr>
      <w:r w:rsidRPr="00DA2952">
        <w:rPr>
          <w:rFonts w:ascii="Times New Roman" w:hAnsi="Times New Roman"/>
          <w:szCs w:val="24"/>
        </w:rPr>
        <w:t>World Bank, 2019. Life expectancy at birth, total (years) – Nigeria. Available at: &lt;https://data.worldbank.org/indicator/SP.DYN.LE00.IN?locations=NG&gt;[Accessed 13 June 2020]</w:t>
      </w:r>
    </w:p>
    <w:p w14:paraId="5B3C35E7" w14:textId="77777777" w:rsidR="00503349" w:rsidRPr="00135FDB" w:rsidRDefault="00503349" w:rsidP="00503349">
      <w:pPr>
        <w:spacing w:before="240"/>
        <w:jc w:val="both"/>
      </w:pPr>
      <w:r w:rsidRPr="00135FDB">
        <w:rPr>
          <w:rFonts w:ascii="Times New Roman" w:hAnsi="Times New Roman"/>
          <w:szCs w:val="24"/>
          <w:shd w:val="clear" w:color="auto" w:fill="FFFFFF"/>
        </w:rPr>
        <w:lastRenderedPageBreak/>
        <w:t xml:space="preserve">World Health Organization, </w:t>
      </w:r>
      <w:r>
        <w:rPr>
          <w:rFonts w:ascii="Times New Roman" w:hAnsi="Times New Roman"/>
          <w:szCs w:val="24"/>
          <w:shd w:val="clear" w:color="auto" w:fill="FFFFFF"/>
        </w:rPr>
        <w:t xml:space="preserve">WHO, </w:t>
      </w:r>
      <w:r w:rsidRPr="00135FDB">
        <w:rPr>
          <w:rFonts w:ascii="Times New Roman" w:hAnsi="Times New Roman"/>
          <w:szCs w:val="24"/>
          <w:shd w:val="clear" w:color="auto" w:fill="FFFFFF"/>
        </w:rPr>
        <w:t xml:space="preserve">1972. </w:t>
      </w:r>
      <w:r w:rsidRPr="00135FDB">
        <w:rPr>
          <w:rFonts w:ascii="Times New Roman" w:hAnsi="Times New Roman"/>
          <w:i/>
          <w:iCs/>
          <w:szCs w:val="24"/>
          <w:shd w:val="clear" w:color="auto" w:fill="FFFFFF"/>
        </w:rPr>
        <w:t>Psychogeriatrics: Report of a WHO Scientific Group</w:t>
      </w:r>
      <w:r w:rsidRPr="00135FDB">
        <w:rPr>
          <w:rFonts w:ascii="Times New Roman" w:hAnsi="Times New Roman"/>
          <w:szCs w:val="24"/>
          <w:shd w:val="clear" w:color="auto" w:fill="FFFFFF"/>
        </w:rPr>
        <w:t>.</w:t>
      </w:r>
      <w:r w:rsidRPr="00135FDB">
        <w:t xml:space="preserve"> </w:t>
      </w:r>
      <w:r w:rsidRPr="00135FDB">
        <w:rPr>
          <w:rFonts w:ascii="Times New Roman" w:hAnsi="Times New Roman"/>
          <w:szCs w:val="24"/>
        </w:rPr>
        <w:t>Geneva: World Health Organization.</w:t>
      </w:r>
    </w:p>
    <w:p w14:paraId="2FECBCF4"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World Health Organization, </w:t>
      </w:r>
      <w:r>
        <w:rPr>
          <w:rFonts w:ascii="Times New Roman" w:hAnsi="Times New Roman"/>
          <w:szCs w:val="24"/>
        </w:rPr>
        <w:t xml:space="preserve">WHO, </w:t>
      </w:r>
      <w:r w:rsidRPr="00DA2952">
        <w:rPr>
          <w:rFonts w:ascii="Times New Roman" w:hAnsi="Times New Roman"/>
          <w:szCs w:val="24"/>
        </w:rPr>
        <w:t xml:space="preserve">1992. </w:t>
      </w:r>
      <w:r w:rsidRPr="00DA2952">
        <w:rPr>
          <w:rFonts w:ascii="Times New Roman" w:hAnsi="Times New Roman"/>
          <w:i/>
          <w:iCs/>
          <w:szCs w:val="24"/>
        </w:rPr>
        <w:t>The international classification of mental and behavioural disorders ICD-10</w:t>
      </w:r>
      <w:r w:rsidRPr="00DA2952">
        <w:rPr>
          <w:rFonts w:ascii="Times New Roman" w:hAnsi="Times New Roman"/>
          <w:szCs w:val="24"/>
        </w:rPr>
        <w:t>. Geneva: World Health Organisation.</w:t>
      </w:r>
    </w:p>
    <w:p w14:paraId="2819B4E8" w14:textId="77777777" w:rsidR="00503349" w:rsidRDefault="00503349" w:rsidP="00503349">
      <w:pPr>
        <w:rPr>
          <w:rFonts w:ascii="Times New Roman" w:hAnsi="Times New Roman"/>
          <w:szCs w:val="24"/>
          <w:bdr w:val="none" w:sz="0" w:space="0" w:color="auto" w:frame="1"/>
        </w:rPr>
      </w:pPr>
      <w:r w:rsidRPr="00D527D8">
        <w:rPr>
          <w:rFonts w:ascii="Times New Roman" w:hAnsi="Times New Roman"/>
          <w:szCs w:val="24"/>
          <w:bdr w:val="none" w:sz="0" w:space="0" w:color="auto" w:frame="1"/>
        </w:rPr>
        <w:t>W</w:t>
      </w:r>
      <w:r>
        <w:rPr>
          <w:rFonts w:ascii="Times New Roman" w:hAnsi="Times New Roman"/>
          <w:szCs w:val="24"/>
          <w:bdr w:val="none" w:sz="0" w:space="0" w:color="auto" w:frame="1"/>
        </w:rPr>
        <w:t xml:space="preserve">orld </w:t>
      </w:r>
      <w:r w:rsidRPr="00D527D8">
        <w:rPr>
          <w:rFonts w:ascii="Times New Roman" w:hAnsi="Times New Roman"/>
          <w:szCs w:val="24"/>
          <w:bdr w:val="none" w:sz="0" w:space="0" w:color="auto" w:frame="1"/>
        </w:rPr>
        <w:t>H</w:t>
      </w:r>
      <w:r>
        <w:rPr>
          <w:rFonts w:ascii="Times New Roman" w:hAnsi="Times New Roman"/>
          <w:szCs w:val="24"/>
          <w:bdr w:val="none" w:sz="0" w:space="0" w:color="auto" w:frame="1"/>
        </w:rPr>
        <w:t xml:space="preserve">ealth </w:t>
      </w:r>
      <w:r w:rsidRPr="00D527D8">
        <w:rPr>
          <w:rFonts w:ascii="Times New Roman" w:hAnsi="Times New Roman"/>
          <w:szCs w:val="24"/>
          <w:bdr w:val="none" w:sz="0" w:space="0" w:color="auto" w:frame="1"/>
        </w:rPr>
        <w:t>O</w:t>
      </w:r>
      <w:r>
        <w:rPr>
          <w:rFonts w:ascii="Times New Roman" w:hAnsi="Times New Roman"/>
          <w:szCs w:val="24"/>
          <w:bdr w:val="none" w:sz="0" w:space="0" w:color="auto" w:frame="1"/>
        </w:rPr>
        <w:t>rganisation</w:t>
      </w:r>
      <w:r w:rsidRPr="00D527D8">
        <w:rPr>
          <w:rFonts w:ascii="Times New Roman" w:hAnsi="Times New Roman"/>
          <w:szCs w:val="24"/>
          <w:bdr w:val="none" w:sz="0" w:space="0" w:color="auto" w:frame="1"/>
        </w:rPr>
        <w:t xml:space="preserve">, </w:t>
      </w:r>
      <w:r>
        <w:rPr>
          <w:rFonts w:ascii="Times New Roman" w:hAnsi="Times New Roman"/>
          <w:szCs w:val="24"/>
          <w:bdr w:val="none" w:sz="0" w:space="0" w:color="auto" w:frame="1"/>
        </w:rPr>
        <w:t xml:space="preserve">WHO, </w:t>
      </w:r>
      <w:r w:rsidRPr="00D527D8">
        <w:rPr>
          <w:rFonts w:ascii="Times New Roman" w:hAnsi="Times New Roman"/>
          <w:szCs w:val="24"/>
          <w:bdr w:val="none" w:sz="0" w:space="0" w:color="auto" w:frame="1"/>
        </w:rPr>
        <w:t>2015</w:t>
      </w:r>
      <w:r>
        <w:rPr>
          <w:rFonts w:ascii="Times New Roman" w:hAnsi="Times New Roman"/>
          <w:szCs w:val="24"/>
          <w:bdr w:val="none" w:sz="0" w:space="0" w:color="auto" w:frame="1"/>
        </w:rPr>
        <w:t>a</w:t>
      </w:r>
      <w:r w:rsidRPr="00D527D8">
        <w:rPr>
          <w:rFonts w:ascii="Times New Roman" w:hAnsi="Times New Roman"/>
          <w:szCs w:val="24"/>
          <w:bdr w:val="none" w:sz="0" w:space="0" w:color="auto" w:frame="1"/>
        </w:rPr>
        <w:t>. The epidemiology and impact of dementia: current state and future trends. Geneva: World Health Organization. Available at: &lt;https://www.who.int/mental_health/neurology/dementia/dementia_thematicbrief_epidemiology.pdf&gt;[Accessed 10 March 2019]</w:t>
      </w:r>
    </w:p>
    <w:p w14:paraId="7D3E0111" w14:textId="77777777" w:rsidR="00503349" w:rsidRPr="00D527D8" w:rsidRDefault="00503349" w:rsidP="00503349">
      <w:pPr>
        <w:rPr>
          <w:rFonts w:ascii="Times New Roman" w:hAnsi="Times New Roman"/>
          <w:szCs w:val="24"/>
          <w:bdr w:val="none" w:sz="0" w:space="0" w:color="auto" w:frame="1"/>
        </w:rPr>
      </w:pPr>
      <w:r>
        <w:rPr>
          <w:rFonts w:ascii="Times New Roman" w:hAnsi="Times New Roman"/>
          <w:szCs w:val="24"/>
        </w:rPr>
        <w:t>World Health Organization, WHO, 2015b. </w:t>
      </w:r>
      <w:r>
        <w:rPr>
          <w:rFonts w:ascii="Times New Roman" w:hAnsi="Times New Roman"/>
          <w:i/>
          <w:iCs/>
          <w:szCs w:val="24"/>
        </w:rPr>
        <w:t>World Report on Ageing and Health</w:t>
      </w:r>
      <w:r>
        <w:rPr>
          <w:rFonts w:ascii="Times New Roman" w:hAnsi="Times New Roman"/>
          <w:szCs w:val="24"/>
        </w:rPr>
        <w:t>. Geneva: World Health Organization.</w:t>
      </w:r>
    </w:p>
    <w:p w14:paraId="4EBBF2BE" w14:textId="77777777" w:rsidR="00503349" w:rsidRPr="00D527D8" w:rsidRDefault="00503349" w:rsidP="00503349">
      <w:pPr>
        <w:rPr>
          <w:rFonts w:ascii="Times New Roman" w:hAnsi="Times New Roman"/>
          <w:szCs w:val="24"/>
          <w:bdr w:val="none" w:sz="0" w:space="0" w:color="auto" w:frame="1"/>
        </w:rPr>
      </w:pPr>
      <w:r w:rsidRPr="00247E4B">
        <w:rPr>
          <w:rFonts w:ascii="Times New Roman" w:hAnsi="Times New Roman"/>
          <w:szCs w:val="24"/>
        </w:rPr>
        <w:t>World Health Organisation,</w:t>
      </w:r>
      <w:r>
        <w:rPr>
          <w:rFonts w:ascii="Times New Roman" w:hAnsi="Times New Roman"/>
          <w:szCs w:val="24"/>
        </w:rPr>
        <w:t xml:space="preserve"> </w:t>
      </w:r>
      <w:r w:rsidRPr="00D527D8">
        <w:rPr>
          <w:rFonts w:ascii="Times New Roman" w:hAnsi="Times New Roman"/>
          <w:szCs w:val="24"/>
          <w:bdr w:val="none" w:sz="0" w:space="0" w:color="auto" w:frame="1"/>
        </w:rPr>
        <w:t>WHO, 2017a. Dementia. Fact Sheet. Geneva: World Health Organization. Available at: &lt;https://www.who.int/en/news-room/fact-sheets/detail/dementia&gt;[10 March 2019]</w:t>
      </w:r>
    </w:p>
    <w:p w14:paraId="1B5C4FBF" w14:textId="77777777" w:rsidR="00503349" w:rsidRDefault="00503349" w:rsidP="00503349">
      <w:pPr>
        <w:rPr>
          <w:rFonts w:ascii="Times New Roman" w:hAnsi="Times New Roman"/>
          <w:szCs w:val="24"/>
          <w:bdr w:val="none" w:sz="0" w:space="0" w:color="auto" w:frame="1"/>
        </w:rPr>
      </w:pPr>
      <w:r w:rsidRPr="00247E4B">
        <w:rPr>
          <w:rFonts w:ascii="Times New Roman" w:hAnsi="Times New Roman"/>
          <w:szCs w:val="24"/>
        </w:rPr>
        <w:t>World Health Organisation,</w:t>
      </w:r>
      <w:r>
        <w:rPr>
          <w:rFonts w:ascii="Times New Roman" w:hAnsi="Times New Roman"/>
          <w:szCs w:val="24"/>
        </w:rPr>
        <w:t xml:space="preserve"> </w:t>
      </w:r>
      <w:r w:rsidRPr="00D527D8">
        <w:rPr>
          <w:rFonts w:ascii="Times New Roman" w:hAnsi="Times New Roman"/>
          <w:szCs w:val="24"/>
          <w:bdr w:val="none" w:sz="0" w:space="0" w:color="auto" w:frame="1"/>
        </w:rPr>
        <w:t>WHO, 2017b. Dementia: number of people affected to triple in next 30 years. News Release. Geneva: World Health Organization. Available at: &lt;https://www.who.int/en/news-room/detail/07-12-2017-dementia-number-of-people-affected-to-triple-in-next-30-years&gt;[Accessed 10 March 2019]</w:t>
      </w:r>
    </w:p>
    <w:p w14:paraId="3F6C1B5E" w14:textId="77777777" w:rsidR="00503349" w:rsidRPr="00D527D8" w:rsidRDefault="00503349" w:rsidP="00503349">
      <w:pPr>
        <w:rPr>
          <w:rFonts w:ascii="Times New Roman" w:hAnsi="Times New Roman"/>
          <w:szCs w:val="24"/>
          <w:bdr w:val="none" w:sz="0" w:space="0" w:color="auto" w:frame="1"/>
        </w:rPr>
      </w:pPr>
      <w:r w:rsidRPr="00DA2952">
        <w:rPr>
          <w:rFonts w:ascii="Times New Roman" w:hAnsi="Times New Roman"/>
          <w:szCs w:val="24"/>
        </w:rPr>
        <w:t xml:space="preserve">World Health Organisation, </w:t>
      </w:r>
      <w:r>
        <w:rPr>
          <w:rFonts w:ascii="Times New Roman" w:hAnsi="Times New Roman"/>
          <w:szCs w:val="24"/>
        </w:rPr>
        <w:t xml:space="preserve">WHO, </w:t>
      </w:r>
      <w:r w:rsidRPr="00DA2952">
        <w:rPr>
          <w:rFonts w:ascii="Times New Roman" w:hAnsi="Times New Roman"/>
          <w:szCs w:val="24"/>
        </w:rPr>
        <w:t>2017</w:t>
      </w:r>
      <w:r>
        <w:rPr>
          <w:rFonts w:ascii="Times New Roman" w:hAnsi="Times New Roman"/>
          <w:szCs w:val="24"/>
        </w:rPr>
        <w:t>c</w:t>
      </w:r>
      <w:r w:rsidRPr="00DA2952">
        <w:rPr>
          <w:rFonts w:ascii="Times New Roman" w:hAnsi="Times New Roman"/>
          <w:szCs w:val="24"/>
        </w:rPr>
        <w:t xml:space="preserve">. </w:t>
      </w:r>
      <w:r w:rsidRPr="00DA2952">
        <w:rPr>
          <w:rFonts w:ascii="Times New Roman" w:hAnsi="Times New Roman"/>
          <w:i/>
          <w:iCs/>
          <w:szCs w:val="24"/>
        </w:rPr>
        <w:t>Global action plan on the public health response to dementia 2017-2025</w:t>
      </w:r>
      <w:r w:rsidRPr="00DA2952">
        <w:rPr>
          <w:rFonts w:ascii="Times New Roman" w:hAnsi="Times New Roman"/>
          <w:szCs w:val="24"/>
        </w:rPr>
        <w:t>. Geneva: WHO.</w:t>
      </w:r>
    </w:p>
    <w:p w14:paraId="3162BBD7" w14:textId="77777777" w:rsidR="00503349" w:rsidRDefault="00503349" w:rsidP="00503349">
      <w:pPr>
        <w:jc w:val="both"/>
        <w:rPr>
          <w:rFonts w:ascii="Times New Roman" w:hAnsi="Times New Roman"/>
          <w:szCs w:val="24"/>
        </w:rPr>
      </w:pPr>
      <w:r w:rsidRPr="00247E4B">
        <w:rPr>
          <w:rFonts w:ascii="Times New Roman" w:hAnsi="Times New Roman"/>
          <w:szCs w:val="24"/>
        </w:rPr>
        <w:t>World Health Organisation,</w:t>
      </w:r>
      <w:r>
        <w:rPr>
          <w:rFonts w:ascii="Times New Roman" w:hAnsi="Times New Roman"/>
          <w:szCs w:val="24"/>
        </w:rPr>
        <w:t xml:space="preserve"> </w:t>
      </w:r>
      <w:r w:rsidRPr="00D527D8">
        <w:rPr>
          <w:rFonts w:ascii="Times New Roman" w:hAnsi="Times New Roman"/>
          <w:szCs w:val="24"/>
          <w:bdr w:val="none" w:sz="0" w:space="0" w:color="auto" w:frame="1"/>
        </w:rPr>
        <w:t>WHO, 2018. Towards a dementia plan: a WHO guide. Geneva: WHO</w:t>
      </w:r>
      <w:r>
        <w:rPr>
          <w:rFonts w:ascii="Times New Roman" w:hAnsi="Times New Roman"/>
          <w:szCs w:val="24"/>
          <w:bdr w:val="none" w:sz="0" w:space="0" w:color="auto" w:frame="1"/>
        </w:rPr>
        <w:t>.</w:t>
      </w:r>
    </w:p>
    <w:p w14:paraId="33CD0704" w14:textId="77777777" w:rsidR="00503349" w:rsidRPr="002D6361" w:rsidRDefault="00503349" w:rsidP="00503349">
      <w:pPr>
        <w:tabs>
          <w:tab w:val="left" w:pos="5445"/>
        </w:tabs>
        <w:jc w:val="both"/>
        <w:rPr>
          <w:rFonts w:ascii="Times New Roman" w:hAnsi="Times New Roman"/>
          <w:szCs w:val="24"/>
        </w:rPr>
      </w:pPr>
      <w:r w:rsidRPr="00247E4B">
        <w:rPr>
          <w:rFonts w:ascii="Times New Roman" w:hAnsi="Times New Roman"/>
          <w:szCs w:val="24"/>
        </w:rPr>
        <w:t>World Health Organisation,</w:t>
      </w:r>
      <w:r>
        <w:rPr>
          <w:rFonts w:ascii="Times New Roman" w:hAnsi="Times New Roman"/>
          <w:szCs w:val="24"/>
        </w:rPr>
        <w:t xml:space="preserve"> </w:t>
      </w:r>
      <w:r w:rsidRPr="00D527D8">
        <w:rPr>
          <w:rFonts w:ascii="Times New Roman" w:hAnsi="Times New Roman"/>
          <w:szCs w:val="24"/>
        </w:rPr>
        <w:t xml:space="preserve">WHO, </w:t>
      </w:r>
      <w:r>
        <w:rPr>
          <w:rFonts w:ascii="Times New Roman" w:hAnsi="Times New Roman"/>
          <w:szCs w:val="24"/>
        </w:rPr>
        <w:t xml:space="preserve">2019. </w:t>
      </w:r>
      <w:r w:rsidRPr="00503152">
        <w:rPr>
          <w:rFonts w:ascii="Times New Roman" w:hAnsi="Times New Roman"/>
          <w:i/>
          <w:iCs/>
          <w:szCs w:val="24"/>
        </w:rPr>
        <w:t>WHO Guideline</w:t>
      </w:r>
      <w:r>
        <w:rPr>
          <w:rFonts w:ascii="Times New Roman" w:hAnsi="Times New Roman"/>
          <w:i/>
          <w:iCs/>
          <w:szCs w:val="24"/>
        </w:rPr>
        <w:t>s</w:t>
      </w:r>
      <w:r w:rsidRPr="00503152">
        <w:rPr>
          <w:rFonts w:ascii="Times New Roman" w:hAnsi="Times New Roman"/>
          <w:i/>
          <w:iCs/>
          <w:szCs w:val="24"/>
        </w:rPr>
        <w:t xml:space="preserve"> on </w:t>
      </w:r>
      <w:r w:rsidRPr="002D6361">
        <w:rPr>
          <w:rFonts w:ascii="Times New Roman" w:hAnsi="Times New Roman"/>
          <w:i/>
          <w:iCs/>
          <w:szCs w:val="24"/>
          <w:bdr w:val="none" w:sz="0" w:space="0" w:color="auto" w:frame="1"/>
        </w:rPr>
        <w:t>Risk Reduction of Cognitive Decline and Dementia</w:t>
      </w:r>
      <w:r>
        <w:rPr>
          <w:rFonts w:ascii="Times New Roman" w:hAnsi="Times New Roman"/>
          <w:szCs w:val="24"/>
          <w:bdr w:val="none" w:sz="0" w:space="0" w:color="auto" w:frame="1"/>
        </w:rPr>
        <w:t>. Geneva: WHO.</w:t>
      </w:r>
    </w:p>
    <w:p w14:paraId="5B92EB1C" w14:textId="77777777" w:rsidR="00503349" w:rsidRPr="000A56C6" w:rsidRDefault="00503349" w:rsidP="00503349">
      <w:pPr>
        <w:rPr>
          <w:rFonts w:ascii="Times New Roman" w:hAnsi="Times New Roman"/>
          <w:szCs w:val="24"/>
        </w:rPr>
      </w:pPr>
      <w:r w:rsidRPr="000A56C6">
        <w:rPr>
          <w:rFonts w:ascii="Times New Roman" w:hAnsi="Times New Roman"/>
          <w:szCs w:val="24"/>
        </w:rPr>
        <w:t xml:space="preserve">Wright, C.F. and Clibborn, S., 2019. Migrant labour and low-quality work: a persistent relationship. </w:t>
      </w:r>
      <w:r w:rsidRPr="000A56C6">
        <w:rPr>
          <w:rFonts w:ascii="Times New Roman" w:hAnsi="Times New Roman"/>
          <w:i/>
          <w:szCs w:val="24"/>
        </w:rPr>
        <w:t>Journal of Industrial Relations</w:t>
      </w:r>
      <w:r w:rsidRPr="000A56C6">
        <w:rPr>
          <w:rFonts w:ascii="Times New Roman" w:hAnsi="Times New Roman"/>
          <w:szCs w:val="24"/>
        </w:rPr>
        <w:t>, 61(2), pp. 157-175.</w:t>
      </w:r>
      <w:r w:rsidRPr="00AB40E2">
        <w:rPr>
          <w:rFonts w:ascii="Times New Roman" w:hAnsi="Times New Roman"/>
          <w:szCs w:val="24"/>
        </w:rPr>
        <w:t xml:space="preserve">Wu, Y-T., Brayne, C. and Matthews, F.E., 2015. Prevalence of dementia in East Asia: a </w:t>
      </w:r>
      <w:r w:rsidRPr="00AB40E2">
        <w:rPr>
          <w:rFonts w:ascii="Times New Roman" w:hAnsi="Times New Roman"/>
          <w:szCs w:val="24"/>
        </w:rPr>
        <w:lastRenderedPageBreak/>
        <w:t xml:space="preserve">synthetic review of time trends. </w:t>
      </w:r>
      <w:r w:rsidRPr="00AB40E2">
        <w:rPr>
          <w:rFonts w:ascii="Times New Roman" w:hAnsi="Times New Roman"/>
          <w:i/>
          <w:iCs/>
          <w:szCs w:val="24"/>
        </w:rPr>
        <w:t>International Journal of Geriatric Psychiatry</w:t>
      </w:r>
      <w:r w:rsidRPr="00AB40E2">
        <w:rPr>
          <w:rFonts w:ascii="Times New Roman" w:hAnsi="Times New Roman"/>
          <w:szCs w:val="24"/>
        </w:rPr>
        <w:t>, 30, pp. 793-801.</w:t>
      </w:r>
    </w:p>
    <w:p w14:paraId="2E527607"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Wu, Y-T., Fratiglioni, L., Matthews, F.E., Lobo, A., Breteler, M.M.B, Skoog, I. and Brayne, C., 2016. Dementia in Western Europe: epidemiological evidence and implications for policy making. </w:t>
      </w:r>
      <w:r w:rsidRPr="00AB40E2">
        <w:rPr>
          <w:rFonts w:ascii="Times New Roman" w:hAnsi="Times New Roman"/>
          <w:i/>
          <w:szCs w:val="24"/>
        </w:rPr>
        <w:t>The Lancet: Neurology</w:t>
      </w:r>
      <w:r w:rsidRPr="00AB40E2">
        <w:rPr>
          <w:rFonts w:ascii="Times New Roman" w:hAnsi="Times New Roman"/>
          <w:szCs w:val="24"/>
        </w:rPr>
        <w:t>, 15, pp. 116-124.</w:t>
      </w:r>
    </w:p>
    <w:p w14:paraId="2C86B0C1" w14:textId="77777777" w:rsidR="00503349" w:rsidRPr="00DA2952" w:rsidRDefault="00503349" w:rsidP="00503349">
      <w:pPr>
        <w:jc w:val="both"/>
        <w:rPr>
          <w:rFonts w:ascii="Times" w:hAnsi="Times" w:cs="Times"/>
        </w:rPr>
      </w:pPr>
      <w:r w:rsidRPr="00DA2952">
        <w:rPr>
          <w:rFonts w:ascii="Times" w:hAnsi="Times" w:cs="Times"/>
        </w:rPr>
        <w:t xml:space="preserve">Xiao, L. D., Habel, L. and De Bellis, A., 2015. Perceived challenges in dementia care by Vietnamese family caregivers and care workers in South Australia. </w:t>
      </w:r>
      <w:r w:rsidRPr="00DA2952">
        <w:rPr>
          <w:rFonts w:ascii="Times" w:hAnsi="Times" w:cs="Times"/>
          <w:i/>
        </w:rPr>
        <w:t>Journal of Cross</w:t>
      </w:r>
      <w:r>
        <w:rPr>
          <w:rFonts w:ascii="Times" w:hAnsi="Times" w:cs="Times"/>
          <w:i/>
        </w:rPr>
        <w:t>-</w:t>
      </w:r>
      <w:r w:rsidRPr="00DA2952">
        <w:rPr>
          <w:rFonts w:ascii="Times" w:hAnsi="Times" w:cs="Times"/>
          <w:i/>
        </w:rPr>
        <w:t>Cultural Gerontology</w:t>
      </w:r>
      <w:r w:rsidRPr="00DA2952">
        <w:rPr>
          <w:rFonts w:ascii="Times" w:hAnsi="Times" w:cs="Times"/>
        </w:rPr>
        <w:t>, 30, pp. 333-352.</w:t>
      </w:r>
    </w:p>
    <w:p w14:paraId="4637972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Yong, B.O. and Manthorpe, J., 2016. The experiences of Indian migrant care home staff working with people with dementia: a pilot study exploring cultural perspectives. </w:t>
      </w:r>
      <w:r w:rsidRPr="00DA2952">
        <w:rPr>
          <w:rFonts w:ascii="Times New Roman" w:hAnsi="Times New Roman"/>
          <w:i/>
          <w:iCs/>
          <w:szCs w:val="24"/>
        </w:rPr>
        <w:t>Working with Older People</w:t>
      </w:r>
      <w:r w:rsidRPr="00DA2952">
        <w:rPr>
          <w:rFonts w:ascii="Times New Roman" w:hAnsi="Times New Roman"/>
          <w:szCs w:val="24"/>
        </w:rPr>
        <w:t>, 20, pp. 3-13.</w:t>
      </w:r>
    </w:p>
    <w:p w14:paraId="5DAEB877" w14:textId="77777777" w:rsidR="00503349" w:rsidRPr="002B3011" w:rsidRDefault="00503349" w:rsidP="00503349">
      <w:pPr>
        <w:textAlignment w:val="baseline"/>
        <w:rPr>
          <w:rFonts w:ascii="Times New Roman" w:hAnsi="Times New Roman"/>
          <w:color w:val="000000"/>
          <w:szCs w:val="24"/>
          <w:lang w:val="en"/>
        </w:rPr>
      </w:pPr>
      <w:r w:rsidRPr="002B3011">
        <w:rPr>
          <w:rFonts w:ascii="Times New Roman" w:hAnsi="Times New Roman"/>
          <w:szCs w:val="24"/>
        </w:rPr>
        <w:t xml:space="preserve">Yu, D.S.F., Cheng, S. and Wang, J., </w:t>
      </w:r>
      <w:r w:rsidRPr="002B3011">
        <w:rPr>
          <w:rFonts w:ascii="Times New Roman" w:hAnsi="Times New Roman"/>
          <w:noProof/>
          <w:szCs w:val="24"/>
        </w:rPr>
        <w:t xml:space="preserve">2018. Unravelling positive aspects of caregiving in dementia: an integrative review of research literature. </w:t>
      </w:r>
      <w:r w:rsidRPr="002B3011">
        <w:rPr>
          <w:rFonts w:ascii="Times New Roman" w:hAnsi="Times New Roman"/>
          <w:i/>
          <w:noProof/>
          <w:szCs w:val="24"/>
        </w:rPr>
        <w:t>International Journal of Nursing Studies</w:t>
      </w:r>
      <w:r w:rsidRPr="002B3011">
        <w:rPr>
          <w:rFonts w:ascii="Times New Roman" w:hAnsi="Times New Roman"/>
          <w:noProof/>
          <w:szCs w:val="24"/>
        </w:rPr>
        <w:t>,</w:t>
      </w:r>
      <w:r w:rsidRPr="002B3011">
        <w:rPr>
          <w:rFonts w:ascii="Times New Roman" w:hAnsi="Times New Roman"/>
          <w:szCs w:val="24"/>
        </w:rPr>
        <w:t xml:space="preserve"> 79, pp. 1-26.</w:t>
      </w:r>
    </w:p>
    <w:p w14:paraId="12E78C64" w14:textId="77777777" w:rsidR="00503349" w:rsidRPr="008101DD" w:rsidRDefault="00503349" w:rsidP="00503349">
      <w:pPr>
        <w:spacing w:after="200"/>
        <w:jc w:val="both"/>
        <w:rPr>
          <w:rFonts w:ascii="Times New Roman" w:hAnsi="Times New Roman"/>
          <w:szCs w:val="24"/>
        </w:rPr>
      </w:pPr>
      <w:r w:rsidRPr="008101DD">
        <w:rPr>
          <w:rFonts w:ascii="Times New Roman" w:hAnsi="Times New Roman"/>
          <w:szCs w:val="24"/>
        </w:rPr>
        <w:t>Yu, J., 2007. </w:t>
      </w:r>
      <w:r w:rsidRPr="008101DD">
        <w:rPr>
          <w:rFonts w:ascii="Times New Roman" w:hAnsi="Times New Roman"/>
          <w:i/>
          <w:iCs/>
          <w:szCs w:val="24"/>
        </w:rPr>
        <w:t>The ethics of Confucius and Aristotle: Mirrors of virtue</w:t>
      </w:r>
      <w:r w:rsidRPr="008101DD">
        <w:rPr>
          <w:rFonts w:ascii="Times New Roman" w:hAnsi="Times New Roman"/>
          <w:szCs w:val="24"/>
        </w:rPr>
        <w:t>. New York: Routledge.</w:t>
      </w:r>
    </w:p>
    <w:p w14:paraId="5801A607" w14:textId="77777777" w:rsidR="00503349" w:rsidRPr="000C2CD1" w:rsidRDefault="00503349" w:rsidP="00503349">
      <w:pPr>
        <w:rPr>
          <w:rFonts w:ascii="Times" w:hAnsi="Times" w:cs="Times"/>
          <w:szCs w:val="24"/>
        </w:rPr>
      </w:pPr>
      <w:r w:rsidRPr="008D6609">
        <w:rPr>
          <w:rFonts w:ascii="Times" w:hAnsi="Times" w:cs="Times"/>
          <w:szCs w:val="24"/>
        </w:rPr>
        <w:t>Zahran, Z., Tauber, M., Watson, H.H., Coghlan, P., White, S., Procter, S., Addis, G. and Norton, C., 2016. Systematic review: what interventions improve dignity for older patients in hospital?. </w:t>
      </w:r>
      <w:r w:rsidRPr="008D6609">
        <w:rPr>
          <w:rFonts w:ascii="Times" w:hAnsi="Times" w:cs="Times"/>
          <w:i/>
          <w:iCs/>
          <w:szCs w:val="24"/>
        </w:rPr>
        <w:t>Journal of Clinical Nursing</w:t>
      </w:r>
      <w:r w:rsidRPr="008D6609">
        <w:rPr>
          <w:rFonts w:ascii="Times" w:hAnsi="Times" w:cs="Times"/>
          <w:szCs w:val="24"/>
        </w:rPr>
        <w:t>, 25(3-4), pp.</w:t>
      </w:r>
      <w:r>
        <w:rPr>
          <w:rFonts w:ascii="Times" w:hAnsi="Times" w:cs="Times"/>
          <w:szCs w:val="24"/>
        </w:rPr>
        <w:t xml:space="preserve"> </w:t>
      </w:r>
      <w:r w:rsidRPr="008D6609">
        <w:rPr>
          <w:rFonts w:ascii="Times" w:hAnsi="Times" w:cs="Times"/>
          <w:szCs w:val="24"/>
        </w:rPr>
        <w:t>311-321.</w:t>
      </w:r>
    </w:p>
    <w:p w14:paraId="524B423E" w14:textId="77777777" w:rsidR="00503349" w:rsidRPr="00DA2952" w:rsidRDefault="00503349" w:rsidP="00503349">
      <w:pPr>
        <w:rPr>
          <w:rFonts w:ascii="Times" w:hAnsi="Times" w:cs="Times"/>
        </w:rPr>
      </w:pPr>
      <w:r w:rsidRPr="00DA2952">
        <w:rPr>
          <w:rFonts w:ascii="Times New Roman" w:hAnsi="Times New Roman"/>
          <w:szCs w:val="24"/>
        </w:rPr>
        <w:t xml:space="preserve">Zeng, F., Xie, W.T., Wang, Y.J., Luo, H.B., Shi, X.Q., Zou, H.Q., Zeng, Y.Q., Li, Y.F., Zhang, S.R. and Lian Y., 2015. General public perceptions and attitudes toward Alzheimer’s disease from five cities in China. </w:t>
      </w:r>
      <w:r w:rsidRPr="00DA2952">
        <w:rPr>
          <w:rFonts w:ascii="Times New Roman" w:hAnsi="Times New Roman"/>
          <w:i/>
          <w:iCs/>
          <w:szCs w:val="24"/>
        </w:rPr>
        <w:t>Journal of Alzheimer’s Disease</w:t>
      </w:r>
      <w:r w:rsidRPr="00DA2952">
        <w:rPr>
          <w:rFonts w:ascii="Times New Roman" w:hAnsi="Times New Roman"/>
          <w:szCs w:val="24"/>
        </w:rPr>
        <w:t>, 43(2), pp. 511-518. </w:t>
      </w:r>
    </w:p>
    <w:p w14:paraId="2C392D5A" w14:textId="77777777" w:rsidR="00503349" w:rsidRPr="000C2CD1" w:rsidRDefault="00503349" w:rsidP="00503349">
      <w:pPr>
        <w:jc w:val="both"/>
        <w:textAlignment w:val="baseline"/>
        <w:rPr>
          <w:rFonts w:ascii="Times New Roman" w:hAnsi="Times New Roman"/>
          <w:color w:val="000000"/>
          <w:szCs w:val="24"/>
        </w:rPr>
      </w:pPr>
      <w:r w:rsidRPr="002B3011">
        <w:rPr>
          <w:rFonts w:ascii="Times New Roman" w:hAnsi="Times New Roman"/>
          <w:szCs w:val="24"/>
        </w:rPr>
        <w:t xml:space="preserve">Zhan, L., 2004. </w:t>
      </w:r>
      <w:r w:rsidRPr="002B3011">
        <w:rPr>
          <w:rFonts w:ascii="Times New Roman" w:hAnsi="Times New Roman"/>
          <w:noProof/>
          <w:szCs w:val="24"/>
        </w:rPr>
        <w:t xml:space="preserve">Caring for family members with Alzheimer’s disease: perspectives from Chinese American caregivers. </w:t>
      </w:r>
      <w:r w:rsidRPr="002B3011">
        <w:rPr>
          <w:rFonts w:ascii="Times New Roman" w:hAnsi="Times New Roman"/>
          <w:i/>
          <w:noProof/>
          <w:szCs w:val="24"/>
        </w:rPr>
        <w:t>Journal of Gerontological Nursing</w:t>
      </w:r>
      <w:r w:rsidRPr="002B3011">
        <w:rPr>
          <w:rFonts w:ascii="Times New Roman" w:hAnsi="Times New Roman"/>
          <w:noProof/>
          <w:szCs w:val="24"/>
        </w:rPr>
        <w:t>,</w:t>
      </w:r>
      <w:r w:rsidRPr="002B3011">
        <w:rPr>
          <w:rFonts w:ascii="Times New Roman" w:hAnsi="Times New Roman"/>
          <w:szCs w:val="24"/>
        </w:rPr>
        <w:t xml:space="preserve"> 30(8), pp. 19-29.</w:t>
      </w:r>
    </w:p>
    <w:p w14:paraId="288D8D98" w14:textId="77777777" w:rsidR="00503349" w:rsidRPr="00CF1AE8" w:rsidRDefault="00503349" w:rsidP="00503349">
      <w:pPr>
        <w:jc w:val="both"/>
        <w:rPr>
          <w:rFonts w:ascii="Times New Roman" w:hAnsi="Times New Roman"/>
          <w:szCs w:val="24"/>
        </w:rPr>
      </w:pPr>
      <w:r w:rsidRPr="00CF1AE8">
        <w:rPr>
          <w:rFonts w:ascii="Times New Roman" w:hAnsi="Times New Roman"/>
          <w:szCs w:val="24"/>
        </w:rPr>
        <w:lastRenderedPageBreak/>
        <w:t xml:space="preserve">Zhang, X. and Grabowski, D.C., 2004. Nursing home staffing and quality under the nursing home reform act. </w:t>
      </w:r>
      <w:r w:rsidRPr="00CF1AE8">
        <w:rPr>
          <w:rFonts w:ascii="Times New Roman" w:hAnsi="Times New Roman"/>
          <w:i/>
          <w:szCs w:val="24"/>
        </w:rPr>
        <w:t>The Gerontologist</w:t>
      </w:r>
      <w:r w:rsidRPr="00CF1AE8">
        <w:rPr>
          <w:rFonts w:ascii="Times New Roman" w:hAnsi="Times New Roman"/>
          <w:szCs w:val="24"/>
        </w:rPr>
        <w:t>, 44, pp. 13-23.</w:t>
      </w:r>
    </w:p>
    <w:p w14:paraId="597DC706"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Zhao, M., Lv, X., Tuerxun, M., He, J., Luo, B., Chen, W., Wang, K., Gu, P., Kuang, W., Zhou, Y., Qu, Q., He, J., Zhang, N., Feng, Y., Wang, Y., Yu, X. and Wang, H., 2015. Delayed help seeking behavior in dementia care: preliminary findings from the Clinical Pathway for Alzheimer's Disease in China (CPAD) study. </w:t>
      </w:r>
      <w:r w:rsidRPr="00DA2952">
        <w:rPr>
          <w:rFonts w:ascii="Times New Roman" w:hAnsi="Times New Roman"/>
          <w:i/>
          <w:iCs/>
          <w:szCs w:val="24"/>
        </w:rPr>
        <w:t>International Psychogeriatrics</w:t>
      </w:r>
      <w:r w:rsidRPr="00DA2952">
        <w:rPr>
          <w:rFonts w:ascii="Times New Roman" w:hAnsi="Times New Roman"/>
          <w:szCs w:val="24"/>
        </w:rPr>
        <w:t>, 1(2), pp. 1-9. </w:t>
      </w:r>
    </w:p>
    <w:p w14:paraId="494923F8" w14:textId="77777777" w:rsidR="00503349" w:rsidRPr="00DA2952" w:rsidRDefault="00503349" w:rsidP="00503349">
      <w:pPr>
        <w:jc w:val="both"/>
        <w:rPr>
          <w:rFonts w:ascii="Times New Roman" w:hAnsi="Times New Roman"/>
          <w:szCs w:val="24"/>
        </w:rPr>
      </w:pPr>
      <w:r w:rsidRPr="00DA2952">
        <w:rPr>
          <w:rFonts w:ascii="Times New Roman" w:hAnsi="Times New Roman"/>
          <w:szCs w:val="24"/>
        </w:rPr>
        <w:t xml:space="preserve">Zheng, X. and Woo, B.K., 2016. </w:t>
      </w:r>
      <w:r w:rsidRPr="00DA2952">
        <w:rPr>
          <w:rFonts w:ascii="Times New Roman" w:hAnsi="Times New Roman"/>
          <w:bCs/>
          <w:szCs w:val="24"/>
        </w:rPr>
        <w:t>Association between recognizing dementia as a mental illness and dementia knowledge among elderly Chinese Americans</w:t>
      </w:r>
      <w:r w:rsidRPr="00DA2952">
        <w:rPr>
          <w:rFonts w:ascii="Times New Roman" w:hAnsi="Times New Roman"/>
          <w:szCs w:val="24"/>
        </w:rPr>
        <w:t xml:space="preserve">. </w:t>
      </w:r>
      <w:r w:rsidRPr="00DA2952">
        <w:rPr>
          <w:rFonts w:ascii="Times New Roman" w:hAnsi="Times New Roman"/>
          <w:i/>
          <w:szCs w:val="24"/>
        </w:rPr>
        <w:t>World Journal of Psychiatry</w:t>
      </w:r>
      <w:r w:rsidRPr="00DA2952">
        <w:rPr>
          <w:rFonts w:ascii="Times New Roman" w:hAnsi="Times New Roman"/>
          <w:szCs w:val="24"/>
        </w:rPr>
        <w:t>, 6(2), pp. 233-238.</w:t>
      </w:r>
    </w:p>
    <w:p w14:paraId="15F5C56D" w14:textId="77777777" w:rsidR="00503349" w:rsidRDefault="00503349" w:rsidP="00503349">
      <w:pPr>
        <w:jc w:val="both"/>
        <w:rPr>
          <w:rFonts w:ascii="Times New Roman" w:hAnsi="Times New Roman"/>
          <w:szCs w:val="24"/>
        </w:rPr>
      </w:pPr>
      <w:r w:rsidRPr="00AB40E2">
        <w:rPr>
          <w:rFonts w:ascii="Times New Roman" w:hAnsi="Times New Roman"/>
          <w:szCs w:val="24"/>
        </w:rPr>
        <w:t xml:space="preserve">Zimmerman, S., Williams, C.S., Reed, P.S., Boustani, M., Preisser, J.S., Heck, E. and Sloane, P.D., 2005. Attitudes, stress, and satisfaction of staff who care for residents with dementia. </w:t>
      </w:r>
      <w:r w:rsidRPr="00AB40E2">
        <w:rPr>
          <w:rFonts w:ascii="Times New Roman" w:hAnsi="Times New Roman"/>
          <w:i/>
          <w:iCs/>
          <w:szCs w:val="24"/>
        </w:rPr>
        <w:t>The Gerontologist</w:t>
      </w:r>
      <w:r w:rsidRPr="00AB40E2">
        <w:rPr>
          <w:rFonts w:ascii="Times New Roman" w:hAnsi="Times New Roman"/>
          <w:szCs w:val="24"/>
        </w:rPr>
        <w:t>, 45(Issue Suppl.</w:t>
      </w:r>
      <w:r>
        <w:rPr>
          <w:rFonts w:ascii="Times New Roman" w:hAnsi="Times New Roman"/>
          <w:szCs w:val="24"/>
        </w:rPr>
        <w:t>_</w:t>
      </w:r>
      <w:r w:rsidRPr="00AB40E2">
        <w:rPr>
          <w:rFonts w:ascii="Times New Roman" w:hAnsi="Times New Roman"/>
          <w:szCs w:val="24"/>
        </w:rPr>
        <w:t>1), pp. 96-105.</w:t>
      </w:r>
    </w:p>
    <w:p w14:paraId="321AFFBD" w14:textId="69732E2A" w:rsidR="002E5B0C" w:rsidRDefault="00503349" w:rsidP="0031243E">
      <w:pPr>
        <w:jc w:val="both"/>
        <w:rPr>
          <w:rFonts w:eastAsia="MS Mincho" w:cs="Arial"/>
          <w:sz w:val="22"/>
          <w:lang w:val="en-US" w:eastAsia="en-US"/>
        </w:rPr>
      </w:pPr>
      <w:r w:rsidRPr="002B3011">
        <w:rPr>
          <w:rFonts w:ascii="Times New Roman" w:hAnsi="Times New Roman"/>
          <w:bCs/>
          <w:color w:val="000000"/>
          <w:szCs w:val="24"/>
        </w:rPr>
        <w:t>Zubair, M. and Victor, C., 2015. Exploring gender, age, time and space in research with older Pakistani Muslims in the United Kingdom: formalised research ‘ethics’ and performances of the public/private divide in ‘the field’. </w:t>
      </w:r>
      <w:r w:rsidRPr="002B3011">
        <w:rPr>
          <w:rFonts w:ascii="Times New Roman" w:hAnsi="Times New Roman"/>
          <w:bCs/>
          <w:i/>
          <w:iCs/>
          <w:color w:val="000000"/>
          <w:szCs w:val="24"/>
        </w:rPr>
        <w:t>Ageing &amp; Society</w:t>
      </w:r>
      <w:r w:rsidRPr="002B3011">
        <w:rPr>
          <w:rFonts w:ascii="Times New Roman" w:hAnsi="Times New Roman"/>
          <w:bCs/>
          <w:color w:val="000000"/>
          <w:szCs w:val="24"/>
        </w:rPr>
        <w:t>, 35(5), pp. 961-985.</w:t>
      </w:r>
    </w:p>
    <w:p w14:paraId="02BEFE2B" w14:textId="3D2989AC" w:rsidR="00C108FB" w:rsidRDefault="00C108FB" w:rsidP="0031243E">
      <w:pPr>
        <w:jc w:val="both"/>
        <w:rPr>
          <w:rFonts w:eastAsia="MS Mincho" w:cs="Arial"/>
          <w:sz w:val="22"/>
          <w:lang w:val="en-US" w:eastAsia="en-US"/>
        </w:rPr>
      </w:pPr>
    </w:p>
    <w:p w14:paraId="333EDA6D" w14:textId="77777777" w:rsidR="00E3462D" w:rsidRDefault="00E3462D">
      <w:pPr>
        <w:spacing w:after="0" w:line="240" w:lineRule="auto"/>
        <w:rPr>
          <w:rFonts w:ascii="Times New Roman" w:hAnsi="Times New Roman"/>
          <w:b/>
        </w:rPr>
      </w:pPr>
      <w:r>
        <w:rPr>
          <w:rFonts w:ascii="Times New Roman" w:hAnsi="Times New Roman"/>
          <w:b/>
        </w:rPr>
        <w:br w:type="page"/>
      </w:r>
    </w:p>
    <w:p w14:paraId="77BD6865" w14:textId="56631C3B" w:rsidR="00C108FB" w:rsidRPr="00C108FB" w:rsidRDefault="00C108FB" w:rsidP="00AA6A8F">
      <w:pPr>
        <w:pStyle w:val="Heading1"/>
      </w:pPr>
      <w:bookmarkStart w:id="318" w:name="_Toc86417431"/>
      <w:r w:rsidRPr="00C108FB">
        <w:lastRenderedPageBreak/>
        <w:t>APPENDICES</w:t>
      </w:r>
      <w:bookmarkEnd w:id="318"/>
    </w:p>
    <w:p w14:paraId="385AD1DE" w14:textId="77777777" w:rsidR="00C108FB" w:rsidRPr="00C108FB" w:rsidRDefault="00C108FB" w:rsidP="00AA6A8F">
      <w:pPr>
        <w:pStyle w:val="Heading2"/>
      </w:pPr>
      <w:bookmarkStart w:id="319" w:name="_Toc86417432"/>
      <w:r w:rsidRPr="00C108FB">
        <w:rPr>
          <w:bCs/>
        </w:rPr>
        <w:t xml:space="preserve">APPENDIX 2.1: </w:t>
      </w:r>
      <w:r w:rsidRPr="00C108FB">
        <w:t>LITERATURE REVIEW PROCESS AND SCOPE</w:t>
      </w:r>
      <w:bookmarkEnd w:id="319"/>
    </w:p>
    <w:p w14:paraId="0F321023" w14:textId="77777777" w:rsidR="00C108FB" w:rsidRPr="00C108FB" w:rsidRDefault="00C108FB" w:rsidP="00C108FB">
      <w:pPr>
        <w:tabs>
          <w:tab w:val="left" w:pos="-142"/>
        </w:tabs>
        <w:spacing w:before="240"/>
        <w:jc w:val="both"/>
        <w:rPr>
          <w:rFonts w:ascii="Times New Roman" w:hAnsi="Times New Roman"/>
          <w:b/>
          <w:i/>
          <w:szCs w:val="24"/>
        </w:rPr>
      </w:pPr>
      <w:r w:rsidRPr="00C108FB">
        <w:rPr>
          <w:rFonts w:ascii="Times New Roman" w:hAnsi="Times New Roman"/>
          <w:b/>
          <w:i/>
          <w:szCs w:val="24"/>
        </w:rPr>
        <w:t xml:space="preserve">Literature search strategy: </w:t>
      </w:r>
      <w:r w:rsidRPr="00C108FB">
        <w:rPr>
          <w:rFonts w:ascii="Times New Roman" w:hAnsi="Times New Roman"/>
          <w:szCs w:val="24"/>
        </w:rPr>
        <w:t xml:space="preserve">The literature review that was conducted for this study was a standard scoping review. The style was chosen because of the different concepts that were examined with the context of understanding the experience of paid Nigerian nurses and health care assistants (HCA) for people living with dementia (PLWD). A literature search method that involved the search of existing literature in some databases was done to aid the proper identification of relevant literature and studies. The following databases: </w:t>
      </w:r>
      <w:r w:rsidRPr="00C108FB">
        <w:rPr>
          <w:rFonts w:ascii="Times New Roman" w:eastAsia="MS Mincho" w:hAnsi="Times New Roman"/>
          <w:szCs w:val="24"/>
        </w:rPr>
        <w:t>Cochrane Library,</w:t>
      </w:r>
      <w:r w:rsidRPr="00C108FB">
        <w:rPr>
          <w:rFonts w:ascii="Times New Roman" w:hAnsi="Times New Roman"/>
          <w:szCs w:val="24"/>
        </w:rPr>
        <w:t xml:space="preserve"> PubMed, </w:t>
      </w:r>
      <w:r w:rsidRPr="00C108FB">
        <w:rPr>
          <w:rFonts w:ascii="Times New Roman" w:eastAsia="MS Mincho" w:hAnsi="Times New Roman"/>
          <w:bCs/>
          <w:i/>
          <w:iCs/>
          <w:szCs w:val="24"/>
          <w:shd w:val="clear" w:color="auto" w:fill="FFFFFF"/>
        </w:rPr>
        <w:t>Cumulative Index to Nursing and Allied Health Literature</w:t>
      </w:r>
      <w:r w:rsidRPr="00C108FB">
        <w:rPr>
          <w:rFonts w:ascii="Times New Roman" w:hAnsi="Times New Roman"/>
          <w:i/>
          <w:szCs w:val="24"/>
        </w:rPr>
        <w:t xml:space="preserve"> </w:t>
      </w:r>
      <w:r w:rsidRPr="00C108FB">
        <w:rPr>
          <w:rFonts w:ascii="Times New Roman" w:hAnsi="Times New Roman"/>
          <w:szCs w:val="24"/>
        </w:rPr>
        <w:t xml:space="preserve">(CINAHL), Medline (EBSCO), Social care online, Science Direct and Google Scholar; were searched at the outset of the preparation for the study. The search was conducted largely through the Anglia Ruskin University Digital Library. </w:t>
      </w:r>
      <w:r w:rsidRPr="00C108FB">
        <w:rPr>
          <w:rFonts w:ascii="Times New Roman" w:eastAsia="MS Mincho" w:hAnsi="Times New Roman"/>
          <w:szCs w:val="24"/>
        </w:rPr>
        <w:t>These databases were selected because they contain an array or primary research related to the research topic. No specific time frame was adopted in the literature search.</w:t>
      </w:r>
    </w:p>
    <w:p w14:paraId="0EA1C411" w14:textId="77777777" w:rsidR="00C108FB" w:rsidRPr="00C108FB" w:rsidRDefault="00C108FB" w:rsidP="00C108FB">
      <w:pPr>
        <w:spacing w:before="240"/>
        <w:rPr>
          <w:rFonts w:ascii="Times New Roman" w:hAnsi="Times New Roman"/>
          <w:b/>
          <w:i/>
          <w:szCs w:val="24"/>
        </w:rPr>
      </w:pPr>
      <w:r w:rsidRPr="00C108FB">
        <w:rPr>
          <w:rFonts w:ascii="Times New Roman" w:hAnsi="Times New Roman"/>
          <w:b/>
          <w:i/>
          <w:szCs w:val="24"/>
        </w:rPr>
        <w:t>Key words or search terms</w:t>
      </w:r>
    </w:p>
    <w:p w14:paraId="6EEB803D" w14:textId="77777777" w:rsidR="00C108FB" w:rsidRPr="00C108FB" w:rsidRDefault="00C108FB" w:rsidP="00C108FB">
      <w:pPr>
        <w:spacing w:before="240"/>
        <w:jc w:val="both"/>
        <w:rPr>
          <w:rFonts w:ascii="Times New Roman" w:hAnsi="Times New Roman"/>
          <w:szCs w:val="24"/>
        </w:rPr>
      </w:pPr>
      <w:r w:rsidRPr="00C108FB">
        <w:rPr>
          <w:rFonts w:ascii="Times New Roman" w:hAnsi="Times New Roman"/>
          <w:szCs w:val="24"/>
        </w:rPr>
        <w:t>The search involved entering search term(s) into databases, with or without parentheses to ensure only studies relating to the search term(s) were retrieved. Examples of search terms used are, “dementia”, “carer” “carers”, “dementia carers”, “informal carers”, “formal carers”, “paid caregivers”, “Nigerian migrant caregivers”, “Alzheimer”, “caregiving”, “caregiver”, “ethnic minorities”, “family caregivers”, etc. Results obtained from the search formed the basis of this literature review.</w:t>
      </w:r>
    </w:p>
    <w:p w14:paraId="5BA3899D" w14:textId="77777777" w:rsidR="00C108FB" w:rsidRPr="00C108FB" w:rsidRDefault="00C108FB" w:rsidP="00C108FB">
      <w:pPr>
        <w:spacing w:after="0"/>
        <w:rPr>
          <w:rFonts w:ascii="Times New Roman" w:hAnsi="Times New Roman"/>
          <w:b/>
          <w:i/>
          <w:szCs w:val="24"/>
        </w:rPr>
      </w:pPr>
      <w:r w:rsidRPr="00C108FB">
        <w:rPr>
          <w:rFonts w:ascii="Times New Roman" w:hAnsi="Times New Roman"/>
          <w:b/>
          <w:i/>
          <w:szCs w:val="24"/>
        </w:rPr>
        <w:t>Defining the scope of the review</w:t>
      </w:r>
    </w:p>
    <w:p w14:paraId="2BE323C7" w14:textId="77777777" w:rsidR="00C108FB" w:rsidRPr="00C108FB" w:rsidRDefault="00C108FB" w:rsidP="00C108FB">
      <w:pPr>
        <w:spacing w:after="0"/>
        <w:rPr>
          <w:rFonts w:ascii="Times New Roman" w:hAnsi="Times New Roman"/>
          <w:szCs w:val="24"/>
        </w:rPr>
      </w:pPr>
      <w:r w:rsidRPr="00C108FB">
        <w:rPr>
          <w:rFonts w:ascii="Times New Roman" w:hAnsi="Times New Roman"/>
          <w:szCs w:val="24"/>
        </w:rPr>
        <w:t>Although this study is on paid Nigerian migrant, the literature reviewed attempts to understand the main concepts associated with their experiences of caregiving. However, the review was limited to studies largely on dementia caregiving.</w:t>
      </w:r>
    </w:p>
    <w:p w14:paraId="43E057AB" w14:textId="77777777" w:rsidR="00C108FB" w:rsidRPr="00C108FB" w:rsidRDefault="00C108FB" w:rsidP="00C108FB">
      <w:pPr>
        <w:spacing w:after="0"/>
        <w:rPr>
          <w:rFonts w:ascii="Times New Roman" w:hAnsi="Times New Roman"/>
          <w:szCs w:val="24"/>
        </w:rPr>
      </w:pPr>
      <w:r w:rsidRPr="00C108FB">
        <w:rPr>
          <w:rFonts w:ascii="Times New Roman" w:hAnsi="Times New Roman"/>
          <w:b/>
          <w:i/>
          <w:szCs w:val="24"/>
        </w:rPr>
        <w:t>Inclusion criteria:</w:t>
      </w:r>
      <w:r w:rsidRPr="00C108FB">
        <w:rPr>
          <w:rFonts w:ascii="Times New Roman" w:hAnsi="Times New Roman"/>
          <w:b/>
          <w:szCs w:val="24"/>
        </w:rPr>
        <w:t xml:space="preserve"> </w:t>
      </w:r>
      <w:r w:rsidRPr="00C108FB">
        <w:rPr>
          <w:rFonts w:ascii="Times New Roman" w:hAnsi="Times New Roman"/>
          <w:szCs w:val="24"/>
        </w:rPr>
        <w:t>studies of all design</w:t>
      </w:r>
    </w:p>
    <w:p w14:paraId="07CAE04B" w14:textId="77777777" w:rsidR="007F6699" w:rsidRDefault="00C108FB" w:rsidP="007F6699">
      <w:pPr>
        <w:spacing w:before="240"/>
        <w:rPr>
          <w:rFonts w:ascii="Times New Roman" w:hAnsi="Times New Roman"/>
          <w:szCs w:val="24"/>
        </w:rPr>
      </w:pPr>
      <w:r w:rsidRPr="00C108FB">
        <w:rPr>
          <w:rFonts w:ascii="Times New Roman" w:hAnsi="Times New Roman"/>
          <w:b/>
          <w:i/>
          <w:szCs w:val="24"/>
        </w:rPr>
        <w:t>Exclusion criteria:</w:t>
      </w:r>
      <w:r w:rsidRPr="00C108FB">
        <w:rPr>
          <w:rFonts w:ascii="Times New Roman" w:hAnsi="Times New Roman"/>
          <w:b/>
          <w:szCs w:val="24"/>
        </w:rPr>
        <w:t xml:space="preserve"> </w:t>
      </w:r>
      <w:r w:rsidRPr="00C108FB">
        <w:rPr>
          <w:rFonts w:ascii="Times New Roman" w:hAnsi="Times New Roman"/>
          <w:szCs w:val="24"/>
        </w:rPr>
        <w:t>studies not published in English</w:t>
      </w:r>
    </w:p>
    <w:p w14:paraId="2DB854B3" w14:textId="217F9FA4" w:rsidR="007F6699" w:rsidRPr="007F6699" w:rsidRDefault="00C108FB" w:rsidP="00AA6A8F">
      <w:pPr>
        <w:pStyle w:val="Heading2"/>
      </w:pPr>
      <w:bookmarkStart w:id="320" w:name="_Toc86417433"/>
      <w:r w:rsidRPr="00C108FB">
        <w:lastRenderedPageBreak/>
        <w:t>APPENDIX 6.1(A-D): LETTERS OF PERMISSION FROM CHURCHES</w:t>
      </w:r>
      <w:bookmarkEnd w:id="320"/>
    </w:p>
    <w:p w14:paraId="3AE2CDCD" w14:textId="6176FE45" w:rsidR="00C108FB" w:rsidRDefault="00C108FB" w:rsidP="007F6699">
      <w:pPr>
        <w:spacing w:after="0"/>
        <w:jc w:val="center"/>
        <w:rPr>
          <w:rFonts w:ascii="Times New Roman" w:hAnsi="Times New Roman"/>
          <w:b/>
          <w:szCs w:val="24"/>
        </w:rPr>
      </w:pPr>
      <w:r w:rsidRPr="00C108FB">
        <w:rPr>
          <w:rFonts w:ascii="Times New Roman" w:hAnsi="Times New Roman"/>
          <w:b/>
          <w:bCs/>
        </w:rPr>
        <w:t>APPENDIX 6.1A:</w:t>
      </w:r>
      <w:r w:rsidRPr="00C108FB">
        <w:rPr>
          <w:rFonts w:ascii="Times New Roman" w:hAnsi="Times New Roman"/>
          <w:b/>
          <w:bCs/>
          <w:szCs w:val="24"/>
        </w:rPr>
        <w:t xml:space="preserve"> </w:t>
      </w:r>
      <w:r w:rsidRPr="00C108FB">
        <w:rPr>
          <w:rFonts w:ascii="Times New Roman" w:hAnsi="Times New Roman"/>
          <w:b/>
          <w:szCs w:val="24"/>
        </w:rPr>
        <w:t>LETTER FROM RCCG HOPE HALL</w:t>
      </w:r>
    </w:p>
    <w:p w14:paraId="2D05890A" w14:textId="77777777" w:rsidR="00E3462D" w:rsidRPr="00C108FB" w:rsidRDefault="00E3462D" w:rsidP="007F6699">
      <w:pPr>
        <w:spacing w:after="0"/>
        <w:jc w:val="center"/>
      </w:pPr>
    </w:p>
    <w:p w14:paraId="29FDF73C" w14:textId="6A372AEF" w:rsidR="00C108FB" w:rsidRPr="00C108FB" w:rsidRDefault="00E3462D" w:rsidP="00C108FB">
      <w:pPr>
        <w:jc w:val="center"/>
        <w:rPr>
          <w:rFonts w:ascii="Times New Roman" w:hAnsi="Times New Roman"/>
          <w:b/>
          <w:bCs/>
        </w:rPr>
      </w:pPr>
      <w:r>
        <w:rPr>
          <w:rFonts w:ascii="Times New Roman" w:hAnsi="Times New Roman"/>
          <w:b/>
          <w:bCs/>
        </w:rPr>
        <w:t>[redacted in this version]</w:t>
      </w:r>
    </w:p>
    <w:p w14:paraId="69AD5166" w14:textId="77777777" w:rsidR="00E3462D" w:rsidRDefault="00E3462D">
      <w:pPr>
        <w:spacing w:after="0" w:line="240" w:lineRule="auto"/>
        <w:rPr>
          <w:rFonts w:ascii="Times New Roman" w:hAnsi="Times New Roman"/>
          <w:b/>
          <w:bCs/>
        </w:rPr>
      </w:pPr>
      <w:r>
        <w:rPr>
          <w:rFonts w:ascii="Times New Roman" w:hAnsi="Times New Roman"/>
          <w:b/>
          <w:bCs/>
        </w:rPr>
        <w:br w:type="page"/>
      </w:r>
    </w:p>
    <w:p w14:paraId="0F027BDC" w14:textId="7B899F33" w:rsidR="00C108FB" w:rsidRPr="00C108FB" w:rsidRDefault="00C108FB" w:rsidP="00C108FB">
      <w:pPr>
        <w:jc w:val="center"/>
        <w:rPr>
          <w:rFonts w:ascii="Times New Roman" w:hAnsi="Times New Roman"/>
          <w:b/>
          <w:bCs/>
        </w:rPr>
      </w:pPr>
      <w:r w:rsidRPr="00C108FB">
        <w:rPr>
          <w:rFonts w:ascii="Times New Roman" w:hAnsi="Times New Roman"/>
          <w:b/>
          <w:bCs/>
        </w:rPr>
        <w:lastRenderedPageBreak/>
        <w:t xml:space="preserve">APPENDIX 6.1B: </w:t>
      </w:r>
      <w:r w:rsidRPr="00C108FB">
        <w:rPr>
          <w:rFonts w:ascii="Times New Roman" w:hAnsi="Times New Roman"/>
          <w:b/>
          <w:szCs w:val="24"/>
        </w:rPr>
        <w:t>LETTER FROM RCCG POWER OF JEHOVAH</w:t>
      </w:r>
    </w:p>
    <w:p w14:paraId="6D567033" w14:textId="765E78A5" w:rsidR="00C108FB" w:rsidRPr="00C108FB" w:rsidRDefault="00E3462D" w:rsidP="00E3462D">
      <w:pPr>
        <w:jc w:val="center"/>
      </w:pPr>
      <w:r>
        <w:rPr>
          <w:noProof/>
        </w:rPr>
        <w:t>[redacted in this version]</w:t>
      </w:r>
    </w:p>
    <w:p w14:paraId="4763AFFB" w14:textId="77777777" w:rsidR="00E3462D" w:rsidRDefault="00E3462D">
      <w:pPr>
        <w:spacing w:after="0" w:line="240" w:lineRule="auto"/>
        <w:rPr>
          <w:rFonts w:ascii="Times New Roman" w:hAnsi="Times New Roman"/>
          <w:b/>
          <w:bCs/>
        </w:rPr>
      </w:pPr>
      <w:r>
        <w:rPr>
          <w:rFonts w:ascii="Times New Roman" w:hAnsi="Times New Roman"/>
          <w:b/>
          <w:bCs/>
        </w:rPr>
        <w:br w:type="page"/>
      </w:r>
    </w:p>
    <w:p w14:paraId="39833338" w14:textId="21474D0D" w:rsidR="00C108FB" w:rsidRPr="00C108FB" w:rsidRDefault="00C108FB" w:rsidP="007F6699">
      <w:pPr>
        <w:jc w:val="center"/>
        <w:rPr>
          <w:rFonts w:ascii="Times New Roman" w:hAnsi="Times New Roman"/>
          <w:b/>
          <w:bCs/>
        </w:rPr>
      </w:pPr>
      <w:r w:rsidRPr="00C108FB">
        <w:rPr>
          <w:rFonts w:ascii="Times New Roman" w:hAnsi="Times New Roman"/>
          <w:b/>
          <w:bCs/>
        </w:rPr>
        <w:lastRenderedPageBreak/>
        <w:t>APPENDIX 6.1C</w:t>
      </w:r>
      <w:r w:rsidRPr="00C108FB">
        <w:rPr>
          <w:rFonts w:ascii="Times New Roman" w:hAnsi="Times New Roman"/>
          <w:b/>
          <w:bCs/>
          <w:szCs w:val="24"/>
        </w:rPr>
        <w:t xml:space="preserve">: </w:t>
      </w:r>
      <w:r w:rsidRPr="00C108FB">
        <w:rPr>
          <w:rFonts w:ascii="Times New Roman" w:hAnsi="Times New Roman"/>
          <w:b/>
          <w:szCs w:val="24"/>
        </w:rPr>
        <w:t>LETTER FROM RCCG THANKSGIVING HOUSE</w:t>
      </w:r>
    </w:p>
    <w:p w14:paraId="7950BA77" w14:textId="36F4B2B9" w:rsidR="00C108FB" w:rsidRPr="00C108FB" w:rsidRDefault="00A03BB5" w:rsidP="00A03BB5">
      <w:pPr>
        <w:jc w:val="center"/>
      </w:pPr>
      <w:r>
        <w:rPr>
          <w:noProof/>
        </w:rPr>
        <w:t>[redacted in this version]</w:t>
      </w:r>
    </w:p>
    <w:p w14:paraId="1CE705DA" w14:textId="77777777" w:rsidR="00A921D4" w:rsidRDefault="00A921D4">
      <w:pPr>
        <w:spacing w:after="0" w:line="240" w:lineRule="auto"/>
        <w:rPr>
          <w:rFonts w:ascii="Times New Roman" w:hAnsi="Times New Roman"/>
          <w:b/>
          <w:bCs/>
        </w:rPr>
      </w:pPr>
      <w:r>
        <w:rPr>
          <w:rFonts w:ascii="Times New Roman" w:hAnsi="Times New Roman"/>
          <w:b/>
          <w:bCs/>
        </w:rPr>
        <w:br w:type="page"/>
      </w:r>
    </w:p>
    <w:p w14:paraId="36893308" w14:textId="77777777" w:rsidR="00A921D4" w:rsidRDefault="00C108FB" w:rsidP="00C108FB">
      <w:pPr>
        <w:jc w:val="center"/>
        <w:rPr>
          <w:rFonts w:ascii="Times New Roman" w:hAnsi="Times New Roman"/>
          <w:b/>
          <w:szCs w:val="24"/>
        </w:rPr>
      </w:pPr>
      <w:r w:rsidRPr="00C108FB">
        <w:rPr>
          <w:rFonts w:ascii="Times New Roman" w:hAnsi="Times New Roman"/>
          <w:b/>
          <w:bCs/>
        </w:rPr>
        <w:lastRenderedPageBreak/>
        <w:t xml:space="preserve">APPENDIX 6.1D: </w:t>
      </w:r>
      <w:r w:rsidRPr="00C108FB">
        <w:rPr>
          <w:rFonts w:ascii="Times New Roman" w:hAnsi="Times New Roman"/>
          <w:b/>
          <w:szCs w:val="24"/>
        </w:rPr>
        <w:t>LETTER FROM THE CHRIST ANOINTING ASSEMBLY</w:t>
      </w:r>
    </w:p>
    <w:p w14:paraId="290E603E" w14:textId="2CBD6BCD" w:rsidR="00C108FB" w:rsidRPr="00C108FB" w:rsidRDefault="00A921D4" w:rsidP="00C108FB">
      <w:pPr>
        <w:jc w:val="center"/>
        <w:rPr>
          <w:rFonts w:ascii="Times New Roman" w:hAnsi="Times New Roman"/>
          <w:b/>
          <w:bCs/>
        </w:rPr>
      </w:pPr>
      <w:r>
        <w:rPr>
          <w:rFonts w:ascii="Times New Roman" w:hAnsi="Times New Roman"/>
          <w:b/>
          <w:szCs w:val="24"/>
        </w:rPr>
        <w:t>[redacted in this version]</w:t>
      </w:r>
      <w:r w:rsidR="00C108FB" w:rsidRPr="00C108FB">
        <w:rPr>
          <w:rFonts w:ascii="Times New Roman" w:hAnsi="Times New Roman"/>
          <w:b/>
          <w:bCs/>
          <w:noProof/>
        </w:rPr>
        <w:t xml:space="preserve"> </w:t>
      </w:r>
    </w:p>
    <w:p w14:paraId="278EEB7D" w14:textId="77777777" w:rsidR="00C108FB" w:rsidRPr="00C108FB" w:rsidRDefault="00C108FB" w:rsidP="00C108FB">
      <w:pPr>
        <w:spacing w:after="0" w:line="256" w:lineRule="auto"/>
        <w:jc w:val="center"/>
        <w:rPr>
          <w:rFonts w:ascii="Times New Roman" w:eastAsia="Arial" w:hAnsi="Times New Roman"/>
          <w:b/>
          <w:bCs/>
          <w:color w:val="000000"/>
          <w:szCs w:val="24"/>
        </w:rPr>
      </w:pPr>
      <w:bookmarkStart w:id="321" w:name="_Hlk84575052"/>
    </w:p>
    <w:p w14:paraId="30ECE065" w14:textId="77777777" w:rsidR="00C108FB" w:rsidRPr="00C108FB" w:rsidRDefault="00C108FB" w:rsidP="00C108FB">
      <w:pPr>
        <w:spacing w:after="0" w:line="256" w:lineRule="auto"/>
        <w:jc w:val="center"/>
        <w:rPr>
          <w:rFonts w:ascii="Times New Roman" w:eastAsia="Arial" w:hAnsi="Times New Roman"/>
          <w:b/>
          <w:bCs/>
          <w:color w:val="000000"/>
          <w:szCs w:val="24"/>
        </w:rPr>
      </w:pPr>
    </w:p>
    <w:p w14:paraId="050FF61A" w14:textId="77777777" w:rsidR="00C108FB" w:rsidRPr="00C108FB" w:rsidRDefault="00C108FB" w:rsidP="007F6699">
      <w:pPr>
        <w:spacing w:after="0" w:line="256" w:lineRule="auto"/>
        <w:rPr>
          <w:rFonts w:ascii="Times New Roman" w:eastAsia="Arial" w:hAnsi="Times New Roman"/>
          <w:b/>
          <w:bCs/>
          <w:color w:val="000000"/>
          <w:szCs w:val="24"/>
        </w:rPr>
      </w:pPr>
    </w:p>
    <w:p w14:paraId="3A829316" w14:textId="77777777" w:rsidR="00A921D4" w:rsidRDefault="00A921D4">
      <w:pPr>
        <w:spacing w:after="0" w:line="240" w:lineRule="auto"/>
        <w:rPr>
          <w:rFonts w:ascii="Times New Roman" w:eastAsia="Arial" w:hAnsi="Times New Roman"/>
          <w:b/>
          <w:bCs/>
          <w:color w:val="000000"/>
          <w:szCs w:val="24"/>
        </w:rPr>
      </w:pPr>
      <w:r>
        <w:rPr>
          <w:rFonts w:ascii="Times New Roman" w:eastAsia="Arial" w:hAnsi="Times New Roman"/>
          <w:b/>
          <w:bCs/>
          <w:color w:val="000000"/>
          <w:szCs w:val="24"/>
        </w:rPr>
        <w:br w:type="page"/>
      </w:r>
    </w:p>
    <w:p w14:paraId="5060FB1E" w14:textId="79DD513D" w:rsidR="00C108FB" w:rsidRPr="00C108FB" w:rsidRDefault="00C108FB" w:rsidP="00AA6A8F">
      <w:pPr>
        <w:pStyle w:val="Heading2"/>
        <w:rPr>
          <w:rFonts w:eastAsia="Arial"/>
        </w:rPr>
      </w:pPr>
      <w:bookmarkStart w:id="322" w:name="_Toc86417434"/>
      <w:r w:rsidRPr="00C108FB">
        <w:rPr>
          <w:rFonts w:eastAsia="Arial"/>
        </w:rPr>
        <w:lastRenderedPageBreak/>
        <w:t xml:space="preserve">APPENDIX 6.2(A-C): EVIDENCE OF </w:t>
      </w:r>
      <w:r w:rsidRPr="00C108FB">
        <w:t>HRA AND NHS R&amp;D APPROVAL</w:t>
      </w:r>
      <w:bookmarkEnd w:id="322"/>
      <w:r w:rsidRPr="00C108FB">
        <w:rPr>
          <w:rFonts w:eastAsia="Arial"/>
        </w:rPr>
        <w:t xml:space="preserve"> </w:t>
      </w:r>
    </w:p>
    <w:p w14:paraId="338E862A" w14:textId="77777777" w:rsidR="00C108FB" w:rsidRPr="00C108FB" w:rsidRDefault="00C108FB" w:rsidP="00C108FB">
      <w:pPr>
        <w:spacing w:after="0" w:line="256" w:lineRule="auto"/>
        <w:jc w:val="center"/>
        <w:rPr>
          <w:rFonts w:ascii="Times New Roman" w:hAnsi="Times New Roman"/>
          <w:b/>
          <w:szCs w:val="24"/>
        </w:rPr>
      </w:pPr>
      <w:r w:rsidRPr="00C108FB">
        <w:rPr>
          <w:rFonts w:ascii="Times New Roman" w:eastAsia="Arial" w:hAnsi="Times New Roman"/>
          <w:b/>
          <w:bCs/>
          <w:color w:val="000000"/>
          <w:szCs w:val="24"/>
        </w:rPr>
        <w:t xml:space="preserve">APPENDIX 6.2A: </w:t>
      </w:r>
      <w:r w:rsidRPr="00C108FB">
        <w:rPr>
          <w:rFonts w:ascii="Times New Roman" w:hAnsi="Times New Roman"/>
          <w:b/>
          <w:szCs w:val="24"/>
        </w:rPr>
        <w:t>HRA APPROVAL</w:t>
      </w:r>
      <w:bookmarkEnd w:id="321"/>
      <w:r w:rsidRPr="00C108FB">
        <w:rPr>
          <w:rFonts w:ascii="Times New Roman" w:hAnsi="Times New Roman"/>
          <w:b/>
          <w:szCs w:val="24"/>
        </w:rPr>
        <w:t xml:space="preserve"> LETTER</w:t>
      </w:r>
    </w:p>
    <w:p w14:paraId="7DBDD20B" w14:textId="58482588" w:rsidR="00C108FB" w:rsidRDefault="00C108FB" w:rsidP="00C108FB">
      <w:pPr>
        <w:spacing w:after="0" w:line="256" w:lineRule="auto"/>
        <w:jc w:val="center"/>
        <w:rPr>
          <w:rFonts w:ascii="Times New Roman" w:eastAsia="Arial" w:hAnsi="Times New Roman"/>
          <w:b/>
          <w:bCs/>
          <w:color w:val="000000"/>
          <w:szCs w:val="24"/>
        </w:rPr>
      </w:pPr>
    </w:p>
    <w:p w14:paraId="62D4B6F5" w14:textId="58321688" w:rsidR="00A921D4" w:rsidRPr="00C108FB" w:rsidRDefault="00A921D4" w:rsidP="00C108FB">
      <w:pPr>
        <w:spacing w:after="0" w:line="256" w:lineRule="auto"/>
        <w:jc w:val="center"/>
        <w:rPr>
          <w:rFonts w:ascii="Times New Roman" w:eastAsia="Arial" w:hAnsi="Times New Roman"/>
          <w:b/>
          <w:bCs/>
          <w:color w:val="000000"/>
          <w:szCs w:val="24"/>
        </w:rPr>
      </w:pPr>
      <w:r>
        <w:rPr>
          <w:rFonts w:ascii="Times New Roman" w:eastAsia="Arial" w:hAnsi="Times New Roman"/>
          <w:b/>
          <w:bCs/>
          <w:color w:val="000000"/>
          <w:szCs w:val="24"/>
        </w:rPr>
        <w:t>[redacted in this version]</w:t>
      </w:r>
    </w:p>
    <w:p w14:paraId="762FF990" w14:textId="3650B30A" w:rsidR="00C108FB" w:rsidRPr="00C108FB" w:rsidRDefault="00C108FB" w:rsidP="00C108FB">
      <w:r w:rsidRPr="00C108FB">
        <w:rPr>
          <w:noProof/>
        </w:rPr>
        <w:lastRenderedPageBreak/>
        <w:drawing>
          <wp:inline distT="0" distB="0" distL="0" distR="0" wp14:anchorId="66BBEA3D" wp14:editId="11B24312">
            <wp:extent cx="5278120" cy="7461250"/>
            <wp:effectExtent l="0" t="0" r="0" b="0"/>
            <wp:docPr id="350" name="Picture 350" descr="P39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P3989#yIS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r w:rsidR="00A921D4">
        <w:rPr>
          <w:noProof/>
        </w:rPr>
        <w:lastRenderedPageBreak/>
        <w:drawing>
          <wp:inline distT="0" distB="0" distL="0" distR="0" wp14:anchorId="538546F9" wp14:editId="1C898FE2">
            <wp:extent cx="5164978" cy="7299960"/>
            <wp:effectExtent l="0" t="0" r="0" b="0"/>
            <wp:docPr id="229" name="Picture 229" descr="P398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P3989#yIS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71181" cy="7308727"/>
                    </a:xfrm>
                    <a:prstGeom prst="rect">
                      <a:avLst/>
                    </a:prstGeom>
                    <a:noFill/>
                    <a:ln>
                      <a:noFill/>
                    </a:ln>
                  </pic:spPr>
                </pic:pic>
              </a:graphicData>
            </a:graphic>
          </wp:inline>
        </w:drawing>
      </w:r>
      <w:r w:rsidRPr="00C108FB">
        <w:rPr>
          <w:noProof/>
        </w:rPr>
        <w:lastRenderedPageBreak/>
        <w:drawing>
          <wp:inline distT="0" distB="0" distL="0" distR="0" wp14:anchorId="6ECC173B" wp14:editId="0DD1604D">
            <wp:extent cx="5278120" cy="7461250"/>
            <wp:effectExtent l="0" t="0" r="0" b="0"/>
            <wp:docPr id="348" name="Picture 348" descr="P3989#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348" descr="P3989#yIS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r w:rsidRPr="00C108FB">
        <w:rPr>
          <w:noProof/>
        </w:rPr>
        <w:lastRenderedPageBreak/>
        <w:drawing>
          <wp:inline distT="0" distB="0" distL="0" distR="0" wp14:anchorId="00B9711C" wp14:editId="19C2D081">
            <wp:extent cx="5278120" cy="7461250"/>
            <wp:effectExtent l="0" t="0" r="0" b="0"/>
            <wp:docPr id="347" name="Picture 347" descr="P3989#yI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descr="P3989#yIS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r w:rsidRPr="00C108FB">
        <w:rPr>
          <w:noProof/>
        </w:rPr>
        <w:lastRenderedPageBreak/>
        <w:drawing>
          <wp:inline distT="0" distB="0" distL="0" distR="0" wp14:anchorId="3D9521BA" wp14:editId="74B7102C">
            <wp:extent cx="5278120" cy="7461250"/>
            <wp:effectExtent l="0" t="0" r="0" b="0"/>
            <wp:docPr id="346" name="Picture 346" descr="P3989#yI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P3989#yIS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r w:rsidRPr="00C108FB">
        <w:rPr>
          <w:noProof/>
        </w:rPr>
        <w:lastRenderedPageBreak/>
        <w:drawing>
          <wp:inline distT="0" distB="0" distL="0" distR="0" wp14:anchorId="13D50E38" wp14:editId="10E9B23E">
            <wp:extent cx="5278120" cy="7461250"/>
            <wp:effectExtent l="0" t="0" r="0" b="0"/>
            <wp:docPr id="345" name="Picture 345" descr="P3989#yI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descr="P3989#yIS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p>
    <w:p w14:paraId="2985F609" w14:textId="77777777" w:rsidR="00C108FB" w:rsidRPr="00C108FB" w:rsidRDefault="00C108FB" w:rsidP="00C108FB">
      <w:pPr>
        <w:spacing w:before="240"/>
        <w:rPr>
          <w:rFonts w:ascii="Times New Roman" w:hAnsi="Times New Roman"/>
          <w:b/>
        </w:rPr>
      </w:pPr>
    </w:p>
    <w:p w14:paraId="133C8054" w14:textId="77777777" w:rsidR="00C108FB" w:rsidRPr="00C108FB" w:rsidRDefault="00C108FB" w:rsidP="00C108FB">
      <w:pPr>
        <w:spacing w:before="240"/>
        <w:rPr>
          <w:rFonts w:ascii="Times New Roman" w:hAnsi="Times New Roman"/>
          <w:b/>
        </w:rPr>
      </w:pPr>
    </w:p>
    <w:p w14:paraId="1313CDD1" w14:textId="77777777" w:rsidR="00C108FB" w:rsidRPr="00C108FB" w:rsidRDefault="00C108FB" w:rsidP="00C108FB">
      <w:pPr>
        <w:spacing w:before="240" w:after="0"/>
        <w:jc w:val="center"/>
        <w:rPr>
          <w:rFonts w:ascii="Times New Roman" w:eastAsia="Arial" w:hAnsi="Times New Roman"/>
          <w:b/>
          <w:bCs/>
          <w:color w:val="000000"/>
          <w:szCs w:val="24"/>
        </w:rPr>
      </w:pPr>
    </w:p>
    <w:p w14:paraId="79CB8059" w14:textId="77777777" w:rsidR="00C108FB" w:rsidRPr="00C108FB" w:rsidRDefault="00C108FB" w:rsidP="00C108FB">
      <w:pPr>
        <w:spacing w:before="240" w:after="0"/>
        <w:jc w:val="center"/>
        <w:rPr>
          <w:rFonts w:ascii="Times New Roman" w:hAnsi="Times New Roman"/>
          <w:b/>
        </w:rPr>
      </w:pPr>
      <w:r w:rsidRPr="00C108FB">
        <w:rPr>
          <w:rFonts w:ascii="Times New Roman" w:eastAsia="Arial" w:hAnsi="Times New Roman"/>
          <w:b/>
          <w:bCs/>
          <w:color w:val="000000"/>
          <w:szCs w:val="24"/>
        </w:rPr>
        <w:t>APPENDIX 6.2B: HRA CONFIRMATION OF AMENDMENT</w:t>
      </w:r>
    </w:p>
    <w:p w14:paraId="0F07C3BB" w14:textId="25EC993E" w:rsidR="00C108FB" w:rsidRPr="00C108FB" w:rsidRDefault="00372043" w:rsidP="00C108FB">
      <w:pPr>
        <w:spacing w:before="240"/>
        <w:jc w:val="center"/>
        <w:rPr>
          <w:rFonts w:ascii="Times New Roman" w:hAnsi="Times New Roman"/>
          <w:b/>
        </w:rPr>
      </w:pPr>
      <w:r>
        <w:rPr>
          <w:rFonts w:ascii="Times New Roman" w:hAnsi="Times New Roman"/>
          <w:b/>
        </w:rPr>
        <w:t>[redacted in this version]</w:t>
      </w:r>
    </w:p>
    <w:p w14:paraId="37EC97E7" w14:textId="1F87B679" w:rsidR="00C108FB" w:rsidRPr="00C108FB" w:rsidRDefault="00C108FB" w:rsidP="00C108FB">
      <w:pPr>
        <w:spacing w:before="240"/>
        <w:jc w:val="center"/>
        <w:rPr>
          <w:rFonts w:ascii="Times New Roman" w:hAnsi="Times New Roman"/>
          <w:b/>
        </w:rPr>
      </w:pPr>
    </w:p>
    <w:p w14:paraId="0A8C50E3" w14:textId="3470012F" w:rsidR="00C108FB" w:rsidRPr="00C108FB" w:rsidRDefault="00C108FB" w:rsidP="00C108FB">
      <w:pPr>
        <w:spacing w:before="240"/>
        <w:jc w:val="center"/>
        <w:rPr>
          <w:rFonts w:ascii="Times New Roman" w:hAnsi="Times New Roman"/>
          <w:b/>
        </w:rPr>
      </w:pPr>
    </w:p>
    <w:p w14:paraId="4407D162" w14:textId="47EA3344" w:rsidR="00C108FB" w:rsidRPr="00C108FB" w:rsidRDefault="00C108FB" w:rsidP="00C108FB">
      <w:pPr>
        <w:spacing w:before="240"/>
        <w:jc w:val="center"/>
        <w:rPr>
          <w:rFonts w:ascii="Times New Roman" w:hAnsi="Times New Roman"/>
          <w:b/>
        </w:rPr>
      </w:pPr>
    </w:p>
    <w:p w14:paraId="7AF869ED" w14:textId="7EBD88F6" w:rsidR="00C108FB" w:rsidRPr="00C108FB" w:rsidRDefault="00C108FB" w:rsidP="00C108FB">
      <w:pPr>
        <w:spacing w:before="240"/>
        <w:jc w:val="center"/>
        <w:rPr>
          <w:rFonts w:ascii="Times New Roman" w:hAnsi="Times New Roman"/>
          <w:b/>
        </w:rPr>
      </w:pPr>
    </w:p>
    <w:p w14:paraId="27049452" w14:textId="77777777" w:rsidR="00C108FB" w:rsidRPr="00C108FB" w:rsidRDefault="00C108FB" w:rsidP="00C108FB">
      <w:pPr>
        <w:spacing w:before="240"/>
        <w:jc w:val="center"/>
        <w:rPr>
          <w:rFonts w:ascii="Times New Roman" w:hAnsi="Times New Roman"/>
          <w:b/>
        </w:rPr>
      </w:pPr>
    </w:p>
    <w:p w14:paraId="75BAE4ED" w14:textId="483C3203" w:rsidR="00C108FB" w:rsidRPr="00C108FB" w:rsidRDefault="00C108FB" w:rsidP="00C108FB">
      <w:pPr>
        <w:spacing w:before="240"/>
        <w:rPr>
          <w:rFonts w:ascii="Times New Roman" w:hAnsi="Times New Roman"/>
          <w:b/>
        </w:rPr>
      </w:pPr>
    </w:p>
    <w:p w14:paraId="3BABBAA3" w14:textId="77777777" w:rsidR="00C108FB" w:rsidRPr="00C108FB" w:rsidRDefault="00C108FB" w:rsidP="00C108FB">
      <w:pPr>
        <w:spacing w:line="47" w:lineRule="exact"/>
        <w:rPr>
          <w:rFonts w:eastAsia="Arial"/>
          <w:color w:val="331188"/>
        </w:rPr>
      </w:pPr>
    </w:p>
    <w:p w14:paraId="4623D8D4" w14:textId="77777777" w:rsidR="00C108FB" w:rsidRPr="00C108FB" w:rsidRDefault="00C108FB" w:rsidP="00C108FB">
      <w:pPr>
        <w:spacing w:before="240"/>
        <w:rPr>
          <w:rFonts w:ascii="Times New Roman" w:hAnsi="Times New Roman"/>
          <w:b/>
        </w:rPr>
      </w:pPr>
    </w:p>
    <w:p w14:paraId="68422025" w14:textId="77777777" w:rsidR="00C108FB" w:rsidRPr="00C108FB" w:rsidRDefault="00C108FB" w:rsidP="00C108FB">
      <w:pPr>
        <w:spacing w:before="240"/>
        <w:jc w:val="center"/>
        <w:rPr>
          <w:rFonts w:ascii="Times New Roman" w:hAnsi="Times New Roman"/>
          <w:b/>
        </w:rPr>
      </w:pPr>
    </w:p>
    <w:p w14:paraId="4BD81132" w14:textId="77777777" w:rsidR="00C108FB" w:rsidRPr="00C108FB" w:rsidRDefault="00C108FB" w:rsidP="00C108FB">
      <w:pPr>
        <w:spacing w:before="240"/>
        <w:jc w:val="center"/>
        <w:rPr>
          <w:rFonts w:ascii="Times New Roman" w:hAnsi="Times New Roman"/>
          <w:b/>
        </w:rPr>
      </w:pPr>
    </w:p>
    <w:p w14:paraId="3B187844" w14:textId="77777777" w:rsidR="00C108FB" w:rsidRPr="00C108FB" w:rsidRDefault="00C108FB" w:rsidP="00C108FB">
      <w:pPr>
        <w:spacing w:before="240"/>
        <w:rPr>
          <w:rFonts w:ascii="Times New Roman" w:hAnsi="Times New Roman"/>
          <w:b/>
        </w:rPr>
      </w:pPr>
    </w:p>
    <w:p w14:paraId="55EC39D2" w14:textId="77777777" w:rsidR="00372043" w:rsidRDefault="00372043">
      <w:pPr>
        <w:spacing w:after="0" w:line="240" w:lineRule="auto"/>
        <w:rPr>
          <w:rFonts w:ascii="Times New Roman" w:hAnsi="Times New Roman"/>
          <w:b/>
        </w:rPr>
      </w:pPr>
      <w:r>
        <w:rPr>
          <w:rFonts w:ascii="Times New Roman" w:hAnsi="Times New Roman"/>
          <w:b/>
        </w:rPr>
        <w:br w:type="page"/>
      </w:r>
    </w:p>
    <w:p w14:paraId="20B65A27" w14:textId="6574485D" w:rsidR="00C108FB" w:rsidRPr="00E3462D" w:rsidRDefault="00C108FB" w:rsidP="00E3462D">
      <w:pPr>
        <w:spacing w:before="240" w:after="0"/>
        <w:jc w:val="center"/>
        <w:rPr>
          <w:rFonts w:ascii="Times New Roman" w:hAnsi="Times New Roman"/>
          <w:b/>
        </w:rPr>
      </w:pPr>
      <w:r w:rsidRPr="00C108FB">
        <w:rPr>
          <w:rFonts w:ascii="Times New Roman" w:hAnsi="Times New Roman"/>
          <w:b/>
        </w:rPr>
        <w:lastRenderedPageBreak/>
        <w:t>APPENDIX 6.2C</w:t>
      </w:r>
      <w:r w:rsidRPr="00C108FB">
        <w:rPr>
          <w:rFonts w:ascii="Times New Roman" w:eastAsia="Arial" w:hAnsi="Times New Roman"/>
          <w:b/>
          <w:bCs/>
          <w:color w:val="000000"/>
          <w:szCs w:val="24"/>
        </w:rPr>
        <w:t xml:space="preserve">: </w:t>
      </w:r>
      <w:r w:rsidRPr="00C108FB">
        <w:rPr>
          <w:rFonts w:ascii="Times New Roman" w:hAnsi="Times New Roman"/>
          <w:b/>
          <w:szCs w:val="24"/>
        </w:rPr>
        <w:t>NHS R&amp;D APPROVAL</w:t>
      </w:r>
    </w:p>
    <w:p w14:paraId="0EAD46CA" w14:textId="0820FB61" w:rsidR="00C108FB" w:rsidRPr="00C108FB" w:rsidRDefault="00372043" w:rsidP="00C108FB">
      <w:pPr>
        <w:spacing w:before="240"/>
        <w:jc w:val="center"/>
        <w:rPr>
          <w:rFonts w:ascii="Times New Roman" w:hAnsi="Times New Roman"/>
          <w:szCs w:val="24"/>
        </w:rPr>
      </w:pPr>
      <w:r>
        <w:rPr>
          <w:noProof/>
        </w:rPr>
        <w:t>[redacted in this version]</w:t>
      </w:r>
    </w:p>
    <w:p w14:paraId="288164D6" w14:textId="77777777" w:rsidR="00C108FB" w:rsidRPr="00C108FB" w:rsidRDefault="00C108FB" w:rsidP="00C108FB">
      <w:pPr>
        <w:spacing w:before="240"/>
        <w:jc w:val="center"/>
        <w:rPr>
          <w:rFonts w:ascii="Times New Roman" w:hAnsi="Times New Roman"/>
          <w:szCs w:val="24"/>
        </w:rPr>
      </w:pPr>
    </w:p>
    <w:p w14:paraId="07063B17" w14:textId="77777777" w:rsidR="00C108FB" w:rsidRPr="00C108FB" w:rsidRDefault="00C108FB" w:rsidP="00C108FB">
      <w:pPr>
        <w:spacing w:before="240"/>
        <w:jc w:val="center"/>
        <w:rPr>
          <w:rFonts w:ascii="Times New Roman" w:hAnsi="Times New Roman"/>
          <w:szCs w:val="24"/>
        </w:rPr>
      </w:pPr>
    </w:p>
    <w:p w14:paraId="15159090" w14:textId="77777777" w:rsidR="00C108FB" w:rsidRPr="00C108FB" w:rsidRDefault="00C108FB" w:rsidP="00C108FB">
      <w:pPr>
        <w:spacing w:before="240"/>
        <w:jc w:val="center"/>
        <w:rPr>
          <w:rFonts w:ascii="Times New Roman" w:hAnsi="Times New Roman"/>
          <w:szCs w:val="24"/>
        </w:rPr>
      </w:pPr>
    </w:p>
    <w:p w14:paraId="7757A86B" w14:textId="77777777" w:rsidR="00C108FB" w:rsidRPr="00C108FB" w:rsidRDefault="00C108FB" w:rsidP="00C108FB">
      <w:pPr>
        <w:spacing w:before="240"/>
        <w:jc w:val="center"/>
        <w:rPr>
          <w:rFonts w:ascii="Times New Roman" w:hAnsi="Times New Roman"/>
          <w:szCs w:val="24"/>
        </w:rPr>
      </w:pPr>
    </w:p>
    <w:p w14:paraId="78E51557" w14:textId="77777777" w:rsidR="00C108FB" w:rsidRPr="00C108FB" w:rsidRDefault="00C108FB" w:rsidP="00C108FB">
      <w:pPr>
        <w:spacing w:before="240"/>
        <w:jc w:val="center"/>
        <w:rPr>
          <w:rFonts w:ascii="Times New Roman" w:hAnsi="Times New Roman"/>
          <w:szCs w:val="24"/>
        </w:rPr>
      </w:pPr>
    </w:p>
    <w:p w14:paraId="0168034B" w14:textId="77777777" w:rsidR="00372043" w:rsidRDefault="00372043">
      <w:pPr>
        <w:spacing w:after="0" w:line="240" w:lineRule="auto"/>
        <w:rPr>
          <w:rFonts w:ascii="Times New Roman" w:hAnsi="Times New Roman"/>
          <w:b/>
        </w:rPr>
      </w:pPr>
      <w:r>
        <w:rPr>
          <w:rFonts w:ascii="Times New Roman" w:hAnsi="Times New Roman"/>
          <w:b/>
        </w:rPr>
        <w:br w:type="page"/>
      </w:r>
    </w:p>
    <w:p w14:paraId="09248FA3" w14:textId="74587AB2" w:rsidR="00C108FB" w:rsidRPr="00C108FB" w:rsidRDefault="00C108FB" w:rsidP="00AA6A8F">
      <w:pPr>
        <w:pStyle w:val="Heading2"/>
      </w:pPr>
      <w:bookmarkStart w:id="323" w:name="_Toc86417435"/>
      <w:r w:rsidRPr="00C108FB">
        <w:lastRenderedPageBreak/>
        <w:t>APPENDIX 6.3</w:t>
      </w:r>
      <w:r w:rsidRPr="00C108FB">
        <w:rPr>
          <w:rFonts w:eastAsia="Arial"/>
          <w:bCs/>
          <w:color w:val="000000"/>
        </w:rPr>
        <w:t xml:space="preserve">: INSTITUTIONAL ETHICS </w:t>
      </w:r>
      <w:r w:rsidRPr="00C108FB">
        <w:t>APPROVAL LETTER</w:t>
      </w:r>
      <w:bookmarkEnd w:id="323"/>
    </w:p>
    <w:p w14:paraId="5AA72466" w14:textId="77777777" w:rsidR="00C108FB" w:rsidRPr="00C108FB" w:rsidRDefault="00C108FB" w:rsidP="00C108FB">
      <w:pPr>
        <w:spacing w:before="240"/>
        <w:jc w:val="center"/>
        <w:rPr>
          <w:rFonts w:ascii="Times New Roman" w:hAnsi="Times New Roman"/>
          <w:szCs w:val="24"/>
        </w:rPr>
      </w:pPr>
      <w:r w:rsidRPr="00C108FB">
        <w:rPr>
          <w:noProof/>
        </w:rPr>
        <w:drawing>
          <wp:inline distT="0" distB="0" distL="0" distR="0" wp14:anchorId="57797133" wp14:editId="01DFE678">
            <wp:extent cx="5600700" cy="7907822"/>
            <wp:effectExtent l="0" t="0" r="0" b="0"/>
            <wp:docPr id="335" name="Picture 335" descr="P40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335" descr="P4016#yIS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01726" cy="7909271"/>
                    </a:xfrm>
                    <a:prstGeom prst="rect">
                      <a:avLst/>
                    </a:prstGeom>
                    <a:noFill/>
                    <a:ln>
                      <a:noFill/>
                    </a:ln>
                  </pic:spPr>
                </pic:pic>
              </a:graphicData>
            </a:graphic>
          </wp:inline>
        </w:drawing>
      </w:r>
    </w:p>
    <w:p w14:paraId="592C4222" w14:textId="77777777" w:rsidR="00C108FB" w:rsidRPr="00C108FB" w:rsidRDefault="00C108FB" w:rsidP="00C108FB">
      <w:pPr>
        <w:spacing w:before="240"/>
        <w:jc w:val="center"/>
        <w:rPr>
          <w:rFonts w:ascii="Times New Roman" w:hAnsi="Times New Roman"/>
          <w:szCs w:val="24"/>
        </w:rPr>
      </w:pPr>
      <w:r w:rsidRPr="00C108FB">
        <w:rPr>
          <w:noProof/>
        </w:rPr>
        <w:lastRenderedPageBreak/>
        <w:drawing>
          <wp:inline distT="0" distB="0" distL="0" distR="0" wp14:anchorId="258B1E58" wp14:editId="6361065B">
            <wp:extent cx="5278120" cy="7452360"/>
            <wp:effectExtent l="0" t="0" r="0" b="0"/>
            <wp:docPr id="334" name="Picture 334" descr="P40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Picture 334" descr="P4017#yIS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78120" cy="7452360"/>
                    </a:xfrm>
                    <a:prstGeom prst="rect">
                      <a:avLst/>
                    </a:prstGeom>
                    <a:noFill/>
                    <a:ln>
                      <a:noFill/>
                    </a:ln>
                  </pic:spPr>
                </pic:pic>
              </a:graphicData>
            </a:graphic>
          </wp:inline>
        </w:drawing>
      </w:r>
    </w:p>
    <w:p w14:paraId="11F1ED78" w14:textId="77777777" w:rsidR="00C108FB" w:rsidRPr="00C108FB" w:rsidRDefault="00C108FB" w:rsidP="00C108FB">
      <w:pPr>
        <w:spacing w:before="240"/>
        <w:jc w:val="center"/>
        <w:rPr>
          <w:rFonts w:ascii="Times New Roman" w:hAnsi="Times New Roman"/>
          <w:szCs w:val="24"/>
        </w:rPr>
      </w:pPr>
    </w:p>
    <w:p w14:paraId="092FC347" w14:textId="77777777" w:rsidR="00C108FB" w:rsidRPr="00C108FB" w:rsidRDefault="00C108FB" w:rsidP="00C108FB">
      <w:pPr>
        <w:spacing w:before="240"/>
        <w:jc w:val="center"/>
        <w:rPr>
          <w:rFonts w:ascii="Times New Roman" w:hAnsi="Times New Roman"/>
          <w:szCs w:val="24"/>
        </w:rPr>
      </w:pPr>
    </w:p>
    <w:p w14:paraId="60E17401" w14:textId="77777777" w:rsidR="00C108FB" w:rsidRPr="00C108FB" w:rsidRDefault="00C108FB" w:rsidP="00AA6A8F">
      <w:pPr>
        <w:pStyle w:val="Heading2"/>
      </w:pPr>
      <w:bookmarkStart w:id="324" w:name="_Toc86417436"/>
      <w:r w:rsidRPr="00C108FB">
        <w:lastRenderedPageBreak/>
        <w:t>APPENDIX 6.4</w:t>
      </w:r>
      <w:r w:rsidRPr="00C108FB">
        <w:rPr>
          <w:rFonts w:eastAsia="Arial"/>
        </w:rPr>
        <w:t>: INVITATION LEAFLET</w:t>
      </w:r>
      <w:bookmarkEnd w:id="324"/>
    </w:p>
    <w:p w14:paraId="442C26FA" w14:textId="77777777" w:rsidR="00C108FB" w:rsidRPr="00C108FB" w:rsidRDefault="00C108FB" w:rsidP="00C108FB">
      <w:pPr>
        <w:ind w:left="720"/>
        <w:jc w:val="center"/>
        <w:rPr>
          <w:rFonts w:ascii="Times New Roman" w:hAnsi="Times New Roman"/>
          <w:b/>
          <w:bCs/>
          <w:szCs w:val="24"/>
        </w:rPr>
      </w:pPr>
      <w:r w:rsidRPr="00C108FB">
        <w:rPr>
          <w:rFonts w:ascii="Times New Roman" w:hAnsi="Times New Roman"/>
          <w:b/>
          <w:bCs/>
          <w:szCs w:val="24"/>
        </w:rPr>
        <w:t>VOLUNTEERS NEEDED FOR RESEARCH ON THE EXPERIENCE OF NIGERIAN PAID CAREGIVERS OF PEOPLE WITH DEMENTIA</w:t>
      </w:r>
    </w:p>
    <w:p w14:paraId="6CE00BC6"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I am looking for volunteers to take part in the research on formal caregiving.</w:t>
      </w:r>
    </w:p>
    <w:p w14:paraId="6A30ABA7" w14:textId="77777777" w:rsidR="00C108FB" w:rsidRPr="00C108FB" w:rsidRDefault="00C108FB" w:rsidP="00C108FB">
      <w:pPr>
        <w:ind w:left="720"/>
        <w:rPr>
          <w:rFonts w:ascii="Times New Roman" w:hAnsi="Times New Roman"/>
          <w:b/>
          <w:bCs/>
          <w:szCs w:val="24"/>
        </w:rPr>
      </w:pPr>
      <w:r w:rsidRPr="00C108FB">
        <w:rPr>
          <w:rFonts w:ascii="Times New Roman" w:hAnsi="Times New Roman"/>
          <w:b/>
          <w:bCs/>
          <w:szCs w:val="24"/>
        </w:rPr>
        <w:t xml:space="preserve">You will need to self-identify as a Nigerian, work as a paid/formal caregiver (nurse, carer, healthcare assistant or support worker) for people with dementia and be willing to discuss issues around it. </w:t>
      </w:r>
      <w:r w:rsidRPr="00C108FB">
        <w:rPr>
          <w:rFonts w:ascii="Times New Roman" w:hAnsi="Times New Roman"/>
          <w:szCs w:val="24"/>
        </w:rPr>
        <w:t>As a participant, you will be</w:t>
      </w:r>
      <w:r w:rsidRPr="00C108FB">
        <w:rPr>
          <w:rFonts w:ascii="Times New Roman" w:hAnsi="Times New Roman"/>
          <w:b/>
          <w:bCs/>
          <w:szCs w:val="24"/>
        </w:rPr>
        <w:t xml:space="preserve"> </w:t>
      </w:r>
      <w:r w:rsidRPr="00C108FB">
        <w:rPr>
          <w:rFonts w:ascii="Times New Roman" w:hAnsi="Times New Roman"/>
          <w:szCs w:val="24"/>
        </w:rPr>
        <w:t>asked your overall experience of caring for people with dementia as an African, a Nigerian. The interview will take approximately an</w:t>
      </w:r>
      <w:r w:rsidRPr="00C108FB">
        <w:rPr>
          <w:rFonts w:ascii="Times New Roman" w:hAnsi="Times New Roman"/>
          <w:b/>
          <w:bCs/>
          <w:szCs w:val="24"/>
        </w:rPr>
        <w:t xml:space="preserve"> </w:t>
      </w:r>
      <w:r w:rsidRPr="00C108FB">
        <w:rPr>
          <w:rFonts w:ascii="Times New Roman" w:hAnsi="Times New Roman"/>
          <w:szCs w:val="24"/>
        </w:rPr>
        <w:t>hour.</w:t>
      </w:r>
    </w:p>
    <w:p w14:paraId="68362844"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Your participation will be a valuable addition to the study and the findings could lead to better understanding of the experience of paid caregivers and offer ways they can be supported in their role as caregivers.</w:t>
      </w:r>
    </w:p>
    <w:p w14:paraId="00B3A98D" w14:textId="5C3EBBD0" w:rsidR="00C108FB" w:rsidRPr="00C108FB" w:rsidRDefault="00C108FB" w:rsidP="00C108FB">
      <w:pPr>
        <w:ind w:left="720"/>
        <w:rPr>
          <w:rFonts w:ascii="Times New Roman" w:hAnsi="Times New Roman"/>
          <w:szCs w:val="24"/>
        </w:rPr>
      </w:pPr>
      <w:r w:rsidRPr="00C108FB">
        <w:rPr>
          <w:rFonts w:ascii="Times New Roman" w:hAnsi="Times New Roman"/>
          <w:szCs w:val="24"/>
        </w:rPr>
        <w:t xml:space="preserve">If you are interested, please </w:t>
      </w:r>
      <w:r w:rsidRPr="00C108FB">
        <w:rPr>
          <w:rFonts w:ascii="Times New Roman" w:hAnsi="Times New Roman"/>
          <w:bCs/>
          <w:szCs w:val="24"/>
        </w:rPr>
        <w:t>email</w:t>
      </w:r>
      <w:r w:rsidRPr="00C108FB">
        <w:rPr>
          <w:rFonts w:ascii="Times New Roman" w:hAnsi="Times New Roman"/>
          <w:b/>
          <w:bCs/>
          <w:szCs w:val="24"/>
        </w:rPr>
        <w:t xml:space="preserve"> </w:t>
      </w:r>
      <w:r w:rsidRPr="00C108FB">
        <w:rPr>
          <w:rFonts w:ascii="Times New Roman" w:hAnsi="Times New Roman"/>
          <w:bCs/>
          <w:szCs w:val="24"/>
        </w:rPr>
        <w:t>at</w:t>
      </w:r>
      <w:r w:rsidRPr="00C108FB">
        <w:rPr>
          <w:rFonts w:ascii="Times New Roman" w:hAnsi="Times New Roman"/>
          <w:b/>
          <w:bCs/>
          <w:szCs w:val="24"/>
        </w:rPr>
        <w:t xml:space="preserve"> </w:t>
      </w:r>
      <w:r w:rsidR="00E07803">
        <w:rPr>
          <w:rFonts w:ascii="Times New Roman" w:hAnsi="Times New Roman"/>
          <w:b/>
          <w:szCs w:val="24"/>
        </w:rPr>
        <w:t>X</w:t>
      </w:r>
      <w:r w:rsidRPr="00C108FB">
        <w:rPr>
          <w:rFonts w:ascii="Times New Roman" w:hAnsi="Times New Roman"/>
          <w:b/>
          <w:bCs/>
          <w:szCs w:val="24"/>
        </w:rPr>
        <w:t xml:space="preserve"> </w:t>
      </w:r>
      <w:r w:rsidRPr="00C108FB">
        <w:rPr>
          <w:rFonts w:ascii="Times New Roman" w:hAnsi="Times New Roman"/>
          <w:bCs/>
          <w:szCs w:val="24"/>
        </w:rPr>
        <w:t>or call me on</w:t>
      </w:r>
      <w:r w:rsidR="00E07803">
        <w:rPr>
          <w:rFonts w:ascii="Times New Roman" w:hAnsi="Times New Roman"/>
          <w:b/>
          <w:bCs/>
          <w:szCs w:val="24"/>
        </w:rPr>
        <w:t xml:space="preserve"> X</w:t>
      </w:r>
      <w:r w:rsidRPr="00C108FB">
        <w:rPr>
          <w:rFonts w:ascii="Times New Roman" w:hAnsi="Times New Roman"/>
          <w:bCs/>
          <w:szCs w:val="24"/>
        </w:rPr>
        <w:t>, so I can send you the participant information sheet and consent form.</w:t>
      </w:r>
      <w:r w:rsidRPr="00C108FB">
        <w:rPr>
          <w:rFonts w:ascii="Times New Roman" w:hAnsi="Times New Roman"/>
          <w:b/>
          <w:bCs/>
          <w:szCs w:val="24"/>
        </w:rPr>
        <w:t xml:space="preserve"> </w:t>
      </w:r>
      <w:r w:rsidRPr="00C108FB">
        <w:rPr>
          <w:rFonts w:ascii="Times New Roman" w:hAnsi="Times New Roman"/>
          <w:szCs w:val="24"/>
        </w:rPr>
        <w:t xml:space="preserve">You can also email/call if you have any further questions or queries. </w:t>
      </w:r>
    </w:p>
    <w:p w14:paraId="077C2878"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Thank you!</w:t>
      </w:r>
    </w:p>
    <w:p w14:paraId="41293772"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This study has been reviewed by and received ethics clearance through the Faculty Research Ethics Panel of the Faculty of Medical Science, Anglia Ruskin University.</w:t>
      </w:r>
    </w:p>
    <w:p w14:paraId="6540EA10" w14:textId="77777777" w:rsidR="00C108FB" w:rsidRPr="00C108FB" w:rsidRDefault="00C108FB" w:rsidP="00C108FB">
      <w:pPr>
        <w:ind w:left="720"/>
        <w:rPr>
          <w:rFonts w:ascii="Times New Roman" w:hAnsi="Times New Roman"/>
          <w:szCs w:val="24"/>
        </w:rPr>
      </w:pPr>
    </w:p>
    <w:p w14:paraId="066061A6"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w:t>
      </w:r>
    </w:p>
    <w:p w14:paraId="3A8EDE1E"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w:t>
      </w:r>
    </w:p>
    <w:p w14:paraId="15EC0350" w14:textId="77777777" w:rsidR="00C108FB" w:rsidRPr="00C108FB" w:rsidRDefault="00C108FB" w:rsidP="00C108FB">
      <w:pPr>
        <w:rPr>
          <w:rFonts w:ascii="Times New Roman" w:hAnsi="Times New Roman"/>
          <w:szCs w:val="24"/>
        </w:rPr>
      </w:pPr>
    </w:p>
    <w:p w14:paraId="38ABD1E9" w14:textId="77777777" w:rsidR="00E07803" w:rsidRDefault="00E07803">
      <w:pPr>
        <w:spacing w:after="0" w:line="240" w:lineRule="auto"/>
        <w:rPr>
          <w:rFonts w:ascii="Times New Roman" w:hAnsi="Times New Roman"/>
          <w:b/>
        </w:rPr>
      </w:pPr>
      <w:r>
        <w:rPr>
          <w:rFonts w:ascii="Times New Roman" w:hAnsi="Times New Roman"/>
          <w:b/>
        </w:rPr>
        <w:br w:type="page"/>
      </w:r>
    </w:p>
    <w:p w14:paraId="1A47C272" w14:textId="30C2B523" w:rsidR="00C108FB" w:rsidRPr="00C108FB" w:rsidRDefault="00C108FB" w:rsidP="00AA6A8F">
      <w:pPr>
        <w:pStyle w:val="Heading2"/>
      </w:pPr>
      <w:bookmarkStart w:id="325" w:name="_Toc86417437"/>
      <w:r w:rsidRPr="00C108FB">
        <w:lastRenderedPageBreak/>
        <w:t>APPENDIX 6.5</w:t>
      </w:r>
      <w:r w:rsidRPr="00C108FB">
        <w:rPr>
          <w:rFonts w:eastAsia="Arial"/>
        </w:rPr>
        <w:t>: FULL UNIVERSITY INDEMNITY LETTER</w:t>
      </w:r>
      <w:bookmarkEnd w:id="325"/>
      <w:r w:rsidRPr="00C108FB">
        <w:rPr>
          <w:rFonts w:eastAsia="Arial"/>
        </w:rPr>
        <w:t xml:space="preserve"> </w:t>
      </w:r>
      <w:r w:rsidRPr="00C108FB">
        <w:t xml:space="preserve"> </w:t>
      </w:r>
    </w:p>
    <w:p w14:paraId="4DFB5399" w14:textId="4A9810E2" w:rsidR="00C108FB" w:rsidRPr="00C108FB" w:rsidRDefault="00E07803" w:rsidP="00E07803">
      <w:pPr>
        <w:spacing w:after="0" w:line="256" w:lineRule="auto"/>
        <w:jc w:val="center"/>
        <w:rPr>
          <w:rFonts w:ascii="Times New Roman" w:hAnsi="Times New Roman"/>
          <w:color w:val="000000"/>
          <w:sz w:val="22"/>
        </w:rPr>
      </w:pPr>
      <w:r>
        <w:rPr>
          <w:rFonts w:ascii="Times New Roman" w:hAnsi="Times New Roman"/>
          <w:color w:val="000000"/>
          <w:sz w:val="22"/>
        </w:rPr>
        <w:t>[redacted in this version]</w:t>
      </w:r>
    </w:p>
    <w:p w14:paraId="3DC2F9A9" w14:textId="7A232155" w:rsidR="00C108FB" w:rsidRPr="00C108FB" w:rsidRDefault="00C108FB" w:rsidP="00C108FB">
      <w:pPr>
        <w:spacing w:after="0" w:line="256" w:lineRule="auto"/>
        <w:rPr>
          <w:rFonts w:ascii="Times New Roman" w:hAnsi="Times New Roman"/>
          <w:color w:val="000000"/>
          <w:sz w:val="22"/>
        </w:rPr>
      </w:pPr>
    </w:p>
    <w:p w14:paraId="3292F72D" w14:textId="77777777" w:rsidR="00E07803" w:rsidRDefault="00E07803">
      <w:pPr>
        <w:spacing w:after="0" w:line="240" w:lineRule="auto"/>
        <w:rPr>
          <w:rFonts w:ascii="Times New Roman" w:hAnsi="Times New Roman"/>
          <w:b/>
        </w:rPr>
      </w:pPr>
      <w:r>
        <w:rPr>
          <w:rFonts w:ascii="Times New Roman" w:hAnsi="Times New Roman"/>
          <w:b/>
        </w:rPr>
        <w:br w:type="page"/>
      </w:r>
    </w:p>
    <w:p w14:paraId="7BF0A381" w14:textId="46CC9C3F" w:rsidR="00C108FB" w:rsidRPr="00C108FB" w:rsidRDefault="00C108FB" w:rsidP="00AA6A8F">
      <w:pPr>
        <w:pStyle w:val="Heading2"/>
        <w:rPr>
          <w:rFonts w:eastAsia="Arial"/>
        </w:rPr>
      </w:pPr>
      <w:bookmarkStart w:id="326" w:name="_Toc86417438"/>
      <w:r w:rsidRPr="00C108FB">
        <w:lastRenderedPageBreak/>
        <w:t>APPENDIX 6.6</w:t>
      </w:r>
      <w:r w:rsidRPr="00C108FB">
        <w:rPr>
          <w:rFonts w:eastAsia="Arial"/>
        </w:rPr>
        <w:t>: INTERVIEW GUIDE</w:t>
      </w:r>
      <w:bookmarkEnd w:id="326"/>
    </w:p>
    <w:p w14:paraId="59BD8745" w14:textId="77777777" w:rsidR="00C108FB" w:rsidRPr="00C108FB" w:rsidRDefault="00C108FB" w:rsidP="00C108FB">
      <w:pPr>
        <w:ind w:left="720"/>
        <w:jc w:val="center"/>
        <w:rPr>
          <w:rFonts w:ascii="Times New Roman" w:hAnsi="Times New Roman"/>
          <w:b/>
        </w:rPr>
      </w:pPr>
      <w:r w:rsidRPr="00C108FB">
        <w:rPr>
          <w:noProof/>
        </w:rPr>
        <w:drawing>
          <wp:inline distT="0" distB="0" distL="0" distR="0" wp14:anchorId="4B813261" wp14:editId="00F03963">
            <wp:extent cx="5278120" cy="7824470"/>
            <wp:effectExtent l="0" t="0" r="0" b="0"/>
            <wp:docPr id="328" name="Picture 328" descr="P40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descr="P4038#yIS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8120" cy="7824470"/>
                    </a:xfrm>
                    <a:prstGeom prst="rect">
                      <a:avLst/>
                    </a:prstGeom>
                    <a:noFill/>
                    <a:ln>
                      <a:noFill/>
                    </a:ln>
                  </pic:spPr>
                </pic:pic>
              </a:graphicData>
            </a:graphic>
          </wp:inline>
        </w:drawing>
      </w:r>
    </w:p>
    <w:p w14:paraId="56FB4233" w14:textId="77777777" w:rsidR="00C108FB" w:rsidRPr="00C108FB" w:rsidRDefault="00C108FB" w:rsidP="00C108FB">
      <w:pPr>
        <w:ind w:left="720"/>
        <w:jc w:val="center"/>
        <w:rPr>
          <w:rFonts w:ascii="Times New Roman" w:hAnsi="Times New Roman"/>
          <w:b/>
        </w:rPr>
      </w:pPr>
      <w:r w:rsidRPr="00C108FB">
        <w:rPr>
          <w:noProof/>
        </w:rPr>
        <w:lastRenderedPageBreak/>
        <w:drawing>
          <wp:inline distT="0" distB="0" distL="0" distR="0" wp14:anchorId="7B4BBE3D" wp14:editId="276B6F22">
            <wp:extent cx="5278120" cy="4366260"/>
            <wp:effectExtent l="0" t="0" r="0" b="0"/>
            <wp:docPr id="327" name="Picture 327" descr="P40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descr="P4039#yIS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8120" cy="4366260"/>
                    </a:xfrm>
                    <a:prstGeom prst="rect">
                      <a:avLst/>
                    </a:prstGeom>
                    <a:noFill/>
                    <a:ln>
                      <a:noFill/>
                    </a:ln>
                  </pic:spPr>
                </pic:pic>
              </a:graphicData>
            </a:graphic>
          </wp:inline>
        </w:drawing>
      </w:r>
    </w:p>
    <w:p w14:paraId="00277A18" w14:textId="77777777" w:rsidR="00C108FB" w:rsidRPr="00C108FB" w:rsidRDefault="00C108FB" w:rsidP="00C108FB">
      <w:pPr>
        <w:ind w:left="720"/>
        <w:jc w:val="center"/>
        <w:rPr>
          <w:rFonts w:ascii="Times New Roman" w:hAnsi="Times New Roman"/>
          <w:b/>
        </w:rPr>
      </w:pPr>
    </w:p>
    <w:p w14:paraId="05839CDA" w14:textId="77777777" w:rsidR="00C108FB" w:rsidRPr="00C108FB" w:rsidRDefault="00C108FB" w:rsidP="00C108FB">
      <w:pPr>
        <w:ind w:left="720"/>
        <w:jc w:val="center"/>
        <w:rPr>
          <w:rFonts w:ascii="Times New Roman" w:hAnsi="Times New Roman"/>
          <w:b/>
        </w:rPr>
      </w:pPr>
    </w:p>
    <w:p w14:paraId="2524F82B" w14:textId="77777777" w:rsidR="00C108FB" w:rsidRPr="00C108FB" w:rsidRDefault="00C108FB" w:rsidP="00C108FB">
      <w:pPr>
        <w:ind w:left="720"/>
        <w:jc w:val="center"/>
        <w:rPr>
          <w:rFonts w:ascii="Times New Roman" w:hAnsi="Times New Roman"/>
          <w:b/>
        </w:rPr>
      </w:pPr>
    </w:p>
    <w:p w14:paraId="1651487A" w14:textId="77777777" w:rsidR="00C108FB" w:rsidRPr="00C108FB" w:rsidRDefault="00C108FB" w:rsidP="00C108FB">
      <w:pPr>
        <w:ind w:left="720"/>
        <w:jc w:val="center"/>
        <w:rPr>
          <w:rFonts w:ascii="Times New Roman" w:hAnsi="Times New Roman"/>
          <w:b/>
        </w:rPr>
      </w:pPr>
    </w:p>
    <w:p w14:paraId="47561C1E" w14:textId="77777777" w:rsidR="00C108FB" w:rsidRPr="00C108FB" w:rsidRDefault="00C108FB" w:rsidP="00C108FB">
      <w:pPr>
        <w:ind w:left="720"/>
        <w:jc w:val="center"/>
        <w:rPr>
          <w:rFonts w:ascii="Times New Roman" w:hAnsi="Times New Roman"/>
          <w:b/>
        </w:rPr>
      </w:pPr>
    </w:p>
    <w:p w14:paraId="4D817809" w14:textId="77777777" w:rsidR="00C108FB" w:rsidRPr="00C108FB" w:rsidRDefault="00C108FB" w:rsidP="00C108FB">
      <w:pPr>
        <w:ind w:left="720"/>
        <w:jc w:val="center"/>
        <w:rPr>
          <w:rFonts w:ascii="Times New Roman" w:hAnsi="Times New Roman"/>
          <w:b/>
        </w:rPr>
      </w:pPr>
    </w:p>
    <w:p w14:paraId="7AE6DE36" w14:textId="77777777" w:rsidR="00C108FB" w:rsidRPr="00C108FB" w:rsidRDefault="00C108FB" w:rsidP="00C108FB">
      <w:pPr>
        <w:ind w:left="720"/>
        <w:jc w:val="center"/>
        <w:rPr>
          <w:rFonts w:ascii="Times New Roman" w:hAnsi="Times New Roman"/>
          <w:b/>
        </w:rPr>
      </w:pPr>
    </w:p>
    <w:p w14:paraId="05E7C1DF" w14:textId="77777777" w:rsidR="00C108FB" w:rsidRPr="00C108FB" w:rsidRDefault="00C108FB" w:rsidP="00C108FB">
      <w:pPr>
        <w:ind w:left="720"/>
        <w:jc w:val="center"/>
        <w:rPr>
          <w:rFonts w:ascii="Times New Roman" w:hAnsi="Times New Roman"/>
          <w:b/>
        </w:rPr>
      </w:pPr>
    </w:p>
    <w:p w14:paraId="0C77D6BA" w14:textId="77777777" w:rsidR="00C108FB" w:rsidRPr="00C108FB" w:rsidRDefault="00C108FB" w:rsidP="00FD47E7">
      <w:pPr>
        <w:rPr>
          <w:rFonts w:ascii="Times New Roman" w:hAnsi="Times New Roman"/>
          <w:b/>
        </w:rPr>
      </w:pPr>
    </w:p>
    <w:p w14:paraId="6C75558A" w14:textId="77777777" w:rsidR="00C108FB" w:rsidRPr="00C108FB" w:rsidRDefault="00C108FB" w:rsidP="00AA6A8F">
      <w:pPr>
        <w:pStyle w:val="Heading2"/>
      </w:pPr>
      <w:bookmarkStart w:id="327" w:name="_Toc86417439"/>
      <w:r w:rsidRPr="00C108FB">
        <w:rPr>
          <w:bCs/>
        </w:rPr>
        <w:lastRenderedPageBreak/>
        <w:t xml:space="preserve">APPENDIX 6.7: </w:t>
      </w:r>
      <w:r w:rsidRPr="00C108FB">
        <w:t>IRAS APPLICATION FORM (FRONT PAGE)</w:t>
      </w:r>
      <w:bookmarkEnd w:id="327"/>
    </w:p>
    <w:p w14:paraId="6C5F8345" w14:textId="77777777" w:rsidR="00C108FB" w:rsidRPr="00C108FB" w:rsidRDefault="00C108FB" w:rsidP="00C108FB">
      <w:pPr>
        <w:ind w:left="720"/>
        <w:jc w:val="center"/>
        <w:rPr>
          <w:rFonts w:ascii="Times New Roman" w:hAnsi="Times New Roman"/>
          <w:b/>
        </w:rPr>
      </w:pPr>
      <w:r w:rsidRPr="00C108FB">
        <w:rPr>
          <w:noProof/>
        </w:rPr>
        <w:drawing>
          <wp:inline distT="0" distB="0" distL="0" distR="0" wp14:anchorId="36646D28" wp14:editId="5EE1544E">
            <wp:extent cx="5278120" cy="7461250"/>
            <wp:effectExtent l="0" t="0" r="0" b="0"/>
            <wp:docPr id="325" name="Picture 325" descr="P40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325" descr="P4050#yIS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8120" cy="7461250"/>
                    </a:xfrm>
                    <a:prstGeom prst="rect">
                      <a:avLst/>
                    </a:prstGeom>
                    <a:noFill/>
                    <a:ln>
                      <a:noFill/>
                    </a:ln>
                  </pic:spPr>
                </pic:pic>
              </a:graphicData>
            </a:graphic>
          </wp:inline>
        </w:drawing>
      </w:r>
    </w:p>
    <w:p w14:paraId="273BDCE3" w14:textId="77777777" w:rsidR="00C108FB" w:rsidRPr="00C108FB" w:rsidRDefault="00C108FB" w:rsidP="00C108FB">
      <w:pPr>
        <w:ind w:left="720"/>
        <w:jc w:val="center"/>
        <w:rPr>
          <w:rFonts w:ascii="Times New Roman" w:hAnsi="Times New Roman"/>
          <w:b/>
        </w:rPr>
      </w:pPr>
      <w:r w:rsidRPr="00C108FB">
        <w:rPr>
          <w:rFonts w:ascii="Times New Roman" w:hAnsi="Times New Roman"/>
          <w:b/>
        </w:rPr>
        <w:t xml:space="preserve"> </w:t>
      </w:r>
    </w:p>
    <w:p w14:paraId="11797B4A" w14:textId="77777777" w:rsidR="00C108FB" w:rsidRPr="00C108FB" w:rsidRDefault="00C108FB" w:rsidP="00AA6A8F">
      <w:pPr>
        <w:pStyle w:val="Heading2"/>
        <w:rPr>
          <w:rFonts w:eastAsia="Arial"/>
        </w:rPr>
      </w:pPr>
      <w:bookmarkStart w:id="328" w:name="_Toc86417440"/>
      <w:r w:rsidRPr="00C108FB">
        <w:lastRenderedPageBreak/>
        <w:t>APPENDIX 6.8</w:t>
      </w:r>
      <w:r w:rsidRPr="00C108FB">
        <w:rPr>
          <w:rFonts w:eastAsia="Arial"/>
        </w:rPr>
        <w:t>: LETTER OF INVITATION</w:t>
      </w:r>
      <w:bookmarkEnd w:id="328"/>
    </w:p>
    <w:p w14:paraId="7C7B85CB" w14:textId="77777777" w:rsidR="00C108FB" w:rsidRPr="00C108FB" w:rsidRDefault="00C108FB" w:rsidP="00C108FB">
      <w:pPr>
        <w:rPr>
          <w:rFonts w:ascii="Times New Roman" w:hAnsi="Times New Roman"/>
          <w:szCs w:val="24"/>
        </w:rPr>
      </w:pPr>
    </w:p>
    <w:p w14:paraId="29C8BAA1" w14:textId="77777777" w:rsidR="00C108FB" w:rsidRPr="00C108FB" w:rsidRDefault="00C108FB" w:rsidP="00C108FB">
      <w:pPr>
        <w:ind w:left="720"/>
        <w:jc w:val="center"/>
        <w:rPr>
          <w:rFonts w:ascii="Times New Roman" w:hAnsi="Times New Roman"/>
          <w:szCs w:val="24"/>
        </w:rPr>
      </w:pPr>
    </w:p>
    <w:p w14:paraId="14AC6BF6" w14:textId="77777777" w:rsidR="00C108FB" w:rsidRPr="00C108FB" w:rsidRDefault="00C108FB" w:rsidP="00C108FB">
      <w:pPr>
        <w:spacing w:after="0" w:line="240" w:lineRule="auto"/>
        <w:ind w:left="720" w:right="-766"/>
        <w:jc w:val="both"/>
        <w:rPr>
          <w:rFonts w:ascii="Times New Roman" w:hAnsi="Times New Roman"/>
          <w:b/>
          <w:szCs w:val="24"/>
        </w:rPr>
      </w:pPr>
      <w:r w:rsidRPr="00C108FB">
        <w:rPr>
          <w:noProof/>
        </w:rPr>
        <w:drawing>
          <wp:anchor distT="0" distB="0" distL="114300" distR="114300" simplePos="0" relativeHeight="251815936" behindDoc="0" locked="0" layoutInCell="1" allowOverlap="1" wp14:anchorId="69983835" wp14:editId="5718303F">
            <wp:simplePos x="0" y="0"/>
            <wp:positionH relativeFrom="column">
              <wp:posOffset>3867150</wp:posOffset>
            </wp:positionH>
            <wp:positionV relativeFrom="paragraph">
              <wp:posOffset>-763270</wp:posOffset>
            </wp:positionV>
            <wp:extent cx="2162175" cy="952500"/>
            <wp:effectExtent l="0" t="0" r="0" b="0"/>
            <wp:wrapNone/>
            <wp:docPr id="207" name="Picture 207" descr="P405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P4055#y1">
                      <a:extLst>
                        <a:ext uri="{C183D7F6-B498-43B3-948B-1728B52AA6E4}">
                          <adec:decorative xmlns:adec="http://schemas.microsoft.com/office/drawing/2017/decorative" val="1"/>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2175" cy="952500"/>
                    </a:xfrm>
                    <a:prstGeom prst="rect">
                      <a:avLst/>
                    </a:prstGeom>
                    <a:noFill/>
                  </pic:spPr>
                </pic:pic>
              </a:graphicData>
            </a:graphic>
            <wp14:sizeRelH relativeFrom="page">
              <wp14:pctWidth>0</wp14:pctWidth>
            </wp14:sizeRelH>
            <wp14:sizeRelV relativeFrom="page">
              <wp14:pctHeight>0</wp14:pctHeight>
            </wp14:sizeRelV>
          </wp:anchor>
        </w:drawing>
      </w:r>
    </w:p>
    <w:p w14:paraId="35B67C0F" w14:textId="77777777" w:rsidR="00C108FB" w:rsidRPr="00C108FB" w:rsidRDefault="00C108FB" w:rsidP="00C108FB">
      <w:pPr>
        <w:spacing w:after="0" w:line="240" w:lineRule="auto"/>
        <w:ind w:right="-766"/>
        <w:jc w:val="both"/>
        <w:rPr>
          <w:rFonts w:ascii="Times New Roman" w:hAnsi="Times New Roman"/>
          <w:b/>
          <w:szCs w:val="24"/>
        </w:rPr>
      </w:pPr>
    </w:p>
    <w:p w14:paraId="34C20E10" w14:textId="77777777" w:rsidR="00C108FB" w:rsidRPr="00C108FB" w:rsidRDefault="00C108FB" w:rsidP="00C108FB">
      <w:pPr>
        <w:spacing w:after="0" w:line="240" w:lineRule="auto"/>
        <w:ind w:left="720" w:right="-766"/>
        <w:jc w:val="center"/>
        <w:rPr>
          <w:rFonts w:ascii="Times New Roman" w:hAnsi="Times New Roman"/>
          <w:b/>
          <w:szCs w:val="24"/>
        </w:rPr>
      </w:pPr>
      <w:r w:rsidRPr="00C108FB">
        <w:rPr>
          <w:rFonts w:ascii="Times New Roman" w:hAnsi="Times New Roman"/>
          <w:b/>
          <w:bCs/>
          <w:szCs w:val="24"/>
        </w:rPr>
        <w:t>LETTER OF INVITATION TO PARTICIPATE IN A RESEARCH PROJECT ON THE EXPERIENCE OF NIGERIAN CAREGIVERS OF PEOPLE WITH DEMENTIA</w:t>
      </w:r>
    </w:p>
    <w:p w14:paraId="13A241A6" w14:textId="77777777" w:rsidR="00C108FB" w:rsidRPr="00C108FB" w:rsidRDefault="00C108FB" w:rsidP="00C108FB">
      <w:pPr>
        <w:spacing w:after="0" w:line="240" w:lineRule="auto"/>
        <w:ind w:left="720" w:right="-766"/>
        <w:jc w:val="both"/>
        <w:rPr>
          <w:rFonts w:ascii="Times New Roman" w:hAnsi="Times New Roman"/>
          <w:b/>
          <w:szCs w:val="24"/>
        </w:rPr>
      </w:pPr>
      <w:r w:rsidRPr="00C108FB">
        <w:rPr>
          <w:rFonts w:ascii="Times New Roman" w:hAnsi="Times New Roman"/>
          <w:szCs w:val="24"/>
        </w:rPr>
        <w:t>Dear _ _ _ _ _ _ _ _ _ _ _ _ _ _ _ _ _ _ _</w:t>
      </w:r>
      <w:r w:rsidRPr="00C108FB">
        <w:rPr>
          <w:rFonts w:ascii="Times New Roman" w:hAnsi="Times New Roman"/>
          <w:b/>
          <w:szCs w:val="24"/>
        </w:rPr>
        <w:t>,</w:t>
      </w:r>
    </w:p>
    <w:p w14:paraId="52BD3BDE" w14:textId="77777777" w:rsidR="00C108FB" w:rsidRPr="00C108FB" w:rsidRDefault="00C108FB" w:rsidP="00C108FB">
      <w:pPr>
        <w:rPr>
          <w:rFonts w:ascii="Times New Roman" w:hAnsi="Times New Roman"/>
          <w:b/>
          <w:bCs/>
          <w:szCs w:val="24"/>
        </w:rPr>
      </w:pPr>
    </w:p>
    <w:p w14:paraId="40AEA730" w14:textId="77777777" w:rsidR="00C108FB" w:rsidRPr="00C108FB" w:rsidRDefault="00C108FB" w:rsidP="00C108FB">
      <w:pPr>
        <w:ind w:left="720"/>
        <w:rPr>
          <w:rFonts w:ascii="Times New Roman" w:hAnsi="Times New Roman"/>
          <w:b/>
          <w:szCs w:val="24"/>
        </w:rPr>
      </w:pPr>
      <w:r w:rsidRPr="00C108FB">
        <w:rPr>
          <w:rFonts w:ascii="Times New Roman" w:hAnsi="Times New Roman"/>
          <w:b/>
          <w:bCs/>
          <w:szCs w:val="24"/>
        </w:rPr>
        <w:t xml:space="preserve">Project Title: </w:t>
      </w:r>
      <w:r w:rsidRPr="00C108FB">
        <w:rPr>
          <w:rFonts w:ascii="Times New Roman" w:hAnsi="Times New Roman"/>
          <w:b/>
          <w:bCs/>
          <w:szCs w:val="24"/>
          <w:lang w:val="en-AU"/>
        </w:rPr>
        <w:t>The experiences of Nigerian caregivers of people with dementia- influence of cultural beliefs/values on perception, motivation and coping.</w:t>
      </w:r>
    </w:p>
    <w:p w14:paraId="0750B9BA"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My name is Ojeiu Ejere and I am a research student in the Postgraduate Medical Institute, Faculty of Medical Science at the Anglia Ruskin University.</w:t>
      </w:r>
    </w:p>
    <w:p w14:paraId="3EF1CD84"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I am conducting a research on the experience of Nigerian caregivers (healthcare assistants and nurses) of people living with dementia here in the UK and I would like to extend an invitation to you to participate in this research.</w:t>
      </w:r>
    </w:p>
    <w:p w14:paraId="5D661C97"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 xml:space="preserve">If you decide to participate, an interview would be arranged at a time and place that suits you. The interview would last about 1 hour. During this interview, I will ask you questions about your experience of caring for people with dementia being an African and a Nigerian. I would like to know more about your beliefs and perception of dementia and your role as a paid caregiver, what inspired or motivated you to take up your role as a caregiver and how you cope with the role. </w:t>
      </w:r>
    </w:p>
    <w:p w14:paraId="3163AC51"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 xml:space="preserve">I will also collect some personal data from you such as your age, gender and educational background. This information will be kept private and confidential. You will be given a pseudonym (false name) and identifiable information about you will never be used in a presentation or publication. I will not pass on your </w:t>
      </w:r>
      <w:r w:rsidRPr="00C108FB">
        <w:rPr>
          <w:rFonts w:ascii="Times New Roman" w:hAnsi="Times New Roman"/>
          <w:szCs w:val="24"/>
        </w:rPr>
        <w:lastRenderedPageBreak/>
        <w:t xml:space="preserve">details to any organisation or company. This research is purely for academic purposes and is not connected to the government. </w:t>
      </w:r>
    </w:p>
    <w:p w14:paraId="57D662A3"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This interview will take approximately 1 hour (but this depends on how much you have to say). There are no right or wrong answers. What is important is your opinion on any particular question, but you may choose not to answer any question(s) that you do not feel comfortable answering. There is no compensation for participating in this research. However, your participation will be a valuable addition to the study and the findings could lead to better understanding of the experience of paid caregivers and offer ways they can be supported in their role as caregivers.</w:t>
      </w:r>
    </w:p>
    <w:p w14:paraId="5692DE6E"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 xml:space="preserve">Participation in this research is completely voluntary and you may choose to withdraw from the research at any time and you are not obliged to give any reason for your withdrawal and there are no consequences if you do so. </w:t>
      </w:r>
    </w:p>
    <w:p w14:paraId="5B6C0C48" w14:textId="2A068753" w:rsidR="00C108FB" w:rsidRPr="00C108FB" w:rsidRDefault="00C108FB" w:rsidP="00C108FB">
      <w:pPr>
        <w:ind w:left="720"/>
        <w:jc w:val="both"/>
        <w:rPr>
          <w:rFonts w:ascii="Times New Roman" w:hAnsi="Times New Roman"/>
          <w:szCs w:val="24"/>
        </w:rPr>
      </w:pPr>
      <w:r w:rsidRPr="00C108FB">
        <w:rPr>
          <w:rFonts w:ascii="Times New Roman" w:hAnsi="Times New Roman"/>
          <w:szCs w:val="24"/>
        </w:rPr>
        <w:t>The participant information form and consent form have been attached for your information. If you have any further questions about the research, please do not hesitate to contact me via email at</w:t>
      </w:r>
      <w:r w:rsidR="00A670D5">
        <w:t xml:space="preserve"> X</w:t>
      </w:r>
      <w:r w:rsidRPr="00C108FB">
        <w:rPr>
          <w:rFonts w:ascii="Times New Roman" w:hAnsi="Times New Roman"/>
          <w:szCs w:val="24"/>
        </w:rPr>
        <w:t xml:space="preserve"> or on my mobile on </w:t>
      </w:r>
      <w:r w:rsidR="00A670D5">
        <w:rPr>
          <w:rFonts w:ascii="Times New Roman" w:hAnsi="Times New Roman"/>
          <w:szCs w:val="24"/>
        </w:rPr>
        <w:t>X</w:t>
      </w:r>
    </w:p>
    <w:p w14:paraId="5B201CB1" w14:textId="2BFCA722" w:rsidR="00C108FB" w:rsidRPr="00C108FB" w:rsidRDefault="00C108FB" w:rsidP="00C108FB">
      <w:pPr>
        <w:ind w:left="720"/>
        <w:jc w:val="both"/>
        <w:rPr>
          <w:rFonts w:ascii="Times New Roman" w:hAnsi="Times New Roman"/>
          <w:szCs w:val="24"/>
        </w:rPr>
      </w:pPr>
      <w:r w:rsidRPr="00C108FB">
        <w:rPr>
          <w:rFonts w:ascii="Times New Roman" w:hAnsi="Times New Roman"/>
          <w:szCs w:val="24"/>
        </w:rPr>
        <w:t xml:space="preserve">If you have any further questions regarding your rights as a research participant, you may contact any one of my supervisors </w:t>
      </w:r>
    </w:p>
    <w:p w14:paraId="79F999C6" w14:textId="77777777" w:rsidR="00C108FB" w:rsidRPr="00C108FB" w:rsidRDefault="00C108FB" w:rsidP="00C108FB">
      <w:pPr>
        <w:ind w:left="720"/>
        <w:jc w:val="both"/>
        <w:rPr>
          <w:rFonts w:ascii="Times New Roman" w:hAnsi="Times New Roman"/>
          <w:szCs w:val="24"/>
        </w:rPr>
      </w:pPr>
      <w:r w:rsidRPr="00C108FB">
        <w:rPr>
          <w:rFonts w:ascii="Times New Roman" w:hAnsi="Times New Roman"/>
          <w:szCs w:val="24"/>
        </w:rPr>
        <w:t>Thank you in advance for your consideration.</w:t>
      </w:r>
    </w:p>
    <w:p w14:paraId="778D3B36"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Yours sincerely,</w:t>
      </w:r>
    </w:p>
    <w:p w14:paraId="0025713F" w14:textId="77777777" w:rsidR="00C108FB" w:rsidRPr="00C108FB" w:rsidRDefault="00C108FB" w:rsidP="00C108FB">
      <w:pPr>
        <w:ind w:left="720"/>
        <w:rPr>
          <w:rFonts w:ascii="Times New Roman" w:hAnsi="Times New Roman"/>
          <w:szCs w:val="24"/>
        </w:rPr>
      </w:pPr>
      <w:r w:rsidRPr="00C108FB">
        <w:rPr>
          <w:rFonts w:ascii="Times New Roman" w:hAnsi="Times New Roman"/>
          <w:bCs/>
          <w:szCs w:val="24"/>
        </w:rPr>
        <w:t>Ojeiu Ejere</w:t>
      </w:r>
    </w:p>
    <w:p w14:paraId="37761D48"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PhD Student,</w:t>
      </w:r>
    </w:p>
    <w:p w14:paraId="494E311E" w14:textId="3338FADC" w:rsidR="00C108FB" w:rsidRPr="00C108FB" w:rsidRDefault="00C108FB" w:rsidP="00C108FB">
      <w:pPr>
        <w:spacing w:after="0"/>
        <w:ind w:left="720"/>
        <w:rPr>
          <w:rFonts w:ascii="Times New Roman" w:hAnsi="Times New Roman"/>
          <w:szCs w:val="24"/>
        </w:rPr>
      </w:pPr>
      <w:r w:rsidRPr="00C108FB">
        <w:rPr>
          <w:rFonts w:ascii="Times New Roman" w:hAnsi="Times New Roman"/>
          <w:szCs w:val="24"/>
        </w:rPr>
        <w:t xml:space="preserve">Email: </w:t>
      </w:r>
    </w:p>
    <w:p w14:paraId="57BF2B95" w14:textId="065CDA8D" w:rsidR="00C108FB" w:rsidRPr="00C108FB" w:rsidRDefault="00C108FB" w:rsidP="00C108FB">
      <w:pPr>
        <w:spacing w:after="0"/>
        <w:ind w:left="720"/>
        <w:rPr>
          <w:rFonts w:ascii="Times New Roman" w:hAnsi="Times New Roman"/>
          <w:szCs w:val="24"/>
        </w:rPr>
      </w:pPr>
      <w:r w:rsidRPr="00C108FB">
        <w:rPr>
          <w:rFonts w:ascii="Times New Roman" w:hAnsi="Times New Roman"/>
          <w:szCs w:val="24"/>
        </w:rPr>
        <w:t>Mobile no:</w:t>
      </w:r>
    </w:p>
    <w:p w14:paraId="59C896EA" w14:textId="77777777" w:rsidR="00AA6A8F" w:rsidRDefault="00AA6A8F">
      <w:pPr>
        <w:spacing w:after="0" w:line="240" w:lineRule="auto"/>
        <w:rPr>
          <w:rFonts w:ascii="Times New Roman" w:hAnsi="Times New Roman"/>
          <w:b/>
          <w:bCs/>
          <w:szCs w:val="24"/>
        </w:rPr>
      </w:pPr>
      <w:r>
        <w:rPr>
          <w:rFonts w:ascii="Times New Roman" w:hAnsi="Times New Roman"/>
          <w:b/>
          <w:bCs/>
          <w:szCs w:val="24"/>
        </w:rPr>
        <w:br w:type="page"/>
      </w:r>
    </w:p>
    <w:p w14:paraId="7EB2C7C7" w14:textId="49764883" w:rsidR="00C108FB" w:rsidRPr="00C108FB" w:rsidRDefault="00C108FB" w:rsidP="00AA6A8F">
      <w:pPr>
        <w:pStyle w:val="Heading2"/>
      </w:pPr>
      <w:bookmarkStart w:id="329" w:name="_Toc86417441"/>
      <w:r w:rsidRPr="00C108FB">
        <w:rPr>
          <w:bCs/>
        </w:rPr>
        <w:lastRenderedPageBreak/>
        <w:t xml:space="preserve">APPENDIX 6.9: </w:t>
      </w:r>
      <w:r w:rsidRPr="00C108FB">
        <w:t>PARTICIPANT CONSENT FORM</w:t>
      </w:r>
      <w:bookmarkEnd w:id="329"/>
    </w:p>
    <w:p w14:paraId="2BA713AE" w14:textId="77777777" w:rsidR="00C108FB" w:rsidRPr="00C108FB" w:rsidRDefault="00C108FB" w:rsidP="00C108FB">
      <w:pPr>
        <w:ind w:left="720"/>
        <w:rPr>
          <w:rFonts w:ascii="Times New Roman" w:hAnsi="Times New Roman"/>
          <w:szCs w:val="24"/>
        </w:rPr>
      </w:pPr>
    </w:p>
    <w:p w14:paraId="43AAD3C0" w14:textId="77777777" w:rsidR="00C108FB" w:rsidRPr="00C108FB" w:rsidRDefault="00C108FB" w:rsidP="00C108FB">
      <w:pPr>
        <w:ind w:left="720"/>
        <w:rPr>
          <w:rFonts w:ascii="Times New Roman" w:hAnsi="Times New Roman"/>
          <w:szCs w:val="24"/>
        </w:rPr>
      </w:pPr>
    </w:p>
    <w:p w14:paraId="0B8A48EA" w14:textId="77777777" w:rsidR="00C108FB" w:rsidRPr="00C108FB" w:rsidRDefault="00C108FB" w:rsidP="00C108FB">
      <w:pPr>
        <w:ind w:left="720" w:right="-766"/>
        <w:rPr>
          <w:rFonts w:ascii="Times New Roman" w:hAnsi="Times New Roman"/>
          <w:snapToGrid w:val="0"/>
          <w:color w:val="000000"/>
          <w:w w:val="1"/>
          <w:szCs w:val="24"/>
          <w:bdr w:val="none" w:sz="0" w:space="0" w:color="auto" w:frame="1"/>
          <w:shd w:val="clear" w:color="auto" w:fill="000000"/>
          <w:lang w:eastAsia="x-none" w:bidi="x-none"/>
        </w:rPr>
      </w:pPr>
      <w:r w:rsidRPr="00C108FB">
        <w:rPr>
          <w:noProof/>
        </w:rPr>
        <w:drawing>
          <wp:anchor distT="0" distB="0" distL="114300" distR="114300" simplePos="0" relativeHeight="251817984" behindDoc="0" locked="0" layoutInCell="1" allowOverlap="1" wp14:anchorId="1C95DF1F" wp14:editId="55FFC883">
            <wp:simplePos x="0" y="0"/>
            <wp:positionH relativeFrom="column">
              <wp:posOffset>3876040</wp:posOffset>
            </wp:positionH>
            <wp:positionV relativeFrom="paragraph">
              <wp:posOffset>-772795</wp:posOffset>
            </wp:positionV>
            <wp:extent cx="2162175" cy="952500"/>
            <wp:effectExtent l="0" t="0" r="0" b="0"/>
            <wp:wrapNone/>
            <wp:docPr id="206" name="Picture 206" descr="P407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P4079#y1">
                      <a:extLst>
                        <a:ext uri="{C183D7F6-B498-43B3-948B-1728B52AA6E4}">
                          <adec:decorative xmlns:adec="http://schemas.microsoft.com/office/drawing/2017/decorative" val="1"/>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62175" cy="952500"/>
                    </a:xfrm>
                    <a:prstGeom prst="rect">
                      <a:avLst/>
                    </a:prstGeom>
                    <a:noFill/>
                  </pic:spPr>
                </pic:pic>
              </a:graphicData>
            </a:graphic>
            <wp14:sizeRelH relativeFrom="page">
              <wp14:pctWidth>0</wp14:pctWidth>
            </wp14:sizeRelH>
            <wp14:sizeRelV relativeFrom="page">
              <wp14:pctHeight>0</wp14:pctHeight>
            </wp14:sizeRelV>
          </wp:anchor>
        </w:drawing>
      </w:r>
    </w:p>
    <w:p w14:paraId="531BFC84" w14:textId="77777777" w:rsidR="00C108FB" w:rsidRPr="00C108FB" w:rsidRDefault="00C108FB" w:rsidP="00C108FB">
      <w:pPr>
        <w:ind w:left="720" w:right="-766"/>
        <w:rPr>
          <w:rFonts w:ascii="Times New Roman" w:hAnsi="Times New Roman"/>
          <w:b/>
          <w:szCs w:val="24"/>
        </w:rPr>
      </w:pPr>
    </w:p>
    <w:p w14:paraId="73B3470A" w14:textId="77777777" w:rsidR="00C108FB" w:rsidRPr="00C108FB" w:rsidRDefault="00C108FB" w:rsidP="00C108FB">
      <w:pPr>
        <w:ind w:left="720" w:right="-766"/>
        <w:jc w:val="center"/>
        <w:rPr>
          <w:rFonts w:ascii="Times New Roman" w:hAnsi="Times New Roman"/>
          <w:b/>
          <w:szCs w:val="24"/>
        </w:rPr>
      </w:pPr>
      <w:r w:rsidRPr="00C108FB">
        <w:rPr>
          <w:rFonts w:ascii="Times New Roman" w:hAnsi="Times New Roman"/>
          <w:b/>
          <w:szCs w:val="24"/>
        </w:rPr>
        <w:t>IRAS Project ID: 204354</w:t>
      </w:r>
    </w:p>
    <w:p w14:paraId="3FB94AD6" w14:textId="77777777" w:rsidR="00C108FB" w:rsidRPr="00C108FB" w:rsidRDefault="00C108FB" w:rsidP="00C108FB">
      <w:pPr>
        <w:ind w:left="720" w:right="-766"/>
        <w:jc w:val="center"/>
        <w:rPr>
          <w:rFonts w:ascii="Times New Roman" w:hAnsi="Times New Roman"/>
          <w:b/>
          <w:szCs w:val="24"/>
        </w:rPr>
      </w:pPr>
      <w:r w:rsidRPr="00C108FB">
        <w:rPr>
          <w:rFonts w:ascii="Times New Roman" w:hAnsi="Times New Roman"/>
          <w:b/>
          <w:szCs w:val="24"/>
        </w:rPr>
        <w:t>PARTICIPANT CONSENT FORM</w:t>
      </w:r>
    </w:p>
    <w:p w14:paraId="4278C57D" w14:textId="77777777" w:rsidR="00C108FB" w:rsidRPr="00C108FB" w:rsidRDefault="00C108FB" w:rsidP="00C108FB">
      <w:pPr>
        <w:ind w:left="720" w:right="-766"/>
        <w:rPr>
          <w:rFonts w:ascii="Times New Roman" w:hAnsi="Times New Roman"/>
          <w:szCs w:val="24"/>
        </w:rPr>
      </w:pPr>
    </w:p>
    <w:p w14:paraId="2E3D2CC5"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Name of participant: ___________________________________</w:t>
      </w:r>
      <w:r w:rsidRPr="00C108FB">
        <w:rPr>
          <w:rFonts w:ascii="Times New Roman" w:hAnsi="Times New Roman"/>
          <w:szCs w:val="24"/>
          <w:u w:val="single"/>
        </w:rPr>
        <w:t xml:space="preserve"> _</w:t>
      </w:r>
      <w:r w:rsidRPr="00C108FB">
        <w:rPr>
          <w:rFonts w:ascii="Times New Roman" w:hAnsi="Times New Roman"/>
          <w:szCs w:val="24"/>
        </w:rPr>
        <w:t>_____________</w:t>
      </w:r>
    </w:p>
    <w:p w14:paraId="7BEB4BAB" w14:textId="77777777" w:rsidR="00C108FB" w:rsidRPr="00C108FB" w:rsidRDefault="00C108FB" w:rsidP="00C108FB">
      <w:pPr>
        <w:ind w:left="720" w:right="-766"/>
        <w:rPr>
          <w:rFonts w:ascii="Times New Roman" w:hAnsi="Times New Roman"/>
          <w:szCs w:val="24"/>
        </w:rPr>
      </w:pPr>
    </w:p>
    <w:p w14:paraId="0CC2D19D"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 xml:space="preserve">Title of the project: </w:t>
      </w:r>
      <w:r w:rsidRPr="00C108FB">
        <w:rPr>
          <w:rFonts w:ascii="Times New Roman" w:hAnsi="Times New Roman"/>
          <w:bCs/>
          <w:szCs w:val="24"/>
        </w:rPr>
        <w:t>The experience of paid Nigerian migrant caregivers of people with dementia.</w:t>
      </w:r>
    </w:p>
    <w:p w14:paraId="28F03C7E" w14:textId="77777777" w:rsidR="00C108FB" w:rsidRPr="00C108FB" w:rsidRDefault="00C108FB" w:rsidP="00C108FB">
      <w:pPr>
        <w:ind w:left="720" w:right="-766"/>
        <w:rPr>
          <w:rFonts w:ascii="Times New Roman" w:hAnsi="Times New Roman"/>
          <w:szCs w:val="24"/>
        </w:rPr>
      </w:pPr>
    </w:p>
    <w:p w14:paraId="234D7A0D" w14:textId="77777777" w:rsidR="00C108FB" w:rsidRPr="00C108FB" w:rsidRDefault="00C108FB" w:rsidP="00C108FB">
      <w:pPr>
        <w:ind w:left="720"/>
        <w:rPr>
          <w:rFonts w:ascii="Times New Roman" w:hAnsi="Times New Roman"/>
          <w:szCs w:val="24"/>
        </w:rPr>
      </w:pPr>
      <w:r w:rsidRPr="00C108FB">
        <w:rPr>
          <w:rFonts w:ascii="Times New Roman" w:hAnsi="Times New Roman"/>
          <w:szCs w:val="24"/>
        </w:rPr>
        <w:t xml:space="preserve">Main investigator and contact details: </w:t>
      </w:r>
      <w:r w:rsidRPr="00C108FB">
        <w:rPr>
          <w:rFonts w:ascii="Times New Roman" w:hAnsi="Times New Roman"/>
          <w:bCs/>
          <w:szCs w:val="24"/>
        </w:rPr>
        <w:t xml:space="preserve">Mr. </w:t>
      </w:r>
      <w:r w:rsidRPr="00C108FB">
        <w:rPr>
          <w:rFonts w:ascii="Times New Roman" w:hAnsi="Times New Roman"/>
          <w:szCs w:val="24"/>
        </w:rPr>
        <w:t>Ojeiu Ejere</w:t>
      </w:r>
    </w:p>
    <w:p w14:paraId="6E501B1D" w14:textId="77777777" w:rsidR="00C108FB" w:rsidRPr="00C108FB" w:rsidRDefault="00C108FB" w:rsidP="00C108FB">
      <w:pPr>
        <w:ind w:left="4320"/>
        <w:rPr>
          <w:rFonts w:ascii="Times New Roman" w:hAnsi="Times New Roman"/>
          <w:szCs w:val="24"/>
        </w:rPr>
      </w:pPr>
      <w:r w:rsidRPr="00C108FB">
        <w:rPr>
          <w:rFonts w:ascii="Times New Roman" w:hAnsi="Times New Roman"/>
          <w:szCs w:val="24"/>
        </w:rPr>
        <w:t xml:space="preserve">Department of Allied and Public Health, </w:t>
      </w:r>
    </w:p>
    <w:p w14:paraId="122D11F0" w14:textId="77777777" w:rsidR="00C108FB" w:rsidRPr="00C108FB" w:rsidRDefault="00C108FB" w:rsidP="00C108FB">
      <w:pPr>
        <w:ind w:left="4320"/>
        <w:rPr>
          <w:rFonts w:ascii="Times New Roman" w:hAnsi="Times New Roman"/>
          <w:szCs w:val="24"/>
        </w:rPr>
      </w:pPr>
      <w:r w:rsidRPr="00C108FB">
        <w:rPr>
          <w:rFonts w:ascii="Times New Roman" w:hAnsi="Times New Roman"/>
          <w:szCs w:val="24"/>
        </w:rPr>
        <w:t>Anglia Ruskin University, Chelmsford</w:t>
      </w:r>
    </w:p>
    <w:p w14:paraId="6615D4F7" w14:textId="77777777" w:rsidR="00C108FB" w:rsidRPr="00C108FB" w:rsidRDefault="00C108FB" w:rsidP="00C108FB">
      <w:pPr>
        <w:ind w:left="4320"/>
        <w:rPr>
          <w:rFonts w:ascii="Times New Roman" w:hAnsi="Times New Roman"/>
          <w:szCs w:val="24"/>
        </w:rPr>
      </w:pPr>
      <w:r w:rsidRPr="00C108FB">
        <w:rPr>
          <w:rFonts w:ascii="Times New Roman" w:hAnsi="Times New Roman"/>
          <w:szCs w:val="24"/>
        </w:rPr>
        <w:t>CM1 1SQ</w:t>
      </w:r>
    </w:p>
    <w:p w14:paraId="6E97EB15" w14:textId="573AD07B" w:rsidR="00C108FB" w:rsidRPr="00C108FB" w:rsidRDefault="00C108FB" w:rsidP="00C108FB">
      <w:pPr>
        <w:ind w:left="4320"/>
        <w:rPr>
          <w:rFonts w:ascii="Times New Roman" w:hAnsi="Times New Roman"/>
          <w:iCs/>
          <w:szCs w:val="24"/>
        </w:rPr>
      </w:pPr>
      <w:r w:rsidRPr="00C108FB">
        <w:rPr>
          <w:rFonts w:ascii="Times New Roman" w:hAnsi="Times New Roman"/>
          <w:iCs/>
          <w:szCs w:val="24"/>
        </w:rPr>
        <w:t xml:space="preserve">Email: </w:t>
      </w:r>
    </w:p>
    <w:p w14:paraId="55227F49" w14:textId="66549DE9" w:rsidR="00C108FB" w:rsidRPr="00C108FB" w:rsidRDefault="00C108FB" w:rsidP="00C108FB">
      <w:pPr>
        <w:ind w:left="4320"/>
        <w:rPr>
          <w:rFonts w:ascii="Times New Roman" w:hAnsi="Times New Roman"/>
          <w:iCs/>
          <w:szCs w:val="24"/>
        </w:rPr>
      </w:pPr>
      <w:r w:rsidRPr="00C108FB">
        <w:rPr>
          <w:rFonts w:ascii="Times New Roman" w:hAnsi="Times New Roman"/>
          <w:iCs/>
          <w:szCs w:val="24"/>
        </w:rPr>
        <w:t xml:space="preserve">Mobile: </w:t>
      </w:r>
    </w:p>
    <w:p w14:paraId="2779FAB3" w14:textId="77777777" w:rsidR="00C108FB" w:rsidRPr="00C108FB" w:rsidRDefault="00C108FB" w:rsidP="00C108FB">
      <w:pPr>
        <w:numPr>
          <w:ilvl w:val="0"/>
          <w:numId w:val="29"/>
        </w:numPr>
        <w:spacing w:after="0" w:line="256" w:lineRule="auto"/>
        <w:ind w:left="1440"/>
        <w:contextualSpacing/>
        <w:jc w:val="both"/>
        <w:rPr>
          <w:rFonts w:ascii="Times New Roman" w:eastAsia="Calibri" w:hAnsi="Times New Roman"/>
          <w:szCs w:val="24"/>
          <w:lang w:eastAsia="en-US"/>
        </w:rPr>
      </w:pPr>
      <w:r w:rsidRPr="00C108FB">
        <w:rPr>
          <w:rFonts w:ascii="Times New Roman" w:eastAsia="Calibri" w:hAnsi="Times New Roman"/>
          <w:szCs w:val="24"/>
          <w:lang w:eastAsia="en-US"/>
        </w:rPr>
        <w:t xml:space="preserve">I agree to take part in the above research.  I have read the Participant Information Sheet for the study.  I understand what my role will be in </w:t>
      </w:r>
      <w:r w:rsidRPr="00C108FB">
        <w:rPr>
          <w:rFonts w:ascii="Times New Roman" w:eastAsia="Calibri" w:hAnsi="Times New Roman"/>
          <w:szCs w:val="24"/>
          <w:lang w:eastAsia="en-US"/>
        </w:rPr>
        <w:lastRenderedPageBreak/>
        <w:t xml:space="preserve">this research, and all my questions have been answered to my satisfaction.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0D935D14" w14:textId="77777777" w:rsidR="00C108FB" w:rsidRPr="00C108FB" w:rsidRDefault="00C108FB" w:rsidP="00C108FB">
      <w:pPr>
        <w:numPr>
          <w:ilvl w:val="0"/>
          <w:numId w:val="30"/>
        </w:num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szCs w:val="24"/>
          <w:lang w:eastAsia="en-US"/>
        </w:rPr>
        <w:t xml:space="preserve">I understand that I am free to withdraw from the research at any time, for any reason and without prejudice.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696676A5" w14:textId="77777777" w:rsidR="00C108FB" w:rsidRPr="00C108FB" w:rsidRDefault="00C108FB" w:rsidP="00C108FB">
      <w:pPr>
        <w:numPr>
          <w:ilvl w:val="0"/>
          <w:numId w:val="31"/>
        </w:num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szCs w:val="24"/>
          <w:lang w:eastAsia="en-US"/>
        </w:rPr>
        <w:t xml:space="preserve">I have been informed that the confidentiality of the information I provide will be safeguarded.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1AE2827E" w14:textId="77777777" w:rsidR="00C108FB" w:rsidRPr="00C108FB" w:rsidRDefault="00C108FB" w:rsidP="00C108FB">
      <w:pPr>
        <w:numPr>
          <w:ilvl w:val="0"/>
          <w:numId w:val="31"/>
        </w:num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szCs w:val="24"/>
          <w:lang w:eastAsia="en-US"/>
        </w:rPr>
        <w:t xml:space="preserve">I am free to ask any questions at any time before and during the study. </w:t>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7EB4DA7C" w14:textId="77777777" w:rsidR="00C108FB" w:rsidRPr="00C108FB" w:rsidRDefault="00C108FB" w:rsidP="00C108FB">
      <w:pPr>
        <w:numPr>
          <w:ilvl w:val="0"/>
          <w:numId w:val="31"/>
        </w:num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szCs w:val="24"/>
          <w:lang w:eastAsia="en-US"/>
        </w:rPr>
        <w:t>I have been provided with a copy of this form and the Participant Information Sheet for the study.</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7B2EC885" w14:textId="77777777" w:rsidR="00C108FB" w:rsidRPr="00C108FB" w:rsidRDefault="00C108FB" w:rsidP="00C108FB">
      <w:pPr>
        <w:numPr>
          <w:ilvl w:val="0"/>
          <w:numId w:val="31"/>
        </w:num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szCs w:val="24"/>
          <w:lang w:eastAsia="en-US"/>
        </w:rPr>
        <w:t xml:space="preserve">I agree to the use of an audio recording device to record the interview question.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4CCF91B9" w14:textId="77777777" w:rsidR="00C108FB" w:rsidRPr="00C108FB" w:rsidRDefault="00C108FB" w:rsidP="00C108FB">
      <w:pPr>
        <w:spacing w:after="0" w:line="256" w:lineRule="auto"/>
        <w:ind w:left="1440"/>
        <w:contextualSpacing/>
        <w:rPr>
          <w:rFonts w:ascii="Times New Roman" w:eastAsia="Calibri" w:hAnsi="Times New Roman"/>
          <w:szCs w:val="24"/>
          <w:lang w:eastAsia="en-US"/>
        </w:rPr>
      </w:pPr>
      <w:r w:rsidRPr="00C108FB">
        <w:rPr>
          <w:rFonts w:ascii="Times New Roman" w:eastAsia="Calibri" w:hAnsi="Times New Roman"/>
          <w:b/>
          <w:szCs w:val="24"/>
          <w:lang w:eastAsia="en-US"/>
        </w:rPr>
        <w:t>Data Protection</w:t>
      </w:r>
      <w:r w:rsidRPr="00C108FB">
        <w:rPr>
          <w:rFonts w:ascii="Times New Roman" w:eastAsia="Calibri" w:hAnsi="Times New Roman"/>
          <w:szCs w:val="24"/>
          <w:lang w:eastAsia="en-US"/>
        </w:rPr>
        <w:t xml:space="preserve">:  I agree to the Chief Investigator processing personal data which I have supplied.  I agree to the processing of such data for any purposes connected with the Research Project as outlined to me.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t xml:space="preserve">                      </w:t>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Times New Roman" w:eastAsia="Calibri" w:hAnsi="Times New Roman"/>
          <w:szCs w:val="24"/>
          <w:lang w:eastAsia="en-US"/>
        </w:rPr>
        <w:tab/>
      </w:r>
      <w:r w:rsidRPr="00C108FB">
        <w:rPr>
          <w:rFonts w:ascii="Segoe UI Symbol" w:eastAsia="MS Gothic" w:hAnsi="Segoe UI Symbol" w:cs="Segoe UI Symbol"/>
          <w:szCs w:val="24"/>
          <w:lang w:eastAsia="en-US"/>
        </w:rPr>
        <w:t>☐</w:t>
      </w:r>
    </w:p>
    <w:p w14:paraId="52164657"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Name of participant (print)……………………………………….….Signed………………..….Date……….</w:t>
      </w:r>
    </w:p>
    <w:p w14:paraId="3B95532B"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Name of Chief Investigator (print)………………………………………..….Signed………………..….Date………</w:t>
      </w:r>
    </w:p>
    <w:p w14:paraId="6AA4711C" w14:textId="77777777" w:rsidR="00C108FB" w:rsidRPr="00C108FB" w:rsidRDefault="00C108FB" w:rsidP="00C108FB">
      <w:pPr>
        <w:ind w:left="720" w:right="-766"/>
        <w:jc w:val="center"/>
        <w:rPr>
          <w:rFonts w:ascii="Times New Roman" w:hAnsi="Times New Roman"/>
          <w:szCs w:val="24"/>
        </w:rPr>
      </w:pPr>
    </w:p>
    <w:p w14:paraId="41942CDE" w14:textId="77777777" w:rsidR="00C108FB" w:rsidRPr="00C108FB" w:rsidRDefault="00C108FB" w:rsidP="00C108FB">
      <w:pPr>
        <w:ind w:left="720" w:right="-766"/>
        <w:jc w:val="center"/>
        <w:rPr>
          <w:rFonts w:ascii="Times New Roman" w:hAnsi="Times New Roman"/>
          <w:szCs w:val="24"/>
        </w:rPr>
      </w:pPr>
    </w:p>
    <w:p w14:paraId="6C8A177D" w14:textId="77777777" w:rsidR="00C108FB" w:rsidRPr="00C108FB" w:rsidRDefault="00C108FB" w:rsidP="00C108FB">
      <w:pPr>
        <w:ind w:left="720" w:right="-766"/>
        <w:jc w:val="center"/>
        <w:rPr>
          <w:rFonts w:ascii="Times New Roman" w:hAnsi="Times New Roman"/>
          <w:szCs w:val="24"/>
        </w:rPr>
      </w:pPr>
    </w:p>
    <w:p w14:paraId="08B40442" w14:textId="77777777" w:rsidR="00C108FB" w:rsidRPr="00C108FB" w:rsidRDefault="00C108FB" w:rsidP="00C108FB">
      <w:pPr>
        <w:ind w:right="-766"/>
        <w:rPr>
          <w:rFonts w:ascii="Times New Roman" w:hAnsi="Times New Roman"/>
          <w:szCs w:val="24"/>
        </w:rPr>
      </w:pPr>
    </w:p>
    <w:p w14:paraId="7D14168A" w14:textId="77777777" w:rsidR="00C108FB" w:rsidRPr="00C108FB" w:rsidRDefault="00C108FB" w:rsidP="00C108FB">
      <w:pPr>
        <w:ind w:right="-766"/>
        <w:rPr>
          <w:rFonts w:ascii="Times New Roman" w:hAnsi="Times New Roman"/>
          <w:szCs w:val="24"/>
        </w:rPr>
      </w:pPr>
    </w:p>
    <w:p w14:paraId="06B19FAD" w14:textId="77777777" w:rsidR="00C108FB" w:rsidRPr="00C108FB" w:rsidRDefault="00C108FB" w:rsidP="00C108FB">
      <w:pPr>
        <w:ind w:right="-766"/>
        <w:rPr>
          <w:rFonts w:ascii="Times New Roman" w:hAnsi="Times New Roman"/>
          <w:szCs w:val="24"/>
        </w:rPr>
      </w:pPr>
    </w:p>
    <w:p w14:paraId="674766EB" w14:textId="77777777" w:rsidR="00C108FB" w:rsidRPr="00C108FB" w:rsidRDefault="00C108FB" w:rsidP="00C108FB">
      <w:pPr>
        <w:ind w:left="720" w:right="-766"/>
        <w:jc w:val="center"/>
        <w:rPr>
          <w:rFonts w:ascii="Times New Roman" w:hAnsi="Times New Roman"/>
          <w:szCs w:val="24"/>
        </w:rPr>
      </w:pPr>
      <w:r w:rsidRPr="00C108FB">
        <w:rPr>
          <w:rFonts w:ascii="Times New Roman" w:hAnsi="Times New Roman"/>
          <w:szCs w:val="24"/>
        </w:rPr>
        <w:t>YOU WILL BE GIVEN A COPY OF THIS FORM TO KEEP AND A COPY WILL BE KEPT IN THE INVESTIGATOR’S RESEARCH FILE</w:t>
      </w:r>
    </w:p>
    <w:p w14:paraId="3944329E"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lastRenderedPageBreak/>
        <w:t>--------------------------------------------------------------------------------------------------------</w:t>
      </w:r>
    </w:p>
    <w:p w14:paraId="0856AACC" w14:textId="77777777" w:rsidR="00C108FB" w:rsidRPr="00C108FB" w:rsidRDefault="00C108FB" w:rsidP="00C108FB">
      <w:pPr>
        <w:spacing w:after="0" w:line="240" w:lineRule="auto"/>
        <w:ind w:left="720"/>
        <w:rPr>
          <w:rFonts w:ascii="Times New Roman" w:hAnsi="Times New Roman"/>
          <w:szCs w:val="24"/>
        </w:rPr>
      </w:pPr>
    </w:p>
    <w:p w14:paraId="7FE30DF3" w14:textId="77777777" w:rsidR="00C108FB" w:rsidRPr="00C108FB" w:rsidRDefault="00C108FB" w:rsidP="00C108FB">
      <w:pPr>
        <w:spacing w:after="0" w:line="240" w:lineRule="auto"/>
        <w:ind w:left="720"/>
        <w:rPr>
          <w:rFonts w:ascii="Times New Roman" w:hAnsi="Times New Roman"/>
          <w:szCs w:val="24"/>
        </w:rPr>
      </w:pPr>
    </w:p>
    <w:p w14:paraId="449B2C2C" w14:textId="77777777" w:rsidR="00C108FB" w:rsidRPr="00C108FB" w:rsidRDefault="00C108FB" w:rsidP="00C108FB">
      <w:pPr>
        <w:spacing w:after="0" w:line="240" w:lineRule="auto"/>
        <w:ind w:left="720"/>
        <w:rPr>
          <w:rFonts w:ascii="Times New Roman" w:hAnsi="Times New Roman"/>
          <w:szCs w:val="24"/>
        </w:rPr>
      </w:pPr>
    </w:p>
    <w:p w14:paraId="0FFA686F" w14:textId="77777777" w:rsidR="00C108FB" w:rsidRPr="00C108FB" w:rsidRDefault="00C108FB" w:rsidP="00C108FB">
      <w:pPr>
        <w:spacing w:after="0" w:line="240" w:lineRule="auto"/>
        <w:ind w:left="720"/>
        <w:rPr>
          <w:rFonts w:ascii="Times New Roman" w:hAnsi="Times New Roman"/>
          <w:szCs w:val="24"/>
        </w:rPr>
      </w:pPr>
      <w:r w:rsidRPr="00C108FB">
        <w:rPr>
          <w:rFonts w:ascii="Times New Roman" w:hAnsi="Times New Roman"/>
          <w:szCs w:val="24"/>
        </w:rPr>
        <w:t>If you wish to withdraw from the research at any time, please complete the form below and return to the main investigator named above.</w:t>
      </w:r>
    </w:p>
    <w:p w14:paraId="148512A3"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 xml:space="preserve">Title of Project: </w:t>
      </w:r>
      <w:r w:rsidRPr="00C108FB">
        <w:rPr>
          <w:rFonts w:ascii="Times New Roman" w:hAnsi="Times New Roman"/>
          <w:bCs/>
          <w:szCs w:val="24"/>
        </w:rPr>
        <w:t>The experience of paid Nigerian migrant caregivers of people with dementia.</w:t>
      </w:r>
    </w:p>
    <w:p w14:paraId="5028C66A" w14:textId="77777777" w:rsidR="00C108FB" w:rsidRPr="00C108FB" w:rsidRDefault="00C108FB" w:rsidP="006869A3">
      <w:pPr>
        <w:ind w:firstLine="720"/>
      </w:pPr>
      <w:r w:rsidRPr="00C108FB">
        <w:t>I WISH TO WITHDRAW FROM THIS STUDY</w:t>
      </w:r>
    </w:p>
    <w:p w14:paraId="4750AA1F" w14:textId="77777777" w:rsidR="00C108FB" w:rsidRPr="00C108FB" w:rsidRDefault="00C108FB" w:rsidP="00C108FB">
      <w:pPr>
        <w:ind w:left="720"/>
        <w:rPr>
          <w:rFonts w:ascii="Times New Roman" w:hAnsi="Times New Roman"/>
          <w:szCs w:val="24"/>
        </w:rPr>
      </w:pPr>
    </w:p>
    <w:p w14:paraId="7C9B4A63" w14:textId="77777777" w:rsidR="00C108FB" w:rsidRPr="00C108FB" w:rsidRDefault="00C108FB" w:rsidP="00C108FB">
      <w:pPr>
        <w:ind w:left="720" w:right="-766"/>
        <w:rPr>
          <w:rFonts w:ascii="Times New Roman" w:hAnsi="Times New Roman"/>
          <w:szCs w:val="24"/>
        </w:rPr>
      </w:pPr>
      <w:r w:rsidRPr="00C108FB">
        <w:rPr>
          <w:rFonts w:ascii="Times New Roman" w:hAnsi="Times New Roman"/>
          <w:szCs w:val="24"/>
        </w:rPr>
        <w:t>Name</w:t>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r>
      <w:r w:rsidRPr="00C108FB">
        <w:rPr>
          <w:rFonts w:ascii="Times New Roman" w:hAnsi="Times New Roman"/>
          <w:szCs w:val="24"/>
        </w:rPr>
        <w:softHyphen/>
        <w:t>_____________________________</w:t>
      </w:r>
      <w:r w:rsidRPr="00C108FB">
        <w:rPr>
          <w:rFonts w:ascii="Times New Roman" w:hAnsi="Times New Roman"/>
          <w:szCs w:val="24"/>
          <w:u w:val="single"/>
        </w:rPr>
        <w:t>___</w:t>
      </w:r>
      <w:r w:rsidRPr="00C108FB">
        <w:rPr>
          <w:rFonts w:ascii="Times New Roman" w:hAnsi="Times New Roman"/>
          <w:szCs w:val="24"/>
        </w:rPr>
        <w:t xml:space="preserve"> Signed: __________ Date: __________</w:t>
      </w:r>
    </w:p>
    <w:p w14:paraId="6C81C414" w14:textId="77777777" w:rsidR="00C108FB" w:rsidRPr="00C108FB" w:rsidRDefault="00C108FB" w:rsidP="00C108FB">
      <w:pPr>
        <w:ind w:left="720"/>
        <w:rPr>
          <w:rFonts w:ascii="Times New Roman" w:hAnsi="Times New Roman"/>
          <w:szCs w:val="24"/>
        </w:rPr>
      </w:pPr>
    </w:p>
    <w:p w14:paraId="494C26E1" w14:textId="77777777" w:rsidR="00C108FB" w:rsidRPr="00C108FB" w:rsidRDefault="00C108FB" w:rsidP="00C108FB">
      <w:pPr>
        <w:ind w:left="720"/>
        <w:rPr>
          <w:rFonts w:ascii="Times New Roman" w:hAnsi="Times New Roman"/>
          <w:szCs w:val="24"/>
        </w:rPr>
      </w:pPr>
    </w:p>
    <w:p w14:paraId="097C6A12" w14:textId="77777777" w:rsidR="00C108FB" w:rsidRPr="00C108FB" w:rsidRDefault="00C108FB" w:rsidP="00C108FB">
      <w:pPr>
        <w:ind w:left="720"/>
        <w:rPr>
          <w:rFonts w:ascii="Times New Roman" w:hAnsi="Times New Roman"/>
          <w:szCs w:val="24"/>
        </w:rPr>
      </w:pPr>
    </w:p>
    <w:p w14:paraId="04FDF056" w14:textId="77777777" w:rsidR="00C108FB" w:rsidRPr="00C108FB" w:rsidRDefault="00C108FB" w:rsidP="00C108FB">
      <w:pPr>
        <w:ind w:left="720"/>
        <w:rPr>
          <w:rFonts w:ascii="Times New Roman" w:hAnsi="Times New Roman"/>
          <w:szCs w:val="24"/>
        </w:rPr>
      </w:pPr>
    </w:p>
    <w:p w14:paraId="1CF9C4C6" w14:textId="77777777" w:rsidR="00C108FB" w:rsidRPr="00C108FB" w:rsidRDefault="00C108FB" w:rsidP="00C108FB">
      <w:pPr>
        <w:ind w:left="720"/>
        <w:rPr>
          <w:rFonts w:ascii="Times New Roman" w:hAnsi="Times New Roman"/>
          <w:szCs w:val="24"/>
        </w:rPr>
      </w:pPr>
    </w:p>
    <w:p w14:paraId="34FE95E1" w14:textId="77777777" w:rsidR="00C108FB" w:rsidRPr="00C108FB" w:rsidRDefault="00C108FB" w:rsidP="00C108FB">
      <w:pPr>
        <w:ind w:left="720"/>
        <w:rPr>
          <w:rFonts w:ascii="Times New Roman" w:hAnsi="Times New Roman"/>
          <w:szCs w:val="24"/>
        </w:rPr>
      </w:pPr>
    </w:p>
    <w:p w14:paraId="25C8AA30" w14:textId="77777777" w:rsidR="00C108FB" w:rsidRPr="00C108FB" w:rsidRDefault="00C108FB" w:rsidP="00C108FB">
      <w:pPr>
        <w:ind w:left="720"/>
        <w:rPr>
          <w:rFonts w:ascii="Times New Roman" w:hAnsi="Times New Roman"/>
          <w:szCs w:val="24"/>
        </w:rPr>
      </w:pPr>
    </w:p>
    <w:p w14:paraId="1E35B7ED" w14:textId="77777777" w:rsidR="00C108FB" w:rsidRPr="00C108FB" w:rsidRDefault="00C108FB" w:rsidP="00C108FB">
      <w:pPr>
        <w:ind w:left="720"/>
        <w:rPr>
          <w:rFonts w:ascii="Times New Roman" w:hAnsi="Times New Roman"/>
          <w:szCs w:val="24"/>
        </w:rPr>
      </w:pPr>
    </w:p>
    <w:p w14:paraId="0DDDB353" w14:textId="77777777" w:rsidR="00C108FB" w:rsidRPr="00C108FB" w:rsidRDefault="00C108FB" w:rsidP="00C108FB">
      <w:pPr>
        <w:ind w:left="720"/>
        <w:rPr>
          <w:rFonts w:ascii="Times New Roman" w:hAnsi="Times New Roman"/>
          <w:szCs w:val="24"/>
        </w:rPr>
      </w:pPr>
    </w:p>
    <w:p w14:paraId="0D3541C9" w14:textId="77777777" w:rsidR="00C108FB" w:rsidRPr="00C108FB" w:rsidRDefault="00C108FB" w:rsidP="00C108FB">
      <w:pPr>
        <w:ind w:left="720"/>
        <w:rPr>
          <w:rFonts w:ascii="Times New Roman" w:hAnsi="Times New Roman"/>
          <w:szCs w:val="24"/>
        </w:rPr>
      </w:pPr>
    </w:p>
    <w:p w14:paraId="4F296C33" w14:textId="77777777" w:rsidR="00C108FB" w:rsidRPr="00C108FB" w:rsidRDefault="00C108FB" w:rsidP="00C108FB">
      <w:pPr>
        <w:ind w:left="720"/>
        <w:rPr>
          <w:rFonts w:ascii="Times New Roman" w:hAnsi="Times New Roman"/>
          <w:szCs w:val="24"/>
        </w:rPr>
      </w:pPr>
    </w:p>
    <w:p w14:paraId="0328B281" w14:textId="77777777" w:rsidR="00C108FB" w:rsidRPr="00C108FB" w:rsidRDefault="00C108FB" w:rsidP="00C108FB">
      <w:pPr>
        <w:ind w:left="720"/>
        <w:rPr>
          <w:rFonts w:ascii="Times New Roman" w:hAnsi="Times New Roman"/>
          <w:szCs w:val="24"/>
        </w:rPr>
      </w:pPr>
    </w:p>
    <w:p w14:paraId="4B54A766" w14:textId="77777777" w:rsidR="00C108FB" w:rsidRPr="00C108FB" w:rsidRDefault="00C108FB" w:rsidP="00C108FB">
      <w:pPr>
        <w:ind w:left="720"/>
        <w:rPr>
          <w:rFonts w:ascii="Times New Roman" w:hAnsi="Times New Roman"/>
          <w:szCs w:val="24"/>
        </w:rPr>
      </w:pPr>
    </w:p>
    <w:p w14:paraId="49511149" w14:textId="77777777" w:rsidR="00C108FB" w:rsidRPr="00C108FB" w:rsidRDefault="00C108FB" w:rsidP="00AA6A8F">
      <w:pPr>
        <w:pStyle w:val="Heading2"/>
      </w:pPr>
      <w:bookmarkStart w:id="330" w:name="_Toc86417442"/>
      <w:r w:rsidRPr="00C108FB">
        <w:lastRenderedPageBreak/>
        <w:t>APPENDIX 6.10</w:t>
      </w:r>
      <w:r w:rsidRPr="00C108FB">
        <w:rPr>
          <w:rFonts w:eastAsia="Arial"/>
          <w:bCs/>
          <w:color w:val="000000"/>
        </w:rPr>
        <w:t xml:space="preserve">: </w:t>
      </w:r>
      <w:r w:rsidRPr="00C108FB">
        <w:t>PARTICIPANT INFORMATION SHEET</w:t>
      </w:r>
      <w:bookmarkEnd w:id="330"/>
    </w:p>
    <w:p w14:paraId="4610F975" w14:textId="77777777" w:rsidR="00C108FB" w:rsidRPr="00C108FB" w:rsidRDefault="00C108FB" w:rsidP="00C108FB">
      <w:pPr>
        <w:rPr>
          <w:rFonts w:ascii="Times New Roman" w:hAnsi="Times New Roman"/>
          <w:szCs w:val="24"/>
        </w:rPr>
      </w:pPr>
    </w:p>
    <w:p w14:paraId="143ED27A" w14:textId="77777777" w:rsidR="00C108FB" w:rsidRPr="00C108FB" w:rsidRDefault="00C108FB" w:rsidP="00C108FB">
      <w:pPr>
        <w:ind w:left="720"/>
        <w:rPr>
          <w:rFonts w:ascii="Times New Roman" w:hAnsi="Times New Roman"/>
          <w:szCs w:val="24"/>
        </w:rPr>
      </w:pPr>
    </w:p>
    <w:p w14:paraId="491D450C" w14:textId="77777777" w:rsidR="00C108FB" w:rsidRPr="00C108FB" w:rsidRDefault="00C108FB" w:rsidP="00C108FB">
      <w:pPr>
        <w:spacing w:after="0" w:line="240" w:lineRule="auto"/>
        <w:ind w:left="720" w:right="-766"/>
        <w:jc w:val="both"/>
        <w:rPr>
          <w:rFonts w:ascii="Times New Roman" w:hAnsi="Times New Roman"/>
          <w:b/>
          <w:szCs w:val="24"/>
        </w:rPr>
      </w:pPr>
      <w:r w:rsidRPr="00C108FB">
        <w:rPr>
          <w:noProof/>
        </w:rPr>
        <w:drawing>
          <wp:anchor distT="0" distB="0" distL="114300" distR="114300" simplePos="0" relativeHeight="251816960" behindDoc="0" locked="0" layoutInCell="1" allowOverlap="1" wp14:anchorId="7ED4B0CC" wp14:editId="50BC2B72">
            <wp:simplePos x="0" y="0"/>
            <wp:positionH relativeFrom="column">
              <wp:posOffset>3867150</wp:posOffset>
            </wp:positionH>
            <wp:positionV relativeFrom="paragraph">
              <wp:posOffset>-763270</wp:posOffset>
            </wp:positionV>
            <wp:extent cx="2162175" cy="952500"/>
            <wp:effectExtent l="0" t="0" r="0" b="0"/>
            <wp:wrapNone/>
            <wp:docPr id="205" name="Picture 205" descr="P413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P4135#y1">
                      <a:extLst>
                        <a:ext uri="{C183D7F6-B498-43B3-948B-1728B52AA6E4}">
                          <adec:decorative xmlns:adec="http://schemas.microsoft.com/office/drawing/2017/decorative" val="1"/>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2175" cy="952500"/>
                    </a:xfrm>
                    <a:prstGeom prst="rect">
                      <a:avLst/>
                    </a:prstGeom>
                    <a:noFill/>
                  </pic:spPr>
                </pic:pic>
              </a:graphicData>
            </a:graphic>
            <wp14:sizeRelH relativeFrom="page">
              <wp14:pctWidth>0</wp14:pctWidth>
            </wp14:sizeRelH>
            <wp14:sizeRelV relativeFrom="page">
              <wp14:pctHeight>0</wp14:pctHeight>
            </wp14:sizeRelV>
          </wp:anchor>
        </w:drawing>
      </w:r>
    </w:p>
    <w:p w14:paraId="02EEB614" w14:textId="77777777" w:rsidR="00C108FB" w:rsidRPr="00C108FB" w:rsidRDefault="00C108FB" w:rsidP="00C108FB">
      <w:pPr>
        <w:spacing w:after="0" w:line="240" w:lineRule="auto"/>
        <w:ind w:left="720" w:right="-766"/>
        <w:jc w:val="both"/>
        <w:rPr>
          <w:rFonts w:ascii="Times New Roman" w:hAnsi="Times New Roman"/>
          <w:b/>
          <w:szCs w:val="24"/>
        </w:rPr>
      </w:pPr>
    </w:p>
    <w:p w14:paraId="1ACBD324" w14:textId="77777777" w:rsidR="00C108FB" w:rsidRPr="00C108FB" w:rsidRDefault="00C108FB" w:rsidP="00C108FB">
      <w:pPr>
        <w:spacing w:after="0" w:line="240" w:lineRule="auto"/>
        <w:ind w:left="720" w:right="-766"/>
        <w:jc w:val="center"/>
        <w:rPr>
          <w:rFonts w:ascii="Times New Roman" w:hAnsi="Times New Roman"/>
          <w:b/>
          <w:szCs w:val="24"/>
        </w:rPr>
      </w:pPr>
      <w:r w:rsidRPr="00C108FB">
        <w:rPr>
          <w:rFonts w:ascii="Times New Roman" w:hAnsi="Times New Roman"/>
          <w:b/>
          <w:szCs w:val="24"/>
        </w:rPr>
        <w:t>IRAS Project ID: 204354</w:t>
      </w:r>
    </w:p>
    <w:p w14:paraId="186FD690" w14:textId="77777777" w:rsidR="00C108FB" w:rsidRPr="00C108FB" w:rsidRDefault="00C108FB" w:rsidP="00C108FB">
      <w:pPr>
        <w:spacing w:after="0" w:line="240" w:lineRule="auto"/>
        <w:ind w:left="720" w:right="-766"/>
        <w:jc w:val="center"/>
        <w:rPr>
          <w:rFonts w:ascii="Times New Roman" w:hAnsi="Times New Roman"/>
          <w:b/>
          <w:szCs w:val="24"/>
        </w:rPr>
      </w:pPr>
      <w:r w:rsidRPr="00C108FB">
        <w:rPr>
          <w:rFonts w:ascii="Times New Roman" w:hAnsi="Times New Roman"/>
          <w:b/>
          <w:szCs w:val="24"/>
        </w:rPr>
        <w:t>PARTICIPANT INFORMATION SHEET</w:t>
      </w:r>
    </w:p>
    <w:p w14:paraId="15870B90" w14:textId="77777777" w:rsidR="00C108FB" w:rsidRPr="00C108FB" w:rsidRDefault="00C108FB" w:rsidP="00C108FB">
      <w:pPr>
        <w:spacing w:after="0" w:line="240" w:lineRule="auto"/>
        <w:ind w:left="720" w:right="-766"/>
        <w:jc w:val="both"/>
        <w:rPr>
          <w:rFonts w:ascii="Times New Roman" w:hAnsi="Times New Roman"/>
          <w:b/>
          <w:szCs w:val="24"/>
        </w:rPr>
      </w:pPr>
    </w:p>
    <w:p w14:paraId="78D33E18" w14:textId="77777777" w:rsidR="00C108FB" w:rsidRPr="00C108FB" w:rsidRDefault="00C108FB" w:rsidP="00C108FB">
      <w:pPr>
        <w:spacing w:after="0" w:line="240" w:lineRule="auto"/>
        <w:ind w:left="720" w:right="-766"/>
        <w:jc w:val="both"/>
        <w:rPr>
          <w:rFonts w:ascii="Times New Roman" w:hAnsi="Times New Roman"/>
          <w:b/>
          <w:szCs w:val="24"/>
        </w:rPr>
      </w:pPr>
    </w:p>
    <w:p w14:paraId="5B02140E" w14:textId="77777777" w:rsidR="00C108FB" w:rsidRPr="006869A3" w:rsidRDefault="00C108FB" w:rsidP="006869A3">
      <w:pPr>
        <w:ind w:firstLine="720"/>
        <w:rPr>
          <w:rFonts w:ascii="Times New Roman" w:hAnsi="Times New Roman"/>
          <w:b/>
          <w:bCs/>
          <w:lang w:val="en-US"/>
        </w:rPr>
      </w:pPr>
      <w:r w:rsidRPr="006869A3">
        <w:rPr>
          <w:rFonts w:ascii="Times New Roman" w:hAnsi="Times New Roman"/>
          <w:b/>
          <w:bCs/>
          <w:lang w:val="en-US"/>
        </w:rPr>
        <w:t>Section A:  The Research Project</w:t>
      </w:r>
    </w:p>
    <w:p w14:paraId="79C8484E" w14:textId="77777777" w:rsidR="00C108FB" w:rsidRPr="00C108FB" w:rsidRDefault="00C108FB" w:rsidP="00C108FB">
      <w:pPr>
        <w:spacing w:after="0" w:line="240" w:lineRule="auto"/>
        <w:ind w:left="720" w:right="-766"/>
        <w:jc w:val="both"/>
        <w:rPr>
          <w:rFonts w:ascii="Times New Roman" w:hAnsi="Times New Roman"/>
          <w:szCs w:val="24"/>
          <w:u w:val="single"/>
        </w:rPr>
      </w:pPr>
    </w:p>
    <w:p w14:paraId="138AD5C5"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Title of project</w:t>
      </w:r>
    </w:p>
    <w:p w14:paraId="50379CBD" w14:textId="77777777" w:rsidR="00C108FB" w:rsidRPr="00C108FB" w:rsidRDefault="00C108FB" w:rsidP="00C108FB">
      <w:pPr>
        <w:spacing w:after="0" w:line="240" w:lineRule="auto"/>
        <w:ind w:left="1440" w:right="-766"/>
        <w:jc w:val="both"/>
        <w:rPr>
          <w:rFonts w:ascii="Times New Roman" w:hAnsi="Times New Roman"/>
          <w:bCs/>
          <w:szCs w:val="24"/>
        </w:rPr>
      </w:pPr>
    </w:p>
    <w:p w14:paraId="0084E504" w14:textId="77777777" w:rsidR="00C108FB" w:rsidRPr="00C108FB" w:rsidRDefault="00C108FB" w:rsidP="00C108FB">
      <w:pPr>
        <w:spacing w:after="0" w:line="240" w:lineRule="auto"/>
        <w:ind w:left="720" w:right="-766" w:firstLine="720"/>
        <w:jc w:val="both"/>
        <w:rPr>
          <w:rFonts w:ascii="Times New Roman" w:hAnsi="Times New Roman"/>
          <w:szCs w:val="24"/>
        </w:rPr>
      </w:pPr>
      <w:r w:rsidRPr="00C108FB">
        <w:rPr>
          <w:rFonts w:ascii="Times New Roman" w:hAnsi="Times New Roman"/>
          <w:bCs/>
          <w:szCs w:val="24"/>
        </w:rPr>
        <w:t>The experience of paid Nigerian caregivers of people with dementia.</w:t>
      </w:r>
    </w:p>
    <w:p w14:paraId="05528294" w14:textId="77777777" w:rsidR="00C108FB" w:rsidRPr="00C108FB" w:rsidRDefault="00C108FB" w:rsidP="00C108FB">
      <w:pPr>
        <w:spacing w:after="0" w:line="240" w:lineRule="auto"/>
        <w:ind w:left="720" w:right="-766"/>
        <w:jc w:val="both"/>
        <w:rPr>
          <w:rFonts w:ascii="Times New Roman" w:hAnsi="Times New Roman"/>
          <w:szCs w:val="24"/>
        </w:rPr>
      </w:pPr>
    </w:p>
    <w:p w14:paraId="49681D1E" w14:textId="77777777" w:rsidR="00C108FB" w:rsidRPr="00C108FB" w:rsidRDefault="00C108FB" w:rsidP="00C108FB">
      <w:pPr>
        <w:spacing w:after="0" w:line="240" w:lineRule="auto"/>
        <w:ind w:left="720" w:right="-766"/>
        <w:jc w:val="both"/>
        <w:rPr>
          <w:rFonts w:ascii="Times New Roman" w:hAnsi="Times New Roman"/>
          <w:szCs w:val="24"/>
        </w:rPr>
      </w:pPr>
    </w:p>
    <w:p w14:paraId="3A31D376"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Purpose and value of study</w:t>
      </w:r>
    </w:p>
    <w:p w14:paraId="248A1C01" w14:textId="77777777" w:rsidR="00C108FB" w:rsidRPr="00C108FB" w:rsidRDefault="00C108FB" w:rsidP="00C108FB">
      <w:pPr>
        <w:spacing w:after="0" w:line="240" w:lineRule="auto"/>
        <w:ind w:left="720" w:right="-766"/>
        <w:jc w:val="both"/>
        <w:rPr>
          <w:rFonts w:ascii="Times New Roman" w:hAnsi="Times New Roman"/>
          <w:szCs w:val="24"/>
        </w:rPr>
      </w:pPr>
    </w:p>
    <w:p w14:paraId="61610670"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The purpose of this research is to have a robust understanding of Nigerian caregivers’ (healthcare assistant, support workers and nurses) experience of caregiving for people with dementia. It will also examine their beliefs and perception of dementia, what motivates them to turn to caregiving and how they cope with the demand of caregiving. An understanding of the experience of Nigerian caregivers of people with dementia will generate knowledge on the role cultural beliefs, perception of dementia/caregiving and motivation plays in shaping their caregiving experiences. It will also examine how they cope with the demand of caregiving.</w:t>
      </w:r>
    </w:p>
    <w:p w14:paraId="6240D9BE" w14:textId="77777777" w:rsidR="00C108FB" w:rsidRPr="00C108FB" w:rsidRDefault="00C108FB" w:rsidP="00C108FB">
      <w:pPr>
        <w:spacing w:after="0" w:line="240" w:lineRule="auto"/>
        <w:ind w:left="720" w:right="-766"/>
        <w:jc w:val="both"/>
        <w:rPr>
          <w:rFonts w:ascii="Times New Roman" w:hAnsi="Times New Roman"/>
          <w:szCs w:val="24"/>
        </w:rPr>
      </w:pPr>
    </w:p>
    <w:p w14:paraId="6CEE2CCE"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Invitation to participate</w:t>
      </w:r>
    </w:p>
    <w:p w14:paraId="0839D26D" w14:textId="77777777" w:rsidR="00C108FB" w:rsidRPr="00C108FB" w:rsidRDefault="00C108FB" w:rsidP="00C108FB">
      <w:pPr>
        <w:spacing w:after="0" w:line="240" w:lineRule="auto"/>
        <w:ind w:left="1440"/>
        <w:contextualSpacing/>
        <w:jc w:val="both"/>
        <w:rPr>
          <w:rFonts w:ascii="Times New Roman" w:hAnsi="Times New Roman"/>
          <w:szCs w:val="24"/>
        </w:rPr>
      </w:pPr>
    </w:p>
    <w:p w14:paraId="2D4A4F2E"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I will like to invite you to participate in this study aimed at exploring the experience of paid Nigerian caregivers of people living with dementia. Before you decide whether or not to participate, you need to understand why the research is being done and what will be required of you. This information sheet was provided so you could make an informed decision as to whether or not to participate. Please take time to read the following information carefully. Do feel free to ask questions if anything you read is not clear or would like more information. Take time to decide whether or not to take part.</w:t>
      </w:r>
    </w:p>
    <w:p w14:paraId="16CC584D"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 xml:space="preserve">You have been selected because you meet the inclusion criteria for this study and I am confident that the rich insight you will bring to this study will expand our understanding of the cultural uniqueness of the </w:t>
      </w:r>
      <w:r w:rsidRPr="00C108FB">
        <w:rPr>
          <w:rFonts w:ascii="Times New Roman" w:hAnsi="Times New Roman"/>
          <w:szCs w:val="24"/>
        </w:rPr>
        <w:lastRenderedPageBreak/>
        <w:t>experience of Nigerian caregivers. It will be interesting to know how your experience of caring for people with dementia is shaped by your cultural perception of the condition. It will also be interesting to have insight into what motivated you to take to paid caregiving and how you cope with the difficulties of the role.</w:t>
      </w:r>
    </w:p>
    <w:p w14:paraId="38644B7A" w14:textId="77777777" w:rsidR="00C108FB" w:rsidRPr="00C108FB" w:rsidRDefault="00C108FB" w:rsidP="00C108FB">
      <w:pPr>
        <w:spacing w:after="0" w:line="240" w:lineRule="auto"/>
        <w:ind w:left="720" w:right="-766"/>
        <w:jc w:val="both"/>
        <w:rPr>
          <w:rFonts w:ascii="Times New Roman" w:hAnsi="Times New Roman"/>
          <w:szCs w:val="24"/>
        </w:rPr>
      </w:pPr>
    </w:p>
    <w:p w14:paraId="7AB0686D"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Who is organising the research?</w:t>
      </w:r>
    </w:p>
    <w:p w14:paraId="5CA30705"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 xml:space="preserve">The main investigator for this research is </w:t>
      </w:r>
      <w:r w:rsidRPr="00C108FB">
        <w:rPr>
          <w:rFonts w:ascii="Times New Roman" w:hAnsi="Times New Roman"/>
          <w:bCs/>
          <w:szCs w:val="24"/>
        </w:rPr>
        <w:t xml:space="preserve">Mr. </w:t>
      </w:r>
      <w:r w:rsidRPr="00C108FB">
        <w:rPr>
          <w:rFonts w:ascii="Times New Roman" w:hAnsi="Times New Roman"/>
          <w:szCs w:val="24"/>
        </w:rPr>
        <w:t>Ojeiu Ejere. He is supervised by Dr Hilary Bungay and Dr Pauline Lane, of the Faculty of Medical Sciences and Faculty of Health, Social Care and Education of the Anglia Ruskin University.</w:t>
      </w:r>
    </w:p>
    <w:p w14:paraId="75513A88" w14:textId="77777777" w:rsidR="00C108FB" w:rsidRPr="00C108FB" w:rsidRDefault="00C108FB" w:rsidP="00C108FB">
      <w:pPr>
        <w:spacing w:after="0" w:line="240" w:lineRule="auto"/>
        <w:ind w:left="1440" w:right="-766"/>
        <w:jc w:val="both"/>
        <w:rPr>
          <w:rFonts w:ascii="Times New Roman" w:hAnsi="Times New Roman"/>
          <w:szCs w:val="24"/>
        </w:rPr>
      </w:pPr>
    </w:p>
    <w:p w14:paraId="483F6CF1" w14:textId="77777777" w:rsidR="00C108FB" w:rsidRPr="00C108FB" w:rsidRDefault="00C108FB" w:rsidP="00C108FB">
      <w:pPr>
        <w:spacing w:after="0" w:line="240" w:lineRule="auto"/>
        <w:ind w:right="-766"/>
        <w:jc w:val="both"/>
        <w:rPr>
          <w:rFonts w:ascii="Times New Roman" w:hAnsi="Times New Roman"/>
          <w:szCs w:val="24"/>
        </w:rPr>
      </w:pPr>
    </w:p>
    <w:p w14:paraId="44432501"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What will happen to the results of the study</w:t>
      </w:r>
    </w:p>
    <w:p w14:paraId="5EEF6DD4"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The results of the study will be analysed and the summary will be made available to any participant who register their willingness to get a copy. The results will also be published. However, be rest assured that confidentiality issues will be strictly applied and the principle of anonymity and use of pseudo names in the reporting will be held to its highest standard.</w:t>
      </w:r>
    </w:p>
    <w:p w14:paraId="22554F62" w14:textId="77777777" w:rsidR="00C108FB" w:rsidRPr="00C108FB" w:rsidRDefault="00C108FB" w:rsidP="00C108FB">
      <w:pPr>
        <w:spacing w:after="0" w:line="240" w:lineRule="auto"/>
        <w:ind w:left="1440" w:right="-766"/>
        <w:jc w:val="both"/>
        <w:rPr>
          <w:rFonts w:ascii="Times New Roman" w:hAnsi="Times New Roman"/>
          <w:szCs w:val="24"/>
        </w:rPr>
      </w:pPr>
    </w:p>
    <w:p w14:paraId="3DD3359F" w14:textId="77777777" w:rsidR="00C108FB" w:rsidRPr="00C108FB" w:rsidRDefault="00C108FB" w:rsidP="00C108FB">
      <w:pPr>
        <w:spacing w:after="0" w:line="240" w:lineRule="auto"/>
        <w:ind w:left="720" w:right="-766"/>
        <w:jc w:val="both"/>
        <w:rPr>
          <w:rFonts w:ascii="Times New Roman" w:hAnsi="Times New Roman"/>
          <w:szCs w:val="24"/>
        </w:rPr>
      </w:pPr>
    </w:p>
    <w:p w14:paraId="6ABCF87D"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Research funding and compensation for the research</w:t>
      </w:r>
    </w:p>
    <w:p w14:paraId="6E95CA8B"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This research is funded by the main investigator and is completely for academic purposes. Hence, participants will not be paid for their participation.</w:t>
      </w:r>
    </w:p>
    <w:p w14:paraId="03882F5C" w14:textId="77777777" w:rsidR="00C108FB" w:rsidRPr="00C108FB" w:rsidRDefault="00C108FB" w:rsidP="00C108FB">
      <w:pPr>
        <w:spacing w:after="0" w:line="240" w:lineRule="auto"/>
        <w:ind w:left="720" w:right="-766"/>
        <w:jc w:val="both"/>
        <w:rPr>
          <w:rFonts w:ascii="Times New Roman" w:hAnsi="Times New Roman"/>
          <w:szCs w:val="24"/>
        </w:rPr>
      </w:pPr>
    </w:p>
    <w:p w14:paraId="1A8D8F73" w14:textId="77777777" w:rsidR="00C108FB" w:rsidRPr="00C108FB" w:rsidRDefault="00C108FB" w:rsidP="00C108FB">
      <w:pPr>
        <w:numPr>
          <w:ilvl w:val="0"/>
          <w:numId w:val="21"/>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Contact for further information</w:t>
      </w:r>
    </w:p>
    <w:p w14:paraId="43C4FD01" w14:textId="77777777" w:rsidR="00C108FB" w:rsidRPr="00C108FB" w:rsidRDefault="00C108FB" w:rsidP="00C108FB">
      <w:pPr>
        <w:spacing w:after="0" w:line="240" w:lineRule="auto"/>
        <w:ind w:left="720"/>
        <w:jc w:val="both"/>
        <w:rPr>
          <w:rFonts w:ascii="Times New Roman" w:hAnsi="Times New Roman"/>
          <w:szCs w:val="24"/>
        </w:rPr>
      </w:pPr>
    </w:p>
    <w:p w14:paraId="772ADB1D"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If you require any further information regarding this study or your participation, you may contact investigators Ojeiu Ejere, Dr Hilary Bungay and Dr Pauline Lane on the contact details provided at the end of this document.</w:t>
      </w:r>
    </w:p>
    <w:p w14:paraId="4224D9E0" w14:textId="212D6A52" w:rsidR="00C108FB" w:rsidRPr="00C108FB" w:rsidRDefault="00C108FB" w:rsidP="00C108FB">
      <w:pPr>
        <w:spacing w:after="0" w:line="240" w:lineRule="auto"/>
        <w:ind w:left="1440"/>
        <w:jc w:val="both"/>
        <w:rPr>
          <w:rFonts w:ascii="Times New Roman" w:hAnsi="Times New Roman"/>
          <w:color w:val="000000"/>
          <w:szCs w:val="24"/>
          <w:shd w:val="clear" w:color="auto" w:fill="FFFFFF"/>
        </w:rPr>
      </w:pPr>
      <w:r w:rsidRPr="00C108FB">
        <w:rPr>
          <w:rFonts w:ascii="Times New Roman" w:hAnsi="Times New Roman"/>
          <w:szCs w:val="24"/>
        </w:rPr>
        <w:t xml:space="preserve">If you have any questions about your rights as a research participant or the conduct of this study, you may contact the Research Ethics and Governance Manager on </w:t>
      </w:r>
      <w:r w:rsidR="00A670D5">
        <w:rPr>
          <w:rFonts w:ascii="Times New Roman" w:hAnsi="Times New Roman"/>
          <w:szCs w:val="24"/>
        </w:rPr>
        <w:t xml:space="preserve">X </w:t>
      </w:r>
      <w:r w:rsidRPr="00C108FB">
        <w:rPr>
          <w:rFonts w:ascii="Times New Roman" w:hAnsi="Times New Roman"/>
          <w:szCs w:val="24"/>
        </w:rPr>
        <w:t xml:space="preserve">or email </w:t>
      </w:r>
      <w:r w:rsidR="00A670D5">
        <w:rPr>
          <w:rFonts w:ascii="Times New Roman" w:hAnsi="Times New Roman"/>
          <w:szCs w:val="24"/>
        </w:rPr>
        <w:t>X</w:t>
      </w:r>
    </w:p>
    <w:p w14:paraId="1AC74769" w14:textId="77777777" w:rsidR="00C108FB" w:rsidRPr="00C108FB" w:rsidRDefault="00C108FB" w:rsidP="00C108FB">
      <w:pPr>
        <w:spacing w:after="0" w:line="240" w:lineRule="auto"/>
        <w:ind w:left="720"/>
        <w:jc w:val="both"/>
        <w:rPr>
          <w:rFonts w:ascii="Times New Roman" w:hAnsi="Times New Roman"/>
          <w:szCs w:val="24"/>
        </w:rPr>
      </w:pPr>
    </w:p>
    <w:p w14:paraId="6A0B433C" w14:textId="77777777" w:rsidR="00C108FB" w:rsidRPr="00C108FB" w:rsidRDefault="00C108FB" w:rsidP="00C108FB">
      <w:pPr>
        <w:spacing w:after="0" w:line="240" w:lineRule="auto"/>
        <w:ind w:left="720"/>
        <w:jc w:val="both"/>
        <w:rPr>
          <w:rFonts w:ascii="Times New Roman" w:hAnsi="Times New Roman"/>
          <w:szCs w:val="24"/>
        </w:rPr>
      </w:pPr>
    </w:p>
    <w:p w14:paraId="4D1F4890" w14:textId="77777777" w:rsidR="00C108FB" w:rsidRPr="00C108FB" w:rsidRDefault="00C108FB" w:rsidP="00C108FB">
      <w:pPr>
        <w:spacing w:after="0" w:line="240" w:lineRule="auto"/>
        <w:ind w:left="720"/>
        <w:jc w:val="both"/>
        <w:rPr>
          <w:rFonts w:ascii="Times New Roman" w:hAnsi="Times New Roman"/>
          <w:szCs w:val="24"/>
        </w:rPr>
      </w:pPr>
    </w:p>
    <w:p w14:paraId="442F8824" w14:textId="77777777" w:rsidR="00C108FB" w:rsidRPr="00C108FB" w:rsidRDefault="00C108FB" w:rsidP="00C108FB">
      <w:pPr>
        <w:spacing w:after="0" w:line="240" w:lineRule="auto"/>
        <w:ind w:left="720"/>
        <w:jc w:val="both"/>
        <w:rPr>
          <w:rFonts w:ascii="Times New Roman" w:hAnsi="Times New Roman"/>
          <w:szCs w:val="24"/>
        </w:rPr>
      </w:pPr>
    </w:p>
    <w:p w14:paraId="6E86A005" w14:textId="77777777" w:rsidR="00C108FB" w:rsidRPr="00C108FB" w:rsidRDefault="00C108FB" w:rsidP="00C108FB">
      <w:pPr>
        <w:spacing w:after="0" w:line="240" w:lineRule="auto"/>
        <w:ind w:left="720"/>
        <w:jc w:val="both"/>
        <w:rPr>
          <w:rFonts w:ascii="Times New Roman" w:hAnsi="Times New Roman"/>
          <w:szCs w:val="24"/>
        </w:rPr>
      </w:pPr>
    </w:p>
    <w:p w14:paraId="3DB5E2F1" w14:textId="77777777" w:rsidR="00C108FB" w:rsidRPr="00C108FB" w:rsidRDefault="00C108FB" w:rsidP="00C108FB">
      <w:pPr>
        <w:spacing w:after="0" w:line="240" w:lineRule="auto"/>
        <w:ind w:left="720"/>
        <w:jc w:val="both"/>
        <w:rPr>
          <w:rFonts w:ascii="Times New Roman" w:hAnsi="Times New Roman"/>
          <w:szCs w:val="24"/>
        </w:rPr>
      </w:pPr>
    </w:p>
    <w:p w14:paraId="05D00C99" w14:textId="77777777" w:rsidR="00C108FB" w:rsidRPr="00C108FB" w:rsidRDefault="00C108FB" w:rsidP="00C108FB">
      <w:pPr>
        <w:spacing w:after="0" w:line="240" w:lineRule="auto"/>
        <w:ind w:left="720"/>
        <w:jc w:val="both"/>
        <w:rPr>
          <w:rFonts w:ascii="Times New Roman" w:hAnsi="Times New Roman"/>
          <w:szCs w:val="24"/>
        </w:rPr>
      </w:pPr>
    </w:p>
    <w:p w14:paraId="19800348" w14:textId="77777777" w:rsidR="00C108FB" w:rsidRPr="00C108FB" w:rsidRDefault="00C108FB" w:rsidP="00C108FB">
      <w:pPr>
        <w:spacing w:after="0" w:line="240" w:lineRule="auto"/>
        <w:ind w:left="720"/>
        <w:jc w:val="both"/>
        <w:rPr>
          <w:rFonts w:ascii="Times New Roman" w:hAnsi="Times New Roman"/>
          <w:szCs w:val="24"/>
        </w:rPr>
      </w:pPr>
    </w:p>
    <w:p w14:paraId="5F0A8F63" w14:textId="77777777" w:rsidR="00C108FB" w:rsidRPr="00C108FB" w:rsidRDefault="00C108FB" w:rsidP="00C108FB">
      <w:pPr>
        <w:spacing w:after="0" w:line="240" w:lineRule="auto"/>
        <w:ind w:left="720"/>
        <w:jc w:val="both"/>
        <w:rPr>
          <w:rFonts w:ascii="Times New Roman" w:hAnsi="Times New Roman"/>
          <w:szCs w:val="24"/>
        </w:rPr>
      </w:pPr>
    </w:p>
    <w:p w14:paraId="332BA594" w14:textId="77777777" w:rsidR="00C108FB" w:rsidRPr="00C108FB" w:rsidRDefault="00C108FB" w:rsidP="00C108FB">
      <w:pPr>
        <w:spacing w:after="0" w:line="240" w:lineRule="auto"/>
        <w:ind w:left="720"/>
        <w:jc w:val="both"/>
        <w:rPr>
          <w:rFonts w:ascii="Times New Roman" w:hAnsi="Times New Roman"/>
          <w:szCs w:val="24"/>
        </w:rPr>
      </w:pPr>
    </w:p>
    <w:p w14:paraId="2C7BE5B9" w14:textId="77777777" w:rsidR="00C108FB" w:rsidRPr="00C108FB" w:rsidRDefault="00C108FB" w:rsidP="00C108FB">
      <w:pPr>
        <w:spacing w:after="0" w:line="240" w:lineRule="auto"/>
        <w:ind w:left="720"/>
        <w:jc w:val="both"/>
        <w:rPr>
          <w:rFonts w:ascii="Times New Roman" w:hAnsi="Times New Roman"/>
          <w:szCs w:val="24"/>
        </w:rPr>
      </w:pPr>
    </w:p>
    <w:p w14:paraId="351CA141" w14:textId="77777777" w:rsidR="00C108FB" w:rsidRPr="00C108FB" w:rsidRDefault="00C108FB" w:rsidP="00FD47E7">
      <w:pPr>
        <w:spacing w:after="0" w:line="240" w:lineRule="auto"/>
        <w:jc w:val="both"/>
        <w:rPr>
          <w:rFonts w:ascii="Times New Roman" w:hAnsi="Times New Roman"/>
          <w:szCs w:val="24"/>
        </w:rPr>
      </w:pPr>
    </w:p>
    <w:p w14:paraId="2622CBB4" w14:textId="6D0096EE" w:rsidR="006869A3" w:rsidRDefault="006869A3">
      <w:pPr>
        <w:spacing w:after="0" w:line="240" w:lineRule="auto"/>
        <w:rPr>
          <w:rFonts w:ascii="Times New Roman" w:hAnsi="Times New Roman"/>
          <w:b/>
          <w:bCs/>
          <w:lang w:val="en-US"/>
        </w:rPr>
      </w:pPr>
    </w:p>
    <w:p w14:paraId="26631428" w14:textId="6FA19D77" w:rsidR="00C108FB" w:rsidRPr="006869A3" w:rsidRDefault="00C108FB" w:rsidP="006869A3">
      <w:pPr>
        <w:ind w:firstLine="720"/>
        <w:rPr>
          <w:rFonts w:ascii="Times New Roman" w:hAnsi="Times New Roman"/>
          <w:b/>
          <w:bCs/>
          <w:lang w:val="en-US"/>
        </w:rPr>
      </w:pPr>
      <w:r w:rsidRPr="006869A3">
        <w:rPr>
          <w:rFonts w:ascii="Times New Roman" w:hAnsi="Times New Roman"/>
          <w:b/>
          <w:bCs/>
          <w:lang w:val="en-US"/>
        </w:rPr>
        <w:t>Section B:  Your Participation in the Research Project</w:t>
      </w:r>
    </w:p>
    <w:p w14:paraId="4208F854" w14:textId="77777777" w:rsidR="00C108FB" w:rsidRPr="00C108FB" w:rsidRDefault="00C108FB" w:rsidP="00C108FB">
      <w:pPr>
        <w:spacing w:after="0" w:line="240" w:lineRule="auto"/>
        <w:ind w:left="720" w:right="-766"/>
        <w:jc w:val="both"/>
        <w:rPr>
          <w:rFonts w:ascii="Times New Roman" w:hAnsi="Times New Roman"/>
          <w:szCs w:val="24"/>
          <w:u w:val="single"/>
        </w:rPr>
      </w:pPr>
    </w:p>
    <w:p w14:paraId="6D2B9863"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Why you have been invited to take part</w:t>
      </w:r>
    </w:p>
    <w:p w14:paraId="3C82010E"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You have been chosen to take part in this study because you meet all of the following inclusion and exclusion criteria;</w:t>
      </w:r>
    </w:p>
    <w:p w14:paraId="626F4FEC" w14:textId="77777777" w:rsidR="00C108FB" w:rsidRPr="00C108FB" w:rsidRDefault="00C108FB" w:rsidP="00C108FB">
      <w:pPr>
        <w:spacing w:after="0" w:line="240" w:lineRule="auto"/>
        <w:ind w:left="1440"/>
        <w:jc w:val="both"/>
        <w:rPr>
          <w:rFonts w:ascii="Times New Roman" w:hAnsi="Times New Roman"/>
          <w:szCs w:val="24"/>
        </w:rPr>
      </w:pPr>
    </w:p>
    <w:p w14:paraId="635A08C5"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Inclusion criteria</w:t>
      </w:r>
    </w:p>
    <w:p w14:paraId="100F46F6"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 xml:space="preserve"> </w:t>
      </w:r>
    </w:p>
    <w:p w14:paraId="3521F33B" w14:textId="77777777" w:rsidR="00C108FB" w:rsidRPr="00C108FB" w:rsidRDefault="00C108FB" w:rsidP="00C108FB">
      <w:pPr>
        <w:numPr>
          <w:ilvl w:val="0"/>
          <w:numId w:val="32"/>
        </w:numPr>
        <w:spacing w:after="0" w:line="240" w:lineRule="auto"/>
        <w:ind w:left="2160"/>
        <w:contextualSpacing/>
        <w:jc w:val="both"/>
        <w:rPr>
          <w:rFonts w:ascii="Times New Roman" w:hAnsi="Times New Roman"/>
          <w:szCs w:val="24"/>
        </w:rPr>
      </w:pPr>
      <w:r w:rsidRPr="00C108FB">
        <w:rPr>
          <w:rFonts w:ascii="Times New Roman" w:hAnsi="Times New Roman"/>
          <w:szCs w:val="24"/>
        </w:rPr>
        <w:t xml:space="preserve">Between 18 and 65 years of age, </w:t>
      </w:r>
    </w:p>
    <w:p w14:paraId="727CEA2F" w14:textId="77777777" w:rsidR="00C108FB" w:rsidRPr="00C108FB" w:rsidRDefault="00C108FB" w:rsidP="00C108FB">
      <w:pPr>
        <w:numPr>
          <w:ilvl w:val="0"/>
          <w:numId w:val="32"/>
        </w:numPr>
        <w:spacing w:after="0" w:line="240" w:lineRule="auto"/>
        <w:ind w:left="2160"/>
        <w:contextualSpacing/>
        <w:jc w:val="both"/>
        <w:rPr>
          <w:rFonts w:ascii="Times New Roman" w:hAnsi="Times New Roman"/>
          <w:szCs w:val="24"/>
        </w:rPr>
      </w:pPr>
      <w:r w:rsidRPr="00C108FB">
        <w:rPr>
          <w:rFonts w:ascii="Times New Roman" w:hAnsi="Times New Roman"/>
          <w:szCs w:val="24"/>
        </w:rPr>
        <w:t>You have been in the caregiving role for at three (3) months,</w:t>
      </w:r>
    </w:p>
    <w:p w14:paraId="3D30FF6A" w14:textId="77777777" w:rsidR="00C108FB" w:rsidRPr="00C108FB" w:rsidRDefault="00C108FB" w:rsidP="00C108FB">
      <w:pPr>
        <w:numPr>
          <w:ilvl w:val="0"/>
          <w:numId w:val="32"/>
        </w:numPr>
        <w:spacing w:after="0" w:line="240" w:lineRule="auto"/>
        <w:ind w:left="2160"/>
        <w:contextualSpacing/>
        <w:jc w:val="both"/>
        <w:rPr>
          <w:rFonts w:ascii="Times New Roman" w:hAnsi="Times New Roman"/>
          <w:szCs w:val="24"/>
        </w:rPr>
      </w:pPr>
      <w:r w:rsidRPr="00C108FB">
        <w:rPr>
          <w:rFonts w:ascii="Times New Roman" w:hAnsi="Times New Roman"/>
          <w:szCs w:val="24"/>
        </w:rPr>
        <w:t>You self-identify as a Nigerian,</w:t>
      </w:r>
    </w:p>
    <w:p w14:paraId="1BC3668B" w14:textId="77777777" w:rsidR="00C108FB" w:rsidRPr="00C108FB" w:rsidRDefault="00C108FB" w:rsidP="00C108FB">
      <w:pPr>
        <w:numPr>
          <w:ilvl w:val="0"/>
          <w:numId w:val="32"/>
        </w:numPr>
        <w:spacing w:after="0" w:line="240" w:lineRule="auto"/>
        <w:ind w:left="2160"/>
        <w:contextualSpacing/>
        <w:jc w:val="both"/>
        <w:rPr>
          <w:rFonts w:ascii="Times New Roman" w:hAnsi="Times New Roman"/>
          <w:szCs w:val="24"/>
        </w:rPr>
      </w:pPr>
      <w:r w:rsidRPr="00C108FB">
        <w:rPr>
          <w:rFonts w:ascii="Times New Roman" w:hAnsi="Times New Roman"/>
          <w:szCs w:val="24"/>
        </w:rPr>
        <w:t>You are fluent in the English language.</w:t>
      </w:r>
    </w:p>
    <w:p w14:paraId="32419E97" w14:textId="77777777" w:rsidR="00C108FB" w:rsidRPr="00C108FB" w:rsidRDefault="00C108FB" w:rsidP="00C108FB">
      <w:pPr>
        <w:spacing w:after="0" w:line="240" w:lineRule="auto"/>
        <w:ind w:left="2160"/>
        <w:contextualSpacing/>
        <w:jc w:val="both"/>
        <w:rPr>
          <w:rFonts w:ascii="Times New Roman" w:hAnsi="Times New Roman"/>
          <w:szCs w:val="24"/>
        </w:rPr>
      </w:pPr>
    </w:p>
    <w:p w14:paraId="1A6DD442" w14:textId="77777777" w:rsidR="00C108FB" w:rsidRPr="00C108FB" w:rsidRDefault="00C108FB" w:rsidP="00C108FB">
      <w:pPr>
        <w:spacing w:after="0" w:line="240" w:lineRule="auto"/>
        <w:ind w:left="1440"/>
        <w:jc w:val="both"/>
        <w:rPr>
          <w:rFonts w:ascii="Times New Roman" w:hAnsi="Times New Roman"/>
          <w:szCs w:val="24"/>
        </w:rPr>
      </w:pPr>
    </w:p>
    <w:p w14:paraId="0274B3CF"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Exclusion criteria</w:t>
      </w:r>
    </w:p>
    <w:p w14:paraId="5222B8C8" w14:textId="77777777" w:rsidR="00C108FB" w:rsidRPr="00C108FB" w:rsidRDefault="00C108FB" w:rsidP="00C108FB">
      <w:pPr>
        <w:numPr>
          <w:ilvl w:val="0"/>
          <w:numId w:val="33"/>
        </w:numPr>
        <w:spacing w:after="0" w:line="240" w:lineRule="auto"/>
        <w:ind w:left="2160"/>
        <w:contextualSpacing/>
        <w:jc w:val="both"/>
        <w:rPr>
          <w:rFonts w:ascii="Times New Roman" w:hAnsi="Times New Roman"/>
          <w:szCs w:val="24"/>
        </w:rPr>
      </w:pPr>
      <w:r w:rsidRPr="00C108FB">
        <w:rPr>
          <w:rFonts w:ascii="Times New Roman" w:hAnsi="Times New Roman"/>
          <w:szCs w:val="24"/>
        </w:rPr>
        <w:t>Caregivers who have not been in the role for up to 3 months.</w:t>
      </w:r>
    </w:p>
    <w:p w14:paraId="1917AD6C" w14:textId="77777777" w:rsidR="00C108FB" w:rsidRPr="00C108FB" w:rsidRDefault="00C108FB" w:rsidP="00C108FB">
      <w:pPr>
        <w:numPr>
          <w:ilvl w:val="0"/>
          <w:numId w:val="33"/>
        </w:numPr>
        <w:spacing w:after="0" w:line="240" w:lineRule="auto"/>
        <w:ind w:left="2160"/>
        <w:contextualSpacing/>
        <w:jc w:val="both"/>
        <w:rPr>
          <w:rFonts w:ascii="Times New Roman" w:hAnsi="Times New Roman"/>
          <w:szCs w:val="24"/>
        </w:rPr>
      </w:pPr>
      <w:r w:rsidRPr="00C108FB">
        <w:rPr>
          <w:rFonts w:ascii="Times New Roman" w:hAnsi="Times New Roman"/>
          <w:szCs w:val="24"/>
        </w:rPr>
        <w:t>Caregivers are less than 18 years old.</w:t>
      </w:r>
    </w:p>
    <w:p w14:paraId="3C64CDC5" w14:textId="77777777" w:rsidR="00C108FB" w:rsidRPr="00C108FB" w:rsidRDefault="00C108FB" w:rsidP="00C108FB">
      <w:pPr>
        <w:spacing w:after="0" w:line="240" w:lineRule="auto"/>
        <w:ind w:left="720"/>
        <w:jc w:val="both"/>
        <w:rPr>
          <w:rFonts w:ascii="Times New Roman" w:hAnsi="Times New Roman"/>
          <w:szCs w:val="24"/>
        </w:rPr>
      </w:pPr>
    </w:p>
    <w:p w14:paraId="0236C7A0" w14:textId="77777777" w:rsidR="00C108FB" w:rsidRPr="00C108FB" w:rsidRDefault="00C108FB" w:rsidP="00C108FB">
      <w:pPr>
        <w:spacing w:after="0" w:line="240" w:lineRule="auto"/>
        <w:ind w:left="720" w:right="-766"/>
        <w:jc w:val="both"/>
        <w:rPr>
          <w:rFonts w:ascii="Times New Roman" w:hAnsi="Times New Roman"/>
          <w:szCs w:val="24"/>
        </w:rPr>
      </w:pPr>
    </w:p>
    <w:p w14:paraId="0A94FC6D"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bCs/>
          <w:szCs w:val="24"/>
        </w:rPr>
        <w:t>Voluntary Participation</w:t>
      </w:r>
    </w:p>
    <w:p w14:paraId="10A49707"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Participation in this study is voluntary. You may refuse to participate or refuse to answer any questions without providing any reason for doing so.</w:t>
      </w:r>
    </w:p>
    <w:p w14:paraId="15429F35" w14:textId="77777777" w:rsidR="00C108FB" w:rsidRPr="00C108FB" w:rsidRDefault="00C108FB" w:rsidP="00C108FB">
      <w:pPr>
        <w:spacing w:after="0" w:line="240" w:lineRule="auto"/>
        <w:ind w:left="720" w:right="-766"/>
        <w:jc w:val="both"/>
        <w:rPr>
          <w:rFonts w:ascii="Times New Roman" w:hAnsi="Times New Roman"/>
          <w:szCs w:val="24"/>
        </w:rPr>
      </w:pPr>
    </w:p>
    <w:p w14:paraId="37E27D46"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Withdrawal from the study</w:t>
      </w:r>
    </w:p>
    <w:p w14:paraId="06ECAD6E"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Participation in this study remains voluntary throughout the period of participation. That means you may decide to withdraw from the study at any time with no consequences. All you need to do to withdraw from the study is to complete the accompanying form indicating your desire not to participate.</w:t>
      </w:r>
    </w:p>
    <w:p w14:paraId="40C5F93A" w14:textId="77777777" w:rsidR="00C108FB" w:rsidRPr="00C108FB" w:rsidRDefault="00C108FB" w:rsidP="00C108FB">
      <w:pPr>
        <w:spacing w:after="0" w:line="240" w:lineRule="auto"/>
        <w:ind w:left="720" w:right="-766"/>
        <w:jc w:val="both"/>
        <w:rPr>
          <w:rFonts w:ascii="Times New Roman" w:hAnsi="Times New Roman"/>
          <w:szCs w:val="24"/>
        </w:rPr>
      </w:pPr>
    </w:p>
    <w:p w14:paraId="05F6FC9E"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bCs/>
          <w:szCs w:val="24"/>
        </w:rPr>
      </w:pPr>
      <w:r w:rsidRPr="00C108FB">
        <w:rPr>
          <w:rFonts w:ascii="Times New Roman" w:hAnsi="Times New Roman"/>
          <w:b/>
          <w:bCs/>
          <w:szCs w:val="24"/>
        </w:rPr>
        <w:t>Study Procedures</w:t>
      </w:r>
    </w:p>
    <w:p w14:paraId="6F45E501"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If you are eligible and willing to participate in the study, you will be required to sign the consent form attached to register your willingness to participate in the study. After this is done, you will be contacted so the date, time and place for your participation can be agreed. The interview may take place at your home if you so desire or we can have it conducted at a suitable room at the Anglia Ruskin University in Chelmsford.</w:t>
      </w:r>
    </w:p>
    <w:p w14:paraId="676F4CA0"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The study is a face-to-face, in-depth interview session of about one hour long in duration, in which questions will centre on your experiences as a caregiver. The interview will be audio-recorded using an audio-recording device. The information you provide is purely for academic purposes and will be destroyed once the transcription has been done. Your identity will remain completely anonymous.</w:t>
      </w:r>
    </w:p>
    <w:p w14:paraId="33DB7A4E" w14:textId="1FED7A68" w:rsidR="00C108FB" w:rsidRDefault="00C108FB" w:rsidP="00C108FB">
      <w:pPr>
        <w:spacing w:after="0" w:line="240" w:lineRule="auto"/>
        <w:ind w:right="-766"/>
        <w:jc w:val="both"/>
        <w:rPr>
          <w:rFonts w:ascii="Times New Roman" w:hAnsi="Times New Roman"/>
          <w:szCs w:val="24"/>
        </w:rPr>
      </w:pPr>
    </w:p>
    <w:p w14:paraId="747D9C3A" w14:textId="77777777" w:rsidR="006869A3" w:rsidRPr="00C108FB" w:rsidRDefault="006869A3" w:rsidP="00C108FB">
      <w:pPr>
        <w:spacing w:after="0" w:line="240" w:lineRule="auto"/>
        <w:ind w:right="-766"/>
        <w:jc w:val="both"/>
        <w:rPr>
          <w:rFonts w:ascii="Times New Roman" w:hAnsi="Times New Roman"/>
          <w:szCs w:val="24"/>
        </w:rPr>
      </w:pPr>
    </w:p>
    <w:p w14:paraId="05EFD68F" w14:textId="77777777" w:rsidR="00C108FB" w:rsidRPr="00C108FB" w:rsidRDefault="00C108FB" w:rsidP="00C108FB">
      <w:pPr>
        <w:numPr>
          <w:ilvl w:val="0"/>
          <w:numId w:val="22"/>
        </w:numPr>
        <w:tabs>
          <w:tab w:val="num" w:pos="1440"/>
        </w:tabs>
        <w:spacing w:after="0" w:line="240" w:lineRule="auto"/>
        <w:ind w:left="1440"/>
        <w:contextualSpacing/>
        <w:jc w:val="both"/>
        <w:rPr>
          <w:rFonts w:ascii="Times New Roman" w:hAnsi="Times New Roman"/>
          <w:b/>
          <w:bCs/>
          <w:szCs w:val="24"/>
        </w:rPr>
      </w:pPr>
      <w:r w:rsidRPr="00C108FB">
        <w:rPr>
          <w:rFonts w:ascii="Times New Roman" w:hAnsi="Times New Roman"/>
          <w:b/>
          <w:bCs/>
          <w:szCs w:val="24"/>
        </w:rPr>
        <w:t>Possible risks and harms</w:t>
      </w:r>
    </w:p>
    <w:p w14:paraId="5D06E5B8"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Although no physical harm is involved, participants may sometimes become emotional when they speak of personal experience with the role of caregiving for people with the disease. In the event of this happening, the interview will be temporarily suspended until you regain composure. You will also be given information and contact to caregiver support groups who could help with emotional support. The interview may then be rescheduled if you are willing to participate further in the research. Agreement to participate in this research should not compromise your legal rights should something go wrong.</w:t>
      </w:r>
    </w:p>
    <w:p w14:paraId="6CA79F67" w14:textId="77777777" w:rsidR="00C108FB" w:rsidRPr="00C108FB" w:rsidRDefault="00C108FB" w:rsidP="00C108FB">
      <w:pPr>
        <w:spacing w:after="0" w:line="240" w:lineRule="auto"/>
        <w:ind w:left="720" w:right="-766"/>
        <w:jc w:val="both"/>
        <w:rPr>
          <w:rFonts w:ascii="Times New Roman" w:hAnsi="Times New Roman"/>
          <w:szCs w:val="24"/>
        </w:rPr>
      </w:pPr>
    </w:p>
    <w:p w14:paraId="759B3145"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Risk assessment</w:t>
      </w:r>
    </w:p>
    <w:p w14:paraId="5DBE11D6"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Please be aware that risk assessment has been completed by the main investigator to identify any potential risk whilst undertaking the interview session. This is necessary to make sure all risk are eliminated or greatly minimised.</w:t>
      </w:r>
    </w:p>
    <w:p w14:paraId="5FBF1CA0" w14:textId="77777777" w:rsidR="00C108FB" w:rsidRPr="00C108FB" w:rsidRDefault="00C108FB" w:rsidP="00C108FB">
      <w:pPr>
        <w:spacing w:after="0" w:line="240" w:lineRule="auto"/>
        <w:ind w:left="1440"/>
        <w:contextualSpacing/>
        <w:jc w:val="both"/>
        <w:rPr>
          <w:rFonts w:ascii="Times New Roman" w:hAnsi="Times New Roman"/>
          <w:szCs w:val="24"/>
        </w:rPr>
      </w:pPr>
    </w:p>
    <w:p w14:paraId="41BA16D1" w14:textId="77777777" w:rsidR="00C108FB" w:rsidRPr="00C108FB" w:rsidRDefault="00C108FB" w:rsidP="00C108FB">
      <w:pPr>
        <w:numPr>
          <w:ilvl w:val="0"/>
          <w:numId w:val="22"/>
        </w:numPr>
        <w:tabs>
          <w:tab w:val="num" w:pos="1440"/>
        </w:tabs>
        <w:spacing w:after="0" w:line="240" w:lineRule="auto"/>
        <w:ind w:left="1440"/>
        <w:contextualSpacing/>
        <w:jc w:val="both"/>
        <w:rPr>
          <w:rFonts w:ascii="Times New Roman" w:hAnsi="Times New Roman"/>
          <w:szCs w:val="24"/>
        </w:rPr>
      </w:pPr>
      <w:r w:rsidRPr="00C108FB">
        <w:rPr>
          <w:rFonts w:ascii="Times New Roman" w:hAnsi="Times New Roman"/>
          <w:b/>
          <w:szCs w:val="24"/>
        </w:rPr>
        <w:t>What will happen to any information/data that are collected from you</w:t>
      </w:r>
    </w:p>
    <w:p w14:paraId="1B0A30F6"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The information/data collected from the participants will be collated and analysed. The results will later be published and a summary of findings will be sent to the participants (if requested). Confidentiality and anonymity issues will be well respected.</w:t>
      </w:r>
    </w:p>
    <w:p w14:paraId="71050975" w14:textId="77777777" w:rsidR="00C108FB" w:rsidRPr="00C108FB" w:rsidRDefault="00C108FB" w:rsidP="00C108FB">
      <w:pPr>
        <w:spacing w:after="0" w:line="240" w:lineRule="auto"/>
        <w:ind w:left="1440"/>
        <w:contextualSpacing/>
        <w:jc w:val="both"/>
        <w:rPr>
          <w:rFonts w:ascii="Times New Roman" w:hAnsi="Times New Roman"/>
          <w:szCs w:val="24"/>
        </w:rPr>
      </w:pPr>
    </w:p>
    <w:p w14:paraId="6948C144" w14:textId="77777777" w:rsidR="00C108FB" w:rsidRPr="00C108FB" w:rsidRDefault="00C108FB" w:rsidP="00C108FB">
      <w:pPr>
        <w:numPr>
          <w:ilvl w:val="0"/>
          <w:numId w:val="22"/>
        </w:numPr>
        <w:tabs>
          <w:tab w:val="num" w:pos="1440"/>
        </w:tabs>
        <w:spacing w:after="0" w:line="240" w:lineRule="auto"/>
        <w:ind w:left="1440"/>
        <w:contextualSpacing/>
        <w:jc w:val="both"/>
        <w:rPr>
          <w:rFonts w:ascii="Times New Roman" w:hAnsi="Times New Roman"/>
          <w:szCs w:val="24"/>
        </w:rPr>
      </w:pPr>
      <w:r w:rsidRPr="00C108FB">
        <w:rPr>
          <w:rFonts w:ascii="Times New Roman" w:hAnsi="Times New Roman"/>
          <w:b/>
          <w:bCs/>
          <w:szCs w:val="24"/>
        </w:rPr>
        <w:t>Possible benefits</w:t>
      </w:r>
      <w:r w:rsidRPr="00C108FB">
        <w:rPr>
          <w:rFonts w:ascii="Times New Roman" w:hAnsi="Times New Roman"/>
          <w:b/>
          <w:szCs w:val="24"/>
        </w:rPr>
        <w:t xml:space="preserve"> from taking part</w:t>
      </w:r>
    </w:p>
    <w:p w14:paraId="272B3FF8" w14:textId="77777777" w:rsidR="00C108FB" w:rsidRPr="00C108FB" w:rsidRDefault="00C108FB" w:rsidP="00C108FB">
      <w:pPr>
        <w:spacing w:after="0" w:line="240" w:lineRule="auto"/>
        <w:ind w:left="1440"/>
        <w:contextualSpacing/>
        <w:jc w:val="both"/>
        <w:rPr>
          <w:rFonts w:ascii="Times New Roman" w:hAnsi="Times New Roman"/>
          <w:szCs w:val="24"/>
        </w:rPr>
      </w:pPr>
      <w:r w:rsidRPr="00C108FB">
        <w:rPr>
          <w:rFonts w:ascii="Times New Roman" w:hAnsi="Times New Roman"/>
          <w:szCs w:val="24"/>
        </w:rPr>
        <w:t>Although you will not specifically benefit from participating in this study, the study will generate knowledge that could help influence policy on support for Nigerian caregivers in particular and ethnic minority caregivers in general, as targeted coping support will be developed to suit them. It would also improve the understanding of how African cultural beliefs about dementia influences a caregiver’s experience of caring for someone with dementia and consequently help improve services to caregivers of Nigerian origin.</w:t>
      </w:r>
    </w:p>
    <w:p w14:paraId="4141E702" w14:textId="77777777" w:rsidR="00C108FB" w:rsidRPr="00C108FB" w:rsidRDefault="00C108FB" w:rsidP="00C108FB">
      <w:pPr>
        <w:spacing w:after="0" w:line="240" w:lineRule="auto"/>
        <w:ind w:left="720" w:right="-766"/>
        <w:jc w:val="both"/>
        <w:rPr>
          <w:rFonts w:ascii="Times New Roman" w:hAnsi="Times New Roman"/>
          <w:szCs w:val="24"/>
        </w:rPr>
      </w:pPr>
    </w:p>
    <w:p w14:paraId="1848105F" w14:textId="77777777" w:rsidR="00C108FB" w:rsidRPr="00C108FB" w:rsidRDefault="00C108FB" w:rsidP="00C108FB">
      <w:pPr>
        <w:numPr>
          <w:ilvl w:val="0"/>
          <w:numId w:val="22"/>
        </w:numPr>
        <w:tabs>
          <w:tab w:val="num" w:pos="1440"/>
        </w:tabs>
        <w:spacing w:after="0" w:line="240" w:lineRule="auto"/>
        <w:ind w:left="1440" w:right="-766"/>
        <w:jc w:val="both"/>
        <w:rPr>
          <w:rFonts w:ascii="Times New Roman" w:hAnsi="Times New Roman"/>
          <w:b/>
          <w:szCs w:val="24"/>
        </w:rPr>
      </w:pPr>
      <w:r w:rsidRPr="00C108FB">
        <w:rPr>
          <w:rFonts w:ascii="Times New Roman" w:hAnsi="Times New Roman"/>
          <w:b/>
          <w:szCs w:val="24"/>
        </w:rPr>
        <w:t>How your participation in the project will be kept confidential</w:t>
      </w:r>
    </w:p>
    <w:p w14:paraId="1FA8BB6B"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All data collected will remain confidential and accessible only to the investigators of this study, including personal information (full name, sex, year of birth, and email address). All personal data will be held for between 12-36 months, within which I will submit and defend my PhD thesis. Data collected from this study will be anonymised and stored in the University computer to which access is restricted only to the chief investigator. Audio record of interviews will be kept in securely locked cabinet. They will then be transcribed and destroyed after transcription. After transcription, generated data may be held for up to five years to allow me publish any finding that emerge from the analysis of data.</w:t>
      </w:r>
    </w:p>
    <w:p w14:paraId="272AC679"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 xml:space="preserve">When the results are published, your name will not be used because you will be assigned a pseudonym (false name). If you choose to withdraw </w:t>
      </w:r>
      <w:r w:rsidRPr="00C108FB">
        <w:rPr>
          <w:rFonts w:ascii="Times New Roman" w:hAnsi="Times New Roman"/>
          <w:szCs w:val="24"/>
        </w:rPr>
        <w:lastRenderedPageBreak/>
        <w:t xml:space="preserve">from this study, your data will be removed and destroyed from our records. </w:t>
      </w:r>
    </w:p>
    <w:p w14:paraId="2F0CD830" w14:textId="77777777" w:rsidR="00C108FB" w:rsidRPr="00C108FB" w:rsidRDefault="00C108FB" w:rsidP="00C108FB">
      <w:pPr>
        <w:spacing w:after="0" w:line="240" w:lineRule="auto"/>
        <w:ind w:left="720"/>
        <w:jc w:val="both"/>
        <w:rPr>
          <w:rFonts w:ascii="Times New Roman" w:hAnsi="Times New Roman"/>
          <w:b/>
          <w:bCs/>
          <w:szCs w:val="24"/>
        </w:rPr>
      </w:pPr>
    </w:p>
    <w:p w14:paraId="1ACE872D" w14:textId="77777777" w:rsidR="00C108FB" w:rsidRPr="00C108FB" w:rsidRDefault="00C108FB" w:rsidP="00C108FB">
      <w:pPr>
        <w:numPr>
          <w:ilvl w:val="0"/>
          <w:numId w:val="22"/>
        </w:numPr>
        <w:tabs>
          <w:tab w:val="num" w:pos="1440"/>
        </w:tabs>
        <w:spacing w:after="0" w:line="240" w:lineRule="auto"/>
        <w:ind w:left="1440"/>
        <w:contextualSpacing/>
        <w:jc w:val="both"/>
        <w:rPr>
          <w:rFonts w:ascii="Times New Roman" w:hAnsi="Times New Roman"/>
          <w:szCs w:val="24"/>
        </w:rPr>
      </w:pPr>
      <w:r w:rsidRPr="00C108FB">
        <w:rPr>
          <w:rFonts w:ascii="Times New Roman" w:hAnsi="Times New Roman"/>
          <w:b/>
          <w:bCs/>
          <w:szCs w:val="24"/>
        </w:rPr>
        <w:t>Publication</w:t>
      </w:r>
    </w:p>
    <w:p w14:paraId="002485BE" w14:textId="77777777" w:rsidR="00C108FB" w:rsidRPr="00C108FB" w:rsidRDefault="00C108FB" w:rsidP="00C108FB">
      <w:pPr>
        <w:spacing w:after="0" w:line="240" w:lineRule="auto"/>
        <w:ind w:left="1440"/>
        <w:jc w:val="both"/>
        <w:rPr>
          <w:rFonts w:ascii="Times New Roman" w:hAnsi="Times New Roman"/>
          <w:szCs w:val="24"/>
        </w:rPr>
      </w:pPr>
      <w:r w:rsidRPr="00C108FB">
        <w:rPr>
          <w:rFonts w:ascii="Times New Roman" w:hAnsi="Times New Roman"/>
          <w:szCs w:val="24"/>
        </w:rPr>
        <w:t>If the results of the study are published, your name will not be used. Pseudo names will be used instead. If you would like to receive a copy of the summary of any potential study findings, please contact Ojeiu Ejere.</w:t>
      </w:r>
    </w:p>
    <w:p w14:paraId="142B8CF0" w14:textId="77777777" w:rsidR="00C108FB" w:rsidRPr="00C108FB" w:rsidRDefault="00C108FB" w:rsidP="00C108FB">
      <w:pPr>
        <w:spacing w:after="0" w:line="240" w:lineRule="auto"/>
        <w:ind w:left="720"/>
        <w:jc w:val="both"/>
        <w:rPr>
          <w:rFonts w:ascii="Times New Roman" w:hAnsi="Times New Roman"/>
          <w:iCs/>
          <w:szCs w:val="24"/>
        </w:rPr>
      </w:pPr>
    </w:p>
    <w:p w14:paraId="65CA8E88" w14:textId="77777777" w:rsidR="00C108FB" w:rsidRPr="00C108FB" w:rsidRDefault="00C108FB" w:rsidP="00C108FB">
      <w:pPr>
        <w:spacing w:after="0" w:line="240" w:lineRule="auto"/>
        <w:ind w:left="720"/>
        <w:jc w:val="center"/>
        <w:rPr>
          <w:rFonts w:ascii="Times New Roman" w:hAnsi="Times New Roman"/>
          <w:b/>
          <w:iCs/>
          <w:szCs w:val="24"/>
        </w:rPr>
      </w:pPr>
      <w:r w:rsidRPr="00C108FB">
        <w:rPr>
          <w:rFonts w:ascii="Times New Roman" w:hAnsi="Times New Roman"/>
          <w:b/>
          <w:iCs/>
          <w:szCs w:val="24"/>
        </w:rPr>
        <w:t>Contact details</w:t>
      </w:r>
    </w:p>
    <w:p w14:paraId="26CADA38" w14:textId="77777777" w:rsidR="00C108FB" w:rsidRPr="00C108FB" w:rsidRDefault="00C108FB" w:rsidP="00C108FB">
      <w:pPr>
        <w:spacing w:after="0" w:line="240" w:lineRule="auto"/>
        <w:ind w:left="720"/>
        <w:jc w:val="both"/>
        <w:rPr>
          <w:rFonts w:ascii="Times New Roman" w:hAnsi="Times New Roman"/>
          <w:szCs w:val="24"/>
        </w:rPr>
      </w:pPr>
      <w:r w:rsidRPr="00C108FB">
        <w:rPr>
          <w:rFonts w:ascii="Times New Roman" w:hAnsi="Times New Roman"/>
          <w:b/>
          <w:bCs/>
          <w:szCs w:val="24"/>
        </w:rPr>
        <w:t xml:space="preserve">Principal Investigator: </w:t>
      </w:r>
      <w:r w:rsidRPr="00C108FB">
        <w:rPr>
          <w:rFonts w:ascii="Times New Roman" w:hAnsi="Times New Roman"/>
          <w:b/>
          <w:bCs/>
          <w:szCs w:val="24"/>
        </w:rPr>
        <w:tab/>
      </w:r>
      <w:r w:rsidRPr="00C108FB">
        <w:rPr>
          <w:rFonts w:ascii="Times New Roman" w:hAnsi="Times New Roman"/>
          <w:bCs/>
          <w:szCs w:val="24"/>
        </w:rPr>
        <w:t xml:space="preserve">Mr. </w:t>
      </w:r>
      <w:r w:rsidRPr="00C108FB">
        <w:rPr>
          <w:rFonts w:ascii="Times New Roman" w:hAnsi="Times New Roman"/>
          <w:szCs w:val="24"/>
        </w:rPr>
        <w:t>Ojeiu Ejere</w:t>
      </w:r>
    </w:p>
    <w:p w14:paraId="4F226817"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Department of Allied and Public Health,</w:t>
      </w:r>
    </w:p>
    <w:p w14:paraId="76001AB6"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Postgraduate Medical Institute,</w:t>
      </w:r>
    </w:p>
    <w:p w14:paraId="7D0DA895"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Faculty of Medical Science,</w:t>
      </w:r>
    </w:p>
    <w:p w14:paraId="10094EB3"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Anglia Ruskin University,</w:t>
      </w:r>
    </w:p>
    <w:p w14:paraId="501CD22A"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Bishop Hall Lane</w:t>
      </w:r>
    </w:p>
    <w:p w14:paraId="7CB76461"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CM1 1SQ</w:t>
      </w:r>
    </w:p>
    <w:p w14:paraId="2292D640" w14:textId="3F07A5C8" w:rsidR="00C108FB" w:rsidRPr="00C108FB" w:rsidRDefault="00C108FB" w:rsidP="00C108FB">
      <w:pPr>
        <w:spacing w:after="0" w:line="240" w:lineRule="auto"/>
        <w:ind w:left="3600"/>
        <w:jc w:val="both"/>
        <w:rPr>
          <w:rFonts w:ascii="Times New Roman" w:hAnsi="Times New Roman"/>
          <w:iCs/>
          <w:szCs w:val="24"/>
        </w:rPr>
      </w:pPr>
      <w:r w:rsidRPr="00C108FB">
        <w:rPr>
          <w:rFonts w:ascii="Times New Roman" w:hAnsi="Times New Roman"/>
          <w:iCs/>
          <w:szCs w:val="24"/>
        </w:rPr>
        <w:t xml:space="preserve">Email: </w:t>
      </w:r>
    </w:p>
    <w:p w14:paraId="76321636" w14:textId="236FBAF5" w:rsidR="00C108FB" w:rsidRPr="00C108FB" w:rsidRDefault="00C108FB" w:rsidP="00C108FB">
      <w:pPr>
        <w:spacing w:after="0" w:line="240" w:lineRule="auto"/>
        <w:ind w:left="3600"/>
        <w:jc w:val="both"/>
        <w:rPr>
          <w:rFonts w:ascii="Times New Roman" w:hAnsi="Times New Roman"/>
          <w:iCs/>
          <w:szCs w:val="24"/>
        </w:rPr>
      </w:pPr>
      <w:r w:rsidRPr="00C108FB">
        <w:rPr>
          <w:rFonts w:ascii="Times New Roman" w:hAnsi="Times New Roman"/>
          <w:iCs/>
          <w:szCs w:val="24"/>
        </w:rPr>
        <w:t xml:space="preserve">Mobile: </w:t>
      </w:r>
    </w:p>
    <w:p w14:paraId="7A8B01F6" w14:textId="77777777" w:rsidR="00C108FB" w:rsidRPr="00C108FB" w:rsidRDefault="00C108FB" w:rsidP="00C108FB">
      <w:pPr>
        <w:spacing w:after="0" w:line="240" w:lineRule="auto"/>
        <w:ind w:left="720"/>
        <w:jc w:val="both"/>
        <w:rPr>
          <w:rFonts w:ascii="Times New Roman" w:hAnsi="Times New Roman"/>
          <w:bCs/>
          <w:szCs w:val="24"/>
        </w:rPr>
      </w:pPr>
    </w:p>
    <w:p w14:paraId="41D72D62" w14:textId="77777777" w:rsidR="00C108FB" w:rsidRPr="00C108FB" w:rsidRDefault="00C108FB" w:rsidP="00C108FB">
      <w:pPr>
        <w:spacing w:after="0" w:line="240" w:lineRule="auto"/>
        <w:ind w:left="720"/>
        <w:jc w:val="both"/>
        <w:rPr>
          <w:rFonts w:ascii="Times New Roman" w:hAnsi="Times New Roman"/>
          <w:b/>
          <w:bCs/>
          <w:szCs w:val="24"/>
        </w:rPr>
      </w:pPr>
      <w:r w:rsidRPr="00C108FB">
        <w:rPr>
          <w:rFonts w:ascii="Times New Roman" w:hAnsi="Times New Roman"/>
          <w:b/>
          <w:bCs/>
          <w:szCs w:val="24"/>
        </w:rPr>
        <w:t>Project Supervisors</w:t>
      </w:r>
    </w:p>
    <w:p w14:paraId="76F4DB8B" w14:textId="77777777" w:rsidR="00C108FB" w:rsidRPr="00C108FB" w:rsidRDefault="00C108FB" w:rsidP="00C108FB">
      <w:pPr>
        <w:spacing w:after="0" w:line="240" w:lineRule="auto"/>
        <w:ind w:left="2880"/>
        <w:jc w:val="both"/>
        <w:rPr>
          <w:rFonts w:ascii="Times New Roman" w:hAnsi="Times New Roman"/>
          <w:szCs w:val="24"/>
        </w:rPr>
      </w:pPr>
      <w:r w:rsidRPr="00C108FB">
        <w:rPr>
          <w:rFonts w:ascii="Times New Roman" w:hAnsi="Times New Roman"/>
          <w:b/>
          <w:bCs/>
          <w:szCs w:val="24"/>
        </w:rPr>
        <w:t xml:space="preserve">(1): </w:t>
      </w:r>
      <w:r w:rsidRPr="00C108FB">
        <w:rPr>
          <w:rFonts w:ascii="Times New Roman" w:hAnsi="Times New Roman"/>
          <w:bCs/>
          <w:szCs w:val="24"/>
        </w:rPr>
        <w:t xml:space="preserve">Dr Hilary Bungay </w:t>
      </w:r>
    </w:p>
    <w:p w14:paraId="2A97669F"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iCs/>
          <w:szCs w:val="24"/>
        </w:rPr>
        <w:t>Faculty of Medical Science</w:t>
      </w:r>
      <w:r w:rsidRPr="00C108FB">
        <w:rPr>
          <w:rFonts w:ascii="Times New Roman" w:hAnsi="Times New Roman"/>
          <w:szCs w:val="24"/>
        </w:rPr>
        <w:t xml:space="preserve">, </w:t>
      </w:r>
    </w:p>
    <w:p w14:paraId="0D48B6CF"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Anglia Ruskin University, Cambridge/Chelmsford</w:t>
      </w:r>
    </w:p>
    <w:p w14:paraId="3999DCE5" w14:textId="2C6599A6"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 xml:space="preserve">Email: </w:t>
      </w:r>
    </w:p>
    <w:p w14:paraId="5EBC11C9" w14:textId="50C445C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 xml:space="preserve">Tel: </w:t>
      </w:r>
    </w:p>
    <w:p w14:paraId="700328A1" w14:textId="77777777" w:rsidR="00C108FB" w:rsidRPr="00C108FB" w:rsidRDefault="00C108FB" w:rsidP="00C108FB">
      <w:pPr>
        <w:spacing w:after="0" w:line="240" w:lineRule="auto"/>
        <w:ind w:left="2160" w:firstLine="720"/>
        <w:jc w:val="both"/>
        <w:rPr>
          <w:rFonts w:ascii="Times New Roman" w:hAnsi="Times New Roman"/>
          <w:bCs/>
          <w:szCs w:val="24"/>
        </w:rPr>
      </w:pPr>
      <w:r w:rsidRPr="00C108FB">
        <w:rPr>
          <w:rFonts w:ascii="Times New Roman" w:hAnsi="Times New Roman"/>
          <w:b/>
          <w:bCs/>
          <w:szCs w:val="24"/>
        </w:rPr>
        <w:t xml:space="preserve"> (2): </w:t>
      </w:r>
      <w:r w:rsidRPr="00C108FB">
        <w:rPr>
          <w:rFonts w:ascii="Times New Roman" w:hAnsi="Times New Roman"/>
          <w:bCs/>
          <w:szCs w:val="24"/>
        </w:rPr>
        <w:t xml:space="preserve">Dr Pauline Lane </w:t>
      </w:r>
    </w:p>
    <w:p w14:paraId="443A95CF" w14:textId="77777777"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Faculty of Health, Social Care and Education, Anglia Ruskin University, Cambridge/Chelmsford</w:t>
      </w:r>
    </w:p>
    <w:p w14:paraId="169200A4" w14:textId="36D5352C"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 xml:space="preserve">Email: </w:t>
      </w:r>
    </w:p>
    <w:p w14:paraId="7A2F5044" w14:textId="341C2571" w:rsidR="00C108FB" w:rsidRPr="00C108FB" w:rsidRDefault="00C108FB" w:rsidP="00C108FB">
      <w:pPr>
        <w:spacing w:after="0" w:line="240" w:lineRule="auto"/>
        <w:ind w:left="3600"/>
        <w:jc w:val="both"/>
        <w:rPr>
          <w:rFonts w:ascii="Times New Roman" w:hAnsi="Times New Roman"/>
          <w:szCs w:val="24"/>
        </w:rPr>
      </w:pPr>
      <w:r w:rsidRPr="00C108FB">
        <w:rPr>
          <w:rFonts w:ascii="Times New Roman" w:hAnsi="Times New Roman"/>
          <w:szCs w:val="24"/>
        </w:rPr>
        <w:t xml:space="preserve">Tel: </w:t>
      </w:r>
    </w:p>
    <w:p w14:paraId="042745DB" w14:textId="77777777" w:rsidR="00C108FB" w:rsidRPr="00C108FB" w:rsidRDefault="00C108FB" w:rsidP="00C108FB">
      <w:pPr>
        <w:spacing w:after="0" w:line="240" w:lineRule="auto"/>
        <w:ind w:left="720"/>
        <w:jc w:val="both"/>
        <w:rPr>
          <w:rFonts w:ascii="Times New Roman" w:hAnsi="Times New Roman"/>
          <w:szCs w:val="24"/>
        </w:rPr>
      </w:pPr>
    </w:p>
    <w:p w14:paraId="71AF8D7D" w14:textId="77777777" w:rsidR="00C108FB" w:rsidRPr="00C108FB" w:rsidRDefault="00C108FB" w:rsidP="00C108FB">
      <w:pPr>
        <w:spacing w:after="0" w:line="240" w:lineRule="auto"/>
        <w:ind w:left="720"/>
        <w:jc w:val="both"/>
        <w:rPr>
          <w:rFonts w:ascii="Times New Roman" w:hAnsi="Times New Roman"/>
          <w:iCs/>
          <w:szCs w:val="24"/>
        </w:rPr>
      </w:pPr>
    </w:p>
    <w:p w14:paraId="76D3F7AE" w14:textId="77777777" w:rsidR="00C108FB" w:rsidRPr="00C108FB" w:rsidRDefault="00C108FB" w:rsidP="00C108FB">
      <w:pPr>
        <w:spacing w:after="0" w:line="240" w:lineRule="auto"/>
        <w:ind w:left="720"/>
        <w:jc w:val="both"/>
        <w:rPr>
          <w:rFonts w:ascii="Times New Roman" w:hAnsi="Times New Roman"/>
          <w:iCs/>
          <w:szCs w:val="24"/>
        </w:rPr>
      </w:pPr>
    </w:p>
    <w:p w14:paraId="3CD1D768" w14:textId="77777777" w:rsidR="00C108FB" w:rsidRPr="00C108FB" w:rsidRDefault="00C108FB" w:rsidP="00C108FB">
      <w:pPr>
        <w:spacing w:after="0" w:line="240" w:lineRule="auto"/>
        <w:ind w:left="720" w:firstLine="720"/>
        <w:jc w:val="both"/>
        <w:rPr>
          <w:rFonts w:ascii="Times New Roman" w:hAnsi="Times New Roman"/>
          <w:szCs w:val="24"/>
        </w:rPr>
      </w:pPr>
      <w:r w:rsidRPr="00C108FB">
        <w:rPr>
          <w:rFonts w:ascii="Times New Roman" w:hAnsi="Times New Roman"/>
          <w:i/>
          <w:iCs/>
          <w:szCs w:val="24"/>
        </w:rPr>
        <w:t>This letter is yours to keep for future reference.</w:t>
      </w:r>
    </w:p>
    <w:p w14:paraId="59417ABC" w14:textId="77777777" w:rsidR="00C108FB" w:rsidRPr="00C108FB" w:rsidRDefault="00C108FB" w:rsidP="00C108FB">
      <w:pPr>
        <w:spacing w:after="0" w:line="240" w:lineRule="auto"/>
        <w:ind w:left="1440" w:right="-766"/>
        <w:jc w:val="both"/>
        <w:rPr>
          <w:rFonts w:ascii="Times New Roman" w:hAnsi="Times New Roman"/>
          <w:szCs w:val="24"/>
        </w:rPr>
      </w:pPr>
    </w:p>
    <w:p w14:paraId="400E62DA" w14:textId="77777777" w:rsidR="00C108FB" w:rsidRPr="00C108FB" w:rsidRDefault="00C108FB" w:rsidP="00C108FB">
      <w:pPr>
        <w:spacing w:after="0" w:line="240" w:lineRule="auto"/>
        <w:ind w:left="720"/>
        <w:jc w:val="both"/>
        <w:rPr>
          <w:rFonts w:ascii="Times New Roman" w:hAnsi="Times New Roman"/>
          <w:szCs w:val="24"/>
        </w:rPr>
      </w:pPr>
    </w:p>
    <w:p w14:paraId="02F315E6" w14:textId="77777777" w:rsidR="00C108FB" w:rsidRPr="00C108FB" w:rsidRDefault="00C108FB" w:rsidP="00C108FB">
      <w:pPr>
        <w:spacing w:after="0" w:line="240" w:lineRule="auto"/>
        <w:ind w:left="720" w:right="-766"/>
        <w:jc w:val="both"/>
        <w:rPr>
          <w:rFonts w:ascii="Times New Roman" w:hAnsi="Times New Roman"/>
          <w:szCs w:val="24"/>
        </w:rPr>
      </w:pPr>
    </w:p>
    <w:p w14:paraId="429BBDB8" w14:textId="77777777" w:rsidR="00C108FB" w:rsidRPr="00C108FB" w:rsidRDefault="00C108FB" w:rsidP="00C108FB">
      <w:pPr>
        <w:spacing w:after="0" w:line="240" w:lineRule="auto"/>
        <w:ind w:left="720" w:right="-766"/>
        <w:jc w:val="both"/>
        <w:rPr>
          <w:rFonts w:ascii="Times New Roman" w:hAnsi="Times New Roman"/>
          <w:szCs w:val="24"/>
        </w:rPr>
      </w:pPr>
    </w:p>
    <w:p w14:paraId="6BCA1948" w14:textId="77777777" w:rsidR="00C108FB" w:rsidRPr="00C108FB" w:rsidRDefault="00C108FB" w:rsidP="00C108FB">
      <w:pPr>
        <w:spacing w:after="0" w:line="240" w:lineRule="auto"/>
        <w:ind w:left="720" w:right="-766"/>
        <w:jc w:val="both"/>
        <w:rPr>
          <w:rFonts w:ascii="Times New Roman" w:hAnsi="Times New Roman"/>
          <w:szCs w:val="24"/>
        </w:rPr>
      </w:pPr>
      <w:r w:rsidRPr="00C108FB">
        <w:rPr>
          <w:rFonts w:ascii="Times New Roman" w:hAnsi="Times New Roman"/>
          <w:szCs w:val="24"/>
        </w:rPr>
        <w:t>YOU WILL BE GIVEN A COPY OF THIS TO KEEP,</w:t>
      </w:r>
    </w:p>
    <w:p w14:paraId="4338BD0B" w14:textId="77777777" w:rsidR="00C108FB" w:rsidRPr="00C108FB" w:rsidRDefault="00C108FB" w:rsidP="00C108FB">
      <w:pPr>
        <w:spacing w:after="0" w:line="240" w:lineRule="auto"/>
        <w:ind w:left="720" w:right="-766"/>
        <w:jc w:val="both"/>
        <w:rPr>
          <w:rFonts w:ascii="Times New Roman" w:hAnsi="Times New Roman"/>
          <w:szCs w:val="24"/>
        </w:rPr>
      </w:pPr>
      <w:r w:rsidRPr="00C108FB">
        <w:rPr>
          <w:rFonts w:ascii="Times New Roman" w:hAnsi="Times New Roman"/>
          <w:szCs w:val="24"/>
        </w:rPr>
        <w:t>TOGETHER WITH A COPY OF YOUR CONSENT FORM</w:t>
      </w:r>
    </w:p>
    <w:p w14:paraId="72B91966" w14:textId="77777777" w:rsidR="00C108FB" w:rsidRPr="00C108FB" w:rsidRDefault="00C108FB" w:rsidP="00C108FB">
      <w:pPr>
        <w:spacing w:after="0" w:line="240" w:lineRule="auto"/>
        <w:ind w:left="720"/>
        <w:rPr>
          <w:rFonts w:ascii="Times New Roman" w:hAnsi="Times New Roman"/>
          <w:szCs w:val="24"/>
        </w:rPr>
      </w:pPr>
    </w:p>
    <w:p w14:paraId="4210460E" w14:textId="77777777" w:rsidR="00C108FB" w:rsidRPr="00C108FB" w:rsidRDefault="00C108FB" w:rsidP="00C108FB">
      <w:pPr>
        <w:ind w:left="720"/>
        <w:rPr>
          <w:rFonts w:ascii="Times New Roman" w:hAnsi="Times New Roman"/>
          <w:szCs w:val="24"/>
        </w:rPr>
      </w:pPr>
    </w:p>
    <w:p w14:paraId="44ABAE03" w14:textId="77777777" w:rsidR="00C108FB" w:rsidRPr="00C108FB" w:rsidRDefault="00C108FB" w:rsidP="00C108FB">
      <w:pPr>
        <w:rPr>
          <w:rFonts w:ascii="Times New Roman" w:hAnsi="Times New Roman"/>
          <w:szCs w:val="24"/>
        </w:rPr>
      </w:pPr>
    </w:p>
    <w:p w14:paraId="05914554" w14:textId="77777777" w:rsidR="00C108FB" w:rsidRPr="00C108FB" w:rsidRDefault="00C108FB" w:rsidP="00AA6A8F">
      <w:pPr>
        <w:pStyle w:val="Heading2"/>
      </w:pPr>
      <w:bookmarkStart w:id="331" w:name="_Toc86417443"/>
      <w:r w:rsidRPr="00C108FB">
        <w:lastRenderedPageBreak/>
        <w:t>APPENDIX 6.11: RESEARCH PROTOCOL</w:t>
      </w:r>
      <w:bookmarkEnd w:id="331"/>
      <w:r w:rsidRPr="00C108FB">
        <w:t xml:space="preserve"> </w:t>
      </w:r>
    </w:p>
    <w:p w14:paraId="311D6ACD" w14:textId="77777777" w:rsidR="00C108FB" w:rsidRPr="00C108FB" w:rsidRDefault="00C108FB" w:rsidP="00C108FB">
      <w:pPr>
        <w:jc w:val="center"/>
        <w:rPr>
          <w:rFonts w:ascii="Times New Roman" w:hAnsi="Times New Roman"/>
          <w:b/>
          <w:bCs/>
          <w:szCs w:val="24"/>
        </w:rPr>
      </w:pPr>
      <w:r w:rsidRPr="00C108FB">
        <w:rPr>
          <w:noProof/>
        </w:rPr>
        <w:drawing>
          <wp:inline distT="0" distB="0" distL="0" distR="0" wp14:anchorId="5E4A546E" wp14:editId="493D5DFE">
            <wp:extent cx="5543550" cy="7827130"/>
            <wp:effectExtent l="0" t="0" r="0" b="0"/>
            <wp:docPr id="324" name="Picture 324" descr="P42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324" descr="P4268#yIS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47151" cy="7832215"/>
                    </a:xfrm>
                    <a:prstGeom prst="rect">
                      <a:avLst/>
                    </a:prstGeom>
                    <a:noFill/>
                    <a:ln>
                      <a:noFill/>
                    </a:ln>
                  </pic:spPr>
                </pic:pic>
              </a:graphicData>
            </a:graphic>
          </wp:inline>
        </w:drawing>
      </w:r>
    </w:p>
    <w:p w14:paraId="509718A8"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648676FF" wp14:editId="404DCCBD">
            <wp:extent cx="5278120" cy="7458075"/>
            <wp:effectExtent l="0" t="0" r="0" b="0"/>
            <wp:docPr id="323" name="Picture 323" descr="P42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descr="P4269#yIS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78120" cy="7458075"/>
                    </a:xfrm>
                    <a:prstGeom prst="rect">
                      <a:avLst/>
                    </a:prstGeom>
                    <a:noFill/>
                    <a:ln>
                      <a:noFill/>
                    </a:ln>
                  </pic:spPr>
                </pic:pic>
              </a:graphicData>
            </a:graphic>
          </wp:inline>
        </w:drawing>
      </w:r>
    </w:p>
    <w:p w14:paraId="4F99CB3C"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4F016161" wp14:editId="348DBC59">
            <wp:extent cx="5278120" cy="7458710"/>
            <wp:effectExtent l="0" t="0" r="0" b="0"/>
            <wp:docPr id="322" name="Picture 322" descr="P42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P4270#yIS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78120" cy="7458710"/>
                    </a:xfrm>
                    <a:prstGeom prst="rect">
                      <a:avLst/>
                    </a:prstGeom>
                    <a:noFill/>
                    <a:ln>
                      <a:noFill/>
                    </a:ln>
                  </pic:spPr>
                </pic:pic>
              </a:graphicData>
            </a:graphic>
          </wp:inline>
        </w:drawing>
      </w:r>
    </w:p>
    <w:p w14:paraId="5A168D58"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6F899AE5" wp14:editId="0055C679">
            <wp:extent cx="5278120" cy="7457440"/>
            <wp:effectExtent l="0" t="0" r="0" b="0"/>
            <wp:docPr id="321" name="Picture 321" descr="P427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321" descr="P4271#yIS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78120" cy="7457440"/>
                    </a:xfrm>
                    <a:prstGeom prst="rect">
                      <a:avLst/>
                    </a:prstGeom>
                    <a:noFill/>
                    <a:ln>
                      <a:noFill/>
                    </a:ln>
                  </pic:spPr>
                </pic:pic>
              </a:graphicData>
            </a:graphic>
          </wp:inline>
        </w:drawing>
      </w:r>
    </w:p>
    <w:p w14:paraId="2E394CED"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0CCCF376" wp14:editId="59304E1A">
            <wp:extent cx="5753100" cy="8135459"/>
            <wp:effectExtent l="0" t="0" r="0" b="0"/>
            <wp:docPr id="95" name="Picture 95" descr="P42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P4272#yIS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7152" cy="8141188"/>
                    </a:xfrm>
                    <a:prstGeom prst="rect">
                      <a:avLst/>
                    </a:prstGeom>
                    <a:noFill/>
                    <a:ln>
                      <a:noFill/>
                    </a:ln>
                  </pic:spPr>
                </pic:pic>
              </a:graphicData>
            </a:graphic>
          </wp:inline>
        </w:drawing>
      </w:r>
    </w:p>
    <w:p w14:paraId="6748DF69"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1EF91E0D" wp14:editId="4EB42712">
            <wp:extent cx="5724525" cy="8095740"/>
            <wp:effectExtent l="0" t="0" r="0" b="0"/>
            <wp:docPr id="94" name="Picture 94" descr="P42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P4273#yIS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28623" cy="8101536"/>
                    </a:xfrm>
                    <a:prstGeom prst="rect">
                      <a:avLst/>
                    </a:prstGeom>
                    <a:noFill/>
                    <a:ln>
                      <a:noFill/>
                    </a:ln>
                  </pic:spPr>
                </pic:pic>
              </a:graphicData>
            </a:graphic>
          </wp:inline>
        </w:drawing>
      </w:r>
    </w:p>
    <w:p w14:paraId="71AFABA3"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3D44959E" wp14:editId="24FD47F2">
            <wp:extent cx="5278120" cy="7467600"/>
            <wp:effectExtent l="0" t="0" r="0" b="0"/>
            <wp:docPr id="93" name="Picture 93" descr="P427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P4274#yIS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8120" cy="7467600"/>
                    </a:xfrm>
                    <a:prstGeom prst="rect">
                      <a:avLst/>
                    </a:prstGeom>
                    <a:noFill/>
                    <a:ln>
                      <a:noFill/>
                    </a:ln>
                  </pic:spPr>
                </pic:pic>
              </a:graphicData>
            </a:graphic>
          </wp:inline>
        </w:drawing>
      </w:r>
    </w:p>
    <w:p w14:paraId="7B588D03"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4CAC0D68" wp14:editId="44162E23">
            <wp:extent cx="5610225" cy="7459980"/>
            <wp:effectExtent l="0" t="0" r="0" b="0"/>
            <wp:docPr id="92" name="Picture 92" descr="P42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P4275#yIS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10225" cy="7459980"/>
                    </a:xfrm>
                    <a:prstGeom prst="rect">
                      <a:avLst/>
                    </a:prstGeom>
                    <a:noFill/>
                    <a:ln>
                      <a:noFill/>
                    </a:ln>
                  </pic:spPr>
                </pic:pic>
              </a:graphicData>
            </a:graphic>
          </wp:inline>
        </w:drawing>
      </w:r>
    </w:p>
    <w:p w14:paraId="0F26B596" w14:textId="77777777" w:rsidR="00C108FB" w:rsidRPr="00C108FB" w:rsidRDefault="00C108FB" w:rsidP="00C108FB">
      <w:pPr>
        <w:jc w:val="center"/>
        <w:rPr>
          <w:rFonts w:ascii="Times New Roman" w:hAnsi="Times New Roman"/>
          <w:b/>
          <w:bCs/>
          <w:szCs w:val="24"/>
        </w:rPr>
      </w:pPr>
      <w:r w:rsidRPr="00C108FB">
        <w:rPr>
          <w:noProof/>
        </w:rPr>
        <w:lastRenderedPageBreak/>
        <w:drawing>
          <wp:inline distT="0" distB="0" distL="0" distR="0" wp14:anchorId="1A9EF68C" wp14:editId="44CAD01B">
            <wp:extent cx="5753100" cy="8134075"/>
            <wp:effectExtent l="0" t="0" r="0" b="0"/>
            <wp:docPr id="91" name="Picture 91" descr="P42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P4276#yIS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4491" cy="8136041"/>
                    </a:xfrm>
                    <a:prstGeom prst="rect">
                      <a:avLst/>
                    </a:prstGeom>
                    <a:noFill/>
                    <a:ln>
                      <a:noFill/>
                    </a:ln>
                  </pic:spPr>
                </pic:pic>
              </a:graphicData>
            </a:graphic>
          </wp:inline>
        </w:drawing>
      </w:r>
    </w:p>
    <w:p w14:paraId="400121B4" w14:textId="6488F7A4" w:rsidR="00C108FB" w:rsidRPr="006869A3" w:rsidRDefault="00C108FB" w:rsidP="00AA6A8F">
      <w:pPr>
        <w:pStyle w:val="Heading2"/>
      </w:pPr>
      <w:bookmarkStart w:id="332" w:name="_Toc86417444"/>
      <w:r w:rsidRPr="00C108FB">
        <w:rPr>
          <w:bCs/>
        </w:rPr>
        <w:lastRenderedPageBreak/>
        <w:t xml:space="preserve">APPENDIX 6.12: </w:t>
      </w:r>
      <w:r w:rsidRPr="00C108FB">
        <w:t>RESEARCHER’S CURRICULUM VITAE</w:t>
      </w:r>
      <w:bookmarkEnd w:id="332"/>
    </w:p>
    <w:p w14:paraId="0676D70D" w14:textId="61CA9753" w:rsidR="00C108FB" w:rsidRPr="00C108FB" w:rsidRDefault="00A670D5" w:rsidP="00C108FB">
      <w:pPr>
        <w:ind w:left="426"/>
        <w:jc w:val="center"/>
        <w:rPr>
          <w:rFonts w:ascii="Times New Roman" w:hAnsi="Times New Roman"/>
          <w:b/>
        </w:rPr>
      </w:pPr>
      <w:r>
        <w:rPr>
          <w:rFonts w:ascii="Times New Roman" w:hAnsi="Times New Roman"/>
          <w:b/>
        </w:rPr>
        <w:t>[redacted in this version]</w:t>
      </w:r>
    </w:p>
    <w:p w14:paraId="1824CD57" w14:textId="77777777" w:rsidR="00C108FB" w:rsidRPr="00C108FB" w:rsidRDefault="00C108FB" w:rsidP="00C108FB">
      <w:pPr>
        <w:ind w:left="426"/>
        <w:jc w:val="center"/>
        <w:rPr>
          <w:rFonts w:ascii="Times New Roman" w:hAnsi="Times New Roman"/>
          <w:b/>
        </w:rPr>
      </w:pPr>
    </w:p>
    <w:p w14:paraId="56E63E3F" w14:textId="77777777" w:rsidR="00C108FB" w:rsidRPr="00C108FB" w:rsidRDefault="00C108FB" w:rsidP="00C108FB">
      <w:pPr>
        <w:ind w:left="426"/>
        <w:jc w:val="center"/>
        <w:rPr>
          <w:rFonts w:ascii="Times New Roman" w:hAnsi="Times New Roman"/>
          <w:b/>
        </w:rPr>
      </w:pPr>
    </w:p>
    <w:p w14:paraId="59EEE734" w14:textId="77777777" w:rsidR="00C108FB" w:rsidRPr="00C108FB" w:rsidRDefault="00C108FB" w:rsidP="00C108FB">
      <w:pPr>
        <w:ind w:left="426"/>
        <w:jc w:val="center"/>
        <w:rPr>
          <w:rFonts w:ascii="Times New Roman" w:hAnsi="Times New Roman"/>
          <w:b/>
        </w:rPr>
      </w:pPr>
    </w:p>
    <w:p w14:paraId="3D289A72" w14:textId="77777777" w:rsidR="00C108FB" w:rsidRPr="00C108FB" w:rsidRDefault="00C108FB" w:rsidP="00C108FB">
      <w:pPr>
        <w:ind w:left="426"/>
        <w:jc w:val="center"/>
        <w:rPr>
          <w:rFonts w:ascii="Times New Roman" w:hAnsi="Times New Roman"/>
          <w:b/>
        </w:rPr>
      </w:pPr>
    </w:p>
    <w:p w14:paraId="59B9D81C" w14:textId="77777777" w:rsidR="00C108FB" w:rsidRPr="00C108FB" w:rsidRDefault="00C108FB" w:rsidP="00C108FB">
      <w:pPr>
        <w:ind w:left="426"/>
        <w:jc w:val="center"/>
        <w:rPr>
          <w:rFonts w:ascii="Times New Roman" w:hAnsi="Times New Roman"/>
          <w:b/>
        </w:rPr>
      </w:pPr>
    </w:p>
    <w:p w14:paraId="49A49C10" w14:textId="77777777" w:rsidR="00C108FB" w:rsidRPr="00C108FB" w:rsidRDefault="00C108FB" w:rsidP="00C108FB">
      <w:pPr>
        <w:ind w:left="426"/>
        <w:jc w:val="center"/>
        <w:rPr>
          <w:rFonts w:ascii="Times New Roman" w:hAnsi="Times New Roman"/>
          <w:b/>
        </w:rPr>
      </w:pPr>
    </w:p>
    <w:p w14:paraId="4B03EF3F" w14:textId="77777777" w:rsidR="00C108FB" w:rsidRPr="00C108FB" w:rsidRDefault="00C108FB" w:rsidP="00C108FB">
      <w:pPr>
        <w:ind w:left="426"/>
        <w:jc w:val="center"/>
        <w:rPr>
          <w:rFonts w:ascii="Times New Roman" w:hAnsi="Times New Roman"/>
          <w:b/>
        </w:rPr>
      </w:pPr>
    </w:p>
    <w:p w14:paraId="3B93CFFF" w14:textId="77777777" w:rsidR="00A670D5" w:rsidRDefault="00A670D5">
      <w:pPr>
        <w:spacing w:after="0" w:line="240" w:lineRule="auto"/>
        <w:rPr>
          <w:rFonts w:ascii="Times New Roman" w:hAnsi="Times New Roman"/>
          <w:b/>
        </w:rPr>
      </w:pPr>
      <w:r>
        <w:rPr>
          <w:rFonts w:ascii="Times New Roman" w:hAnsi="Times New Roman"/>
          <w:b/>
        </w:rPr>
        <w:br w:type="page"/>
      </w:r>
    </w:p>
    <w:p w14:paraId="70FE3121" w14:textId="5A279534" w:rsidR="00C108FB" w:rsidRPr="00C108FB" w:rsidRDefault="00C108FB" w:rsidP="00AA6A8F">
      <w:pPr>
        <w:pStyle w:val="Heading2"/>
      </w:pPr>
      <w:bookmarkStart w:id="333" w:name="_Toc86417445"/>
      <w:r w:rsidRPr="00C108FB">
        <w:lastRenderedPageBreak/>
        <w:t>APPENDIX 6.13</w:t>
      </w:r>
      <w:r w:rsidRPr="00C108FB">
        <w:rPr>
          <w:rFonts w:eastAsia="Arial"/>
        </w:rPr>
        <w:t>: POSTER PRESENTATION AT THE 2016 FACULTY OF MEDICAL SCIENCE INTERDISCIPLINARY STUDENT CONFERENCE</w:t>
      </w:r>
      <w:bookmarkEnd w:id="333"/>
    </w:p>
    <w:p w14:paraId="62AFB8BF" w14:textId="77777777" w:rsidR="00C108FB" w:rsidRPr="00C108FB" w:rsidRDefault="00C108FB" w:rsidP="00C108FB">
      <w:pPr>
        <w:ind w:left="426"/>
        <w:jc w:val="center"/>
        <w:rPr>
          <w:rFonts w:ascii="Times New Roman" w:hAnsi="Times New Roman"/>
          <w:b/>
        </w:rPr>
      </w:pPr>
      <w:r w:rsidRPr="00C108FB">
        <w:rPr>
          <w:noProof/>
        </w:rPr>
        <w:drawing>
          <wp:inline distT="0" distB="0" distL="0" distR="0" wp14:anchorId="36A065BF" wp14:editId="01CA3F68">
            <wp:extent cx="5278120" cy="7479030"/>
            <wp:effectExtent l="0" t="0" r="0" b="0"/>
            <wp:docPr id="88" name="Picture 88" descr="P42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P4288#yIS1"/>
                    <pic:cNvPicPr>
                      <a:picLocks noChangeAspect="1" noChangeArrowheads="1"/>
                    </pic:cNvPicPr>
                  </pic:nvPicPr>
                  <pic:blipFill>
                    <a:blip r:embed="rId57">
                      <a:extLst>
                        <a:ext uri="{28A0092B-C50C-407E-A947-70E740481C1C}">
                          <a14:useLocalDpi xmlns:a14="http://schemas.microsoft.com/office/drawing/2010/main" val="0"/>
                        </a:ext>
                      </a:extLst>
                    </a:blip>
                    <a:srcRect r="-21"/>
                    <a:stretch>
                      <a:fillRect/>
                    </a:stretch>
                  </pic:blipFill>
                  <pic:spPr bwMode="auto">
                    <a:xfrm>
                      <a:off x="0" y="0"/>
                      <a:ext cx="5278120" cy="7479030"/>
                    </a:xfrm>
                    <a:prstGeom prst="rect">
                      <a:avLst/>
                    </a:prstGeom>
                    <a:noFill/>
                    <a:ln>
                      <a:noFill/>
                    </a:ln>
                  </pic:spPr>
                </pic:pic>
              </a:graphicData>
            </a:graphic>
          </wp:inline>
        </w:drawing>
      </w:r>
    </w:p>
    <w:p w14:paraId="0A4F57AC" w14:textId="77777777" w:rsidR="00C108FB" w:rsidRPr="00C108FB" w:rsidRDefault="00C108FB" w:rsidP="00AA6A8F">
      <w:pPr>
        <w:pStyle w:val="Heading2"/>
      </w:pPr>
      <w:bookmarkStart w:id="334" w:name="_Toc86417446"/>
      <w:r w:rsidRPr="00C108FB">
        <w:lastRenderedPageBreak/>
        <w:t>APPENDIX 6.14</w:t>
      </w:r>
      <w:r w:rsidRPr="00C108FB">
        <w:rPr>
          <w:rFonts w:eastAsia="Arial"/>
        </w:rPr>
        <w:t>: ABSTRACT AT THE 2017 ANGLIA RUSKIN ANNUAL RESEARCH STUDENT CONFERENCE</w:t>
      </w:r>
      <w:bookmarkEnd w:id="334"/>
    </w:p>
    <w:p w14:paraId="20E3249F" w14:textId="77777777" w:rsidR="00C108FB" w:rsidRPr="00C108FB" w:rsidRDefault="00C108FB" w:rsidP="00C108FB">
      <w:pPr>
        <w:spacing w:after="0"/>
        <w:jc w:val="center"/>
        <w:rPr>
          <w:rFonts w:eastAsia="MS Mincho" w:cs="Arial"/>
          <w:b/>
          <w:sz w:val="22"/>
          <w:lang w:val="en-US" w:eastAsia="en-US"/>
        </w:rPr>
      </w:pPr>
      <w:r w:rsidRPr="00C108FB">
        <w:rPr>
          <w:rFonts w:eastAsia="MS Mincho" w:cs="Arial"/>
          <w:b/>
          <w:sz w:val="22"/>
          <w:lang w:val="en-US" w:eastAsia="en-US"/>
        </w:rPr>
        <w:t>ANGLIA RUSKIN UNIVERSITY</w:t>
      </w:r>
    </w:p>
    <w:p w14:paraId="4500B803" w14:textId="77777777" w:rsidR="00C108FB" w:rsidRPr="00C108FB" w:rsidRDefault="00C108FB" w:rsidP="00C108FB">
      <w:pPr>
        <w:spacing w:after="0"/>
        <w:jc w:val="center"/>
        <w:rPr>
          <w:rFonts w:eastAsia="MS Mincho" w:cs="Arial"/>
          <w:b/>
          <w:sz w:val="22"/>
          <w:lang w:val="en-US" w:eastAsia="en-US"/>
        </w:rPr>
      </w:pPr>
      <w:r w:rsidRPr="00C108FB">
        <w:rPr>
          <w:rFonts w:eastAsia="MS Mincho" w:cs="Arial"/>
          <w:b/>
          <w:sz w:val="22"/>
          <w:lang w:val="en-US" w:eastAsia="en-US"/>
        </w:rPr>
        <w:t>ABSTRACT</w:t>
      </w:r>
    </w:p>
    <w:p w14:paraId="47A0132C" w14:textId="77777777" w:rsidR="00C108FB" w:rsidRPr="00C108FB" w:rsidRDefault="00C108FB" w:rsidP="00C108FB">
      <w:pPr>
        <w:spacing w:after="0"/>
        <w:jc w:val="center"/>
        <w:rPr>
          <w:rFonts w:eastAsia="MS Mincho" w:cs="Arial"/>
          <w:sz w:val="22"/>
          <w:lang w:val="en-US" w:eastAsia="en-US"/>
        </w:rPr>
      </w:pPr>
      <w:r w:rsidRPr="00C108FB">
        <w:rPr>
          <w:rFonts w:eastAsia="MS Mincho" w:cs="Arial"/>
          <w:b/>
          <w:sz w:val="22"/>
          <w:lang w:val="en-US" w:eastAsia="en-US"/>
        </w:rPr>
        <w:t>FACULTY OF MEDICAL SCIENCE</w:t>
      </w:r>
    </w:p>
    <w:p w14:paraId="630C4EC8" w14:textId="77777777" w:rsidR="00C108FB" w:rsidRPr="00C108FB" w:rsidRDefault="00C108FB" w:rsidP="00C108FB">
      <w:pPr>
        <w:jc w:val="center"/>
        <w:rPr>
          <w:rFonts w:eastAsia="MS Mincho" w:cs="Arial"/>
          <w:b/>
          <w:sz w:val="22"/>
          <w:lang w:val="en-US" w:eastAsia="en-US"/>
        </w:rPr>
      </w:pPr>
      <w:r w:rsidRPr="00C108FB">
        <w:rPr>
          <w:rFonts w:eastAsia="MS Mincho" w:cs="Arial"/>
          <w:b/>
          <w:sz w:val="22"/>
          <w:lang w:val="en-US" w:eastAsia="en-US"/>
        </w:rPr>
        <w:t>DOCTOR OF PHILOSOPHY</w:t>
      </w:r>
    </w:p>
    <w:p w14:paraId="6A3739A7" w14:textId="77777777" w:rsidR="00C108FB" w:rsidRPr="00C108FB" w:rsidRDefault="00C108FB" w:rsidP="00C108FB">
      <w:pPr>
        <w:jc w:val="center"/>
        <w:rPr>
          <w:rFonts w:eastAsia="MS Mincho" w:cs="Arial"/>
          <w:b/>
          <w:sz w:val="22"/>
          <w:lang w:val="en-US" w:eastAsia="en-US"/>
        </w:rPr>
      </w:pPr>
      <w:r w:rsidRPr="00C108FB">
        <w:rPr>
          <w:rFonts w:eastAsia="MS Mincho" w:cs="Arial"/>
          <w:b/>
          <w:sz w:val="22"/>
          <w:lang w:eastAsia="en-US"/>
        </w:rPr>
        <w:t>EXPERIENCES OF PAID NIGERIAN CAREGIVERS OF PEOPLE WITH DEMENTIA</w:t>
      </w:r>
    </w:p>
    <w:p w14:paraId="63ABA431" w14:textId="77777777" w:rsidR="00C108FB" w:rsidRPr="00C108FB" w:rsidRDefault="00C108FB" w:rsidP="00C108FB">
      <w:pPr>
        <w:spacing w:after="0" w:line="240" w:lineRule="auto"/>
        <w:jc w:val="center"/>
        <w:rPr>
          <w:rFonts w:eastAsia="MS Mincho"/>
          <w:b/>
          <w:sz w:val="22"/>
          <w:lang w:val="en-US" w:eastAsia="en-US"/>
        </w:rPr>
      </w:pPr>
      <w:r w:rsidRPr="00C108FB">
        <w:rPr>
          <w:rFonts w:eastAsia="MS Mincho"/>
          <w:b/>
          <w:sz w:val="22"/>
          <w:lang w:val="en-US" w:eastAsia="en-US"/>
        </w:rPr>
        <w:t>OJEIU EJERE</w:t>
      </w:r>
    </w:p>
    <w:p w14:paraId="4AC6D48D" w14:textId="77777777" w:rsidR="00C108FB" w:rsidRPr="00C108FB" w:rsidRDefault="00C108FB" w:rsidP="00C108FB">
      <w:pPr>
        <w:spacing w:after="0" w:line="240" w:lineRule="auto"/>
        <w:jc w:val="center"/>
        <w:rPr>
          <w:rFonts w:eastAsia="MS Mincho"/>
          <w:sz w:val="22"/>
          <w:lang w:val="en-US" w:eastAsia="en-US"/>
        </w:rPr>
      </w:pPr>
      <w:r w:rsidRPr="00C108FB">
        <w:rPr>
          <w:rFonts w:eastAsia="MS Mincho"/>
          <w:b/>
          <w:sz w:val="22"/>
          <w:lang w:val="en-US" w:eastAsia="en-US"/>
        </w:rPr>
        <w:t>(Post Confirmation of Candidature)</w:t>
      </w:r>
    </w:p>
    <w:p w14:paraId="48D4FC84" w14:textId="77777777" w:rsidR="00C108FB" w:rsidRPr="00C108FB" w:rsidRDefault="00C108FB" w:rsidP="00C108FB">
      <w:pPr>
        <w:spacing w:after="0"/>
        <w:jc w:val="center"/>
        <w:rPr>
          <w:rFonts w:eastAsia="MS Mincho" w:cs="Arial"/>
          <w:b/>
          <w:sz w:val="22"/>
          <w:lang w:val="en-US" w:eastAsia="en-US"/>
        </w:rPr>
      </w:pPr>
      <w:r w:rsidRPr="00C108FB">
        <w:rPr>
          <w:rFonts w:eastAsia="MS Mincho" w:cs="Arial"/>
          <w:b/>
          <w:sz w:val="22"/>
          <w:lang w:val="en-US" w:eastAsia="en-US"/>
        </w:rPr>
        <w:t>July 2017</w:t>
      </w:r>
    </w:p>
    <w:p w14:paraId="2DE81EE2" w14:textId="77777777" w:rsidR="00C108FB" w:rsidRPr="00C108FB" w:rsidRDefault="00C108FB" w:rsidP="00C108FB">
      <w:pPr>
        <w:rPr>
          <w:rFonts w:eastAsia="MS Mincho" w:cs="Arial"/>
          <w:b/>
          <w:sz w:val="22"/>
          <w:lang w:val="en-US" w:eastAsia="en-US"/>
        </w:rPr>
      </w:pPr>
      <w:r w:rsidRPr="00C108FB">
        <w:rPr>
          <w:rFonts w:eastAsia="MS Mincho" w:cs="Arial"/>
          <w:sz w:val="22"/>
          <w:lang w:eastAsia="en-US"/>
        </w:rPr>
        <w:t>Working as a professional caregiver for people with dementia (PWD) can be heavily demanding (emotionally, physically and psychologically) for some while others may find it rewarding. Although cultural difference in caregiving experiences has been shown among family caregivers who are mostly White, there is dearth in research on the experience of ethnic minority paid caregivers’ experience and the potential influence of cultural beliefs. This study aims to explore the experience of paid Nigerian caregivers of PWD to understand their motivations and how they cope with caregiving demands.</w:t>
      </w:r>
    </w:p>
    <w:p w14:paraId="3CF59027" w14:textId="77777777" w:rsidR="00C108FB" w:rsidRPr="00C108FB" w:rsidRDefault="00C108FB" w:rsidP="00C108FB">
      <w:pPr>
        <w:jc w:val="both"/>
        <w:rPr>
          <w:rFonts w:eastAsia="MS Mincho" w:cs="Arial"/>
          <w:sz w:val="22"/>
          <w:lang w:eastAsia="en-US"/>
        </w:rPr>
      </w:pPr>
      <w:r w:rsidRPr="00C108FB">
        <w:rPr>
          <w:rFonts w:eastAsia="MS Mincho" w:cs="Arial"/>
          <w:sz w:val="22"/>
          <w:lang w:eastAsia="en-US"/>
        </w:rPr>
        <w:t>Interpretive phenomenological analysis will be used to analyse data collected in a pilot interview of three (3) paid Nigerian caregivers currently working with PWD (Phase 1) followed by in-depth interview with another ten (10) paid Nigerian caregivers currently working with PWD (Phase 2).</w:t>
      </w:r>
    </w:p>
    <w:p w14:paraId="33A81005" w14:textId="77777777" w:rsidR="00C108FB" w:rsidRPr="00C108FB" w:rsidRDefault="00C108FB" w:rsidP="00C108FB">
      <w:pPr>
        <w:spacing w:after="0"/>
        <w:jc w:val="both"/>
        <w:rPr>
          <w:rFonts w:eastAsia="MS Mincho" w:cs="Arial"/>
          <w:sz w:val="22"/>
          <w:lang w:eastAsia="en-US"/>
        </w:rPr>
      </w:pPr>
      <w:r w:rsidRPr="00C108FB">
        <w:rPr>
          <w:rFonts w:eastAsia="MS Mincho" w:cs="Arial"/>
          <w:sz w:val="22"/>
          <w:lang w:eastAsia="en-US"/>
        </w:rPr>
        <w:t>This study will present rich qualitative data on the experience of paid Nigerian caregivers, providing insight into their journey into care, beliefs and perception of dementia as well as what motivates them to assume and remain in their caregiving roles. It is anticipated that data on the common coping strategies employed by paid Nigerian will be generated in this study. Understanding this will offer a clear basis for the use of targeted coping interventions that can help address any stress they may be experiencing in their role as caregivers.</w:t>
      </w:r>
    </w:p>
    <w:p w14:paraId="517B6037" w14:textId="77777777" w:rsidR="00C108FB" w:rsidRPr="00C108FB" w:rsidRDefault="00C108FB" w:rsidP="00C108FB">
      <w:pPr>
        <w:spacing w:after="0"/>
        <w:jc w:val="both"/>
        <w:rPr>
          <w:rFonts w:eastAsia="MS Mincho" w:cs="Arial"/>
          <w:sz w:val="22"/>
          <w:lang w:eastAsia="en-US"/>
        </w:rPr>
      </w:pPr>
      <w:r w:rsidRPr="00C108FB">
        <w:rPr>
          <w:rFonts w:eastAsia="MS Mincho" w:cs="Arial"/>
          <w:b/>
          <w:sz w:val="22"/>
          <w:lang w:val="en-US" w:eastAsia="en-US"/>
        </w:rPr>
        <w:t>Key words</w:t>
      </w:r>
      <w:r w:rsidRPr="00C108FB">
        <w:rPr>
          <w:rFonts w:eastAsia="MS Mincho" w:cs="Arial"/>
          <w:sz w:val="22"/>
          <w:lang w:val="en-US" w:eastAsia="en-US"/>
        </w:rPr>
        <w:t>: paid caregiving, caregivers, dementia, Nigerian, cultural influence, phenomenology.</w:t>
      </w:r>
    </w:p>
    <w:p w14:paraId="0526F401" w14:textId="77777777" w:rsidR="00C108FB" w:rsidRPr="00C108FB" w:rsidRDefault="00C108FB" w:rsidP="00AA6A8F">
      <w:pPr>
        <w:pStyle w:val="Heading2"/>
        <w:rPr>
          <w:rFonts w:eastAsia="MS Mincho" w:cs="Arial"/>
          <w:sz w:val="22"/>
          <w:lang w:val="en-US" w:eastAsia="en-US"/>
        </w:rPr>
      </w:pPr>
      <w:bookmarkStart w:id="335" w:name="_Toc86417447"/>
      <w:r w:rsidRPr="00C108FB">
        <w:lastRenderedPageBreak/>
        <w:t>APPENDIX 6.15</w:t>
      </w:r>
      <w:r w:rsidRPr="00C108FB">
        <w:rPr>
          <w:rFonts w:eastAsia="Arial"/>
        </w:rPr>
        <w:t>: ORAL PRESENTATION ABSTRACT AT THE 2018 ANGLIA RUSKIN UNIVERSITY ANNUAL RESEARCH STUDENT CONFERENCE</w:t>
      </w:r>
      <w:bookmarkEnd w:id="335"/>
    </w:p>
    <w:p w14:paraId="426B6B8F" w14:textId="77777777" w:rsidR="00C108FB" w:rsidRPr="00C108FB" w:rsidRDefault="00C108FB" w:rsidP="00C108FB">
      <w:pPr>
        <w:spacing w:after="0" w:line="240" w:lineRule="auto"/>
        <w:jc w:val="center"/>
        <w:rPr>
          <w:rFonts w:eastAsia="MS Mincho" w:cs="Arial"/>
          <w:b/>
          <w:sz w:val="22"/>
          <w:lang w:val="en-US" w:eastAsia="en-US"/>
        </w:rPr>
      </w:pPr>
      <w:r w:rsidRPr="00C108FB">
        <w:rPr>
          <w:rFonts w:eastAsia="MS Mincho" w:cs="Arial"/>
          <w:b/>
          <w:sz w:val="22"/>
          <w:lang w:val="en-US" w:eastAsia="en-US"/>
        </w:rPr>
        <w:t>ANGLIA RUSKIN UNIVERSITY</w:t>
      </w:r>
    </w:p>
    <w:p w14:paraId="2E0A1256" w14:textId="77777777" w:rsidR="00C108FB" w:rsidRPr="00C108FB" w:rsidRDefault="00C108FB" w:rsidP="00C108FB">
      <w:pPr>
        <w:spacing w:after="0" w:line="240" w:lineRule="auto"/>
        <w:jc w:val="center"/>
        <w:rPr>
          <w:rFonts w:eastAsia="MS Mincho" w:cs="Arial"/>
          <w:b/>
          <w:sz w:val="22"/>
          <w:lang w:val="en-US" w:eastAsia="en-US"/>
        </w:rPr>
      </w:pPr>
      <w:r w:rsidRPr="00C108FB">
        <w:rPr>
          <w:rFonts w:eastAsia="MS Mincho" w:cs="Arial"/>
          <w:b/>
          <w:sz w:val="22"/>
          <w:lang w:val="en-US" w:eastAsia="en-US"/>
        </w:rPr>
        <w:t>ABSTRACT</w:t>
      </w:r>
    </w:p>
    <w:p w14:paraId="536E285C" w14:textId="77777777" w:rsidR="00C108FB" w:rsidRPr="00C108FB" w:rsidRDefault="00C108FB" w:rsidP="00C108FB">
      <w:pPr>
        <w:spacing w:after="0" w:line="240" w:lineRule="auto"/>
        <w:jc w:val="center"/>
        <w:rPr>
          <w:rFonts w:eastAsia="MS Mincho" w:cs="Arial"/>
          <w:sz w:val="22"/>
          <w:lang w:val="en-US" w:eastAsia="en-US"/>
        </w:rPr>
      </w:pPr>
      <w:r w:rsidRPr="00C108FB">
        <w:rPr>
          <w:rFonts w:eastAsia="MS Mincho" w:cs="Arial"/>
          <w:b/>
          <w:sz w:val="22"/>
          <w:lang w:val="en-US" w:eastAsia="en-US"/>
        </w:rPr>
        <w:t>FACULTY OF MEDICAL SCIENCE</w:t>
      </w:r>
    </w:p>
    <w:p w14:paraId="440F3753" w14:textId="77777777" w:rsidR="00C108FB" w:rsidRPr="00C108FB" w:rsidRDefault="00C108FB" w:rsidP="00C108FB">
      <w:pPr>
        <w:spacing w:after="0" w:line="240" w:lineRule="auto"/>
        <w:jc w:val="center"/>
        <w:rPr>
          <w:rFonts w:eastAsia="MS Mincho" w:cs="Arial"/>
          <w:b/>
          <w:sz w:val="22"/>
          <w:lang w:val="en-US" w:eastAsia="en-US"/>
        </w:rPr>
      </w:pPr>
      <w:r w:rsidRPr="00C108FB">
        <w:rPr>
          <w:rFonts w:eastAsia="MS Mincho" w:cs="Arial"/>
          <w:b/>
          <w:sz w:val="22"/>
          <w:lang w:val="en-US" w:eastAsia="en-US"/>
        </w:rPr>
        <w:t>DOCTOR OF PHILOSOPHY</w:t>
      </w:r>
    </w:p>
    <w:p w14:paraId="16CA4631" w14:textId="77777777" w:rsidR="00C108FB" w:rsidRPr="00C108FB" w:rsidRDefault="00C108FB" w:rsidP="00C108FB">
      <w:pPr>
        <w:spacing w:line="240" w:lineRule="auto"/>
        <w:jc w:val="center"/>
        <w:rPr>
          <w:rFonts w:eastAsia="MS Mincho" w:cs="Arial"/>
          <w:b/>
          <w:sz w:val="22"/>
          <w:lang w:val="en-US" w:eastAsia="en-US"/>
        </w:rPr>
      </w:pPr>
      <w:r w:rsidRPr="00C108FB">
        <w:rPr>
          <w:rFonts w:eastAsia="MS Mincho" w:cs="Arial"/>
          <w:b/>
          <w:sz w:val="22"/>
          <w:lang w:eastAsia="en-US"/>
        </w:rPr>
        <w:t>MOTIVATION OF PAID NIGERIAN MIGRANT CAREGIVERS OF PEOPLE WITH DEMENTIA</w:t>
      </w:r>
    </w:p>
    <w:p w14:paraId="68F393E0" w14:textId="77777777" w:rsidR="00C108FB" w:rsidRPr="00C108FB" w:rsidRDefault="00C108FB" w:rsidP="00C108FB">
      <w:pPr>
        <w:spacing w:after="0" w:line="240" w:lineRule="auto"/>
        <w:jc w:val="center"/>
        <w:rPr>
          <w:rFonts w:eastAsia="MS Mincho"/>
          <w:b/>
          <w:sz w:val="22"/>
          <w:lang w:val="en-US" w:eastAsia="en-US"/>
        </w:rPr>
      </w:pPr>
      <w:r w:rsidRPr="00C108FB">
        <w:rPr>
          <w:rFonts w:eastAsia="MS Mincho"/>
          <w:b/>
          <w:sz w:val="22"/>
          <w:lang w:val="en-US" w:eastAsia="en-US"/>
        </w:rPr>
        <w:t>OJEIU EJERE</w:t>
      </w:r>
    </w:p>
    <w:p w14:paraId="637CDC8D" w14:textId="77777777" w:rsidR="00C108FB" w:rsidRPr="00C108FB" w:rsidRDefault="00C108FB" w:rsidP="00C108FB">
      <w:pPr>
        <w:spacing w:after="0" w:line="240" w:lineRule="auto"/>
        <w:jc w:val="center"/>
        <w:rPr>
          <w:rFonts w:eastAsia="MS Mincho"/>
          <w:sz w:val="22"/>
          <w:lang w:val="en-US" w:eastAsia="en-US"/>
        </w:rPr>
      </w:pPr>
      <w:r w:rsidRPr="00C108FB">
        <w:rPr>
          <w:rFonts w:eastAsia="MS Mincho"/>
          <w:b/>
          <w:sz w:val="22"/>
          <w:lang w:val="en-US" w:eastAsia="en-US"/>
        </w:rPr>
        <w:t>(Writing-Up Stage)</w:t>
      </w:r>
    </w:p>
    <w:p w14:paraId="482607CE" w14:textId="77777777" w:rsidR="00C108FB" w:rsidRPr="00C108FB" w:rsidRDefault="00C108FB" w:rsidP="00C108FB">
      <w:pPr>
        <w:spacing w:line="240" w:lineRule="auto"/>
        <w:jc w:val="center"/>
        <w:rPr>
          <w:rFonts w:eastAsia="MS Mincho" w:cs="Arial"/>
          <w:b/>
          <w:sz w:val="22"/>
          <w:lang w:val="en-US" w:eastAsia="en-US"/>
        </w:rPr>
      </w:pPr>
      <w:r w:rsidRPr="00C108FB">
        <w:rPr>
          <w:rFonts w:eastAsia="MS Mincho" w:cs="Arial"/>
          <w:b/>
          <w:sz w:val="22"/>
          <w:lang w:val="en-US" w:eastAsia="en-US"/>
        </w:rPr>
        <w:t>July 2018</w:t>
      </w:r>
    </w:p>
    <w:p w14:paraId="760649F7" w14:textId="77777777" w:rsidR="00C108FB" w:rsidRPr="00C108FB" w:rsidRDefault="00C108FB" w:rsidP="00C108FB">
      <w:pPr>
        <w:jc w:val="both"/>
        <w:rPr>
          <w:rFonts w:eastAsia="MS Mincho" w:cs="Arial"/>
          <w:sz w:val="22"/>
          <w:lang w:eastAsia="en-US"/>
        </w:rPr>
      </w:pPr>
      <w:r w:rsidRPr="00C108FB">
        <w:rPr>
          <w:rFonts w:eastAsia="MS Mincho" w:cs="Arial"/>
          <w:sz w:val="22"/>
          <w:lang w:eastAsia="en-US"/>
        </w:rPr>
        <w:t>Previous studies on caregiving motivation for people with dementia focused largely on family caregivers, with scant literature on what motivates professional caregivers to care for people with dementia and even less on the motivation of paid migrant caregivers (care workers and nurses). Although they are paid to care, their experience of caregiving may be influenced by their motivation to assume or remain in the role. The aim of the study was to explore the motivation of paid Nigerian migrant caregivers to assume and remain in caring for people with dementia.</w:t>
      </w:r>
    </w:p>
    <w:p w14:paraId="6A508AA7" w14:textId="77777777" w:rsidR="00C108FB" w:rsidRPr="00C108FB" w:rsidRDefault="00C108FB" w:rsidP="00C108FB">
      <w:pPr>
        <w:jc w:val="both"/>
        <w:rPr>
          <w:rFonts w:eastAsia="MS Mincho" w:cs="Arial"/>
          <w:sz w:val="22"/>
          <w:lang w:eastAsia="en-US"/>
        </w:rPr>
      </w:pPr>
      <w:r w:rsidRPr="00C108FB">
        <w:rPr>
          <w:rFonts w:eastAsia="MS Mincho" w:cs="Arial"/>
          <w:sz w:val="22"/>
          <w:lang w:eastAsia="en-US"/>
        </w:rPr>
        <w:t>I collected data from 21 paid Nigerian migrant caregivers using in-depth interviews which were transcribed verbatim and analysed using interpretive phenomenology informed by Van Manen to explore the lived experience of the caregivers.</w:t>
      </w:r>
    </w:p>
    <w:p w14:paraId="2EE427AC" w14:textId="77777777" w:rsidR="00C108FB" w:rsidRPr="00C108FB" w:rsidRDefault="00C108FB" w:rsidP="00C108FB">
      <w:pPr>
        <w:jc w:val="both"/>
        <w:rPr>
          <w:rFonts w:eastAsia="MS Mincho" w:cs="Arial"/>
          <w:sz w:val="22"/>
          <w:lang w:eastAsia="en-US"/>
        </w:rPr>
      </w:pPr>
      <w:r w:rsidRPr="00C108FB">
        <w:rPr>
          <w:rFonts w:eastAsia="MS Mincho" w:cs="Arial"/>
          <w:sz w:val="22"/>
          <w:lang w:eastAsia="en-US"/>
        </w:rPr>
        <w:t xml:space="preserve">Findings indicate that paid Nigerian migrant caregivers are motivated by a combination of intrinsic and extrinsic factors. Participants who had a </w:t>
      </w:r>
      <w:r w:rsidRPr="00C108FB">
        <w:rPr>
          <w:rFonts w:eastAsia="MS Mincho" w:cs="Arial"/>
          <w:noProof/>
          <w:sz w:val="22"/>
          <w:lang w:eastAsia="en-US"/>
        </w:rPr>
        <w:t>nursing</w:t>
      </w:r>
      <w:r w:rsidRPr="00C108FB">
        <w:rPr>
          <w:rFonts w:eastAsia="MS Mincho" w:cs="Arial"/>
          <w:sz w:val="22"/>
          <w:lang w:eastAsia="en-US"/>
        </w:rPr>
        <w:t xml:space="preserve"> qualification before migrating to the UK considered their caregiving roles as a way to keep in touch with nursing practices whilst studying. However, some of the participants who had no training as nurses are motivated to care out of the necessity to fulfil financial obligations, whilst others were motivated to care because of the passion they had for caregiving. Most participants found the caregiving role both challenging and altruistically rewarding regardless of their caregiving motivations but caregivers with extrinsic motivation had more negative perception of their caregiving experience.</w:t>
      </w:r>
    </w:p>
    <w:p w14:paraId="01D2C6C2" w14:textId="77777777" w:rsidR="00C108FB" w:rsidRPr="00C108FB" w:rsidRDefault="00C108FB" w:rsidP="00C108FB">
      <w:pPr>
        <w:jc w:val="both"/>
        <w:rPr>
          <w:rFonts w:eastAsia="MS Mincho" w:cs="Arial"/>
          <w:sz w:val="22"/>
          <w:lang w:val="en-US" w:eastAsia="en-US"/>
        </w:rPr>
      </w:pPr>
      <w:r w:rsidRPr="00C108FB">
        <w:rPr>
          <w:rFonts w:eastAsia="MS Mincho" w:cs="Arial"/>
          <w:b/>
          <w:sz w:val="22"/>
          <w:lang w:val="en-US" w:eastAsia="en-US"/>
        </w:rPr>
        <w:t>Key words</w:t>
      </w:r>
      <w:r w:rsidRPr="00C108FB">
        <w:rPr>
          <w:rFonts w:eastAsia="MS Mincho" w:cs="Arial"/>
          <w:sz w:val="22"/>
          <w:lang w:val="en-US" w:eastAsia="en-US"/>
        </w:rPr>
        <w:t>: paid caregiving, dementia, Nigerian caregivers, phenomenology, motivation.</w:t>
      </w:r>
    </w:p>
    <w:p w14:paraId="6F983CB6" w14:textId="77777777" w:rsidR="00C108FB" w:rsidRPr="00C108FB" w:rsidRDefault="00C108FB" w:rsidP="00AA6A8F">
      <w:pPr>
        <w:pStyle w:val="Heading2"/>
      </w:pPr>
      <w:bookmarkStart w:id="336" w:name="_Toc86417448"/>
      <w:r w:rsidRPr="00C108FB">
        <w:lastRenderedPageBreak/>
        <w:t>APPENDIX 7.1: SAMPLE FORM USED TO EXTRACT PARTICIPANT’S SELF-REPORTED DATA AS OBTAINED FROM THE INTERVIEW</w:t>
      </w:r>
      <w:bookmarkEnd w:id="336"/>
    </w:p>
    <w:tbl>
      <w:tblPr>
        <w:tblStyle w:val="TableGrid2"/>
        <w:tblW w:w="8931" w:type="dxa"/>
        <w:tblInd w:w="108" w:type="dxa"/>
        <w:tblLook w:val="04A0" w:firstRow="1" w:lastRow="0" w:firstColumn="1" w:lastColumn="0" w:noHBand="0" w:noVBand="1"/>
      </w:tblPr>
      <w:tblGrid>
        <w:gridCol w:w="2835"/>
        <w:gridCol w:w="6096"/>
      </w:tblGrid>
      <w:tr w:rsidR="00C108FB" w:rsidRPr="00C108FB" w14:paraId="1E55EFBB" w14:textId="77777777" w:rsidTr="0051015D">
        <w:tc>
          <w:tcPr>
            <w:tcW w:w="2835" w:type="dxa"/>
          </w:tcPr>
          <w:p w14:paraId="3E5E06DB"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Participant’s Name</w:t>
            </w:r>
          </w:p>
        </w:tc>
        <w:tc>
          <w:tcPr>
            <w:tcW w:w="6096" w:type="dxa"/>
          </w:tcPr>
          <w:p w14:paraId="3839D966" w14:textId="77777777" w:rsidR="00C108FB" w:rsidRPr="00C108FB" w:rsidRDefault="00C108FB" w:rsidP="00C108FB">
            <w:pPr>
              <w:rPr>
                <w:rFonts w:ascii="Times New Roman" w:hAnsi="Times New Roman"/>
                <w:szCs w:val="24"/>
              </w:rPr>
            </w:pPr>
          </w:p>
        </w:tc>
      </w:tr>
      <w:tr w:rsidR="00C108FB" w:rsidRPr="00C108FB" w14:paraId="3DC6D4F9" w14:textId="77777777" w:rsidTr="0051015D">
        <w:tc>
          <w:tcPr>
            <w:tcW w:w="2835" w:type="dxa"/>
          </w:tcPr>
          <w:p w14:paraId="61DA8BF5"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Chosen pseudonym</w:t>
            </w:r>
          </w:p>
        </w:tc>
        <w:tc>
          <w:tcPr>
            <w:tcW w:w="6096" w:type="dxa"/>
          </w:tcPr>
          <w:p w14:paraId="18382A98" w14:textId="77777777" w:rsidR="00C108FB" w:rsidRPr="00C108FB" w:rsidRDefault="00C108FB" w:rsidP="00C108FB">
            <w:pPr>
              <w:rPr>
                <w:rFonts w:ascii="Times New Roman" w:hAnsi="Times New Roman"/>
                <w:szCs w:val="24"/>
              </w:rPr>
            </w:pPr>
          </w:p>
        </w:tc>
      </w:tr>
      <w:tr w:rsidR="00C108FB" w:rsidRPr="00C108FB" w14:paraId="59C57CC6" w14:textId="77777777" w:rsidTr="0051015D">
        <w:tc>
          <w:tcPr>
            <w:tcW w:w="2835" w:type="dxa"/>
          </w:tcPr>
          <w:p w14:paraId="0FE52070"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Gender</w:t>
            </w:r>
          </w:p>
        </w:tc>
        <w:tc>
          <w:tcPr>
            <w:tcW w:w="6096" w:type="dxa"/>
          </w:tcPr>
          <w:p w14:paraId="641A2334" w14:textId="77777777" w:rsidR="00C108FB" w:rsidRPr="00C108FB" w:rsidRDefault="00C108FB" w:rsidP="00C108FB">
            <w:pPr>
              <w:rPr>
                <w:rFonts w:ascii="Times New Roman" w:hAnsi="Times New Roman"/>
                <w:szCs w:val="24"/>
              </w:rPr>
            </w:pPr>
          </w:p>
        </w:tc>
      </w:tr>
      <w:tr w:rsidR="00C108FB" w:rsidRPr="00C108FB" w14:paraId="544947AC" w14:textId="77777777" w:rsidTr="0051015D">
        <w:tc>
          <w:tcPr>
            <w:tcW w:w="2835" w:type="dxa"/>
          </w:tcPr>
          <w:p w14:paraId="08508D94"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Age</w:t>
            </w:r>
          </w:p>
        </w:tc>
        <w:tc>
          <w:tcPr>
            <w:tcW w:w="6096" w:type="dxa"/>
          </w:tcPr>
          <w:p w14:paraId="15540B7C" w14:textId="77777777" w:rsidR="00C108FB" w:rsidRPr="00C108FB" w:rsidRDefault="00C108FB" w:rsidP="00C108FB">
            <w:pPr>
              <w:rPr>
                <w:rFonts w:ascii="Times New Roman" w:hAnsi="Times New Roman"/>
                <w:szCs w:val="24"/>
              </w:rPr>
            </w:pPr>
          </w:p>
        </w:tc>
      </w:tr>
      <w:tr w:rsidR="00C108FB" w:rsidRPr="00C108FB" w14:paraId="7D86F19F" w14:textId="77777777" w:rsidTr="0051015D">
        <w:tc>
          <w:tcPr>
            <w:tcW w:w="2835" w:type="dxa"/>
          </w:tcPr>
          <w:p w14:paraId="1A4F7118"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Educational qualification prior to migration</w:t>
            </w:r>
          </w:p>
        </w:tc>
        <w:tc>
          <w:tcPr>
            <w:tcW w:w="6096" w:type="dxa"/>
          </w:tcPr>
          <w:p w14:paraId="74B276DD" w14:textId="77777777" w:rsidR="00C108FB" w:rsidRPr="00C108FB" w:rsidRDefault="00C108FB" w:rsidP="00C108FB">
            <w:pPr>
              <w:rPr>
                <w:rFonts w:ascii="Times New Roman" w:hAnsi="Times New Roman"/>
                <w:szCs w:val="24"/>
              </w:rPr>
            </w:pPr>
          </w:p>
        </w:tc>
      </w:tr>
      <w:tr w:rsidR="00C108FB" w:rsidRPr="00C108FB" w14:paraId="346F184B" w14:textId="77777777" w:rsidTr="0051015D">
        <w:tc>
          <w:tcPr>
            <w:tcW w:w="2835" w:type="dxa"/>
          </w:tcPr>
          <w:p w14:paraId="3CF04BFC"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Educational qualification at the time of interview</w:t>
            </w:r>
          </w:p>
        </w:tc>
        <w:tc>
          <w:tcPr>
            <w:tcW w:w="6096" w:type="dxa"/>
          </w:tcPr>
          <w:p w14:paraId="699FD9B0" w14:textId="77777777" w:rsidR="00C108FB" w:rsidRPr="00C108FB" w:rsidRDefault="00C108FB" w:rsidP="00C108FB">
            <w:pPr>
              <w:rPr>
                <w:rFonts w:ascii="Times New Roman" w:hAnsi="Times New Roman"/>
                <w:szCs w:val="24"/>
              </w:rPr>
            </w:pPr>
          </w:p>
        </w:tc>
      </w:tr>
      <w:tr w:rsidR="00C108FB" w:rsidRPr="00C108FB" w14:paraId="44C4C73D" w14:textId="77777777" w:rsidTr="0051015D">
        <w:tc>
          <w:tcPr>
            <w:tcW w:w="2835" w:type="dxa"/>
          </w:tcPr>
          <w:p w14:paraId="2503C98B"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Place of birth</w:t>
            </w:r>
          </w:p>
        </w:tc>
        <w:tc>
          <w:tcPr>
            <w:tcW w:w="6096" w:type="dxa"/>
          </w:tcPr>
          <w:p w14:paraId="1D579A3D" w14:textId="77777777" w:rsidR="00C108FB" w:rsidRPr="00C108FB" w:rsidRDefault="00C108FB" w:rsidP="00C108FB">
            <w:pPr>
              <w:rPr>
                <w:rFonts w:ascii="Times New Roman" w:hAnsi="Times New Roman"/>
                <w:szCs w:val="24"/>
              </w:rPr>
            </w:pPr>
          </w:p>
        </w:tc>
      </w:tr>
      <w:tr w:rsidR="00C108FB" w:rsidRPr="00C108FB" w14:paraId="575B7D4B" w14:textId="77777777" w:rsidTr="0051015D">
        <w:tc>
          <w:tcPr>
            <w:tcW w:w="2835" w:type="dxa"/>
          </w:tcPr>
          <w:p w14:paraId="4C1C4806"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Place of residence in Nigeria</w:t>
            </w:r>
          </w:p>
        </w:tc>
        <w:tc>
          <w:tcPr>
            <w:tcW w:w="6096" w:type="dxa"/>
          </w:tcPr>
          <w:p w14:paraId="7403F85A" w14:textId="77777777" w:rsidR="00C108FB" w:rsidRPr="00C108FB" w:rsidRDefault="00C108FB" w:rsidP="00C108FB">
            <w:pPr>
              <w:rPr>
                <w:rFonts w:ascii="Times New Roman" w:hAnsi="Times New Roman"/>
                <w:szCs w:val="24"/>
              </w:rPr>
            </w:pPr>
          </w:p>
        </w:tc>
      </w:tr>
      <w:tr w:rsidR="00C108FB" w:rsidRPr="00C108FB" w14:paraId="09F62460" w14:textId="77777777" w:rsidTr="0051015D">
        <w:tc>
          <w:tcPr>
            <w:tcW w:w="2835" w:type="dxa"/>
          </w:tcPr>
          <w:p w14:paraId="6BE295F6"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Place of origin in Nigeria</w:t>
            </w:r>
          </w:p>
        </w:tc>
        <w:tc>
          <w:tcPr>
            <w:tcW w:w="6096" w:type="dxa"/>
          </w:tcPr>
          <w:p w14:paraId="6E9FF7E6" w14:textId="77777777" w:rsidR="00C108FB" w:rsidRPr="00C108FB" w:rsidRDefault="00C108FB" w:rsidP="00C108FB">
            <w:pPr>
              <w:rPr>
                <w:rFonts w:ascii="Times New Roman" w:hAnsi="Times New Roman"/>
                <w:szCs w:val="24"/>
              </w:rPr>
            </w:pPr>
          </w:p>
        </w:tc>
      </w:tr>
      <w:tr w:rsidR="00C108FB" w:rsidRPr="00C108FB" w14:paraId="42940C59" w14:textId="77777777" w:rsidTr="0051015D">
        <w:tc>
          <w:tcPr>
            <w:tcW w:w="2835" w:type="dxa"/>
          </w:tcPr>
          <w:p w14:paraId="42DE270E"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Main motivation for coming to the UK</w:t>
            </w:r>
          </w:p>
        </w:tc>
        <w:tc>
          <w:tcPr>
            <w:tcW w:w="6096" w:type="dxa"/>
          </w:tcPr>
          <w:p w14:paraId="5F8D160E" w14:textId="77777777" w:rsidR="00C108FB" w:rsidRPr="00C108FB" w:rsidRDefault="00C108FB" w:rsidP="00C108FB">
            <w:pPr>
              <w:rPr>
                <w:rFonts w:ascii="Times New Roman" w:hAnsi="Times New Roman"/>
                <w:szCs w:val="24"/>
              </w:rPr>
            </w:pPr>
          </w:p>
        </w:tc>
      </w:tr>
      <w:tr w:rsidR="00C108FB" w:rsidRPr="00C108FB" w14:paraId="1DBBC272" w14:textId="77777777" w:rsidTr="0051015D">
        <w:tc>
          <w:tcPr>
            <w:tcW w:w="2835" w:type="dxa"/>
          </w:tcPr>
          <w:p w14:paraId="44AA9670"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Time spent in main job before coming to the UK</w:t>
            </w:r>
          </w:p>
        </w:tc>
        <w:tc>
          <w:tcPr>
            <w:tcW w:w="6096" w:type="dxa"/>
          </w:tcPr>
          <w:p w14:paraId="5F5A13F0" w14:textId="77777777" w:rsidR="00C108FB" w:rsidRPr="00C108FB" w:rsidRDefault="00C108FB" w:rsidP="00C108FB">
            <w:pPr>
              <w:rPr>
                <w:rFonts w:ascii="Times New Roman" w:hAnsi="Times New Roman"/>
                <w:szCs w:val="24"/>
              </w:rPr>
            </w:pPr>
          </w:p>
        </w:tc>
      </w:tr>
      <w:tr w:rsidR="00C108FB" w:rsidRPr="00C108FB" w14:paraId="5ED1D7EB" w14:textId="77777777" w:rsidTr="0051015D">
        <w:tc>
          <w:tcPr>
            <w:tcW w:w="2835" w:type="dxa"/>
          </w:tcPr>
          <w:p w14:paraId="471F443D" w14:textId="77777777" w:rsidR="00C108FB" w:rsidRPr="00C108FB" w:rsidRDefault="00C108FB" w:rsidP="00C108FB">
            <w:pPr>
              <w:rPr>
                <w:rFonts w:ascii="Times New Roman" w:hAnsi="Times New Roman"/>
                <w:b/>
                <w:bCs/>
                <w:szCs w:val="24"/>
              </w:rPr>
            </w:pPr>
            <w:r w:rsidRPr="00C108FB">
              <w:rPr>
                <w:rFonts w:ascii="Times New Roman" w:hAnsi="Times New Roman"/>
                <w:b/>
                <w:bCs/>
                <w:szCs w:val="24"/>
              </w:rPr>
              <w:t>Time spent working as a care worker in the UK</w:t>
            </w:r>
          </w:p>
        </w:tc>
        <w:tc>
          <w:tcPr>
            <w:tcW w:w="6096" w:type="dxa"/>
          </w:tcPr>
          <w:p w14:paraId="1589B42D" w14:textId="77777777" w:rsidR="00C108FB" w:rsidRPr="00C108FB" w:rsidRDefault="00C108FB" w:rsidP="00C108FB">
            <w:pPr>
              <w:rPr>
                <w:rFonts w:ascii="Times New Roman" w:hAnsi="Times New Roman"/>
                <w:szCs w:val="24"/>
              </w:rPr>
            </w:pPr>
          </w:p>
        </w:tc>
      </w:tr>
    </w:tbl>
    <w:p w14:paraId="33554DB4" w14:textId="77777777" w:rsidR="00C108FB" w:rsidRPr="00C108FB" w:rsidRDefault="00C108FB" w:rsidP="00C108FB">
      <w:pPr>
        <w:spacing w:after="160" w:line="259" w:lineRule="auto"/>
        <w:rPr>
          <w:rFonts w:ascii="Calibri" w:eastAsia="Calibri" w:hAnsi="Calibri"/>
          <w:sz w:val="22"/>
          <w:lang w:eastAsia="en-US"/>
        </w:rPr>
      </w:pPr>
    </w:p>
    <w:p w14:paraId="7D935D4D" w14:textId="77777777" w:rsidR="00C108FB" w:rsidRPr="007A5FCB" w:rsidRDefault="00C108FB" w:rsidP="0031243E">
      <w:pPr>
        <w:jc w:val="both"/>
        <w:rPr>
          <w:rFonts w:eastAsia="MS Mincho" w:cs="Arial"/>
          <w:sz w:val="22"/>
          <w:lang w:val="en-US" w:eastAsia="en-US"/>
        </w:rPr>
      </w:pPr>
    </w:p>
    <w:sectPr w:rsidR="00C108FB" w:rsidRPr="007A5FCB" w:rsidSect="008A4376">
      <w:headerReference w:type="even" r:id="rId58"/>
      <w:headerReference w:type="default" r:id="rId59"/>
      <w:footerReference w:type="even" r:id="rId60"/>
      <w:footerReference w:type="default" r:id="rId61"/>
      <w:headerReference w:type="first" r:id="rId62"/>
      <w:footerReference w:type="first" r:id="rId63"/>
      <w:pgSz w:w="11906" w:h="16838"/>
      <w:pgMar w:top="1440" w:right="1797" w:bottom="1440" w:left="1797" w:header="709" w:footer="709" w:gutter="0"/>
      <w:pgNumType w:start="22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E8706" w14:textId="77777777" w:rsidR="00597A58" w:rsidRDefault="00597A58" w:rsidP="00286FC5">
      <w:r>
        <w:separator/>
      </w:r>
    </w:p>
  </w:endnote>
  <w:endnote w:type="continuationSeparator" w:id="0">
    <w:p w14:paraId="10936983" w14:textId="77777777" w:rsidR="00597A58" w:rsidRDefault="00597A58" w:rsidP="00286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Rounded MT Bold">
    <w:panose1 w:val="020F0704030504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B4045" w14:textId="77777777" w:rsidR="0010190A" w:rsidRDefault="0010190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1214763"/>
      <w:docPartObj>
        <w:docPartGallery w:val="Page Numbers (Bottom of Page)"/>
        <w:docPartUnique/>
      </w:docPartObj>
    </w:sdtPr>
    <w:sdtEndPr>
      <w:rPr>
        <w:noProof/>
      </w:rPr>
    </w:sdtEndPr>
    <w:sdtContent>
      <w:p w14:paraId="5B5EE976" w14:textId="77777777" w:rsidR="007332FB" w:rsidRDefault="007332FB">
        <w:pPr>
          <w:pStyle w:val="Footer"/>
          <w:jc w:val="center"/>
        </w:pPr>
        <w:r>
          <w:fldChar w:fldCharType="begin"/>
        </w:r>
        <w:r>
          <w:instrText xml:space="preserve"> PAGE   \* MERGEFORMAT </w:instrText>
        </w:r>
        <w:r>
          <w:fldChar w:fldCharType="separate"/>
        </w:r>
        <w:r>
          <w:rPr>
            <w:noProof/>
          </w:rPr>
          <w:t>30</w:t>
        </w:r>
        <w:r>
          <w:rPr>
            <w:noProof/>
          </w:rPr>
          <w:fldChar w:fldCharType="end"/>
        </w:r>
      </w:p>
    </w:sdtContent>
  </w:sdt>
  <w:p w14:paraId="632F4827" w14:textId="77777777" w:rsidR="007332FB" w:rsidRDefault="007332FB">
    <w:pPr>
      <w:pStyle w:val="Footer"/>
    </w:pPr>
  </w:p>
  <w:p w14:paraId="27EFFCC7" w14:textId="77777777" w:rsidR="007332FB" w:rsidRDefault="007332FB"/>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3D2FE" w14:textId="77777777" w:rsidR="0010190A" w:rsidRDefault="0010190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0526418"/>
      <w:docPartObj>
        <w:docPartGallery w:val="Page Numbers (Bottom of Page)"/>
        <w:docPartUnique/>
      </w:docPartObj>
    </w:sdtPr>
    <w:sdtEndPr>
      <w:rPr>
        <w:noProof/>
      </w:rPr>
    </w:sdtEndPr>
    <w:sdtContent>
      <w:p w14:paraId="0918EF8B" w14:textId="4C2C2E41" w:rsidR="0010190A" w:rsidRDefault="0010190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007CFF7" w14:textId="77777777" w:rsidR="0010190A" w:rsidRDefault="0010190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F4945" w14:textId="77777777" w:rsidR="0010190A" w:rsidRDefault="001019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1288889"/>
      <w:docPartObj>
        <w:docPartGallery w:val="Page Numbers (Bottom of Page)"/>
        <w:docPartUnique/>
      </w:docPartObj>
    </w:sdtPr>
    <w:sdtEndPr>
      <w:rPr>
        <w:noProof/>
      </w:rPr>
    </w:sdtEndPr>
    <w:sdtContent>
      <w:p w14:paraId="6ED33777" w14:textId="77777777" w:rsidR="0010190A" w:rsidRDefault="0010190A">
        <w:pPr>
          <w:pStyle w:val="Footer"/>
          <w:jc w:val="center"/>
        </w:pPr>
        <w:r>
          <w:fldChar w:fldCharType="begin"/>
        </w:r>
        <w:r>
          <w:instrText xml:space="preserve"> PAGE   \* MERGEFORMAT </w:instrText>
        </w:r>
        <w:r>
          <w:fldChar w:fldCharType="separate"/>
        </w:r>
        <w:r>
          <w:rPr>
            <w:noProof/>
          </w:rPr>
          <w:t>79</w:t>
        </w:r>
        <w:r>
          <w:rPr>
            <w:noProof/>
          </w:rPr>
          <w:fldChar w:fldCharType="end"/>
        </w:r>
      </w:p>
    </w:sdtContent>
  </w:sdt>
  <w:p w14:paraId="3803CEC9" w14:textId="77777777" w:rsidR="0010190A" w:rsidRDefault="001019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7F068" w14:textId="77777777" w:rsidR="0010190A" w:rsidRDefault="0010190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CABE8" w14:textId="77777777" w:rsidR="00811DBD" w:rsidRDefault="00811DB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6753524"/>
      <w:docPartObj>
        <w:docPartGallery w:val="Page Numbers (Bottom of Page)"/>
        <w:docPartUnique/>
      </w:docPartObj>
    </w:sdtPr>
    <w:sdtEndPr>
      <w:rPr>
        <w:noProof/>
      </w:rPr>
    </w:sdtEndPr>
    <w:sdtContent>
      <w:p w14:paraId="232B57F9" w14:textId="77777777" w:rsidR="00811DBD" w:rsidRDefault="00811DBD">
        <w:pPr>
          <w:pStyle w:val="Footer"/>
          <w:jc w:val="center"/>
        </w:pPr>
        <w:r>
          <w:fldChar w:fldCharType="begin"/>
        </w:r>
        <w:r>
          <w:instrText xml:space="preserve"> PAGE   \* MERGEFORMAT </w:instrText>
        </w:r>
        <w:r>
          <w:fldChar w:fldCharType="separate"/>
        </w:r>
        <w:r>
          <w:rPr>
            <w:noProof/>
          </w:rPr>
          <w:t>22</w:t>
        </w:r>
        <w:r>
          <w:rPr>
            <w:noProof/>
          </w:rPr>
          <w:fldChar w:fldCharType="end"/>
        </w:r>
      </w:p>
    </w:sdtContent>
  </w:sdt>
  <w:p w14:paraId="50DABD6E" w14:textId="77777777" w:rsidR="00811DBD" w:rsidRDefault="00811DB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8A000" w14:textId="77777777" w:rsidR="00811DBD" w:rsidRDefault="00811DB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1505768"/>
      <w:docPartObj>
        <w:docPartGallery w:val="Page Numbers (Bottom of Page)"/>
        <w:docPartUnique/>
      </w:docPartObj>
    </w:sdtPr>
    <w:sdtEndPr>
      <w:rPr>
        <w:noProof/>
      </w:rPr>
    </w:sdtEndPr>
    <w:sdtContent>
      <w:p w14:paraId="50BFD48A" w14:textId="77777777" w:rsidR="008407BB" w:rsidRDefault="008407B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A498D78" w14:textId="77777777" w:rsidR="008407BB" w:rsidRDefault="008407B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6251612"/>
      <w:docPartObj>
        <w:docPartGallery w:val="Page Numbers (Bottom of Page)"/>
        <w:docPartUnique/>
      </w:docPartObj>
    </w:sdtPr>
    <w:sdtEndPr>
      <w:rPr>
        <w:noProof/>
      </w:rPr>
    </w:sdtEndPr>
    <w:sdtContent>
      <w:p w14:paraId="23A1E83D" w14:textId="77777777" w:rsidR="008861F2" w:rsidRDefault="008861F2">
        <w:pPr>
          <w:pStyle w:val="Footer"/>
          <w:jc w:val="center"/>
        </w:pPr>
        <w:r>
          <w:fldChar w:fldCharType="begin"/>
        </w:r>
        <w:r>
          <w:instrText xml:space="preserve"> PAGE   \* MERGEFORMAT </w:instrText>
        </w:r>
        <w:r>
          <w:fldChar w:fldCharType="separate"/>
        </w:r>
        <w:r>
          <w:rPr>
            <w:noProof/>
          </w:rPr>
          <w:t>29</w:t>
        </w:r>
        <w:r>
          <w:rPr>
            <w:noProof/>
          </w:rPr>
          <w:fldChar w:fldCharType="end"/>
        </w:r>
      </w:p>
    </w:sdtContent>
  </w:sdt>
  <w:p w14:paraId="155728B5" w14:textId="77777777" w:rsidR="008861F2" w:rsidRDefault="008861F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1023359"/>
      <w:docPartObj>
        <w:docPartGallery w:val="Page Numbers (Bottom of Page)"/>
        <w:docPartUnique/>
      </w:docPartObj>
    </w:sdtPr>
    <w:sdtEndPr>
      <w:rPr>
        <w:noProof/>
      </w:rPr>
    </w:sdtEndPr>
    <w:sdtContent>
      <w:p w14:paraId="595A2FF6" w14:textId="77777777" w:rsidR="000B3E7A" w:rsidRDefault="000B3E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3EEC8B4" w14:textId="77777777" w:rsidR="000B3E7A" w:rsidRDefault="000B3E7A">
    <w:pPr>
      <w:pStyle w:val="Footer"/>
    </w:pPr>
  </w:p>
  <w:p w14:paraId="2A96A784" w14:textId="77777777" w:rsidR="000B3E7A" w:rsidRDefault="000B3E7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6B29D" w14:textId="77777777" w:rsidR="00597A58" w:rsidRDefault="00597A58" w:rsidP="00286FC5">
      <w:r>
        <w:separator/>
      </w:r>
    </w:p>
  </w:footnote>
  <w:footnote w:type="continuationSeparator" w:id="0">
    <w:p w14:paraId="1425CC09" w14:textId="77777777" w:rsidR="00597A58" w:rsidRDefault="00597A58" w:rsidP="00286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ED83B" w14:textId="77777777" w:rsidR="0010190A" w:rsidRDefault="001019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B5622" w14:textId="77777777" w:rsidR="0010190A" w:rsidRDefault="001019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BED4D" w14:textId="77777777" w:rsidR="0010190A" w:rsidRDefault="001019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0CF7B" w14:textId="77777777" w:rsidR="00811DBD" w:rsidRDefault="00811DB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27115" w14:textId="77777777" w:rsidR="00811DBD" w:rsidRDefault="00811DB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52307" w14:textId="77777777" w:rsidR="00811DBD" w:rsidRDefault="00811DB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E8F4E" w14:textId="77777777" w:rsidR="0010190A" w:rsidRDefault="0010190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F3938" w14:textId="77777777" w:rsidR="0010190A" w:rsidRPr="008C1C18" w:rsidRDefault="0010190A" w:rsidP="008C1C1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8233F" w14:textId="77777777" w:rsidR="0010190A" w:rsidRDefault="001019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0078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E46A1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B647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72EC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3AAE0F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B0CE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AE6A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D8FF8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FDC7EA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1341D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350FFC"/>
    <w:multiLevelType w:val="hybridMultilevel"/>
    <w:tmpl w:val="E654E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7F572C1"/>
    <w:multiLevelType w:val="multilevel"/>
    <w:tmpl w:val="5136DE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B5F62E0"/>
    <w:multiLevelType w:val="hybridMultilevel"/>
    <w:tmpl w:val="426214DC"/>
    <w:lvl w:ilvl="0" w:tplc="72E8B236">
      <w:start w:val="2"/>
      <w:numFmt w:val="decimal"/>
      <w:lvlText w:val="%1"/>
      <w:lvlJc w:val="left"/>
      <w:pPr>
        <w:ind w:left="72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F0B4F59"/>
    <w:multiLevelType w:val="multilevel"/>
    <w:tmpl w:val="BB82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474488"/>
    <w:multiLevelType w:val="hybridMultilevel"/>
    <w:tmpl w:val="CDD4D38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53055D"/>
    <w:multiLevelType w:val="hybridMultilevel"/>
    <w:tmpl w:val="F4E0C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135E62"/>
    <w:multiLevelType w:val="multilevel"/>
    <w:tmpl w:val="57165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3B6C29"/>
    <w:multiLevelType w:val="hybridMultilevel"/>
    <w:tmpl w:val="4E742A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DD641F1"/>
    <w:multiLevelType w:val="hybridMultilevel"/>
    <w:tmpl w:val="E7AEB3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E30B9D"/>
    <w:multiLevelType w:val="hybridMultilevel"/>
    <w:tmpl w:val="8E9EC21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3B106E4"/>
    <w:multiLevelType w:val="hybridMultilevel"/>
    <w:tmpl w:val="E654E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76912BA"/>
    <w:multiLevelType w:val="hybridMultilevel"/>
    <w:tmpl w:val="A9C46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0D2FBD"/>
    <w:multiLevelType w:val="singleLevel"/>
    <w:tmpl w:val="C45EC7AC"/>
    <w:lvl w:ilvl="0">
      <w:start w:val="1"/>
      <w:numFmt w:val="decimal"/>
      <w:lvlText w:val="%1."/>
      <w:lvlJc w:val="left"/>
      <w:pPr>
        <w:tabs>
          <w:tab w:val="num" w:pos="720"/>
        </w:tabs>
        <w:ind w:left="720" w:hanging="720"/>
      </w:pPr>
      <w:rPr>
        <w:rFonts w:cs="Times New Roman"/>
        <w:b/>
      </w:rPr>
    </w:lvl>
  </w:abstractNum>
  <w:abstractNum w:abstractNumId="23" w15:restartNumberingAfterBreak="0">
    <w:nsid w:val="348A5179"/>
    <w:multiLevelType w:val="hybridMultilevel"/>
    <w:tmpl w:val="CF266F04"/>
    <w:lvl w:ilvl="0" w:tplc="08090019">
      <w:start w:val="1"/>
      <w:numFmt w:val="lowerLetter"/>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4" w15:restartNumberingAfterBreak="0">
    <w:nsid w:val="36B45348"/>
    <w:multiLevelType w:val="hybridMultilevel"/>
    <w:tmpl w:val="21A87C54"/>
    <w:lvl w:ilvl="0" w:tplc="8A28A33E">
      <w:start w:val="1"/>
      <w:numFmt w:val="lowerRoman"/>
      <w:lvlText w:val="(%1)"/>
      <w:lvlJc w:val="left"/>
      <w:pPr>
        <w:ind w:left="1080" w:hanging="72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B451041"/>
    <w:multiLevelType w:val="hybridMultilevel"/>
    <w:tmpl w:val="E702CF5E"/>
    <w:lvl w:ilvl="0" w:tplc="08090019">
      <w:start w:val="1"/>
      <w:numFmt w:val="lowerLetter"/>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6" w15:restartNumberingAfterBreak="0">
    <w:nsid w:val="42B97A18"/>
    <w:multiLevelType w:val="multilevel"/>
    <w:tmpl w:val="6D5A8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30E2C51"/>
    <w:multiLevelType w:val="multilevel"/>
    <w:tmpl w:val="B65EC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124040"/>
    <w:multiLevelType w:val="hybridMultilevel"/>
    <w:tmpl w:val="2132CB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B984112"/>
    <w:multiLevelType w:val="hybridMultilevel"/>
    <w:tmpl w:val="D016739E"/>
    <w:lvl w:ilvl="0" w:tplc="A32C3C32">
      <w:start w:val="3"/>
      <w:numFmt w:val="decimal"/>
      <w:lvlText w:val="%1."/>
      <w:lvlJc w:val="left"/>
      <w:pPr>
        <w:ind w:left="72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1711EAB"/>
    <w:multiLevelType w:val="hybridMultilevel"/>
    <w:tmpl w:val="7D361166"/>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3E71587"/>
    <w:multiLevelType w:val="hybridMultilevel"/>
    <w:tmpl w:val="22E2AC68"/>
    <w:lvl w:ilvl="0" w:tplc="CD6426EA">
      <w:start w:val="1"/>
      <w:numFmt w:val="decimal"/>
      <w:lvlText w:val="%1."/>
      <w:lvlJc w:val="left"/>
      <w:pPr>
        <w:ind w:left="72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77A31B9"/>
    <w:multiLevelType w:val="hybridMultilevel"/>
    <w:tmpl w:val="A1BC4216"/>
    <w:lvl w:ilvl="0" w:tplc="08090019">
      <w:start w:val="1"/>
      <w:numFmt w:val="lowerLetter"/>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3" w15:restartNumberingAfterBreak="0">
    <w:nsid w:val="5B297CBD"/>
    <w:multiLevelType w:val="hybridMultilevel"/>
    <w:tmpl w:val="2EFA80C4"/>
    <w:lvl w:ilvl="0" w:tplc="F5206E0C">
      <w:start w:val="1"/>
      <w:numFmt w:val="lowerLetter"/>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34" w15:restartNumberingAfterBreak="0">
    <w:nsid w:val="5CDB102D"/>
    <w:multiLevelType w:val="multilevel"/>
    <w:tmpl w:val="6D5A8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84B54A7"/>
    <w:multiLevelType w:val="hybridMultilevel"/>
    <w:tmpl w:val="C292D162"/>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CF40EE2"/>
    <w:multiLevelType w:val="hybridMultilevel"/>
    <w:tmpl w:val="38EAB104"/>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194456"/>
    <w:multiLevelType w:val="singleLevel"/>
    <w:tmpl w:val="D14E5856"/>
    <w:lvl w:ilvl="0">
      <w:start w:val="1"/>
      <w:numFmt w:val="decimal"/>
      <w:lvlText w:val="%1."/>
      <w:lvlJc w:val="left"/>
      <w:pPr>
        <w:tabs>
          <w:tab w:val="num" w:pos="720"/>
        </w:tabs>
        <w:ind w:left="720" w:hanging="720"/>
      </w:pPr>
      <w:rPr>
        <w:rFonts w:cs="Times New Roman"/>
      </w:rPr>
    </w:lvl>
  </w:abstractNum>
  <w:num w:numId="1">
    <w:abstractNumId w:val="17"/>
  </w:num>
  <w:num w:numId="2">
    <w:abstractNumId w:val="10"/>
  </w:num>
  <w:num w:numId="3">
    <w:abstractNumId w:val="18"/>
  </w:num>
  <w:num w:numId="4">
    <w:abstractNumId w:val="20"/>
  </w:num>
  <w:num w:numId="5">
    <w:abstractNumId w:val="30"/>
  </w:num>
  <w:num w:numId="6">
    <w:abstractNumId w:val="35"/>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24"/>
  </w:num>
  <w:num w:numId="10">
    <w:abstractNumId w:val="16"/>
  </w:num>
  <w:num w:numId="11">
    <w:abstractNumId w:val="13"/>
  </w:num>
  <w:num w:numId="12">
    <w:abstractNumId w:val="11"/>
  </w:num>
  <w:num w:numId="13">
    <w:abstractNumId w:val="28"/>
  </w:num>
  <w:num w:numId="14">
    <w:abstractNumId w:val="15"/>
  </w:num>
  <w:num w:numId="15">
    <w:abstractNumId w:val="27"/>
  </w:num>
  <w:num w:numId="16">
    <w:abstractNumId w:val="33"/>
  </w:num>
  <w:num w:numId="17">
    <w:abstractNumId w:val="36"/>
  </w:num>
  <w:num w:numId="18">
    <w:abstractNumId w:val="21"/>
  </w:num>
  <w:num w:numId="19">
    <w:abstractNumId w:val="34"/>
    <w:lvlOverride w:ilvl="0">
      <w:startOverride w:val="2"/>
    </w:lvlOverride>
  </w:num>
  <w:num w:numId="20">
    <w:abstractNumId w:val="26"/>
  </w:num>
  <w:num w:numId="21">
    <w:abstractNumId w:val="37"/>
    <w:lvlOverride w:ilvl="0">
      <w:startOverride w:val="1"/>
    </w:lvlOverride>
  </w:num>
  <w:num w:numId="22">
    <w:abstractNumId w:val="22"/>
    <w:lvlOverride w:ilvl="0">
      <w:startOverride w:val="1"/>
    </w:lvlOverride>
  </w:num>
  <w:num w:numId="23">
    <w:abstractNumId w:val="23"/>
  </w:num>
  <w:num w:numId="24">
    <w:abstractNumId w:val="32"/>
  </w:num>
  <w:num w:numId="25">
    <w:abstractNumId w:val="12"/>
  </w:num>
  <w:num w:numId="26">
    <w:abstractNumId w:val="31"/>
  </w:num>
  <w:num w:numId="27">
    <w:abstractNumId w:val="29"/>
  </w:num>
  <w:num w:numId="28">
    <w:abstractNumId w:val="19"/>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7"/>
  </w:num>
  <w:num w:numId="36">
    <w:abstractNumId w:val="6"/>
  </w:num>
  <w:num w:numId="37">
    <w:abstractNumId w:val="5"/>
  </w:num>
  <w:num w:numId="38">
    <w:abstractNumId w:val="4"/>
  </w:num>
  <w:num w:numId="39">
    <w:abstractNumId w:val="8"/>
  </w:num>
  <w:num w:numId="40">
    <w:abstractNumId w:val="3"/>
  </w:num>
  <w:num w:numId="41">
    <w:abstractNumId w:val="2"/>
  </w:num>
  <w:num w:numId="42">
    <w:abstractNumId w:val="1"/>
  </w:num>
  <w:num w:numId="4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MwN7C0MDE2MzIzMDZQ0lEKTi0uzszPAykwMq4FAJx7tU4tAAAA"/>
  </w:docVars>
  <w:rsids>
    <w:rsidRoot w:val="00170663"/>
    <w:rsid w:val="00003B85"/>
    <w:rsid w:val="00011043"/>
    <w:rsid w:val="0002206D"/>
    <w:rsid w:val="000230CC"/>
    <w:rsid w:val="000258D2"/>
    <w:rsid w:val="00026B46"/>
    <w:rsid w:val="00034E94"/>
    <w:rsid w:val="00047641"/>
    <w:rsid w:val="00054353"/>
    <w:rsid w:val="00057258"/>
    <w:rsid w:val="00061CC7"/>
    <w:rsid w:val="00061D3D"/>
    <w:rsid w:val="000706DF"/>
    <w:rsid w:val="00071EA0"/>
    <w:rsid w:val="00075055"/>
    <w:rsid w:val="000818B4"/>
    <w:rsid w:val="00096168"/>
    <w:rsid w:val="00096B3F"/>
    <w:rsid w:val="000A7DA6"/>
    <w:rsid w:val="000B3E7A"/>
    <w:rsid w:val="000C06EF"/>
    <w:rsid w:val="000C646F"/>
    <w:rsid w:val="000D1BB1"/>
    <w:rsid w:val="000D249B"/>
    <w:rsid w:val="000D4876"/>
    <w:rsid w:val="000D4F5C"/>
    <w:rsid w:val="000F1FE4"/>
    <w:rsid w:val="00100C7D"/>
    <w:rsid w:val="0010190A"/>
    <w:rsid w:val="00110D28"/>
    <w:rsid w:val="00125365"/>
    <w:rsid w:val="00127026"/>
    <w:rsid w:val="00135AD2"/>
    <w:rsid w:val="0014111A"/>
    <w:rsid w:val="00166305"/>
    <w:rsid w:val="00170663"/>
    <w:rsid w:val="00170D8D"/>
    <w:rsid w:val="00173097"/>
    <w:rsid w:val="001734E6"/>
    <w:rsid w:val="00175CCD"/>
    <w:rsid w:val="00180AED"/>
    <w:rsid w:val="001855D0"/>
    <w:rsid w:val="0019143F"/>
    <w:rsid w:val="001A26CB"/>
    <w:rsid w:val="001A6EC9"/>
    <w:rsid w:val="001B072D"/>
    <w:rsid w:val="001B101D"/>
    <w:rsid w:val="001B1674"/>
    <w:rsid w:val="001C13B7"/>
    <w:rsid w:val="001C2663"/>
    <w:rsid w:val="001D74AE"/>
    <w:rsid w:val="001D7E0E"/>
    <w:rsid w:val="001E32A4"/>
    <w:rsid w:val="001E33B4"/>
    <w:rsid w:val="001E4FE1"/>
    <w:rsid w:val="001E7E7B"/>
    <w:rsid w:val="00203054"/>
    <w:rsid w:val="00207149"/>
    <w:rsid w:val="00210293"/>
    <w:rsid w:val="00213260"/>
    <w:rsid w:val="00215B89"/>
    <w:rsid w:val="00217EA9"/>
    <w:rsid w:val="00234BDE"/>
    <w:rsid w:val="002403AD"/>
    <w:rsid w:val="00256D3C"/>
    <w:rsid w:val="00260E21"/>
    <w:rsid w:val="00262ADC"/>
    <w:rsid w:val="00274186"/>
    <w:rsid w:val="00281778"/>
    <w:rsid w:val="002829FE"/>
    <w:rsid w:val="00283877"/>
    <w:rsid w:val="00286FC5"/>
    <w:rsid w:val="00287CA6"/>
    <w:rsid w:val="002B3708"/>
    <w:rsid w:val="002B5147"/>
    <w:rsid w:val="002C03C7"/>
    <w:rsid w:val="002C44F1"/>
    <w:rsid w:val="002C5F29"/>
    <w:rsid w:val="002D29B3"/>
    <w:rsid w:val="002E5B0C"/>
    <w:rsid w:val="002E5B61"/>
    <w:rsid w:val="002F567D"/>
    <w:rsid w:val="002F5F52"/>
    <w:rsid w:val="003022D9"/>
    <w:rsid w:val="0030289F"/>
    <w:rsid w:val="00304735"/>
    <w:rsid w:val="0031243E"/>
    <w:rsid w:val="00330180"/>
    <w:rsid w:val="003323FF"/>
    <w:rsid w:val="00333622"/>
    <w:rsid w:val="00336440"/>
    <w:rsid w:val="0035068D"/>
    <w:rsid w:val="0035414A"/>
    <w:rsid w:val="003563C2"/>
    <w:rsid w:val="00362185"/>
    <w:rsid w:val="00370AE3"/>
    <w:rsid w:val="00372043"/>
    <w:rsid w:val="003761A8"/>
    <w:rsid w:val="003811B7"/>
    <w:rsid w:val="00397750"/>
    <w:rsid w:val="003B20B5"/>
    <w:rsid w:val="003B5CB2"/>
    <w:rsid w:val="003C27CE"/>
    <w:rsid w:val="003C395C"/>
    <w:rsid w:val="003D0841"/>
    <w:rsid w:val="003D0921"/>
    <w:rsid w:val="003E00AE"/>
    <w:rsid w:val="003E3DED"/>
    <w:rsid w:val="00403026"/>
    <w:rsid w:val="00403B56"/>
    <w:rsid w:val="0040649C"/>
    <w:rsid w:val="00407EF0"/>
    <w:rsid w:val="004104FA"/>
    <w:rsid w:val="00410E75"/>
    <w:rsid w:val="00411190"/>
    <w:rsid w:val="0041356F"/>
    <w:rsid w:val="004139B1"/>
    <w:rsid w:val="00430387"/>
    <w:rsid w:val="00431892"/>
    <w:rsid w:val="004325DE"/>
    <w:rsid w:val="00434686"/>
    <w:rsid w:val="004513AB"/>
    <w:rsid w:val="00457FE6"/>
    <w:rsid w:val="00466767"/>
    <w:rsid w:val="00482433"/>
    <w:rsid w:val="004C4470"/>
    <w:rsid w:val="004C6217"/>
    <w:rsid w:val="004D3153"/>
    <w:rsid w:val="004D44B3"/>
    <w:rsid w:val="004E3766"/>
    <w:rsid w:val="004E64DF"/>
    <w:rsid w:val="004F028A"/>
    <w:rsid w:val="004F2A96"/>
    <w:rsid w:val="004F3EFD"/>
    <w:rsid w:val="004F4479"/>
    <w:rsid w:val="004F56B6"/>
    <w:rsid w:val="004F7BF0"/>
    <w:rsid w:val="0050048C"/>
    <w:rsid w:val="00503349"/>
    <w:rsid w:val="00507C04"/>
    <w:rsid w:val="005105F0"/>
    <w:rsid w:val="005130AA"/>
    <w:rsid w:val="005236F1"/>
    <w:rsid w:val="0052385A"/>
    <w:rsid w:val="00525711"/>
    <w:rsid w:val="00525805"/>
    <w:rsid w:val="00533493"/>
    <w:rsid w:val="00533782"/>
    <w:rsid w:val="005362BF"/>
    <w:rsid w:val="0054776D"/>
    <w:rsid w:val="00555901"/>
    <w:rsid w:val="005568C1"/>
    <w:rsid w:val="00556DE4"/>
    <w:rsid w:val="00565496"/>
    <w:rsid w:val="00567431"/>
    <w:rsid w:val="00577A41"/>
    <w:rsid w:val="00583258"/>
    <w:rsid w:val="00587DCB"/>
    <w:rsid w:val="00592FF6"/>
    <w:rsid w:val="00594CD4"/>
    <w:rsid w:val="005972FA"/>
    <w:rsid w:val="00597A58"/>
    <w:rsid w:val="00597D74"/>
    <w:rsid w:val="005A2615"/>
    <w:rsid w:val="005A26E7"/>
    <w:rsid w:val="005A4DF3"/>
    <w:rsid w:val="005A5E65"/>
    <w:rsid w:val="005B3FAB"/>
    <w:rsid w:val="005B5A47"/>
    <w:rsid w:val="005C73C8"/>
    <w:rsid w:val="005D087C"/>
    <w:rsid w:val="005D48C9"/>
    <w:rsid w:val="005D6976"/>
    <w:rsid w:val="005E43FC"/>
    <w:rsid w:val="005F2536"/>
    <w:rsid w:val="006007E9"/>
    <w:rsid w:val="00604485"/>
    <w:rsid w:val="006104FC"/>
    <w:rsid w:val="00610B02"/>
    <w:rsid w:val="00610B16"/>
    <w:rsid w:val="00614D87"/>
    <w:rsid w:val="006269D7"/>
    <w:rsid w:val="0062727A"/>
    <w:rsid w:val="0063728A"/>
    <w:rsid w:val="006408BF"/>
    <w:rsid w:val="00641F10"/>
    <w:rsid w:val="00652B68"/>
    <w:rsid w:val="006541EE"/>
    <w:rsid w:val="00676E0A"/>
    <w:rsid w:val="006869A3"/>
    <w:rsid w:val="00691B45"/>
    <w:rsid w:val="00692A96"/>
    <w:rsid w:val="006941A1"/>
    <w:rsid w:val="00694ED3"/>
    <w:rsid w:val="006A2AEF"/>
    <w:rsid w:val="006A2EB8"/>
    <w:rsid w:val="006A6384"/>
    <w:rsid w:val="006A7C85"/>
    <w:rsid w:val="006B1E25"/>
    <w:rsid w:val="006B7551"/>
    <w:rsid w:val="006B77C8"/>
    <w:rsid w:val="006C42DC"/>
    <w:rsid w:val="006D0D35"/>
    <w:rsid w:val="006D2123"/>
    <w:rsid w:val="006D471F"/>
    <w:rsid w:val="006D63AB"/>
    <w:rsid w:val="00700122"/>
    <w:rsid w:val="0070170F"/>
    <w:rsid w:val="00701D26"/>
    <w:rsid w:val="00714DCA"/>
    <w:rsid w:val="0072497C"/>
    <w:rsid w:val="00730F74"/>
    <w:rsid w:val="007332FB"/>
    <w:rsid w:val="00737883"/>
    <w:rsid w:val="00742840"/>
    <w:rsid w:val="00745834"/>
    <w:rsid w:val="00756415"/>
    <w:rsid w:val="007606B9"/>
    <w:rsid w:val="00765607"/>
    <w:rsid w:val="0076615E"/>
    <w:rsid w:val="0076702A"/>
    <w:rsid w:val="00774900"/>
    <w:rsid w:val="007822F5"/>
    <w:rsid w:val="00783BC9"/>
    <w:rsid w:val="00790466"/>
    <w:rsid w:val="007916CC"/>
    <w:rsid w:val="00795C66"/>
    <w:rsid w:val="00795F1B"/>
    <w:rsid w:val="007A20C1"/>
    <w:rsid w:val="007A32A0"/>
    <w:rsid w:val="007A5FCB"/>
    <w:rsid w:val="007C0CE6"/>
    <w:rsid w:val="007C365D"/>
    <w:rsid w:val="007C4412"/>
    <w:rsid w:val="007C5BFB"/>
    <w:rsid w:val="007D219D"/>
    <w:rsid w:val="007F6699"/>
    <w:rsid w:val="00800CB4"/>
    <w:rsid w:val="00804730"/>
    <w:rsid w:val="00811DBD"/>
    <w:rsid w:val="00815637"/>
    <w:rsid w:val="00822C70"/>
    <w:rsid w:val="00833717"/>
    <w:rsid w:val="00834A81"/>
    <w:rsid w:val="008407BB"/>
    <w:rsid w:val="0085338E"/>
    <w:rsid w:val="00855A40"/>
    <w:rsid w:val="008619D1"/>
    <w:rsid w:val="00864285"/>
    <w:rsid w:val="0087235A"/>
    <w:rsid w:val="00882CEB"/>
    <w:rsid w:val="008861F2"/>
    <w:rsid w:val="00890E61"/>
    <w:rsid w:val="008A4376"/>
    <w:rsid w:val="008B2318"/>
    <w:rsid w:val="008B2AA4"/>
    <w:rsid w:val="008B76CA"/>
    <w:rsid w:val="008C1C18"/>
    <w:rsid w:val="008C6B9B"/>
    <w:rsid w:val="008D29D3"/>
    <w:rsid w:val="008D6A56"/>
    <w:rsid w:val="008E3335"/>
    <w:rsid w:val="008E3AE8"/>
    <w:rsid w:val="009057AD"/>
    <w:rsid w:val="00910899"/>
    <w:rsid w:val="00913307"/>
    <w:rsid w:val="00920F66"/>
    <w:rsid w:val="00926BF3"/>
    <w:rsid w:val="00931FFD"/>
    <w:rsid w:val="0093321C"/>
    <w:rsid w:val="009448D3"/>
    <w:rsid w:val="00947625"/>
    <w:rsid w:val="00965CE7"/>
    <w:rsid w:val="00965DB7"/>
    <w:rsid w:val="009736EE"/>
    <w:rsid w:val="00977678"/>
    <w:rsid w:val="009822EF"/>
    <w:rsid w:val="00982B10"/>
    <w:rsid w:val="00986203"/>
    <w:rsid w:val="00997882"/>
    <w:rsid w:val="009A460A"/>
    <w:rsid w:val="009D24F0"/>
    <w:rsid w:val="009D2737"/>
    <w:rsid w:val="009D6CD1"/>
    <w:rsid w:val="009D7726"/>
    <w:rsid w:val="009D7AC7"/>
    <w:rsid w:val="009E028C"/>
    <w:rsid w:val="009E0434"/>
    <w:rsid w:val="009E33DB"/>
    <w:rsid w:val="009E7389"/>
    <w:rsid w:val="009F55BD"/>
    <w:rsid w:val="00A03BB5"/>
    <w:rsid w:val="00A06E70"/>
    <w:rsid w:val="00A13507"/>
    <w:rsid w:val="00A150A2"/>
    <w:rsid w:val="00A20DE7"/>
    <w:rsid w:val="00A23F49"/>
    <w:rsid w:val="00A317F5"/>
    <w:rsid w:val="00A32976"/>
    <w:rsid w:val="00A37B94"/>
    <w:rsid w:val="00A4795B"/>
    <w:rsid w:val="00A50D40"/>
    <w:rsid w:val="00A54669"/>
    <w:rsid w:val="00A57A16"/>
    <w:rsid w:val="00A62CDA"/>
    <w:rsid w:val="00A670D5"/>
    <w:rsid w:val="00A70935"/>
    <w:rsid w:val="00A73AFF"/>
    <w:rsid w:val="00A76AC1"/>
    <w:rsid w:val="00A87430"/>
    <w:rsid w:val="00A90F16"/>
    <w:rsid w:val="00A91AC8"/>
    <w:rsid w:val="00A921D4"/>
    <w:rsid w:val="00A9334C"/>
    <w:rsid w:val="00A961EB"/>
    <w:rsid w:val="00AA09B3"/>
    <w:rsid w:val="00AA0B97"/>
    <w:rsid w:val="00AA561E"/>
    <w:rsid w:val="00AA6A8F"/>
    <w:rsid w:val="00AB6A04"/>
    <w:rsid w:val="00AB7154"/>
    <w:rsid w:val="00AC1BA4"/>
    <w:rsid w:val="00AD3DE8"/>
    <w:rsid w:val="00AD553D"/>
    <w:rsid w:val="00AE59BA"/>
    <w:rsid w:val="00AE766F"/>
    <w:rsid w:val="00AF11C8"/>
    <w:rsid w:val="00AF2BB6"/>
    <w:rsid w:val="00AF6415"/>
    <w:rsid w:val="00B00C36"/>
    <w:rsid w:val="00B072BA"/>
    <w:rsid w:val="00B144DB"/>
    <w:rsid w:val="00B15497"/>
    <w:rsid w:val="00B171E4"/>
    <w:rsid w:val="00B26DB8"/>
    <w:rsid w:val="00B333AE"/>
    <w:rsid w:val="00B3344D"/>
    <w:rsid w:val="00B338E6"/>
    <w:rsid w:val="00B36B5E"/>
    <w:rsid w:val="00B459DB"/>
    <w:rsid w:val="00B470B5"/>
    <w:rsid w:val="00B61500"/>
    <w:rsid w:val="00B636EB"/>
    <w:rsid w:val="00B75585"/>
    <w:rsid w:val="00B76527"/>
    <w:rsid w:val="00B9137A"/>
    <w:rsid w:val="00B9196B"/>
    <w:rsid w:val="00B92618"/>
    <w:rsid w:val="00BA57C0"/>
    <w:rsid w:val="00BB6082"/>
    <w:rsid w:val="00BB7CCC"/>
    <w:rsid w:val="00BC17FD"/>
    <w:rsid w:val="00BC2A6C"/>
    <w:rsid w:val="00BC2B5B"/>
    <w:rsid w:val="00BC3D14"/>
    <w:rsid w:val="00BE15C9"/>
    <w:rsid w:val="00BE52DA"/>
    <w:rsid w:val="00BF1AA7"/>
    <w:rsid w:val="00BF36D9"/>
    <w:rsid w:val="00BF5FA9"/>
    <w:rsid w:val="00BF6572"/>
    <w:rsid w:val="00C0367E"/>
    <w:rsid w:val="00C108FB"/>
    <w:rsid w:val="00C521A9"/>
    <w:rsid w:val="00C54F71"/>
    <w:rsid w:val="00C6600D"/>
    <w:rsid w:val="00C663A9"/>
    <w:rsid w:val="00C77F66"/>
    <w:rsid w:val="00C836FC"/>
    <w:rsid w:val="00C90177"/>
    <w:rsid w:val="00C94215"/>
    <w:rsid w:val="00CA5D38"/>
    <w:rsid w:val="00CB09C9"/>
    <w:rsid w:val="00CB4377"/>
    <w:rsid w:val="00CB6BBF"/>
    <w:rsid w:val="00CB7C8D"/>
    <w:rsid w:val="00CC4B89"/>
    <w:rsid w:val="00CE3EA0"/>
    <w:rsid w:val="00CE460A"/>
    <w:rsid w:val="00CE4BA7"/>
    <w:rsid w:val="00CF2A52"/>
    <w:rsid w:val="00D00D6F"/>
    <w:rsid w:val="00D02EBA"/>
    <w:rsid w:val="00D10AB3"/>
    <w:rsid w:val="00D11FC5"/>
    <w:rsid w:val="00D1224E"/>
    <w:rsid w:val="00D14F30"/>
    <w:rsid w:val="00D17E69"/>
    <w:rsid w:val="00D210D9"/>
    <w:rsid w:val="00D443A9"/>
    <w:rsid w:val="00D550DC"/>
    <w:rsid w:val="00D5521E"/>
    <w:rsid w:val="00D56F66"/>
    <w:rsid w:val="00D60E4A"/>
    <w:rsid w:val="00D85ADD"/>
    <w:rsid w:val="00D954C2"/>
    <w:rsid w:val="00DA4696"/>
    <w:rsid w:val="00DA60B6"/>
    <w:rsid w:val="00DA7B01"/>
    <w:rsid w:val="00DC0E35"/>
    <w:rsid w:val="00DC76B7"/>
    <w:rsid w:val="00DF07BE"/>
    <w:rsid w:val="00DF3A52"/>
    <w:rsid w:val="00DF6D5B"/>
    <w:rsid w:val="00E0131F"/>
    <w:rsid w:val="00E03BEF"/>
    <w:rsid w:val="00E07803"/>
    <w:rsid w:val="00E20435"/>
    <w:rsid w:val="00E247B4"/>
    <w:rsid w:val="00E3462D"/>
    <w:rsid w:val="00E356CD"/>
    <w:rsid w:val="00E52F65"/>
    <w:rsid w:val="00E62C7D"/>
    <w:rsid w:val="00E642FA"/>
    <w:rsid w:val="00E64AE5"/>
    <w:rsid w:val="00E8043D"/>
    <w:rsid w:val="00E83E64"/>
    <w:rsid w:val="00E859FF"/>
    <w:rsid w:val="00EA702E"/>
    <w:rsid w:val="00EA7713"/>
    <w:rsid w:val="00EB21E6"/>
    <w:rsid w:val="00EC2DCF"/>
    <w:rsid w:val="00EC4FA4"/>
    <w:rsid w:val="00ED60B7"/>
    <w:rsid w:val="00ED6F50"/>
    <w:rsid w:val="00EE5ED0"/>
    <w:rsid w:val="00EE7377"/>
    <w:rsid w:val="00EF18EC"/>
    <w:rsid w:val="00EF5F4A"/>
    <w:rsid w:val="00EF6AF7"/>
    <w:rsid w:val="00F10112"/>
    <w:rsid w:val="00F15802"/>
    <w:rsid w:val="00F23E63"/>
    <w:rsid w:val="00F2588F"/>
    <w:rsid w:val="00F26AFC"/>
    <w:rsid w:val="00F27AFB"/>
    <w:rsid w:val="00F3644E"/>
    <w:rsid w:val="00F457FF"/>
    <w:rsid w:val="00F46A84"/>
    <w:rsid w:val="00F60C44"/>
    <w:rsid w:val="00F656B5"/>
    <w:rsid w:val="00F67439"/>
    <w:rsid w:val="00F71675"/>
    <w:rsid w:val="00F818A2"/>
    <w:rsid w:val="00F81F4E"/>
    <w:rsid w:val="00F83F2D"/>
    <w:rsid w:val="00F850E2"/>
    <w:rsid w:val="00FA4841"/>
    <w:rsid w:val="00FB09D1"/>
    <w:rsid w:val="00FB2701"/>
    <w:rsid w:val="00FB4268"/>
    <w:rsid w:val="00FB6DE3"/>
    <w:rsid w:val="00FC4D27"/>
    <w:rsid w:val="00FC73CC"/>
    <w:rsid w:val="00FC7796"/>
    <w:rsid w:val="00FD47E7"/>
    <w:rsid w:val="00FF18A9"/>
    <w:rsid w:val="00FF5026"/>
    <w:rsid w:val="00FF7B2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6A86C0"/>
  <w15:docId w15:val="{D60E5CBC-5EC2-47D0-BB15-4DAF0A641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0663"/>
    <w:pPr>
      <w:spacing w:after="240" w:line="360" w:lineRule="auto"/>
    </w:pPr>
    <w:rPr>
      <w:rFonts w:ascii="Arial" w:hAnsi="Arial"/>
      <w:sz w:val="24"/>
      <w:szCs w:val="22"/>
    </w:rPr>
  </w:style>
  <w:style w:type="paragraph" w:styleId="Heading1">
    <w:name w:val="heading 1"/>
    <w:basedOn w:val="Normal"/>
    <w:next w:val="Normal"/>
    <w:link w:val="Heading1Char"/>
    <w:autoRedefine/>
    <w:qFormat/>
    <w:rsid w:val="006869A3"/>
    <w:pPr>
      <w:shd w:val="clear" w:color="auto" w:fill="FFFFFF"/>
      <w:spacing w:line="253" w:lineRule="atLeast"/>
      <w:jc w:val="center"/>
      <w:outlineLvl w:val="0"/>
    </w:pPr>
    <w:rPr>
      <w:rFonts w:ascii="Times New Roman" w:hAnsi="Times New Roman"/>
      <w:b/>
      <w:bCs/>
      <w:szCs w:val="24"/>
    </w:rPr>
  </w:style>
  <w:style w:type="paragraph" w:styleId="Heading2">
    <w:name w:val="heading 2"/>
    <w:basedOn w:val="Normal"/>
    <w:next w:val="Normal"/>
    <w:link w:val="Heading2Char"/>
    <w:autoRedefine/>
    <w:qFormat/>
    <w:rsid w:val="006869A3"/>
    <w:pPr>
      <w:jc w:val="both"/>
      <w:outlineLvl w:val="1"/>
    </w:pPr>
    <w:rPr>
      <w:rFonts w:ascii="Times New Roman" w:hAnsi="Times New Roman"/>
      <w:b/>
      <w:szCs w:val="24"/>
    </w:rPr>
  </w:style>
  <w:style w:type="paragraph" w:styleId="Heading3">
    <w:name w:val="heading 3"/>
    <w:basedOn w:val="Normal"/>
    <w:next w:val="Normal"/>
    <w:link w:val="Heading3Char"/>
    <w:autoRedefine/>
    <w:qFormat/>
    <w:rsid w:val="006869A3"/>
    <w:pPr>
      <w:tabs>
        <w:tab w:val="left" w:pos="5445"/>
      </w:tabs>
      <w:jc w:val="both"/>
      <w:outlineLvl w:val="2"/>
    </w:pPr>
    <w:rPr>
      <w:rFonts w:ascii="Times New Roman" w:hAnsi="Times New Roman"/>
      <w:b/>
      <w:i/>
      <w:iCs/>
      <w:szCs w:val="24"/>
    </w:rPr>
  </w:style>
  <w:style w:type="paragraph" w:styleId="Heading4">
    <w:name w:val="heading 4"/>
    <w:basedOn w:val="Normal"/>
    <w:next w:val="Normal"/>
    <w:link w:val="Heading4Char"/>
    <w:uiPriority w:val="9"/>
    <w:semiHidden/>
    <w:unhideWhenUsed/>
    <w:qFormat/>
    <w:rsid w:val="00BE52D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autoRedefine/>
    <w:qFormat/>
    <w:rsid w:val="006869A3"/>
    <w:pPr>
      <w:jc w:val="both"/>
      <w:outlineLvl w:val="4"/>
    </w:pPr>
    <w:rPr>
      <w:rFonts w:ascii="Times New Roman" w:hAnsi="Times New Roman"/>
      <w:i/>
      <w:szCs w:val="24"/>
    </w:rPr>
  </w:style>
  <w:style w:type="paragraph" w:styleId="Heading6">
    <w:name w:val="heading 6"/>
    <w:basedOn w:val="Normal"/>
    <w:next w:val="Normal"/>
    <w:link w:val="Heading6Char"/>
    <w:uiPriority w:val="9"/>
    <w:semiHidden/>
    <w:unhideWhenUsed/>
    <w:qFormat/>
    <w:rsid w:val="00BE52DA"/>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E52DA"/>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E52DA"/>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E52D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071EA0"/>
    <w:pPr>
      <w:contextualSpacing/>
    </w:pPr>
    <w:rPr>
      <w:rFonts w:eastAsiaTheme="majorEastAsia" w:cs="Arial"/>
      <w:color w:val="1F3864" w:themeColor="accent1" w:themeShade="80"/>
      <w:spacing w:val="-10"/>
      <w:kern w:val="28"/>
      <w:sz w:val="56"/>
      <w:szCs w:val="56"/>
    </w:rPr>
  </w:style>
  <w:style w:type="character" w:customStyle="1" w:styleId="TitleChar">
    <w:name w:val="Title Char"/>
    <w:basedOn w:val="DefaultParagraphFont"/>
    <w:link w:val="Title"/>
    <w:uiPriority w:val="10"/>
    <w:rsid w:val="00071EA0"/>
    <w:rPr>
      <w:rFonts w:ascii="Arial" w:eastAsiaTheme="majorEastAsia" w:hAnsi="Arial" w:cs="Arial"/>
      <w:color w:val="1F3864" w:themeColor="accent1" w:themeShade="80"/>
      <w:spacing w:val="-10"/>
      <w:kern w:val="28"/>
      <w:sz w:val="56"/>
      <w:szCs w:val="56"/>
    </w:rPr>
  </w:style>
  <w:style w:type="paragraph" w:styleId="Subtitle">
    <w:name w:val="Subtitle"/>
    <w:basedOn w:val="Normal"/>
    <w:next w:val="Normal"/>
    <w:link w:val="SubtitleChar"/>
    <w:autoRedefine/>
    <w:uiPriority w:val="11"/>
    <w:qFormat/>
    <w:rsid w:val="007C0CE6"/>
    <w:pPr>
      <w:numPr>
        <w:ilvl w:val="1"/>
      </w:numPr>
      <w:spacing w:after="160"/>
    </w:pPr>
    <w:rPr>
      <w:rFonts w:eastAsiaTheme="minorEastAsia" w:cstheme="minorBidi"/>
      <w:color w:val="1F3864" w:themeColor="accent1" w:themeShade="80"/>
      <w:spacing w:val="15"/>
      <w:sz w:val="25"/>
    </w:rPr>
  </w:style>
  <w:style w:type="character" w:customStyle="1" w:styleId="SubtitleChar">
    <w:name w:val="Subtitle Char"/>
    <w:basedOn w:val="DefaultParagraphFont"/>
    <w:link w:val="Subtitle"/>
    <w:uiPriority w:val="11"/>
    <w:rsid w:val="007C0CE6"/>
    <w:rPr>
      <w:rFonts w:ascii="Arial" w:eastAsiaTheme="minorEastAsia" w:hAnsi="Arial" w:cstheme="minorBidi"/>
      <w:color w:val="1F3864" w:themeColor="accent1" w:themeShade="80"/>
      <w:spacing w:val="15"/>
      <w:sz w:val="25"/>
      <w:szCs w:val="22"/>
    </w:rPr>
  </w:style>
  <w:style w:type="character" w:styleId="SubtleEmphasis">
    <w:name w:val="Subtle Emphasis"/>
    <w:basedOn w:val="DefaultParagraphFont"/>
    <w:uiPriority w:val="19"/>
    <w:qFormat/>
    <w:rsid w:val="00071EA0"/>
    <w:rPr>
      <w:rFonts w:ascii="Arial Rounded MT Bold" w:hAnsi="Arial Rounded MT Bold"/>
      <w:i w:val="0"/>
      <w:iCs/>
      <w:color w:val="1F3864" w:themeColor="accent1" w:themeShade="80"/>
      <w:sz w:val="25"/>
    </w:rPr>
  </w:style>
  <w:style w:type="paragraph" w:styleId="BalloonText">
    <w:name w:val="Balloon Text"/>
    <w:basedOn w:val="Normal"/>
    <w:link w:val="BalloonTextChar"/>
    <w:uiPriority w:val="99"/>
    <w:semiHidden/>
    <w:unhideWhenUsed/>
    <w:rsid w:val="0091330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3307"/>
    <w:rPr>
      <w:rFonts w:ascii="Segoe UI" w:hAnsi="Segoe UI" w:cs="Segoe UI"/>
      <w:sz w:val="18"/>
      <w:szCs w:val="18"/>
    </w:rPr>
  </w:style>
  <w:style w:type="paragraph" w:styleId="Header">
    <w:name w:val="header"/>
    <w:basedOn w:val="Normal"/>
    <w:link w:val="HeaderChar"/>
    <w:uiPriority w:val="99"/>
    <w:unhideWhenUsed/>
    <w:rsid w:val="00286FC5"/>
    <w:pPr>
      <w:tabs>
        <w:tab w:val="center" w:pos="4320"/>
        <w:tab w:val="right" w:pos="8640"/>
      </w:tabs>
    </w:pPr>
  </w:style>
  <w:style w:type="character" w:customStyle="1" w:styleId="HeaderChar">
    <w:name w:val="Header Char"/>
    <w:basedOn w:val="DefaultParagraphFont"/>
    <w:link w:val="Header"/>
    <w:uiPriority w:val="99"/>
    <w:rsid w:val="00286FC5"/>
    <w:rPr>
      <w:rFonts w:ascii="Arial" w:hAnsi="Arial"/>
      <w:sz w:val="22"/>
      <w:szCs w:val="22"/>
    </w:rPr>
  </w:style>
  <w:style w:type="paragraph" w:styleId="Footer">
    <w:name w:val="footer"/>
    <w:basedOn w:val="Normal"/>
    <w:link w:val="FooterChar"/>
    <w:uiPriority w:val="99"/>
    <w:unhideWhenUsed/>
    <w:rsid w:val="00286FC5"/>
    <w:pPr>
      <w:tabs>
        <w:tab w:val="center" w:pos="4320"/>
        <w:tab w:val="right" w:pos="8640"/>
      </w:tabs>
    </w:pPr>
  </w:style>
  <w:style w:type="character" w:customStyle="1" w:styleId="FooterChar">
    <w:name w:val="Footer Char"/>
    <w:basedOn w:val="DefaultParagraphFont"/>
    <w:link w:val="Footer"/>
    <w:uiPriority w:val="99"/>
    <w:rsid w:val="00286FC5"/>
    <w:rPr>
      <w:rFonts w:ascii="Arial" w:hAnsi="Arial"/>
      <w:sz w:val="22"/>
      <w:szCs w:val="22"/>
    </w:rPr>
  </w:style>
  <w:style w:type="paragraph" w:styleId="Caption">
    <w:name w:val="caption"/>
    <w:basedOn w:val="Normal"/>
    <w:next w:val="Normal"/>
    <w:uiPriority w:val="35"/>
    <w:unhideWhenUsed/>
    <w:qFormat/>
    <w:rsid w:val="004325DE"/>
    <w:pPr>
      <w:spacing w:after="200" w:line="240" w:lineRule="auto"/>
      <w:jc w:val="center"/>
    </w:pPr>
    <w:rPr>
      <w:iCs/>
      <w:sz w:val="18"/>
      <w:szCs w:val="18"/>
    </w:rPr>
  </w:style>
  <w:style w:type="paragraph" w:styleId="ListParagraph">
    <w:name w:val="List Paragraph"/>
    <w:basedOn w:val="Normal"/>
    <w:uiPriority w:val="34"/>
    <w:qFormat/>
    <w:rsid w:val="00170663"/>
    <w:pPr>
      <w:spacing w:after="200" w:line="276" w:lineRule="auto"/>
      <w:ind w:left="720"/>
      <w:contextualSpacing/>
    </w:pPr>
    <w:rPr>
      <w:rFonts w:asciiTheme="minorHAnsi" w:eastAsiaTheme="minorHAnsi" w:hAnsiTheme="minorHAnsi" w:cstheme="minorBidi"/>
      <w:sz w:val="22"/>
      <w:lang w:eastAsia="en-US"/>
    </w:rPr>
  </w:style>
  <w:style w:type="character" w:customStyle="1" w:styleId="Heading1Char">
    <w:name w:val="Heading 1 Char"/>
    <w:basedOn w:val="DefaultParagraphFont"/>
    <w:link w:val="Heading1"/>
    <w:rsid w:val="006869A3"/>
    <w:rPr>
      <w:b/>
      <w:bCs/>
      <w:sz w:val="24"/>
      <w:szCs w:val="24"/>
      <w:shd w:val="clear" w:color="auto" w:fill="FFFFFF"/>
    </w:rPr>
  </w:style>
  <w:style w:type="character" w:customStyle="1" w:styleId="Heading2Char">
    <w:name w:val="Heading 2 Char"/>
    <w:basedOn w:val="DefaultParagraphFont"/>
    <w:link w:val="Heading2"/>
    <w:rsid w:val="006869A3"/>
    <w:rPr>
      <w:b/>
      <w:sz w:val="24"/>
      <w:szCs w:val="24"/>
    </w:rPr>
  </w:style>
  <w:style w:type="character" w:customStyle="1" w:styleId="Heading3Char">
    <w:name w:val="Heading 3 Char"/>
    <w:basedOn w:val="DefaultParagraphFont"/>
    <w:link w:val="Heading3"/>
    <w:rsid w:val="006869A3"/>
    <w:rPr>
      <w:b/>
      <w:i/>
      <w:iCs/>
      <w:sz w:val="24"/>
      <w:szCs w:val="24"/>
    </w:rPr>
  </w:style>
  <w:style w:type="character" w:customStyle="1" w:styleId="Heading5Char">
    <w:name w:val="Heading 5 Char"/>
    <w:basedOn w:val="DefaultParagraphFont"/>
    <w:link w:val="Heading5"/>
    <w:rsid w:val="006869A3"/>
    <w:rPr>
      <w:i/>
      <w:sz w:val="24"/>
      <w:szCs w:val="24"/>
    </w:rPr>
  </w:style>
  <w:style w:type="character" w:customStyle="1" w:styleId="authors">
    <w:name w:val="authors"/>
    <w:basedOn w:val="DefaultParagraphFont"/>
    <w:rsid w:val="00170663"/>
  </w:style>
  <w:style w:type="character" w:customStyle="1" w:styleId="Date1">
    <w:name w:val="Date1"/>
    <w:basedOn w:val="DefaultParagraphFont"/>
    <w:rsid w:val="00170663"/>
  </w:style>
  <w:style w:type="character" w:styleId="Hyperlink">
    <w:name w:val="Hyperlink"/>
    <w:basedOn w:val="DefaultParagraphFont"/>
    <w:uiPriority w:val="99"/>
    <w:unhideWhenUsed/>
    <w:rsid w:val="00170663"/>
    <w:rPr>
      <w:color w:val="0563C1" w:themeColor="hyperlink"/>
      <w:u w:val="single"/>
    </w:rPr>
  </w:style>
  <w:style w:type="character" w:customStyle="1" w:styleId="hlfld-contribauthor">
    <w:name w:val="hlfld-contribauthor"/>
    <w:basedOn w:val="DefaultParagraphFont"/>
    <w:rsid w:val="00170663"/>
  </w:style>
  <w:style w:type="character" w:customStyle="1" w:styleId="nlmgiven-names">
    <w:name w:val="nlm_given-names"/>
    <w:basedOn w:val="DefaultParagraphFont"/>
    <w:rsid w:val="00170663"/>
  </w:style>
  <w:style w:type="character" w:customStyle="1" w:styleId="nlmyear">
    <w:name w:val="nlm_year"/>
    <w:basedOn w:val="DefaultParagraphFont"/>
    <w:rsid w:val="00170663"/>
  </w:style>
  <w:style w:type="character" w:customStyle="1" w:styleId="nlmpublisher-loc">
    <w:name w:val="nlm_publisher-loc"/>
    <w:basedOn w:val="DefaultParagraphFont"/>
    <w:rsid w:val="00170663"/>
  </w:style>
  <w:style w:type="character" w:customStyle="1" w:styleId="nlmpublisher-name">
    <w:name w:val="nlm_publisher-name"/>
    <w:basedOn w:val="DefaultParagraphFont"/>
    <w:rsid w:val="00170663"/>
  </w:style>
  <w:style w:type="character" w:customStyle="1" w:styleId="arttitle">
    <w:name w:val="art_title"/>
    <w:basedOn w:val="DefaultParagraphFont"/>
    <w:rsid w:val="00170663"/>
  </w:style>
  <w:style w:type="character" w:customStyle="1" w:styleId="serialtitle">
    <w:name w:val="serial_title"/>
    <w:basedOn w:val="DefaultParagraphFont"/>
    <w:rsid w:val="00170663"/>
  </w:style>
  <w:style w:type="character" w:customStyle="1" w:styleId="volumeissue">
    <w:name w:val="volume_issue"/>
    <w:basedOn w:val="DefaultParagraphFont"/>
    <w:rsid w:val="00170663"/>
  </w:style>
  <w:style w:type="character" w:customStyle="1" w:styleId="pagerange">
    <w:name w:val="page_range"/>
    <w:basedOn w:val="DefaultParagraphFont"/>
    <w:rsid w:val="00170663"/>
  </w:style>
  <w:style w:type="character" w:styleId="CommentReference">
    <w:name w:val="annotation reference"/>
    <w:basedOn w:val="DefaultParagraphFont"/>
    <w:uiPriority w:val="99"/>
    <w:semiHidden/>
    <w:unhideWhenUsed/>
    <w:rsid w:val="00170663"/>
    <w:rPr>
      <w:sz w:val="16"/>
      <w:szCs w:val="16"/>
    </w:rPr>
  </w:style>
  <w:style w:type="paragraph" w:styleId="CommentText">
    <w:name w:val="annotation text"/>
    <w:basedOn w:val="Normal"/>
    <w:link w:val="CommentTextChar"/>
    <w:uiPriority w:val="99"/>
    <w:unhideWhenUsed/>
    <w:rsid w:val="00170663"/>
    <w:pPr>
      <w:spacing w:after="200" w:line="240" w:lineRule="auto"/>
    </w:pPr>
    <w:rPr>
      <w:rFonts w:ascii="Calibri" w:eastAsia="Calibri" w:hAnsi="Calibri"/>
      <w:sz w:val="20"/>
      <w:szCs w:val="20"/>
      <w:lang w:eastAsia="en-US"/>
    </w:rPr>
  </w:style>
  <w:style w:type="character" w:customStyle="1" w:styleId="CommentTextChar">
    <w:name w:val="Comment Text Char"/>
    <w:basedOn w:val="DefaultParagraphFont"/>
    <w:link w:val="CommentText"/>
    <w:uiPriority w:val="99"/>
    <w:rsid w:val="00170663"/>
    <w:rPr>
      <w:rFonts w:ascii="Calibri" w:eastAsia="Calibri" w:hAnsi="Calibri"/>
      <w:lang w:eastAsia="en-US"/>
    </w:rPr>
  </w:style>
  <w:style w:type="paragraph" w:styleId="CommentSubject">
    <w:name w:val="annotation subject"/>
    <w:basedOn w:val="CommentText"/>
    <w:next w:val="CommentText"/>
    <w:link w:val="CommentSubjectChar"/>
    <w:uiPriority w:val="99"/>
    <w:semiHidden/>
    <w:unhideWhenUsed/>
    <w:rsid w:val="00170663"/>
    <w:rPr>
      <w:b/>
      <w:bCs/>
    </w:rPr>
  </w:style>
  <w:style w:type="character" w:customStyle="1" w:styleId="CommentSubjectChar">
    <w:name w:val="Comment Subject Char"/>
    <w:basedOn w:val="CommentTextChar"/>
    <w:link w:val="CommentSubject"/>
    <w:uiPriority w:val="99"/>
    <w:semiHidden/>
    <w:rsid w:val="00170663"/>
    <w:rPr>
      <w:rFonts w:ascii="Calibri" w:eastAsia="Calibri" w:hAnsi="Calibri"/>
      <w:b/>
      <w:bCs/>
      <w:lang w:eastAsia="en-US"/>
    </w:rPr>
  </w:style>
  <w:style w:type="paragraph" w:styleId="NoSpacing">
    <w:name w:val="No Spacing"/>
    <w:uiPriority w:val="1"/>
    <w:qFormat/>
    <w:rsid w:val="00170663"/>
    <w:rPr>
      <w:rFonts w:ascii="Calibri" w:eastAsia="Calibri" w:hAnsi="Calibri"/>
      <w:sz w:val="22"/>
      <w:szCs w:val="22"/>
      <w:lang w:eastAsia="en-US"/>
    </w:rPr>
  </w:style>
  <w:style w:type="paragraph" w:customStyle="1" w:styleId="paragraph">
    <w:name w:val="paragraph"/>
    <w:basedOn w:val="Normal"/>
    <w:rsid w:val="00170663"/>
    <w:pPr>
      <w:spacing w:before="100" w:beforeAutospacing="1" w:after="100" w:afterAutospacing="1" w:line="240" w:lineRule="auto"/>
    </w:pPr>
    <w:rPr>
      <w:rFonts w:ascii="Times New Roman" w:hAnsi="Times New Roman"/>
      <w:szCs w:val="24"/>
    </w:rPr>
  </w:style>
  <w:style w:type="character" w:customStyle="1" w:styleId="normaltextrun">
    <w:name w:val="normaltextrun"/>
    <w:basedOn w:val="DefaultParagraphFont"/>
    <w:rsid w:val="00170663"/>
  </w:style>
  <w:style w:type="character" w:customStyle="1" w:styleId="eop">
    <w:name w:val="eop"/>
    <w:basedOn w:val="DefaultParagraphFont"/>
    <w:rsid w:val="00170663"/>
  </w:style>
  <w:style w:type="paragraph" w:customStyle="1" w:styleId="svarticle">
    <w:name w:val="svarticle"/>
    <w:basedOn w:val="Normal"/>
    <w:rsid w:val="00170663"/>
    <w:pPr>
      <w:spacing w:before="100" w:beforeAutospacing="1" w:after="100" w:afterAutospacing="1" w:line="240" w:lineRule="auto"/>
    </w:pPr>
    <w:rPr>
      <w:rFonts w:ascii="Times New Roman" w:hAnsi="Times New Roman"/>
      <w:szCs w:val="24"/>
      <w:lang w:val="en-US" w:eastAsia="en-US"/>
    </w:rPr>
  </w:style>
  <w:style w:type="character" w:customStyle="1" w:styleId="citation">
    <w:name w:val="citation"/>
    <w:basedOn w:val="DefaultParagraphFont"/>
    <w:rsid w:val="00170663"/>
  </w:style>
  <w:style w:type="character" w:customStyle="1" w:styleId="ref-journal">
    <w:name w:val="ref-journal"/>
    <w:basedOn w:val="DefaultParagraphFont"/>
    <w:rsid w:val="00170663"/>
  </w:style>
  <w:style w:type="character" w:customStyle="1" w:styleId="apple-style-span">
    <w:name w:val="apple-style-span"/>
    <w:basedOn w:val="DefaultParagraphFont"/>
    <w:rsid w:val="00170663"/>
  </w:style>
  <w:style w:type="character" w:customStyle="1" w:styleId="st">
    <w:name w:val="st"/>
    <w:basedOn w:val="DefaultParagraphFont"/>
    <w:rsid w:val="00170663"/>
  </w:style>
  <w:style w:type="character" w:styleId="Emphasis">
    <w:name w:val="Emphasis"/>
    <w:basedOn w:val="DefaultParagraphFont"/>
    <w:uiPriority w:val="20"/>
    <w:qFormat/>
    <w:rsid w:val="00170663"/>
    <w:rPr>
      <w:i/>
      <w:iCs/>
    </w:rPr>
  </w:style>
  <w:style w:type="paragraph" w:styleId="FootnoteText">
    <w:name w:val="footnote text"/>
    <w:basedOn w:val="Normal"/>
    <w:link w:val="FootnoteTextChar"/>
    <w:semiHidden/>
    <w:rsid w:val="00170663"/>
    <w:pPr>
      <w:spacing w:after="0" w:line="240" w:lineRule="auto"/>
    </w:pPr>
    <w:rPr>
      <w:rFonts w:ascii="Times New Roman" w:hAnsi="Times New Roman"/>
      <w:sz w:val="20"/>
      <w:szCs w:val="20"/>
      <w:lang w:val="en-US" w:eastAsia="en-US"/>
    </w:rPr>
  </w:style>
  <w:style w:type="character" w:customStyle="1" w:styleId="FootnoteTextChar">
    <w:name w:val="Footnote Text Char"/>
    <w:basedOn w:val="DefaultParagraphFont"/>
    <w:link w:val="FootnoteText"/>
    <w:semiHidden/>
    <w:rsid w:val="00170663"/>
    <w:rPr>
      <w:lang w:val="en-US" w:eastAsia="en-US"/>
    </w:rPr>
  </w:style>
  <w:style w:type="character" w:styleId="FootnoteReference">
    <w:name w:val="footnote reference"/>
    <w:basedOn w:val="DefaultParagraphFont"/>
    <w:semiHidden/>
    <w:rsid w:val="00170663"/>
    <w:rPr>
      <w:vertAlign w:val="superscript"/>
    </w:rPr>
  </w:style>
  <w:style w:type="paragraph" w:styleId="TOCHeading">
    <w:name w:val="TOC Heading"/>
    <w:basedOn w:val="Heading1"/>
    <w:next w:val="Normal"/>
    <w:uiPriority w:val="39"/>
    <w:unhideWhenUsed/>
    <w:qFormat/>
    <w:rsid w:val="00170663"/>
    <w:pPr>
      <w:keepLines/>
      <w:spacing w:after="0" w:line="259" w:lineRule="auto"/>
      <w:outlineLvl w:val="9"/>
    </w:pPr>
    <w:rPr>
      <w:rFonts w:asciiTheme="majorHAnsi" w:eastAsiaTheme="majorEastAsia" w:hAnsiTheme="majorHAnsi" w:cstheme="majorBidi"/>
      <w:b w:val="0"/>
      <w:bCs w:val="0"/>
      <w:color w:val="2F5496" w:themeColor="accent1" w:themeShade="BF"/>
      <w:sz w:val="32"/>
      <w:lang w:val="en-US" w:eastAsia="en-US"/>
    </w:rPr>
  </w:style>
  <w:style w:type="paragraph" w:styleId="TOC2">
    <w:name w:val="toc 2"/>
    <w:basedOn w:val="Normal"/>
    <w:next w:val="Normal"/>
    <w:autoRedefine/>
    <w:uiPriority w:val="39"/>
    <w:unhideWhenUsed/>
    <w:rsid w:val="00170663"/>
    <w:pPr>
      <w:spacing w:after="100" w:line="259" w:lineRule="auto"/>
      <w:ind w:left="220"/>
    </w:pPr>
    <w:rPr>
      <w:rFonts w:asciiTheme="minorHAnsi" w:eastAsiaTheme="minorEastAsia" w:hAnsiTheme="minorHAnsi"/>
      <w:sz w:val="22"/>
      <w:lang w:val="en-US" w:eastAsia="en-US"/>
    </w:rPr>
  </w:style>
  <w:style w:type="paragraph" w:styleId="TOC1">
    <w:name w:val="toc 1"/>
    <w:basedOn w:val="Normal"/>
    <w:next w:val="Normal"/>
    <w:autoRedefine/>
    <w:uiPriority w:val="39"/>
    <w:unhideWhenUsed/>
    <w:rsid w:val="00170663"/>
    <w:pPr>
      <w:spacing w:after="100" w:line="259" w:lineRule="auto"/>
    </w:pPr>
    <w:rPr>
      <w:rFonts w:asciiTheme="minorHAnsi" w:eastAsiaTheme="minorEastAsia" w:hAnsiTheme="minorHAnsi"/>
      <w:sz w:val="22"/>
      <w:lang w:val="en-US" w:eastAsia="en-US"/>
    </w:rPr>
  </w:style>
  <w:style w:type="paragraph" w:styleId="TOC3">
    <w:name w:val="toc 3"/>
    <w:basedOn w:val="Normal"/>
    <w:next w:val="Normal"/>
    <w:autoRedefine/>
    <w:uiPriority w:val="39"/>
    <w:unhideWhenUsed/>
    <w:rsid w:val="00170663"/>
    <w:pPr>
      <w:spacing w:after="100" w:line="259" w:lineRule="auto"/>
      <w:ind w:left="440"/>
    </w:pPr>
    <w:rPr>
      <w:rFonts w:asciiTheme="minorHAnsi" w:eastAsiaTheme="minorEastAsia" w:hAnsiTheme="minorHAnsi"/>
      <w:sz w:val="22"/>
      <w:lang w:val="en-US" w:eastAsia="en-US"/>
    </w:rPr>
  </w:style>
  <w:style w:type="character" w:customStyle="1" w:styleId="ln2">
    <w:name w:val="ln2"/>
    <w:basedOn w:val="DefaultParagraphFont"/>
    <w:rsid w:val="00170663"/>
  </w:style>
  <w:style w:type="character" w:customStyle="1" w:styleId="spellingerror">
    <w:name w:val="spellingerror"/>
    <w:basedOn w:val="DefaultParagraphFont"/>
    <w:rsid w:val="00170663"/>
  </w:style>
  <w:style w:type="character" w:styleId="HTMLCite">
    <w:name w:val="HTML Cite"/>
    <w:basedOn w:val="DefaultParagraphFont"/>
    <w:uiPriority w:val="99"/>
    <w:semiHidden/>
    <w:unhideWhenUsed/>
    <w:rsid w:val="00170663"/>
    <w:rPr>
      <w:i/>
      <w:iCs/>
    </w:rPr>
  </w:style>
  <w:style w:type="character" w:customStyle="1" w:styleId="author">
    <w:name w:val="author"/>
    <w:basedOn w:val="DefaultParagraphFont"/>
    <w:rsid w:val="00170663"/>
  </w:style>
  <w:style w:type="character" w:customStyle="1" w:styleId="pubyear">
    <w:name w:val="pubyear"/>
    <w:basedOn w:val="DefaultParagraphFont"/>
    <w:rsid w:val="00170663"/>
  </w:style>
  <w:style w:type="character" w:customStyle="1" w:styleId="articletitle">
    <w:name w:val="articletitle"/>
    <w:basedOn w:val="DefaultParagraphFont"/>
    <w:rsid w:val="00170663"/>
  </w:style>
  <w:style w:type="character" w:customStyle="1" w:styleId="journaltitle">
    <w:name w:val="journaltitle"/>
    <w:basedOn w:val="DefaultParagraphFont"/>
    <w:rsid w:val="00170663"/>
  </w:style>
  <w:style w:type="character" w:customStyle="1" w:styleId="vol">
    <w:name w:val="vol"/>
    <w:basedOn w:val="DefaultParagraphFont"/>
    <w:rsid w:val="00170663"/>
  </w:style>
  <w:style w:type="character" w:customStyle="1" w:styleId="citedissue">
    <w:name w:val="citedissue"/>
    <w:basedOn w:val="DefaultParagraphFont"/>
    <w:rsid w:val="00170663"/>
  </w:style>
  <w:style w:type="character" w:customStyle="1" w:styleId="pagefirst">
    <w:name w:val="pagefirst"/>
    <w:basedOn w:val="DefaultParagraphFont"/>
    <w:rsid w:val="00170663"/>
  </w:style>
  <w:style w:type="character" w:customStyle="1" w:styleId="pagelast">
    <w:name w:val="pagelast"/>
    <w:basedOn w:val="DefaultParagraphFont"/>
    <w:rsid w:val="00170663"/>
  </w:style>
  <w:style w:type="character" w:customStyle="1" w:styleId="apple-converted-space">
    <w:name w:val="apple-converted-space"/>
    <w:basedOn w:val="DefaultParagraphFont"/>
    <w:rsid w:val="00170663"/>
  </w:style>
  <w:style w:type="paragraph" w:customStyle="1" w:styleId="p">
    <w:name w:val="p"/>
    <w:basedOn w:val="Normal"/>
    <w:rsid w:val="00170663"/>
    <w:pPr>
      <w:spacing w:before="100" w:beforeAutospacing="1" w:after="100" w:afterAutospacing="1" w:line="240" w:lineRule="auto"/>
    </w:pPr>
    <w:rPr>
      <w:rFonts w:ascii="Times New Roman" w:hAnsi="Times New Roman"/>
      <w:szCs w:val="24"/>
    </w:rPr>
  </w:style>
  <w:style w:type="character" w:customStyle="1" w:styleId="othertitle">
    <w:name w:val="othertitle"/>
    <w:basedOn w:val="DefaultParagraphFont"/>
    <w:rsid w:val="00170663"/>
  </w:style>
  <w:style w:type="character" w:customStyle="1" w:styleId="journaltitle2">
    <w:name w:val="journaltitle2"/>
    <w:basedOn w:val="DefaultParagraphFont"/>
    <w:rsid w:val="00170663"/>
    <w:rPr>
      <w:i/>
      <w:iCs/>
    </w:rPr>
  </w:style>
  <w:style w:type="character" w:customStyle="1" w:styleId="vol2">
    <w:name w:val="vol2"/>
    <w:basedOn w:val="DefaultParagraphFont"/>
    <w:rsid w:val="00170663"/>
    <w:rPr>
      <w:b/>
      <w:bCs/>
    </w:rPr>
  </w:style>
  <w:style w:type="character" w:customStyle="1" w:styleId="booktitle2">
    <w:name w:val="booktitle2"/>
    <w:basedOn w:val="DefaultParagraphFont"/>
    <w:rsid w:val="00170663"/>
    <w:rPr>
      <w:i/>
      <w:iCs/>
    </w:rPr>
  </w:style>
  <w:style w:type="character" w:customStyle="1" w:styleId="publisherlocation">
    <w:name w:val="publisherlocation"/>
    <w:basedOn w:val="DefaultParagraphFont"/>
    <w:rsid w:val="00170663"/>
  </w:style>
  <w:style w:type="character" w:customStyle="1" w:styleId="groupname">
    <w:name w:val="groupname"/>
    <w:basedOn w:val="DefaultParagraphFont"/>
    <w:rsid w:val="00170663"/>
  </w:style>
  <w:style w:type="character" w:customStyle="1" w:styleId="catpathcurrent">
    <w:name w:val="catpath_current"/>
    <w:basedOn w:val="DefaultParagraphFont"/>
    <w:rsid w:val="00170663"/>
  </w:style>
  <w:style w:type="paragraph" w:styleId="NormalWeb">
    <w:name w:val="Normal (Web)"/>
    <w:basedOn w:val="Normal"/>
    <w:uiPriority w:val="99"/>
    <w:unhideWhenUsed/>
    <w:rsid w:val="00170663"/>
    <w:pPr>
      <w:spacing w:before="100" w:beforeAutospacing="1" w:after="100" w:afterAutospacing="1" w:line="240" w:lineRule="auto"/>
    </w:pPr>
    <w:rPr>
      <w:rFonts w:ascii="Times" w:hAnsi="Times"/>
      <w:sz w:val="20"/>
      <w:szCs w:val="20"/>
      <w:lang w:eastAsia="en-US"/>
    </w:rPr>
  </w:style>
  <w:style w:type="character" w:styleId="Strong">
    <w:name w:val="Strong"/>
    <w:basedOn w:val="DefaultParagraphFont"/>
    <w:uiPriority w:val="22"/>
    <w:qFormat/>
    <w:rsid w:val="00170663"/>
    <w:rPr>
      <w:b/>
      <w:bCs/>
    </w:rPr>
  </w:style>
  <w:style w:type="character" w:customStyle="1" w:styleId="cit-auth">
    <w:name w:val="cit-auth"/>
    <w:basedOn w:val="DefaultParagraphFont"/>
    <w:rsid w:val="00170663"/>
  </w:style>
  <w:style w:type="character" w:customStyle="1" w:styleId="cit-name-surname">
    <w:name w:val="cit-name-surname"/>
    <w:basedOn w:val="DefaultParagraphFont"/>
    <w:rsid w:val="00170663"/>
  </w:style>
  <w:style w:type="character" w:customStyle="1" w:styleId="cit-name-given-names">
    <w:name w:val="cit-name-given-names"/>
    <w:basedOn w:val="DefaultParagraphFont"/>
    <w:rsid w:val="00170663"/>
  </w:style>
  <w:style w:type="character" w:customStyle="1" w:styleId="cit-article-title">
    <w:name w:val="cit-article-title"/>
    <w:basedOn w:val="DefaultParagraphFont"/>
    <w:rsid w:val="00170663"/>
  </w:style>
  <w:style w:type="character" w:customStyle="1" w:styleId="cit-pub-date">
    <w:name w:val="cit-pub-date"/>
    <w:basedOn w:val="DefaultParagraphFont"/>
    <w:rsid w:val="00170663"/>
  </w:style>
  <w:style w:type="character" w:customStyle="1" w:styleId="cit-vol">
    <w:name w:val="cit-vol"/>
    <w:basedOn w:val="DefaultParagraphFont"/>
    <w:rsid w:val="00170663"/>
  </w:style>
  <w:style w:type="character" w:customStyle="1" w:styleId="cit-fpage">
    <w:name w:val="cit-fpage"/>
    <w:basedOn w:val="DefaultParagraphFont"/>
    <w:rsid w:val="00170663"/>
  </w:style>
  <w:style w:type="character" w:customStyle="1" w:styleId="cit-lpage">
    <w:name w:val="cit-lpage"/>
    <w:basedOn w:val="DefaultParagraphFont"/>
    <w:rsid w:val="00170663"/>
  </w:style>
  <w:style w:type="paragraph" w:customStyle="1" w:styleId="msonormal0">
    <w:name w:val="msonormal"/>
    <w:basedOn w:val="Normal"/>
    <w:rsid w:val="00170663"/>
    <w:pPr>
      <w:spacing w:before="100" w:beforeAutospacing="1" w:after="100" w:afterAutospacing="1" w:line="240" w:lineRule="auto"/>
    </w:pPr>
    <w:rPr>
      <w:rFonts w:ascii="Times New Roman" w:hAnsi="Times New Roman"/>
      <w:szCs w:val="24"/>
    </w:rPr>
  </w:style>
  <w:style w:type="table" w:styleId="TableGrid">
    <w:name w:val="Table Grid"/>
    <w:basedOn w:val="TableNormal"/>
    <w:uiPriority w:val="39"/>
    <w:rsid w:val="001706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xtualspellingandgrammarerror">
    <w:name w:val="contextualspellingandgrammarerror"/>
    <w:basedOn w:val="DefaultParagraphFont"/>
    <w:rsid w:val="00170663"/>
    <w:rPr>
      <w:rFonts w:cs="Times New Roman"/>
    </w:rPr>
  </w:style>
  <w:style w:type="character" w:customStyle="1" w:styleId="Date2">
    <w:name w:val="Date2"/>
    <w:basedOn w:val="DefaultParagraphFont"/>
    <w:rsid w:val="00170663"/>
  </w:style>
  <w:style w:type="character" w:customStyle="1" w:styleId="ref-vol">
    <w:name w:val="ref-vol"/>
    <w:basedOn w:val="DefaultParagraphFont"/>
    <w:rsid w:val="00170663"/>
  </w:style>
  <w:style w:type="character" w:customStyle="1" w:styleId="element-citation">
    <w:name w:val="element-citation"/>
    <w:basedOn w:val="DefaultParagraphFont"/>
    <w:rsid w:val="00170663"/>
  </w:style>
  <w:style w:type="paragraph" w:customStyle="1" w:styleId="Default">
    <w:name w:val="Default"/>
    <w:rsid w:val="00170663"/>
    <w:pPr>
      <w:autoSpaceDE w:val="0"/>
      <w:autoSpaceDN w:val="0"/>
      <w:adjustRightInd w:val="0"/>
    </w:pPr>
    <w:rPr>
      <w:rFonts w:eastAsiaTheme="minorHAnsi"/>
      <w:color w:val="000000"/>
      <w:sz w:val="24"/>
      <w:szCs w:val="24"/>
      <w:lang w:eastAsia="en-US"/>
    </w:rPr>
  </w:style>
  <w:style w:type="paragraph" w:styleId="BodyText">
    <w:name w:val="Body Text"/>
    <w:basedOn w:val="Normal"/>
    <w:link w:val="BodyTextChar"/>
    <w:rsid w:val="00170663"/>
    <w:pPr>
      <w:spacing w:after="0" w:line="240" w:lineRule="auto"/>
    </w:pPr>
    <w:rPr>
      <w:rFonts w:ascii="Book Antiqua" w:hAnsi="Book Antiqua"/>
      <w:b/>
      <w:i/>
      <w:sz w:val="96"/>
      <w:szCs w:val="20"/>
    </w:rPr>
  </w:style>
  <w:style w:type="character" w:customStyle="1" w:styleId="BodyTextChar">
    <w:name w:val="Body Text Char"/>
    <w:basedOn w:val="DefaultParagraphFont"/>
    <w:link w:val="BodyText"/>
    <w:rsid w:val="00170663"/>
    <w:rPr>
      <w:rFonts w:ascii="Book Antiqua" w:hAnsi="Book Antiqua"/>
      <w:b/>
      <w:i/>
      <w:sz w:val="96"/>
    </w:rPr>
  </w:style>
  <w:style w:type="character" w:customStyle="1" w:styleId="UnresolvedMention1">
    <w:name w:val="Unresolved Mention1"/>
    <w:basedOn w:val="DefaultParagraphFont"/>
    <w:uiPriority w:val="99"/>
    <w:semiHidden/>
    <w:unhideWhenUsed/>
    <w:rsid w:val="00170663"/>
    <w:rPr>
      <w:color w:val="605E5C"/>
      <w:shd w:val="clear" w:color="auto" w:fill="E1DFDD"/>
    </w:rPr>
  </w:style>
  <w:style w:type="paragraph" w:styleId="Revision">
    <w:name w:val="Revision"/>
    <w:hidden/>
    <w:uiPriority w:val="99"/>
    <w:semiHidden/>
    <w:rsid w:val="00057258"/>
    <w:rPr>
      <w:rFonts w:ascii="Arial" w:hAnsi="Arial"/>
      <w:sz w:val="24"/>
      <w:szCs w:val="22"/>
    </w:rPr>
  </w:style>
  <w:style w:type="table" w:customStyle="1" w:styleId="TableGrid1">
    <w:name w:val="Table Grid1"/>
    <w:basedOn w:val="TableNormal"/>
    <w:next w:val="TableGrid"/>
    <w:uiPriority w:val="59"/>
    <w:rsid w:val="004104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56D3C"/>
  </w:style>
  <w:style w:type="character" w:styleId="FollowedHyperlink">
    <w:name w:val="FollowedHyperlink"/>
    <w:basedOn w:val="DefaultParagraphFont"/>
    <w:uiPriority w:val="99"/>
    <w:semiHidden/>
    <w:unhideWhenUsed/>
    <w:rsid w:val="00756415"/>
    <w:rPr>
      <w:color w:val="954F72" w:themeColor="followedHyperlink"/>
      <w:u w:val="single"/>
    </w:rPr>
  </w:style>
  <w:style w:type="character" w:styleId="UnresolvedMention">
    <w:name w:val="Unresolved Mention"/>
    <w:basedOn w:val="DefaultParagraphFont"/>
    <w:uiPriority w:val="99"/>
    <w:semiHidden/>
    <w:unhideWhenUsed/>
    <w:rsid w:val="00A9334C"/>
    <w:rPr>
      <w:color w:val="605E5C"/>
      <w:shd w:val="clear" w:color="auto" w:fill="E1DFDD"/>
    </w:rPr>
  </w:style>
  <w:style w:type="character" w:customStyle="1" w:styleId="fulltext-it">
    <w:name w:val="fulltext-it"/>
    <w:basedOn w:val="DefaultParagraphFont"/>
    <w:rsid w:val="00503349"/>
  </w:style>
  <w:style w:type="numbering" w:customStyle="1" w:styleId="NoList2">
    <w:name w:val="No List2"/>
    <w:next w:val="NoList"/>
    <w:uiPriority w:val="99"/>
    <w:semiHidden/>
    <w:unhideWhenUsed/>
    <w:rsid w:val="00F83F2D"/>
  </w:style>
  <w:style w:type="numbering" w:customStyle="1" w:styleId="NoList3">
    <w:name w:val="No List3"/>
    <w:next w:val="NoList"/>
    <w:uiPriority w:val="99"/>
    <w:semiHidden/>
    <w:unhideWhenUsed/>
    <w:rsid w:val="00533782"/>
  </w:style>
  <w:style w:type="table" w:customStyle="1" w:styleId="TableGrid2">
    <w:name w:val="Table Grid2"/>
    <w:basedOn w:val="TableNormal"/>
    <w:next w:val="TableGrid"/>
    <w:uiPriority w:val="39"/>
    <w:rsid w:val="00C108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BE52DA"/>
  </w:style>
  <w:style w:type="paragraph" w:styleId="BlockText">
    <w:name w:val="Block Text"/>
    <w:basedOn w:val="Normal"/>
    <w:uiPriority w:val="99"/>
    <w:semiHidden/>
    <w:unhideWhenUsed/>
    <w:rsid w:val="00BE52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BE52DA"/>
    <w:pPr>
      <w:spacing w:after="120" w:line="480" w:lineRule="auto"/>
    </w:pPr>
  </w:style>
  <w:style w:type="character" w:customStyle="1" w:styleId="BodyText2Char">
    <w:name w:val="Body Text 2 Char"/>
    <w:basedOn w:val="DefaultParagraphFont"/>
    <w:link w:val="BodyText2"/>
    <w:uiPriority w:val="99"/>
    <w:semiHidden/>
    <w:rsid w:val="00BE52DA"/>
    <w:rPr>
      <w:rFonts w:ascii="Arial" w:hAnsi="Arial"/>
      <w:sz w:val="24"/>
      <w:szCs w:val="22"/>
    </w:rPr>
  </w:style>
  <w:style w:type="paragraph" w:styleId="BodyText3">
    <w:name w:val="Body Text 3"/>
    <w:basedOn w:val="Normal"/>
    <w:link w:val="BodyText3Char"/>
    <w:uiPriority w:val="99"/>
    <w:semiHidden/>
    <w:unhideWhenUsed/>
    <w:rsid w:val="00BE52DA"/>
    <w:pPr>
      <w:spacing w:after="120"/>
    </w:pPr>
    <w:rPr>
      <w:sz w:val="16"/>
      <w:szCs w:val="16"/>
    </w:rPr>
  </w:style>
  <w:style w:type="character" w:customStyle="1" w:styleId="BodyText3Char">
    <w:name w:val="Body Text 3 Char"/>
    <w:basedOn w:val="DefaultParagraphFont"/>
    <w:link w:val="BodyText3"/>
    <w:uiPriority w:val="99"/>
    <w:semiHidden/>
    <w:rsid w:val="00BE52DA"/>
    <w:rPr>
      <w:rFonts w:ascii="Arial" w:hAnsi="Arial"/>
      <w:sz w:val="16"/>
      <w:szCs w:val="16"/>
    </w:rPr>
  </w:style>
  <w:style w:type="paragraph" w:styleId="BodyTextFirstIndent">
    <w:name w:val="Body Text First Indent"/>
    <w:basedOn w:val="BodyText"/>
    <w:link w:val="BodyTextFirstIndentChar"/>
    <w:uiPriority w:val="99"/>
    <w:semiHidden/>
    <w:unhideWhenUsed/>
    <w:rsid w:val="00BE52DA"/>
    <w:pPr>
      <w:spacing w:after="240" w:line="360" w:lineRule="auto"/>
      <w:ind w:firstLine="360"/>
    </w:pPr>
    <w:rPr>
      <w:rFonts w:ascii="Arial" w:hAnsi="Arial"/>
      <w:b w:val="0"/>
      <w:i w:val="0"/>
      <w:sz w:val="24"/>
      <w:szCs w:val="22"/>
    </w:rPr>
  </w:style>
  <w:style w:type="character" w:customStyle="1" w:styleId="BodyTextFirstIndentChar">
    <w:name w:val="Body Text First Indent Char"/>
    <w:basedOn w:val="BodyTextChar"/>
    <w:link w:val="BodyTextFirstIndent"/>
    <w:uiPriority w:val="99"/>
    <w:semiHidden/>
    <w:rsid w:val="00BE52DA"/>
    <w:rPr>
      <w:rFonts w:ascii="Arial" w:hAnsi="Arial"/>
      <w:b w:val="0"/>
      <w:i w:val="0"/>
      <w:sz w:val="24"/>
      <w:szCs w:val="22"/>
    </w:rPr>
  </w:style>
  <w:style w:type="paragraph" w:styleId="BodyTextIndent">
    <w:name w:val="Body Text Indent"/>
    <w:basedOn w:val="Normal"/>
    <w:link w:val="BodyTextIndentChar"/>
    <w:uiPriority w:val="99"/>
    <w:semiHidden/>
    <w:unhideWhenUsed/>
    <w:rsid w:val="00BE52DA"/>
    <w:pPr>
      <w:spacing w:after="120"/>
      <w:ind w:left="283"/>
    </w:pPr>
  </w:style>
  <w:style w:type="character" w:customStyle="1" w:styleId="BodyTextIndentChar">
    <w:name w:val="Body Text Indent Char"/>
    <w:basedOn w:val="DefaultParagraphFont"/>
    <w:link w:val="BodyTextIndent"/>
    <w:uiPriority w:val="99"/>
    <w:semiHidden/>
    <w:rsid w:val="00BE52DA"/>
    <w:rPr>
      <w:rFonts w:ascii="Arial" w:hAnsi="Arial"/>
      <w:sz w:val="24"/>
      <w:szCs w:val="22"/>
    </w:rPr>
  </w:style>
  <w:style w:type="paragraph" w:styleId="BodyTextFirstIndent2">
    <w:name w:val="Body Text First Indent 2"/>
    <w:basedOn w:val="BodyTextIndent"/>
    <w:link w:val="BodyTextFirstIndent2Char"/>
    <w:uiPriority w:val="99"/>
    <w:semiHidden/>
    <w:unhideWhenUsed/>
    <w:rsid w:val="00BE52DA"/>
    <w:pPr>
      <w:spacing w:after="240"/>
      <w:ind w:left="360" w:firstLine="360"/>
    </w:pPr>
  </w:style>
  <w:style w:type="character" w:customStyle="1" w:styleId="BodyTextFirstIndent2Char">
    <w:name w:val="Body Text First Indent 2 Char"/>
    <w:basedOn w:val="BodyTextIndentChar"/>
    <w:link w:val="BodyTextFirstIndent2"/>
    <w:uiPriority w:val="99"/>
    <w:semiHidden/>
    <w:rsid w:val="00BE52DA"/>
    <w:rPr>
      <w:rFonts w:ascii="Arial" w:hAnsi="Arial"/>
      <w:sz w:val="24"/>
      <w:szCs w:val="22"/>
    </w:rPr>
  </w:style>
  <w:style w:type="paragraph" w:styleId="BodyTextIndent2">
    <w:name w:val="Body Text Indent 2"/>
    <w:basedOn w:val="Normal"/>
    <w:link w:val="BodyTextIndent2Char"/>
    <w:uiPriority w:val="99"/>
    <w:semiHidden/>
    <w:unhideWhenUsed/>
    <w:rsid w:val="00BE52DA"/>
    <w:pPr>
      <w:spacing w:after="120" w:line="480" w:lineRule="auto"/>
      <w:ind w:left="283"/>
    </w:pPr>
  </w:style>
  <w:style w:type="character" w:customStyle="1" w:styleId="BodyTextIndent2Char">
    <w:name w:val="Body Text Indent 2 Char"/>
    <w:basedOn w:val="DefaultParagraphFont"/>
    <w:link w:val="BodyTextIndent2"/>
    <w:uiPriority w:val="99"/>
    <w:semiHidden/>
    <w:rsid w:val="00BE52DA"/>
    <w:rPr>
      <w:rFonts w:ascii="Arial" w:hAnsi="Arial"/>
      <w:sz w:val="24"/>
      <w:szCs w:val="22"/>
    </w:rPr>
  </w:style>
  <w:style w:type="paragraph" w:styleId="BodyTextIndent3">
    <w:name w:val="Body Text Indent 3"/>
    <w:basedOn w:val="Normal"/>
    <w:link w:val="BodyTextIndent3Char"/>
    <w:uiPriority w:val="99"/>
    <w:semiHidden/>
    <w:unhideWhenUsed/>
    <w:rsid w:val="00BE52DA"/>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E52DA"/>
    <w:rPr>
      <w:rFonts w:ascii="Arial" w:hAnsi="Arial"/>
      <w:sz w:val="16"/>
      <w:szCs w:val="16"/>
    </w:rPr>
  </w:style>
  <w:style w:type="paragraph" w:styleId="Closing">
    <w:name w:val="Closing"/>
    <w:basedOn w:val="Normal"/>
    <w:link w:val="ClosingChar"/>
    <w:uiPriority w:val="99"/>
    <w:semiHidden/>
    <w:unhideWhenUsed/>
    <w:rsid w:val="00BE52DA"/>
    <w:pPr>
      <w:spacing w:after="0" w:line="240" w:lineRule="auto"/>
      <w:ind w:left="4252"/>
    </w:pPr>
  </w:style>
  <w:style w:type="character" w:customStyle="1" w:styleId="ClosingChar">
    <w:name w:val="Closing Char"/>
    <w:basedOn w:val="DefaultParagraphFont"/>
    <w:link w:val="Closing"/>
    <w:uiPriority w:val="99"/>
    <w:semiHidden/>
    <w:rsid w:val="00BE52DA"/>
    <w:rPr>
      <w:rFonts w:ascii="Arial" w:hAnsi="Arial"/>
      <w:sz w:val="24"/>
      <w:szCs w:val="22"/>
    </w:rPr>
  </w:style>
  <w:style w:type="paragraph" w:styleId="Date">
    <w:name w:val="Date"/>
    <w:basedOn w:val="Normal"/>
    <w:next w:val="Normal"/>
    <w:link w:val="DateChar"/>
    <w:uiPriority w:val="99"/>
    <w:semiHidden/>
    <w:unhideWhenUsed/>
    <w:rsid w:val="00BE52DA"/>
  </w:style>
  <w:style w:type="character" w:customStyle="1" w:styleId="DateChar">
    <w:name w:val="Date Char"/>
    <w:basedOn w:val="DefaultParagraphFont"/>
    <w:link w:val="Date"/>
    <w:uiPriority w:val="99"/>
    <w:semiHidden/>
    <w:rsid w:val="00BE52DA"/>
    <w:rPr>
      <w:rFonts w:ascii="Arial" w:hAnsi="Arial"/>
      <w:sz w:val="24"/>
      <w:szCs w:val="22"/>
    </w:rPr>
  </w:style>
  <w:style w:type="paragraph" w:styleId="DocumentMap">
    <w:name w:val="Document Map"/>
    <w:basedOn w:val="Normal"/>
    <w:link w:val="DocumentMapChar"/>
    <w:uiPriority w:val="99"/>
    <w:semiHidden/>
    <w:unhideWhenUsed/>
    <w:rsid w:val="00BE52DA"/>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BE52DA"/>
    <w:rPr>
      <w:rFonts w:ascii="Segoe UI" w:hAnsi="Segoe UI" w:cs="Segoe UI"/>
      <w:sz w:val="16"/>
      <w:szCs w:val="16"/>
    </w:rPr>
  </w:style>
  <w:style w:type="paragraph" w:styleId="E-mailSignature">
    <w:name w:val="E-mail Signature"/>
    <w:basedOn w:val="Normal"/>
    <w:link w:val="E-mailSignatureChar"/>
    <w:uiPriority w:val="99"/>
    <w:semiHidden/>
    <w:unhideWhenUsed/>
    <w:rsid w:val="00BE52DA"/>
    <w:pPr>
      <w:spacing w:after="0" w:line="240" w:lineRule="auto"/>
    </w:pPr>
  </w:style>
  <w:style w:type="character" w:customStyle="1" w:styleId="E-mailSignatureChar">
    <w:name w:val="E-mail Signature Char"/>
    <w:basedOn w:val="DefaultParagraphFont"/>
    <w:link w:val="E-mailSignature"/>
    <w:uiPriority w:val="99"/>
    <w:semiHidden/>
    <w:rsid w:val="00BE52DA"/>
    <w:rPr>
      <w:rFonts w:ascii="Arial" w:hAnsi="Arial"/>
      <w:sz w:val="24"/>
      <w:szCs w:val="22"/>
    </w:rPr>
  </w:style>
  <w:style w:type="paragraph" w:styleId="EndnoteText">
    <w:name w:val="endnote text"/>
    <w:basedOn w:val="Normal"/>
    <w:link w:val="EndnoteTextChar"/>
    <w:uiPriority w:val="99"/>
    <w:semiHidden/>
    <w:unhideWhenUsed/>
    <w:rsid w:val="00BE52D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E52DA"/>
    <w:rPr>
      <w:rFonts w:ascii="Arial" w:hAnsi="Arial"/>
    </w:rPr>
  </w:style>
  <w:style w:type="paragraph" w:styleId="EnvelopeAddress">
    <w:name w:val="envelope address"/>
    <w:basedOn w:val="Normal"/>
    <w:uiPriority w:val="99"/>
    <w:semiHidden/>
    <w:unhideWhenUsed/>
    <w:rsid w:val="00BE52DA"/>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BE52DA"/>
    <w:pPr>
      <w:spacing w:after="0" w:line="240" w:lineRule="auto"/>
    </w:pPr>
    <w:rPr>
      <w:rFonts w:asciiTheme="majorHAnsi" w:eastAsiaTheme="majorEastAsia" w:hAnsiTheme="majorHAnsi" w:cstheme="majorBidi"/>
      <w:sz w:val="20"/>
      <w:szCs w:val="20"/>
    </w:rPr>
  </w:style>
  <w:style w:type="character" w:customStyle="1" w:styleId="Heading4Char">
    <w:name w:val="Heading 4 Char"/>
    <w:basedOn w:val="DefaultParagraphFont"/>
    <w:link w:val="Heading4"/>
    <w:uiPriority w:val="9"/>
    <w:semiHidden/>
    <w:rsid w:val="00BE52DA"/>
    <w:rPr>
      <w:rFonts w:asciiTheme="majorHAnsi" w:eastAsiaTheme="majorEastAsia" w:hAnsiTheme="majorHAnsi" w:cstheme="majorBidi"/>
      <w:i/>
      <w:iCs/>
      <w:color w:val="2F5496" w:themeColor="accent1" w:themeShade="BF"/>
      <w:sz w:val="24"/>
      <w:szCs w:val="22"/>
    </w:rPr>
  </w:style>
  <w:style w:type="character" w:customStyle="1" w:styleId="Heading6Char">
    <w:name w:val="Heading 6 Char"/>
    <w:basedOn w:val="DefaultParagraphFont"/>
    <w:link w:val="Heading6"/>
    <w:uiPriority w:val="9"/>
    <w:semiHidden/>
    <w:rsid w:val="00BE52DA"/>
    <w:rPr>
      <w:rFonts w:asciiTheme="majorHAnsi" w:eastAsiaTheme="majorEastAsia" w:hAnsiTheme="majorHAnsi" w:cstheme="majorBidi"/>
      <w:color w:val="1F3763" w:themeColor="accent1" w:themeShade="7F"/>
      <w:sz w:val="24"/>
      <w:szCs w:val="22"/>
    </w:rPr>
  </w:style>
  <w:style w:type="character" w:customStyle="1" w:styleId="Heading7Char">
    <w:name w:val="Heading 7 Char"/>
    <w:basedOn w:val="DefaultParagraphFont"/>
    <w:link w:val="Heading7"/>
    <w:uiPriority w:val="9"/>
    <w:semiHidden/>
    <w:rsid w:val="00BE52DA"/>
    <w:rPr>
      <w:rFonts w:asciiTheme="majorHAnsi" w:eastAsiaTheme="majorEastAsia" w:hAnsiTheme="majorHAnsi" w:cstheme="majorBidi"/>
      <w:i/>
      <w:iCs/>
      <w:color w:val="1F3763" w:themeColor="accent1" w:themeShade="7F"/>
      <w:sz w:val="24"/>
      <w:szCs w:val="22"/>
    </w:rPr>
  </w:style>
  <w:style w:type="character" w:customStyle="1" w:styleId="Heading8Char">
    <w:name w:val="Heading 8 Char"/>
    <w:basedOn w:val="DefaultParagraphFont"/>
    <w:link w:val="Heading8"/>
    <w:uiPriority w:val="9"/>
    <w:semiHidden/>
    <w:rsid w:val="00BE52D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E52DA"/>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BE52DA"/>
    <w:pPr>
      <w:spacing w:after="0" w:line="240" w:lineRule="auto"/>
    </w:pPr>
    <w:rPr>
      <w:i/>
      <w:iCs/>
    </w:rPr>
  </w:style>
  <w:style w:type="character" w:customStyle="1" w:styleId="HTMLAddressChar">
    <w:name w:val="HTML Address Char"/>
    <w:basedOn w:val="DefaultParagraphFont"/>
    <w:link w:val="HTMLAddress"/>
    <w:uiPriority w:val="99"/>
    <w:semiHidden/>
    <w:rsid w:val="00BE52DA"/>
    <w:rPr>
      <w:rFonts w:ascii="Arial" w:hAnsi="Arial"/>
      <w:i/>
      <w:iCs/>
      <w:sz w:val="24"/>
      <w:szCs w:val="22"/>
    </w:rPr>
  </w:style>
  <w:style w:type="paragraph" w:styleId="HTMLPreformatted">
    <w:name w:val="HTML Preformatted"/>
    <w:basedOn w:val="Normal"/>
    <w:link w:val="HTMLPreformattedChar"/>
    <w:uiPriority w:val="99"/>
    <w:semiHidden/>
    <w:unhideWhenUsed/>
    <w:rsid w:val="00BE52DA"/>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BE52DA"/>
    <w:rPr>
      <w:rFonts w:ascii="Consolas" w:hAnsi="Consolas"/>
    </w:rPr>
  </w:style>
  <w:style w:type="paragraph" w:styleId="Index1">
    <w:name w:val="index 1"/>
    <w:basedOn w:val="Normal"/>
    <w:next w:val="Normal"/>
    <w:autoRedefine/>
    <w:uiPriority w:val="99"/>
    <w:semiHidden/>
    <w:unhideWhenUsed/>
    <w:rsid w:val="00BE52DA"/>
    <w:pPr>
      <w:spacing w:after="0" w:line="240" w:lineRule="auto"/>
      <w:ind w:left="240" w:hanging="240"/>
    </w:pPr>
  </w:style>
  <w:style w:type="paragraph" w:styleId="Index2">
    <w:name w:val="index 2"/>
    <w:basedOn w:val="Normal"/>
    <w:next w:val="Normal"/>
    <w:autoRedefine/>
    <w:uiPriority w:val="99"/>
    <w:semiHidden/>
    <w:unhideWhenUsed/>
    <w:rsid w:val="00BE52DA"/>
    <w:pPr>
      <w:spacing w:after="0" w:line="240" w:lineRule="auto"/>
      <w:ind w:left="480" w:hanging="240"/>
    </w:pPr>
  </w:style>
  <w:style w:type="paragraph" w:styleId="Index3">
    <w:name w:val="index 3"/>
    <w:basedOn w:val="Normal"/>
    <w:next w:val="Normal"/>
    <w:autoRedefine/>
    <w:uiPriority w:val="99"/>
    <w:semiHidden/>
    <w:unhideWhenUsed/>
    <w:rsid w:val="00BE52DA"/>
    <w:pPr>
      <w:spacing w:after="0" w:line="240" w:lineRule="auto"/>
      <w:ind w:left="720" w:hanging="240"/>
    </w:pPr>
  </w:style>
  <w:style w:type="paragraph" w:styleId="Index4">
    <w:name w:val="index 4"/>
    <w:basedOn w:val="Normal"/>
    <w:next w:val="Normal"/>
    <w:autoRedefine/>
    <w:uiPriority w:val="99"/>
    <w:semiHidden/>
    <w:unhideWhenUsed/>
    <w:rsid w:val="00BE52DA"/>
    <w:pPr>
      <w:spacing w:after="0" w:line="240" w:lineRule="auto"/>
      <w:ind w:left="960" w:hanging="240"/>
    </w:pPr>
  </w:style>
  <w:style w:type="paragraph" w:styleId="Index5">
    <w:name w:val="index 5"/>
    <w:basedOn w:val="Normal"/>
    <w:next w:val="Normal"/>
    <w:autoRedefine/>
    <w:uiPriority w:val="99"/>
    <w:semiHidden/>
    <w:unhideWhenUsed/>
    <w:rsid w:val="00BE52DA"/>
    <w:pPr>
      <w:spacing w:after="0" w:line="240" w:lineRule="auto"/>
      <w:ind w:left="1200" w:hanging="240"/>
    </w:pPr>
  </w:style>
  <w:style w:type="paragraph" w:styleId="Index6">
    <w:name w:val="index 6"/>
    <w:basedOn w:val="Normal"/>
    <w:next w:val="Normal"/>
    <w:autoRedefine/>
    <w:uiPriority w:val="99"/>
    <w:semiHidden/>
    <w:unhideWhenUsed/>
    <w:rsid w:val="00BE52DA"/>
    <w:pPr>
      <w:spacing w:after="0" w:line="240" w:lineRule="auto"/>
      <w:ind w:left="1440" w:hanging="240"/>
    </w:pPr>
  </w:style>
  <w:style w:type="paragraph" w:styleId="Index7">
    <w:name w:val="index 7"/>
    <w:basedOn w:val="Normal"/>
    <w:next w:val="Normal"/>
    <w:autoRedefine/>
    <w:uiPriority w:val="99"/>
    <w:semiHidden/>
    <w:unhideWhenUsed/>
    <w:rsid w:val="00BE52DA"/>
    <w:pPr>
      <w:spacing w:after="0" w:line="240" w:lineRule="auto"/>
      <w:ind w:left="1680" w:hanging="240"/>
    </w:pPr>
  </w:style>
  <w:style w:type="paragraph" w:styleId="Index8">
    <w:name w:val="index 8"/>
    <w:basedOn w:val="Normal"/>
    <w:next w:val="Normal"/>
    <w:autoRedefine/>
    <w:uiPriority w:val="99"/>
    <w:semiHidden/>
    <w:unhideWhenUsed/>
    <w:rsid w:val="00BE52DA"/>
    <w:pPr>
      <w:spacing w:after="0" w:line="240" w:lineRule="auto"/>
      <w:ind w:left="1920" w:hanging="240"/>
    </w:pPr>
  </w:style>
  <w:style w:type="paragraph" w:styleId="Index9">
    <w:name w:val="index 9"/>
    <w:basedOn w:val="Normal"/>
    <w:next w:val="Normal"/>
    <w:autoRedefine/>
    <w:uiPriority w:val="99"/>
    <w:semiHidden/>
    <w:unhideWhenUsed/>
    <w:rsid w:val="00BE52DA"/>
    <w:pPr>
      <w:spacing w:after="0" w:line="240" w:lineRule="auto"/>
      <w:ind w:left="2160" w:hanging="240"/>
    </w:pPr>
  </w:style>
  <w:style w:type="paragraph" w:styleId="IndexHeading">
    <w:name w:val="index heading"/>
    <w:basedOn w:val="Normal"/>
    <w:next w:val="Index1"/>
    <w:uiPriority w:val="99"/>
    <w:semiHidden/>
    <w:unhideWhenUsed/>
    <w:rsid w:val="00BE52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E52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E52DA"/>
    <w:rPr>
      <w:rFonts w:ascii="Arial" w:hAnsi="Arial"/>
      <w:i/>
      <w:iCs/>
      <w:color w:val="4472C4" w:themeColor="accent1"/>
      <w:sz w:val="24"/>
      <w:szCs w:val="22"/>
    </w:rPr>
  </w:style>
  <w:style w:type="paragraph" w:styleId="List">
    <w:name w:val="List"/>
    <w:basedOn w:val="Normal"/>
    <w:uiPriority w:val="99"/>
    <w:semiHidden/>
    <w:unhideWhenUsed/>
    <w:rsid w:val="00BE52DA"/>
    <w:pPr>
      <w:ind w:left="283" w:hanging="283"/>
      <w:contextualSpacing/>
    </w:pPr>
  </w:style>
  <w:style w:type="paragraph" w:styleId="List2">
    <w:name w:val="List 2"/>
    <w:basedOn w:val="Normal"/>
    <w:uiPriority w:val="99"/>
    <w:semiHidden/>
    <w:unhideWhenUsed/>
    <w:rsid w:val="00BE52DA"/>
    <w:pPr>
      <w:ind w:left="566" w:hanging="283"/>
      <w:contextualSpacing/>
    </w:pPr>
  </w:style>
  <w:style w:type="paragraph" w:styleId="List3">
    <w:name w:val="List 3"/>
    <w:basedOn w:val="Normal"/>
    <w:uiPriority w:val="99"/>
    <w:semiHidden/>
    <w:unhideWhenUsed/>
    <w:rsid w:val="00BE52DA"/>
    <w:pPr>
      <w:ind w:left="849" w:hanging="283"/>
      <w:contextualSpacing/>
    </w:pPr>
  </w:style>
  <w:style w:type="paragraph" w:styleId="List4">
    <w:name w:val="List 4"/>
    <w:basedOn w:val="Normal"/>
    <w:uiPriority w:val="99"/>
    <w:semiHidden/>
    <w:unhideWhenUsed/>
    <w:rsid w:val="00BE52DA"/>
    <w:pPr>
      <w:ind w:left="1132" w:hanging="283"/>
      <w:contextualSpacing/>
    </w:pPr>
  </w:style>
  <w:style w:type="paragraph" w:styleId="List5">
    <w:name w:val="List 5"/>
    <w:basedOn w:val="Normal"/>
    <w:uiPriority w:val="99"/>
    <w:semiHidden/>
    <w:unhideWhenUsed/>
    <w:rsid w:val="00BE52DA"/>
    <w:pPr>
      <w:ind w:left="1415" w:hanging="283"/>
      <w:contextualSpacing/>
    </w:pPr>
  </w:style>
  <w:style w:type="paragraph" w:styleId="ListBullet">
    <w:name w:val="List Bullet"/>
    <w:basedOn w:val="Normal"/>
    <w:uiPriority w:val="99"/>
    <w:semiHidden/>
    <w:unhideWhenUsed/>
    <w:rsid w:val="00BE52DA"/>
    <w:pPr>
      <w:numPr>
        <w:numId w:val="34"/>
      </w:numPr>
      <w:contextualSpacing/>
    </w:pPr>
  </w:style>
  <w:style w:type="paragraph" w:styleId="ListBullet2">
    <w:name w:val="List Bullet 2"/>
    <w:basedOn w:val="Normal"/>
    <w:uiPriority w:val="99"/>
    <w:semiHidden/>
    <w:unhideWhenUsed/>
    <w:rsid w:val="00BE52DA"/>
    <w:pPr>
      <w:numPr>
        <w:numId w:val="35"/>
      </w:numPr>
      <w:contextualSpacing/>
    </w:pPr>
  </w:style>
  <w:style w:type="paragraph" w:styleId="ListBullet3">
    <w:name w:val="List Bullet 3"/>
    <w:basedOn w:val="Normal"/>
    <w:uiPriority w:val="99"/>
    <w:semiHidden/>
    <w:unhideWhenUsed/>
    <w:rsid w:val="00BE52DA"/>
    <w:pPr>
      <w:numPr>
        <w:numId w:val="36"/>
      </w:numPr>
      <w:contextualSpacing/>
    </w:pPr>
  </w:style>
  <w:style w:type="paragraph" w:styleId="ListBullet4">
    <w:name w:val="List Bullet 4"/>
    <w:basedOn w:val="Normal"/>
    <w:uiPriority w:val="99"/>
    <w:semiHidden/>
    <w:unhideWhenUsed/>
    <w:rsid w:val="00BE52DA"/>
    <w:pPr>
      <w:numPr>
        <w:numId w:val="37"/>
      </w:numPr>
      <w:contextualSpacing/>
    </w:pPr>
  </w:style>
  <w:style w:type="paragraph" w:styleId="ListBullet5">
    <w:name w:val="List Bullet 5"/>
    <w:basedOn w:val="Normal"/>
    <w:uiPriority w:val="99"/>
    <w:semiHidden/>
    <w:unhideWhenUsed/>
    <w:rsid w:val="00BE52DA"/>
    <w:pPr>
      <w:numPr>
        <w:numId w:val="38"/>
      </w:numPr>
      <w:contextualSpacing/>
    </w:pPr>
  </w:style>
  <w:style w:type="paragraph" w:styleId="ListContinue">
    <w:name w:val="List Continue"/>
    <w:basedOn w:val="Normal"/>
    <w:uiPriority w:val="99"/>
    <w:semiHidden/>
    <w:unhideWhenUsed/>
    <w:rsid w:val="00BE52DA"/>
    <w:pPr>
      <w:spacing w:after="120"/>
      <w:ind w:left="283"/>
      <w:contextualSpacing/>
    </w:pPr>
  </w:style>
  <w:style w:type="paragraph" w:styleId="ListContinue2">
    <w:name w:val="List Continue 2"/>
    <w:basedOn w:val="Normal"/>
    <w:uiPriority w:val="99"/>
    <w:semiHidden/>
    <w:unhideWhenUsed/>
    <w:rsid w:val="00BE52DA"/>
    <w:pPr>
      <w:spacing w:after="120"/>
      <w:ind w:left="566"/>
      <w:contextualSpacing/>
    </w:pPr>
  </w:style>
  <w:style w:type="paragraph" w:styleId="ListContinue3">
    <w:name w:val="List Continue 3"/>
    <w:basedOn w:val="Normal"/>
    <w:uiPriority w:val="99"/>
    <w:semiHidden/>
    <w:unhideWhenUsed/>
    <w:rsid w:val="00BE52DA"/>
    <w:pPr>
      <w:spacing w:after="120"/>
      <w:ind w:left="849"/>
      <w:contextualSpacing/>
    </w:pPr>
  </w:style>
  <w:style w:type="paragraph" w:styleId="ListContinue4">
    <w:name w:val="List Continue 4"/>
    <w:basedOn w:val="Normal"/>
    <w:uiPriority w:val="99"/>
    <w:semiHidden/>
    <w:unhideWhenUsed/>
    <w:rsid w:val="00BE52DA"/>
    <w:pPr>
      <w:spacing w:after="120"/>
      <w:ind w:left="1132"/>
      <w:contextualSpacing/>
    </w:pPr>
  </w:style>
  <w:style w:type="paragraph" w:styleId="ListContinue5">
    <w:name w:val="List Continue 5"/>
    <w:basedOn w:val="Normal"/>
    <w:uiPriority w:val="99"/>
    <w:semiHidden/>
    <w:unhideWhenUsed/>
    <w:rsid w:val="00BE52DA"/>
    <w:pPr>
      <w:spacing w:after="120"/>
      <w:ind w:left="1415"/>
      <w:contextualSpacing/>
    </w:pPr>
  </w:style>
  <w:style w:type="paragraph" w:styleId="ListNumber">
    <w:name w:val="List Number"/>
    <w:basedOn w:val="Normal"/>
    <w:uiPriority w:val="99"/>
    <w:semiHidden/>
    <w:unhideWhenUsed/>
    <w:rsid w:val="00BE52DA"/>
    <w:pPr>
      <w:numPr>
        <w:numId w:val="39"/>
      </w:numPr>
      <w:contextualSpacing/>
    </w:pPr>
  </w:style>
  <w:style w:type="paragraph" w:styleId="ListNumber2">
    <w:name w:val="List Number 2"/>
    <w:basedOn w:val="Normal"/>
    <w:uiPriority w:val="99"/>
    <w:semiHidden/>
    <w:unhideWhenUsed/>
    <w:rsid w:val="00BE52DA"/>
    <w:pPr>
      <w:numPr>
        <w:numId w:val="40"/>
      </w:numPr>
      <w:contextualSpacing/>
    </w:pPr>
  </w:style>
  <w:style w:type="paragraph" w:styleId="ListNumber3">
    <w:name w:val="List Number 3"/>
    <w:basedOn w:val="Normal"/>
    <w:uiPriority w:val="99"/>
    <w:semiHidden/>
    <w:unhideWhenUsed/>
    <w:rsid w:val="00BE52DA"/>
    <w:pPr>
      <w:numPr>
        <w:numId w:val="41"/>
      </w:numPr>
      <w:contextualSpacing/>
    </w:pPr>
  </w:style>
  <w:style w:type="paragraph" w:styleId="ListNumber4">
    <w:name w:val="List Number 4"/>
    <w:basedOn w:val="Normal"/>
    <w:uiPriority w:val="99"/>
    <w:semiHidden/>
    <w:unhideWhenUsed/>
    <w:rsid w:val="00BE52DA"/>
    <w:pPr>
      <w:numPr>
        <w:numId w:val="42"/>
      </w:numPr>
      <w:contextualSpacing/>
    </w:pPr>
  </w:style>
  <w:style w:type="paragraph" w:styleId="ListNumber5">
    <w:name w:val="List Number 5"/>
    <w:basedOn w:val="Normal"/>
    <w:uiPriority w:val="99"/>
    <w:semiHidden/>
    <w:unhideWhenUsed/>
    <w:rsid w:val="00BE52DA"/>
    <w:pPr>
      <w:numPr>
        <w:numId w:val="43"/>
      </w:numPr>
      <w:contextualSpacing/>
    </w:pPr>
  </w:style>
  <w:style w:type="paragraph" w:styleId="MacroText">
    <w:name w:val="macro"/>
    <w:link w:val="MacroTextChar"/>
    <w:uiPriority w:val="99"/>
    <w:semiHidden/>
    <w:unhideWhenUsed/>
    <w:rsid w:val="00BE52DA"/>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nsolas" w:hAnsi="Consolas"/>
    </w:rPr>
  </w:style>
  <w:style w:type="character" w:customStyle="1" w:styleId="MacroTextChar">
    <w:name w:val="Macro Text Char"/>
    <w:basedOn w:val="DefaultParagraphFont"/>
    <w:link w:val="MacroText"/>
    <w:uiPriority w:val="99"/>
    <w:semiHidden/>
    <w:rsid w:val="00BE52DA"/>
    <w:rPr>
      <w:rFonts w:ascii="Consolas" w:hAnsi="Consolas"/>
    </w:rPr>
  </w:style>
  <w:style w:type="paragraph" w:styleId="MessageHeader">
    <w:name w:val="Message Header"/>
    <w:basedOn w:val="Normal"/>
    <w:link w:val="MessageHeaderChar"/>
    <w:uiPriority w:val="99"/>
    <w:semiHidden/>
    <w:unhideWhenUsed/>
    <w:rsid w:val="00BE52DA"/>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BE52DA"/>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BE52DA"/>
    <w:pPr>
      <w:ind w:left="720"/>
    </w:pPr>
  </w:style>
  <w:style w:type="paragraph" w:styleId="NoteHeading">
    <w:name w:val="Note Heading"/>
    <w:basedOn w:val="Normal"/>
    <w:next w:val="Normal"/>
    <w:link w:val="NoteHeadingChar"/>
    <w:uiPriority w:val="99"/>
    <w:semiHidden/>
    <w:unhideWhenUsed/>
    <w:rsid w:val="00BE52DA"/>
    <w:pPr>
      <w:spacing w:after="0" w:line="240" w:lineRule="auto"/>
    </w:pPr>
  </w:style>
  <w:style w:type="character" w:customStyle="1" w:styleId="NoteHeadingChar">
    <w:name w:val="Note Heading Char"/>
    <w:basedOn w:val="DefaultParagraphFont"/>
    <w:link w:val="NoteHeading"/>
    <w:uiPriority w:val="99"/>
    <w:semiHidden/>
    <w:rsid w:val="00BE52DA"/>
    <w:rPr>
      <w:rFonts w:ascii="Arial" w:hAnsi="Arial"/>
      <w:sz w:val="24"/>
      <w:szCs w:val="22"/>
    </w:rPr>
  </w:style>
  <w:style w:type="paragraph" w:styleId="PlainText">
    <w:name w:val="Plain Text"/>
    <w:basedOn w:val="Normal"/>
    <w:link w:val="PlainTextChar"/>
    <w:uiPriority w:val="99"/>
    <w:semiHidden/>
    <w:unhideWhenUsed/>
    <w:rsid w:val="00BE52DA"/>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BE52DA"/>
    <w:rPr>
      <w:rFonts w:ascii="Consolas" w:hAnsi="Consolas"/>
      <w:sz w:val="21"/>
      <w:szCs w:val="21"/>
    </w:rPr>
  </w:style>
  <w:style w:type="paragraph" w:styleId="Quote">
    <w:name w:val="Quote"/>
    <w:basedOn w:val="Normal"/>
    <w:next w:val="Normal"/>
    <w:link w:val="QuoteChar"/>
    <w:uiPriority w:val="29"/>
    <w:qFormat/>
    <w:rsid w:val="00BE52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E52DA"/>
    <w:rPr>
      <w:rFonts w:ascii="Arial" w:hAnsi="Arial"/>
      <w:i/>
      <w:iCs/>
      <w:color w:val="404040" w:themeColor="text1" w:themeTint="BF"/>
      <w:sz w:val="24"/>
      <w:szCs w:val="22"/>
    </w:rPr>
  </w:style>
  <w:style w:type="paragraph" w:styleId="Salutation">
    <w:name w:val="Salutation"/>
    <w:basedOn w:val="Normal"/>
    <w:next w:val="Normal"/>
    <w:link w:val="SalutationChar"/>
    <w:uiPriority w:val="99"/>
    <w:semiHidden/>
    <w:unhideWhenUsed/>
    <w:rsid w:val="00BE52DA"/>
  </w:style>
  <w:style w:type="character" w:customStyle="1" w:styleId="SalutationChar">
    <w:name w:val="Salutation Char"/>
    <w:basedOn w:val="DefaultParagraphFont"/>
    <w:link w:val="Salutation"/>
    <w:uiPriority w:val="99"/>
    <w:semiHidden/>
    <w:rsid w:val="00BE52DA"/>
    <w:rPr>
      <w:rFonts w:ascii="Arial" w:hAnsi="Arial"/>
      <w:sz w:val="24"/>
      <w:szCs w:val="22"/>
    </w:rPr>
  </w:style>
  <w:style w:type="paragraph" w:styleId="Signature">
    <w:name w:val="Signature"/>
    <w:basedOn w:val="Normal"/>
    <w:link w:val="SignatureChar"/>
    <w:uiPriority w:val="99"/>
    <w:semiHidden/>
    <w:unhideWhenUsed/>
    <w:rsid w:val="00BE52DA"/>
    <w:pPr>
      <w:spacing w:after="0" w:line="240" w:lineRule="auto"/>
      <w:ind w:left="4252"/>
    </w:pPr>
  </w:style>
  <w:style w:type="character" w:customStyle="1" w:styleId="SignatureChar">
    <w:name w:val="Signature Char"/>
    <w:basedOn w:val="DefaultParagraphFont"/>
    <w:link w:val="Signature"/>
    <w:uiPriority w:val="99"/>
    <w:semiHidden/>
    <w:rsid w:val="00BE52DA"/>
    <w:rPr>
      <w:rFonts w:ascii="Arial" w:hAnsi="Arial"/>
      <w:sz w:val="24"/>
      <w:szCs w:val="22"/>
    </w:rPr>
  </w:style>
  <w:style w:type="paragraph" w:styleId="TableofAuthorities">
    <w:name w:val="table of authorities"/>
    <w:basedOn w:val="Normal"/>
    <w:next w:val="Normal"/>
    <w:uiPriority w:val="99"/>
    <w:semiHidden/>
    <w:unhideWhenUsed/>
    <w:rsid w:val="00BE52DA"/>
    <w:pPr>
      <w:spacing w:after="0"/>
      <w:ind w:left="240" w:hanging="240"/>
    </w:pPr>
  </w:style>
  <w:style w:type="paragraph" w:styleId="TableofFigures">
    <w:name w:val="table of figures"/>
    <w:basedOn w:val="Normal"/>
    <w:next w:val="Normal"/>
    <w:uiPriority w:val="99"/>
    <w:semiHidden/>
    <w:unhideWhenUsed/>
    <w:rsid w:val="00BE52DA"/>
    <w:pPr>
      <w:spacing w:after="0"/>
    </w:pPr>
  </w:style>
  <w:style w:type="paragraph" w:styleId="TOAHeading">
    <w:name w:val="toa heading"/>
    <w:basedOn w:val="Normal"/>
    <w:next w:val="Normal"/>
    <w:uiPriority w:val="99"/>
    <w:semiHidden/>
    <w:unhideWhenUsed/>
    <w:rsid w:val="00BE52DA"/>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unhideWhenUsed/>
    <w:rsid w:val="00BE52DA"/>
    <w:pPr>
      <w:spacing w:after="100"/>
      <w:ind w:left="720"/>
    </w:pPr>
  </w:style>
  <w:style w:type="paragraph" w:styleId="TOC5">
    <w:name w:val="toc 5"/>
    <w:basedOn w:val="Normal"/>
    <w:next w:val="Normal"/>
    <w:autoRedefine/>
    <w:uiPriority w:val="39"/>
    <w:unhideWhenUsed/>
    <w:rsid w:val="00BE52DA"/>
    <w:pPr>
      <w:spacing w:after="100"/>
      <w:ind w:left="960"/>
    </w:pPr>
  </w:style>
  <w:style w:type="paragraph" w:styleId="TOC6">
    <w:name w:val="toc 6"/>
    <w:basedOn w:val="Normal"/>
    <w:next w:val="Normal"/>
    <w:autoRedefine/>
    <w:uiPriority w:val="39"/>
    <w:unhideWhenUsed/>
    <w:rsid w:val="00BE52DA"/>
    <w:pPr>
      <w:spacing w:after="100"/>
      <w:ind w:left="1200"/>
    </w:pPr>
  </w:style>
  <w:style w:type="paragraph" w:styleId="TOC7">
    <w:name w:val="toc 7"/>
    <w:basedOn w:val="Normal"/>
    <w:next w:val="Normal"/>
    <w:autoRedefine/>
    <w:uiPriority w:val="39"/>
    <w:unhideWhenUsed/>
    <w:rsid w:val="00BE52DA"/>
    <w:pPr>
      <w:spacing w:after="100"/>
      <w:ind w:left="1440"/>
    </w:pPr>
  </w:style>
  <w:style w:type="paragraph" w:styleId="TOC8">
    <w:name w:val="toc 8"/>
    <w:basedOn w:val="Normal"/>
    <w:next w:val="Normal"/>
    <w:autoRedefine/>
    <w:uiPriority w:val="39"/>
    <w:unhideWhenUsed/>
    <w:rsid w:val="00BE52DA"/>
    <w:pPr>
      <w:spacing w:after="100"/>
      <w:ind w:left="1680"/>
    </w:pPr>
  </w:style>
  <w:style w:type="paragraph" w:styleId="TOC9">
    <w:name w:val="toc 9"/>
    <w:basedOn w:val="Normal"/>
    <w:next w:val="Normal"/>
    <w:autoRedefine/>
    <w:uiPriority w:val="39"/>
    <w:unhideWhenUsed/>
    <w:rsid w:val="00BE52DA"/>
    <w:pPr>
      <w:spacing w:after="100"/>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6375381">
      <w:bodyDiv w:val="1"/>
      <w:marLeft w:val="0"/>
      <w:marRight w:val="0"/>
      <w:marTop w:val="0"/>
      <w:marBottom w:val="0"/>
      <w:divBdr>
        <w:top w:val="none" w:sz="0" w:space="0" w:color="auto"/>
        <w:left w:val="none" w:sz="0" w:space="0" w:color="auto"/>
        <w:bottom w:val="none" w:sz="0" w:space="0" w:color="auto"/>
        <w:right w:val="none" w:sz="0" w:space="0" w:color="auto"/>
      </w:divBdr>
    </w:div>
    <w:div w:id="651718152">
      <w:bodyDiv w:val="1"/>
      <w:marLeft w:val="0"/>
      <w:marRight w:val="0"/>
      <w:marTop w:val="0"/>
      <w:marBottom w:val="0"/>
      <w:divBdr>
        <w:top w:val="none" w:sz="0" w:space="0" w:color="auto"/>
        <w:left w:val="none" w:sz="0" w:space="0" w:color="auto"/>
        <w:bottom w:val="none" w:sz="0" w:space="0" w:color="auto"/>
        <w:right w:val="none" w:sz="0" w:space="0" w:color="auto"/>
      </w:divBdr>
      <w:divsChild>
        <w:div w:id="527833199">
          <w:marLeft w:val="0"/>
          <w:marRight w:val="0"/>
          <w:marTop w:val="0"/>
          <w:marBottom w:val="0"/>
          <w:divBdr>
            <w:top w:val="none" w:sz="0" w:space="0" w:color="auto"/>
            <w:left w:val="none" w:sz="0" w:space="0" w:color="auto"/>
            <w:bottom w:val="none" w:sz="0" w:space="0" w:color="auto"/>
            <w:right w:val="none" w:sz="0" w:space="0" w:color="auto"/>
          </w:divBdr>
        </w:div>
      </w:divsChild>
    </w:div>
    <w:div w:id="1611544432">
      <w:bodyDiv w:val="1"/>
      <w:marLeft w:val="0"/>
      <w:marRight w:val="0"/>
      <w:marTop w:val="0"/>
      <w:marBottom w:val="0"/>
      <w:divBdr>
        <w:top w:val="none" w:sz="0" w:space="0" w:color="auto"/>
        <w:left w:val="none" w:sz="0" w:space="0" w:color="auto"/>
        <w:bottom w:val="none" w:sz="0" w:space="0" w:color="auto"/>
        <w:right w:val="none" w:sz="0" w:space="0" w:color="auto"/>
      </w:divBdr>
    </w:div>
    <w:div w:id="1656491710">
      <w:bodyDiv w:val="1"/>
      <w:marLeft w:val="0"/>
      <w:marRight w:val="0"/>
      <w:marTop w:val="0"/>
      <w:marBottom w:val="0"/>
      <w:divBdr>
        <w:top w:val="none" w:sz="0" w:space="0" w:color="auto"/>
        <w:left w:val="none" w:sz="0" w:space="0" w:color="auto"/>
        <w:bottom w:val="none" w:sz="0" w:space="0" w:color="auto"/>
        <w:right w:val="none" w:sz="0" w:space="0" w:color="auto"/>
      </w:divBdr>
    </w:div>
    <w:div w:id="20635589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eader" Target="header6.xml"/><Relationship Id="rId34" Type="http://schemas.microsoft.com/office/2007/relationships/diagramDrawing" Target="diagrams/drawing1.xml"/><Relationship Id="rId42" Type="http://schemas.openxmlformats.org/officeDocument/2006/relationships/image" Target="media/image13.jpeg"/><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footer" Target="footer1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footer" Target="footer10.xml"/><Relationship Id="rId11" Type="http://schemas.openxmlformats.org/officeDocument/2006/relationships/footer" Target="footer1.xml"/><Relationship Id="rId24" Type="http://schemas.openxmlformats.org/officeDocument/2006/relationships/footer" Target="footer7.xml"/><Relationship Id="rId32" Type="http://schemas.openxmlformats.org/officeDocument/2006/relationships/diagramQuickStyle" Target="diagrams/quickStyle1.xml"/><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jpeg"/><Relationship Id="rId53" Type="http://schemas.openxmlformats.org/officeDocument/2006/relationships/image" Target="media/image24.jpeg"/><Relationship Id="rId58" Type="http://schemas.openxmlformats.org/officeDocument/2006/relationships/header" Target="header7.xml"/><Relationship Id="rId5" Type="http://schemas.openxmlformats.org/officeDocument/2006/relationships/webSettings" Target="webSettings.xml"/><Relationship Id="rId61" Type="http://schemas.openxmlformats.org/officeDocument/2006/relationships/footer" Target="footer12.xml"/><Relationship Id="rId19" Type="http://schemas.openxmlformats.org/officeDocument/2006/relationships/footer" Target="footer4.xml"/><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image" Target="media/image5.emf"/><Relationship Id="rId30" Type="http://schemas.openxmlformats.org/officeDocument/2006/relationships/diagramData" Target="diagrams/data1.xml"/><Relationship Id="rId35" Type="http://schemas.openxmlformats.org/officeDocument/2006/relationships/image" Target="media/image6.jpeg"/><Relationship Id="rId43" Type="http://schemas.openxmlformats.org/officeDocument/2006/relationships/image" Target="media/image14.emf"/><Relationship Id="rId48" Type="http://schemas.openxmlformats.org/officeDocument/2006/relationships/image" Target="media/image19.jpeg"/><Relationship Id="rId56" Type="http://schemas.openxmlformats.org/officeDocument/2006/relationships/image" Target="media/image27.jpe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footer" Target="footer8.xml"/><Relationship Id="rId33" Type="http://schemas.openxmlformats.org/officeDocument/2006/relationships/diagramColors" Target="diagrams/colors1.xml"/><Relationship Id="rId38" Type="http://schemas.openxmlformats.org/officeDocument/2006/relationships/image" Target="media/image9.jpeg"/><Relationship Id="rId46" Type="http://schemas.openxmlformats.org/officeDocument/2006/relationships/image" Target="media/image17.jpeg"/><Relationship Id="rId59" Type="http://schemas.openxmlformats.org/officeDocument/2006/relationships/header" Target="header8.xml"/><Relationship Id="rId20" Type="http://schemas.openxmlformats.org/officeDocument/2006/relationships/footer" Target="footer5.xml"/><Relationship Id="rId41" Type="http://schemas.openxmlformats.org/officeDocument/2006/relationships/image" Target="media/image12.jpeg"/><Relationship Id="rId54" Type="http://schemas.openxmlformats.org/officeDocument/2006/relationships/image" Target="media/image25.jpeg"/><Relationship Id="rId62"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oogle.com/url?sa=i&amp;rct=j&amp;q=&amp;esrc=s&amp;source=images&amp;cd=&amp;ved=2ahUKEwiOidnHg4XiAhVlDmMBHed0BE8QjRx6BAgBEAU&amp;url=https://www.simplypsychology.org/maslow.html&amp;psig=AOvVaw09QSKhaPP7sac1neRUHiIS&amp;ust=1557167618117338" TargetMode="External"/><Relationship Id="rId23" Type="http://schemas.openxmlformats.org/officeDocument/2006/relationships/image" Target="media/image3.jpeg"/><Relationship Id="rId28" Type="http://schemas.openxmlformats.org/officeDocument/2006/relationships/footer" Target="footer9.xml"/><Relationship Id="rId36" Type="http://schemas.openxmlformats.org/officeDocument/2006/relationships/image" Target="media/image7.png"/><Relationship Id="rId49" Type="http://schemas.openxmlformats.org/officeDocument/2006/relationships/image" Target="media/image20.jpeg"/><Relationship Id="rId57" Type="http://schemas.openxmlformats.org/officeDocument/2006/relationships/image" Target="media/image28.png"/><Relationship Id="rId10" Type="http://schemas.openxmlformats.org/officeDocument/2006/relationships/header" Target="header2.xml"/><Relationship Id="rId31" Type="http://schemas.openxmlformats.org/officeDocument/2006/relationships/diagramLayout" Target="diagrams/layout1.xml"/><Relationship Id="rId44" Type="http://schemas.openxmlformats.org/officeDocument/2006/relationships/image" Target="media/image15.emf"/><Relationship Id="rId52" Type="http://schemas.openxmlformats.org/officeDocument/2006/relationships/image" Target="media/image23.jpeg"/><Relationship Id="rId60" Type="http://schemas.openxmlformats.org/officeDocument/2006/relationships/footer" Target="footer1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image" Target="media/image10.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CB7E6CC-E291-4CE2-92BC-1AF25A38315E}"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endParaRPr lang="en-GB"/>
        </a:p>
      </dgm:t>
    </dgm:pt>
    <dgm:pt modelId="{25C26E2F-82F5-4C25-BC81-081786A8D615}">
      <dgm:prSet phldrT="[Text]"/>
      <dgm:spPr>
        <a:xfrm>
          <a:off x="1945997" y="1692284"/>
          <a:ext cx="1386125" cy="1386125"/>
        </a:xfrm>
        <a:prstGeom prst="ellipse">
          <a:avLst/>
        </a:prstGeom>
        <a:gradFill flip="none" rotWithShape="1">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tileRect/>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ln>
                <a:noFill/>
              </a:ln>
              <a:solidFill>
                <a:sysClr val="windowText" lastClr="000000"/>
              </a:solidFill>
              <a:latin typeface="Calibri"/>
              <a:ea typeface="+mn-ea"/>
              <a:cs typeface="+mn-cs"/>
            </a:rPr>
            <a:t>Emphaty</a:t>
          </a:r>
        </a:p>
      </dgm:t>
    </dgm:pt>
    <dgm:pt modelId="{B0F56409-426A-470F-BDAD-E0F050C1F71A}" type="sibTrans" cxnId="{DD51B6A3-AD85-4DF7-8ADD-E4ED9936DD6F}">
      <dgm:prSet/>
      <dgm:spPr/>
      <dgm:t>
        <a:bodyPr/>
        <a:lstStyle/>
        <a:p>
          <a:endParaRPr lang="en-GB"/>
        </a:p>
      </dgm:t>
    </dgm:pt>
    <dgm:pt modelId="{2895CCDB-4A10-4566-ABB4-522E6B804962}" type="parTrans" cxnId="{DD51B6A3-AD85-4DF7-8ADD-E4ED9936DD6F}">
      <dgm:prSet/>
      <dgm:spPr/>
      <dgm:t>
        <a:bodyPr/>
        <a:lstStyle/>
        <a:p>
          <a:endParaRPr lang="en-GB"/>
        </a:p>
      </dgm:t>
    </dgm:pt>
    <dgm:pt modelId="{978C6049-F298-47A3-8185-92EC4854EAF2}">
      <dgm:prSet phldrT="[Text]"/>
      <dgm:spPr>
        <a:xfrm>
          <a:off x="54645" y="1997231"/>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ysClr val="window" lastClr="FFFFFF"/>
              </a:solidFill>
              <a:latin typeface="Calibri"/>
              <a:ea typeface="+mn-ea"/>
              <a:cs typeface="+mn-cs"/>
            </a:rPr>
            <a:t>Reciprocity</a:t>
          </a:r>
        </a:p>
      </dgm:t>
    </dgm:pt>
    <dgm:pt modelId="{6040C480-3EB9-46E9-BF01-B1A358B2DC8D}" type="sibTrans" cxnId="{778E8B1A-FE72-4446-8970-21B05066D471}">
      <dgm:prSet/>
      <dgm:spPr/>
      <dgm:t>
        <a:bodyPr/>
        <a:lstStyle/>
        <a:p>
          <a:endParaRPr lang="en-GB"/>
        </a:p>
      </dgm:t>
    </dgm:pt>
    <dgm:pt modelId="{DE2DB6DA-9DCE-4E1F-B6C6-CB8C71C16D4A}" type="parTrans" cxnId="{778E8B1A-FE72-4446-8970-21B05066D471}">
      <dgm:prSet/>
      <dgm:spPr>
        <a:xfrm rot="10800000">
          <a:off x="539788" y="2187823"/>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516303AB-87CA-45C2-9848-AA97131C4296}">
      <dgm:prSet phldrT="[Text]"/>
      <dgm:spPr>
        <a:xfrm>
          <a:off x="455570" y="763310"/>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ysClr val="window" lastClr="FFFFFF"/>
              </a:solidFill>
              <a:latin typeface="Calibri"/>
              <a:ea typeface="+mn-ea"/>
              <a:cs typeface="+mn-cs"/>
            </a:rPr>
            <a:t>Filial piety and familism</a:t>
          </a:r>
        </a:p>
      </dgm:t>
    </dgm:pt>
    <dgm:pt modelId="{3EE739D5-5E61-42A2-BC33-34987E163208}" type="sibTrans" cxnId="{19EBB4D9-7D42-492C-837E-7332EF26783E}">
      <dgm:prSet/>
      <dgm:spPr/>
      <dgm:t>
        <a:bodyPr/>
        <a:lstStyle/>
        <a:p>
          <a:endParaRPr lang="en-GB"/>
        </a:p>
      </dgm:t>
    </dgm:pt>
    <dgm:pt modelId="{186B1EB0-5319-43BB-9568-301F1FAA6A54}" type="parTrans" cxnId="{19EBB4D9-7D42-492C-837E-7332EF26783E}">
      <dgm:prSet/>
      <dgm:spPr>
        <a:xfrm rot="12960000">
          <a:off x="813818" y="1344447"/>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FECC588C-681C-4782-9E16-F1AC89133A07}">
      <dgm:prSet phldrT="[Text]"/>
      <dgm:spPr>
        <a:xfrm>
          <a:off x="1505205" y="705"/>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ysClr val="window" lastClr="FFFFFF"/>
              </a:solidFill>
              <a:latin typeface="Calibri"/>
              <a:ea typeface="+mn-ea"/>
              <a:cs typeface="+mn-cs"/>
            </a:rPr>
            <a:t>Respect for older adults</a:t>
          </a:r>
        </a:p>
      </dgm:t>
    </dgm:pt>
    <dgm:pt modelId="{FFB20C94-94BD-4D37-8D6B-37B20B8F6843}" type="sibTrans" cxnId="{AD9A17B4-965D-461C-8891-6049B4A1401A}">
      <dgm:prSet/>
      <dgm:spPr/>
      <dgm:t>
        <a:bodyPr/>
        <a:lstStyle/>
        <a:p>
          <a:endParaRPr lang="en-GB"/>
        </a:p>
      </dgm:t>
    </dgm:pt>
    <dgm:pt modelId="{7846DB1A-54B4-41BD-8546-652663F106CD}" type="parTrans" cxnId="{AD9A17B4-965D-461C-8891-6049B4A1401A}">
      <dgm:prSet/>
      <dgm:spPr>
        <a:xfrm rot="15120000">
          <a:off x="1512181" y="823212"/>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EE5C4AFA-A210-4B82-92CA-CCF9B2D0C31F}">
      <dgm:prSet phldrT="[Text]"/>
      <dgm:spPr>
        <a:xfrm>
          <a:off x="2802626" y="705"/>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rgbClr val="4472C4"/>
              </a:solidFill>
              <a:latin typeface="Calibri"/>
              <a:ea typeface="+mn-ea"/>
              <a:cs typeface="+mn-cs"/>
            </a:rPr>
            <a:t>Religious values</a:t>
          </a:r>
        </a:p>
      </dgm:t>
    </dgm:pt>
    <dgm:pt modelId="{177DE464-397D-4DFF-9E95-049038A91ED4}" type="sibTrans" cxnId="{ED810F0F-E465-4CDA-B560-C2BE64AD2FC4}">
      <dgm:prSet/>
      <dgm:spPr/>
      <dgm:t>
        <a:bodyPr/>
        <a:lstStyle/>
        <a:p>
          <a:endParaRPr lang="en-GB"/>
        </a:p>
      </dgm:t>
    </dgm:pt>
    <dgm:pt modelId="{9BE6D0CB-35B3-4990-85FE-AEDA530DA85B}" type="parTrans" cxnId="{ED810F0F-E465-4CDA-B560-C2BE64AD2FC4}">
      <dgm:prSet/>
      <dgm:spPr>
        <a:xfrm rot="17280000">
          <a:off x="2418015" y="823212"/>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579F87D1-54E1-40D4-B5F9-D08180956B3E}">
      <dgm:prSet phldrT="[Text]"/>
      <dgm:spPr>
        <a:xfrm>
          <a:off x="3852262" y="763310"/>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rgbClr val="ED7D31"/>
              </a:solidFill>
              <a:latin typeface="Calibri"/>
              <a:ea typeface="+mn-ea"/>
              <a:cs typeface="+mn-cs"/>
            </a:rPr>
            <a:t>Dementia care training</a:t>
          </a:r>
        </a:p>
      </dgm:t>
    </dgm:pt>
    <dgm:pt modelId="{DDD112D8-C62B-4814-BE3B-FB72B8F75E5A}" type="sibTrans" cxnId="{1A240961-3E2B-4AAD-8B47-976CA7550C72}">
      <dgm:prSet/>
      <dgm:spPr/>
      <dgm:t>
        <a:bodyPr/>
        <a:lstStyle/>
        <a:p>
          <a:endParaRPr lang="en-GB"/>
        </a:p>
      </dgm:t>
    </dgm:pt>
    <dgm:pt modelId="{3995E1A7-1BC9-4CF0-B7DF-873BCE24C86B}" type="parTrans" cxnId="{1A240961-3E2B-4AAD-8B47-976CA7550C72}">
      <dgm:prSet/>
      <dgm:spPr>
        <a:xfrm rot="19440000">
          <a:off x="3135434" y="1344447"/>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0FF4C3C0-78BA-418C-A54F-E81AEF7D1E14}">
      <dgm:prSet phldrT="[Text]"/>
      <dgm:spPr>
        <a:xfrm>
          <a:off x="4253187" y="1997231"/>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gm:spPr>
      <dgm:t>
        <a:bodyPr/>
        <a:lstStyle/>
        <a:p>
          <a:pPr>
            <a:buNone/>
          </a:pPr>
          <a:r>
            <a:rPr lang="en-GB">
              <a:solidFill>
                <a:srgbClr val="ED7D31"/>
              </a:solidFill>
              <a:latin typeface="Calibri"/>
              <a:ea typeface="+mn-ea"/>
              <a:cs typeface="+mn-cs"/>
            </a:rPr>
            <a:t>Use of age simulation suit</a:t>
          </a:r>
        </a:p>
      </dgm:t>
    </dgm:pt>
    <dgm:pt modelId="{B19C4E20-581F-41B0-A0BA-BE3897374D15}" type="sibTrans" cxnId="{C34373F5-0638-4DA8-9EC4-1BCB28AED3DA}">
      <dgm:prSet/>
      <dgm:spPr/>
      <dgm:t>
        <a:bodyPr/>
        <a:lstStyle/>
        <a:p>
          <a:endParaRPr lang="en-GB"/>
        </a:p>
      </dgm:t>
    </dgm:pt>
    <dgm:pt modelId="{7051822A-C38E-4221-AD58-394BD84A9908}" type="parTrans" cxnId="{C34373F5-0638-4DA8-9EC4-1BCB28AED3DA}">
      <dgm:prSet/>
      <dgm:spPr>
        <a:xfrm>
          <a:off x="3409463" y="2187823"/>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gm:spPr>
      <dgm:t>
        <a:bodyPr/>
        <a:lstStyle/>
        <a:p>
          <a:endParaRPr lang="en-GB"/>
        </a:p>
      </dgm:t>
    </dgm:pt>
    <dgm:pt modelId="{BC08A2E4-DC0C-4148-B938-A338B78FFFDF}" type="pres">
      <dgm:prSet presAssocID="{3CB7E6CC-E291-4CE2-92BC-1AF25A38315E}" presName="cycle" presStyleCnt="0">
        <dgm:presLayoutVars>
          <dgm:chMax val="1"/>
          <dgm:dir/>
          <dgm:animLvl val="ctr"/>
          <dgm:resizeHandles val="exact"/>
        </dgm:presLayoutVars>
      </dgm:prSet>
      <dgm:spPr/>
    </dgm:pt>
    <dgm:pt modelId="{13404548-98EB-4A70-9F3B-79C3A1B6DFE4}" type="pres">
      <dgm:prSet presAssocID="{25C26E2F-82F5-4C25-BC81-081786A8D615}" presName="centerShape" presStyleLbl="node0" presStyleIdx="0" presStyleCnt="1"/>
      <dgm:spPr/>
    </dgm:pt>
    <dgm:pt modelId="{7F56F93A-7F5E-47E3-BE81-D70AD26BFD1B}" type="pres">
      <dgm:prSet presAssocID="{DE2DB6DA-9DCE-4E1F-B6C6-CB8C71C16D4A}" presName="parTrans" presStyleLbl="bgSibTrans2D1" presStyleIdx="0" presStyleCnt="6"/>
      <dgm:spPr/>
    </dgm:pt>
    <dgm:pt modelId="{49F6A7A0-7FF8-4C3C-9DB2-0DE6BF250E52}" type="pres">
      <dgm:prSet presAssocID="{978C6049-F298-47A3-8185-92EC4854EAF2}" presName="node" presStyleLbl="node1" presStyleIdx="0" presStyleCnt="6">
        <dgm:presLayoutVars>
          <dgm:bulletEnabled val="1"/>
        </dgm:presLayoutVars>
      </dgm:prSet>
      <dgm:spPr/>
    </dgm:pt>
    <dgm:pt modelId="{285C8ADC-49E7-4E2F-A2D0-D368B03E108C}" type="pres">
      <dgm:prSet presAssocID="{186B1EB0-5319-43BB-9568-301F1FAA6A54}" presName="parTrans" presStyleLbl="bgSibTrans2D1" presStyleIdx="1" presStyleCnt="6"/>
      <dgm:spPr/>
    </dgm:pt>
    <dgm:pt modelId="{F2F1C72F-9F0E-4EBC-BE41-470B7BCF7487}" type="pres">
      <dgm:prSet presAssocID="{516303AB-87CA-45C2-9848-AA97131C4296}" presName="node" presStyleLbl="node1" presStyleIdx="1" presStyleCnt="6">
        <dgm:presLayoutVars>
          <dgm:bulletEnabled val="1"/>
        </dgm:presLayoutVars>
      </dgm:prSet>
      <dgm:spPr/>
    </dgm:pt>
    <dgm:pt modelId="{2ED08555-F374-44E0-A4D4-9A03CB715F7F}" type="pres">
      <dgm:prSet presAssocID="{7846DB1A-54B4-41BD-8546-652663F106CD}" presName="parTrans" presStyleLbl="bgSibTrans2D1" presStyleIdx="2" presStyleCnt="6" custLinFactNeighborX="-1434"/>
      <dgm:spPr/>
    </dgm:pt>
    <dgm:pt modelId="{C05A8B3D-67E0-4F82-B560-3C6530CBF6E4}" type="pres">
      <dgm:prSet presAssocID="{FECC588C-681C-4782-9E16-F1AC89133A07}" presName="node" presStyleLbl="node1" presStyleIdx="2" presStyleCnt="6">
        <dgm:presLayoutVars>
          <dgm:bulletEnabled val="1"/>
        </dgm:presLayoutVars>
      </dgm:prSet>
      <dgm:spPr/>
    </dgm:pt>
    <dgm:pt modelId="{7085E32A-F091-45B0-BDC2-64C0A063DA0C}" type="pres">
      <dgm:prSet presAssocID="{9BE6D0CB-35B3-4990-85FE-AEDA530DA85B}" presName="parTrans" presStyleLbl="bgSibTrans2D1" presStyleIdx="3" presStyleCnt="6"/>
      <dgm:spPr/>
    </dgm:pt>
    <dgm:pt modelId="{C6377AAC-EB81-4234-838B-C1581C02DFCD}" type="pres">
      <dgm:prSet presAssocID="{EE5C4AFA-A210-4B82-92CA-CCF9B2D0C31F}" presName="node" presStyleLbl="node1" presStyleIdx="3" presStyleCnt="6">
        <dgm:presLayoutVars>
          <dgm:bulletEnabled val="1"/>
        </dgm:presLayoutVars>
      </dgm:prSet>
      <dgm:spPr/>
    </dgm:pt>
    <dgm:pt modelId="{3989068B-F8A9-4294-9D57-3CFC83B5E506}" type="pres">
      <dgm:prSet presAssocID="{3995E1A7-1BC9-4CF0-B7DF-873BCE24C86B}" presName="parTrans" presStyleLbl="bgSibTrans2D1" presStyleIdx="4" presStyleCnt="6"/>
      <dgm:spPr/>
    </dgm:pt>
    <dgm:pt modelId="{8B754162-ACB3-4171-B278-08214F8F8405}" type="pres">
      <dgm:prSet presAssocID="{579F87D1-54E1-40D4-B5F9-D08180956B3E}" presName="node" presStyleLbl="node1" presStyleIdx="4" presStyleCnt="6">
        <dgm:presLayoutVars>
          <dgm:bulletEnabled val="1"/>
        </dgm:presLayoutVars>
      </dgm:prSet>
      <dgm:spPr/>
    </dgm:pt>
    <dgm:pt modelId="{2710850C-E5C5-401E-B718-5B1CD4E1466E}" type="pres">
      <dgm:prSet presAssocID="{7051822A-C38E-4221-AD58-394BD84A9908}" presName="parTrans" presStyleLbl="bgSibTrans2D1" presStyleIdx="5" presStyleCnt="6"/>
      <dgm:spPr/>
    </dgm:pt>
    <dgm:pt modelId="{25D7DC39-8106-47B0-9E5E-B8DB4778D88E}" type="pres">
      <dgm:prSet presAssocID="{0FF4C3C0-78BA-418C-A54F-E81AEF7D1E14}" presName="node" presStyleLbl="node1" presStyleIdx="5" presStyleCnt="6">
        <dgm:presLayoutVars>
          <dgm:bulletEnabled val="1"/>
        </dgm:presLayoutVars>
      </dgm:prSet>
      <dgm:spPr/>
    </dgm:pt>
  </dgm:ptLst>
  <dgm:cxnLst>
    <dgm:cxn modelId="{9C79680C-5A66-484E-915F-9848C40E16F7}" type="presOf" srcId="{186B1EB0-5319-43BB-9568-301F1FAA6A54}" destId="{285C8ADC-49E7-4E2F-A2D0-D368B03E108C}" srcOrd="0" destOrd="0" presId="urn:microsoft.com/office/officeart/2005/8/layout/radial4"/>
    <dgm:cxn modelId="{ED810F0F-E465-4CDA-B560-C2BE64AD2FC4}" srcId="{25C26E2F-82F5-4C25-BC81-081786A8D615}" destId="{EE5C4AFA-A210-4B82-92CA-CCF9B2D0C31F}" srcOrd="3" destOrd="0" parTransId="{9BE6D0CB-35B3-4990-85FE-AEDA530DA85B}" sibTransId="{177DE464-397D-4DFF-9E95-049038A91ED4}"/>
    <dgm:cxn modelId="{778E8B1A-FE72-4446-8970-21B05066D471}" srcId="{25C26E2F-82F5-4C25-BC81-081786A8D615}" destId="{978C6049-F298-47A3-8185-92EC4854EAF2}" srcOrd="0" destOrd="0" parTransId="{DE2DB6DA-9DCE-4E1F-B6C6-CB8C71C16D4A}" sibTransId="{6040C480-3EB9-46E9-BF01-B1A358B2DC8D}"/>
    <dgm:cxn modelId="{465F091D-E0F7-4544-8713-2700ABF6A79D}" type="presOf" srcId="{25C26E2F-82F5-4C25-BC81-081786A8D615}" destId="{13404548-98EB-4A70-9F3B-79C3A1B6DFE4}" srcOrd="0" destOrd="0" presId="urn:microsoft.com/office/officeart/2005/8/layout/radial4"/>
    <dgm:cxn modelId="{7C22095D-CEC6-4BE0-AFBC-BB7984CDCA24}" type="presOf" srcId="{7846DB1A-54B4-41BD-8546-652663F106CD}" destId="{2ED08555-F374-44E0-A4D4-9A03CB715F7F}" srcOrd="0" destOrd="0" presId="urn:microsoft.com/office/officeart/2005/8/layout/radial4"/>
    <dgm:cxn modelId="{1A240961-3E2B-4AAD-8B47-976CA7550C72}" srcId="{25C26E2F-82F5-4C25-BC81-081786A8D615}" destId="{579F87D1-54E1-40D4-B5F9-D08180956B3E}" srcOrd="4" destOrd="0" parTransId="{3995E1A7-1BC9-4CF0-B7DF-873BCE24C86B}" sibTransId="{DDD112D8-C62B-4814-BE3B-FB72B8F75E5A}"/>
    <dgm:cxn modelId="{35B4F764-FFD2-441C-8331-34FBF67E3568}" type="presOf" srcId="{FECC588C-681C-4782-9E16-F1AC89133A07}" destId="{C05A8B3D-67E0-4F82-B560-3C6530CBF6E4}" srcOrd="0" destOrd="0" presId="urn:microsoft.com/office/officeart/2005/8/layout/radial4"/>
    <dgm:cxn modelId="{D22A706A-3051-4E8E-AC93-A9058AB8132B}" type="presOf" srcId="{3CB7E6CC-E291-4CE2-92BC-1AF25A38315E}" destId="{BC08A2E4-DC0C-4148-B938-A338B78FFFDF}" srcOrd="0" destOrd="0" presId="urn:microsoft.com/office/officeart/2005/8/layout/radial4"/>
    <dgm:cxn modelId="{F8E1B46A-6D4D-4BDD-83F8-9AE3B4301433}" type="presOf" srcId="{978C6049-F298-47A3-8185-92EC4854EAF2}" destId="{49F6A7A0-7FF8-4C3C-9DB2-0DE6BF250E52}" srcOrd="0" destOrd="0" presId="urn:microsoft.com/office/officeart/2005/8/layout/radial4"/>
    <dgm:cxn modelId="{23947571-FA9B-4A8C-83D2-B91149287A1F}" type="presOf" srcId="{EE5C4AFA-A210-4B82-92CA-CCF9B2D0C31F}" destId="{C6377AAC-EB81-4234-838B-C1581C02DFCD}" srcOrd="0" destOrd="0" presId="urn:microsoft.com/office/officeart/2005/8/layout/radial4"/>
    <dgm:cxn modelId="{826DA372-DD2D-4136-A85B-86B3449B25F9}" type="presOf" srcId="{0FF4C3C0-78BA-418C-A54F-E81AEF7D1E14}" destId="{25D7DC39-8106-47B0-9E5E-B8DB4778D88E}" srcOrd="0" destOrd="0" presId="urn:microsoft.com/office/officeart/2005/8/layout/radial4"/>
    <dgm:cxn modelId="{41184E87-8F29-45B4-A1A4-D2885DA0ED06}" type="presOf" srcId="{579F87D1-54E1-40D4-B5F9-D08180956B3E}" destId="{8B754162-ACB3-4171-B278-08214F8F8405}" srcOrd="0" destOrd="0" presId="urn:microsoft.com/office/officeart/2005/8/layout/radial4"/>
    <dgm:cxn modelId="{DD51B6A3-AD85-4DF7-8ADD-E4ED9936DD6F}" srcId="{3CB7E6CC-E291-4CE2-92BC-1AF25A38315E}" destId="{25C26E2F-82F5-4C25-BC81-081786A8D615}" srcOrd="0" destOrd="0" parTransId="{2895CCDB-4A10-4566-ABB4-522E6B804962}" sibTransId="{B0F56409-426A-470F-BDAD-E0F050C1F71A}"/>
    <dgm:cxn modelId="{5913B1B0-BC9F-4E12-A7B1-C8BB9E0EC067}" type="presOf" srcId="{3995E1A7-1BC9-4CF0-B7DF-873BCE24C86B}" destId="{3989068B-F8A9-4294-9D57-3CFC83B5E506}" srcOrd="0" destOrd="0" presId="urn:microsoft.com/office/officeart/2005/8/layout/radial4"/>
    <dgm:cxn modelId="{AD9A17B4-965D-461C-8891-6049B4A1401A}" srcId="{25C26E2F-82F5-4C25-BC81-081786A8D615}" destId="{FECC588C-681C-4782-9E16-F1AC89133A07}" srcOrd="2" destOrd="0" parTransId="{7846DB1A-54B4-41BD-8546-652663F106CD}" sibTransId="{FFB20C94-94BD-4D37-8D6B-37B20B8F6843}"/>
    <dgm:cxn modelId="{924EB7B7-5A29-4118-A792-E1B1D65B98F5}" type="presOf" srcId="{516303AB-87CA-45C2-9848-AA97131C4296}" destId="{F2F1C72F-9F0E-4EBC-BE41-470B7BCF7487}" srcOrd="0" destOrd="0" presId="urn:microsoft.com/office/officeart/2005/8/layout/radial4"/>
    <dgm:cxn modelId="{19EBB4D9-7D42-492C-837E-7332EF26783E}" srcId="{25C26E2F-82F5-4C25-BC81-081786A8D615}" destId="{516303AB-87CA-45C2-9848-AA97131C4296}" srcOrd="1" destOrd="0" parTransId="{186B1EB0-5319-43BB-9568-301F1FAA6A54}" sibTransId="{3EE739D5-5E61-42A2-BC33-34987E163208}"/>
    <dgm:cxn modelId="{F88F0CDC-C964-40A9-BC70-4566F80C9104}" type="presOf" srcId="{DE2DB6DA-9DCE-4E1F-B6C6-CB8C71C16D4A}" destId="{7F56F93A-7F5E-47E3-BE81-D70AD26BFD1B}" srcOrd="0" destOrd="0" presId="urn:microsoft.com/office/officeart/2005/8/layout/radial4"/>
    <dgm:cxn modelId="{076B3AEF-9108-49B8-8057-64E093507DF9}" type="presOf" srcId="{9BE6D0CB-35B3-4990-85FE-AEDA530DA85B}" destId="{7085E32A-F091-45B0-BDC2-64C0A063DA0C}" srcOrd="0" destOrd="0" presId="urn:microsoft.com/office/officeart/2005/8/layout/radial4"/>
    <dgm:cxn modelId="{C34373F5-0638-4DA8-9EC4-1BCB28AED3DA}" srcId="{25C26E2F-82F5-4C25-BC81-081786A8D615}" destId="{0FF4C3C0-78BA-418C-A54F-E81AEF7D1E14}" srcOrd="5" destOrd="0" parTransId="{7051822A-C38E-4221-AD58-394BD84A9908}" sibTransId="{B19C4E20-581F-41B0-A0BA-BE3897374D15}"/>
    <dgm:cxn modelId="{AC0011F8-C5B3-4513-B768-B4B3E32CB33E}" type="presOf" srcId="{7051822A-C38E-4221-AD58-394BD84A9908}" destId="{2710850C-E5C5-401E-B718-5B1CD4E1466E}" srcOrd="0" destOrd="0" presId="urn:microsoft.com/office/officeart/2005/8/layout/radial4"/>
    <dgm:cxn modelId="{0B39C266-53EE-4446-8468-C3C514EED87D}" type="presParOf" srcId="{BC08A2E4-DC0C-4148-B938-A338B78FFFDF}" destId="{13404548-98EB-4A70-9F3B-79C3A1B6DFE4}" srcOrd="0" destOrd="0" presId="urn:microsoft.com/office/officeart/2005/8/layout/radial4"/>
    <dgm:cxn modelId="{798D2FCD-4808-4D2C-B273-CAD03F09ED49}" type="presParOf" srcId="{BC08A2E4-DC0C-4148-B938-A338B78FFFDF}" destId="{7F56F93A-7F5E-47E3-BE81-D70AD26BFD1B}" srcOrd="1" destOrd="0" presId="urn:microsoft.com/office/officeart/2005/8/layout/radial4"/>
    <dgm:cxn modelId="{39284B8F-685F-4407-99F5-35AF7ECDA78B}" type="presParOf" srcId="{BC08A2E4-DC0C-4148-B938-A338B78FFFDF}" destId="{49F6A7A0-7FF8-4C3C-9DB2-0DE6BF250E52}" srcOrd="2" destOrd="0" presId="urn:microsoft.com/office/officeart/2005/8/layout/radial4"/>
    <dgm:cxn modelId="{0A555445-8546-4C89-A836-F7E912130610}" type="presParOf" srcId="{BC08A2E4-DC0C-4148-B938-A338B78FFFDF}" destId="{285C8ADC-49E7-4E2F-A2D0-D368B03E108C}" srcOrd="3" destOrd="0" presId="urn:microsoft.com/office/officeart/2005/8/layout/radial4"/>
    <dgm:cxn modelId="{35C6F60F-3207-4267-825F-FFBD5F02580F}" type="presParOf" srcId="{BC08A2E4-DC0C-4148-B938-A338B78FFFDF}" destId="{F2F1C72F-9F0E-4EBC-BE41-470B7BCF7487}" srcOrd="4" destOrd="0" presId="urn:microsoft.com/office/officeart/2005/8/layout/radial4"/>
    <dgm:cxn modelId="{4EE63CCB-E4AD-44BE-8C5F-1735D175AFC6}" type="presParOf" srcId="{BC08A2E4-DC0C-4148-B938-A338B78FFFDF}" destId="{2ED08555-F374-44E0-A4D4-9A03CB715F7F}" srcOrd="5" destOrd="0" presId="urn:microsoft.com/office/officeart/2005/8/layout/radial4"/>
    <dgm:cxn modelId="{EED755B0-AE0E-40DD-9A87-27550A8C094F}" type="presParOf" srcId="{BC08A2E4-DC0C-4148-B938-A338B78FFFDF}" destId="{C05A8B3D-67E0-4F82-B560-3C6530CBF6E4}" srcOrd="6" destOrd="0" presId="urn:microsoft.com/office/officeart/2005/8/layout/radial4"/>
    <dgm:cxn modelId="{56D1C5BB-B7D6-487F-831B-B17BE1B5E1D3}" type="presParOf" srcId="{BC08A2E4-DC0C-4148-B938-A338B78FFFDF}" destId="{7085E32A-F091-45B0-BDC2-64C0A063DA0C}" srcOrd="7" destOrd="0" presId="urn:microsoft.com/office/officeart/2005/8/layout/radial4"/>
    <dgm:cxn modelId="{40A2668C-4BFD-4861-8307-EE51D1A02B14}" type="presParOf" srcId="{BC08A2E4-DC0C-4148-B938-A338B78FFFDF}" destId="{C6377AAC-EB81-4234-838B-C1581C02DFCD}" srcOrd="8" destOrd="0" presId="urn:microsoft.com/office/officeart/2005/8/layout/radial4"/>
    <dgm:cxn modelId="{B9EFEAA8-E808-4606-BA40-817CC88B1A84}" type="presParOf" srcId="{BC08A2E4-DC0C-4148-B938-A338B78FFFDF}" destId="{3989068B-F8A9-4294-9D57-3CFC83B5E506}" srcOrd="9" destOrd="0" presId="urn:microsoft.com/office/officeart/2005/8/layout/radial4"/>
    <dgm:cxn modelId="{EBE711EF-F596-4EC7-AABA-2E83F1CA4C9A}" type="presParOf" srcId="{BC08A2E4-DC0C-4148-B938-A338B78FFFDF}" destId="{8B754162-ACB3-4171-B278-08214F8F8405}" srcOrd="10" destOrd="0" presId="urn:microsoft.com/office/officeart/2005/8/layout/radial4"/>
    <dgm:cxn modelId="{F51096E8-D7FD-4C54-8F84-B94A4B7B3214}" type="presParOf" srcId="{BC08A2E4-DC0C-4148-B938-A338B78FFFDF}" destId="{2710850C-E5C5-401E-B718-5B1CD4E1466E}" srcOrd="11" destOrd="0" presId="urn:microsoft.com/office/officeart/2005/8/layout/radial4"/>
    <dgm:cxn modelId="{9F8A1A75-ED82-446B-A0CA-7D2CD9A191B6}" type="presParOf" srcId="{BC08A2E4-DC0C-4148-B938-A338B78FFFDF}" destId="{25D7DC39-8106-47B0-9E5E-B8DB4778D88E}" srcOrd="12" destOrd="0" presId="urn:microsoft.com/office/officeart/2005/8/layout/radial4"/>
  </dgm:cxnLst>
  <dgm:bg>
    <a:noFill/>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404548-98EB-4A70-9F3B-79C3A1B6DFE4}">
      <dsp:nvSpPr>
        <dsp:cNvPr id="0" name=""/>
        <dsp:cNvSpPr/>
      </dsp:nvSpPr>
      <dsp:spPr>
        <a:xfrm>
          <a:off x="1945997" y="1692284"/>
          <a:ext cx="1386125" cy="1386125"/>
        </a:xfrm>
        <a:prstGeom prst="ellipse">
          <a:avLst/>
        </a:prstGeom>
        <a:gradFill flip="none" rotWithShape="1">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tileRect/>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889000">
            <a:lnSpc>
              <a:spcPct val="90000"/>
            </a:lnSpc>
            <a:spcBef>
              <a:spcPct val="0"/>
            </a:spcBef>
            <a:spcAft>
              <a:spcPct val="35000"/>
            </a:spcAft>
            <a:buNone/>
          </a:pPr>
          <a:r>
            <a:rPr lang="en-GB" sz="2000" kern="1200">
              <a:ln>
                <a:noFill/>
              </a:ln>
              <a:solidFill>
                <a:sysClr val="windowText" lastClr="000000"/>
              </a:solidFill>
              <a:latin typeface="Calibri"/>
              <a:ea typeface="+mn-ea"/>
              <a:cs typeface="+mn-cs"/>
            </a:rPr>
            <a:t>Emphaty</a:t>
          </a:r>
        </a:p>
      </dsp:txBody>
      <dsp:txXfrm>
        <a:off x="2148990" y="1895277"/>
        <a:ext cx="980139" cy="980139"/>
      </dsp:txXfrm>
    </dsp:sp>
    <dsp:sp modelId="{7F56F93A-7F5E-47E3-BE81-D70AD26BFD1B}">
      <dsp:nvSpPr>
        <dsp:cNvPr id="0" name=""/>
        <dsp:cNvSpPr/>
      </dsp:nvSpPr>
      <dsp:spPr>
        <a:xfrm rot="10800000">
          <a:off x="539788" y="2187823"/>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49F6A7A0-7FF8-4C3C-9DB2-0DE6BF250E52}">
      <dsp:nvSpPr>
        <dsp:cNvPr id="0" name=""/>
        <dsp:cNvSpPr/>
      </dsp:nvSpPr>
      <dsp:spPr>
        <a:xfrm>
          <a:off x="54645" y="1997231"/>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ysClr val="window" lastClr="FFFFFF"/>
              </a:solidFill>
              <a:latin typeface="Calibri"/>
              <a:ea typeface="+mn-ea"/>
              <a:cs typeface="+mn-cs"/>
            </a:rPr>
            <a:t>Reciprocity</a:t>
          </a:r>
        </a:p>
      </dsp:txBody>
      <dsp:txXfrm>
        <a:off x="77380" y="2019966"/>
        <a:ext cx="924817" cy="730760"/>
      </dsp:txXfrm>
    </dsp:sp>
    <dsp:sp modelId="{285C8ADC-49E7-4E2F-A2D0-D368B03E108C}">
      <dsp:nvSpPr>
        <dsp:cNvPr id="0" name=""/>
        <dsp:cNvSpPr/>
      </dsp:nvSpPr>
      <dsp:spPr>
        <a:xfrm rot="12960000">
          <a:off x="813818" y="1344447"/>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F2F1C72F-9F0E-4EBC-BE41-470B7BCF7487}">
      <dsp:nvSpPr>
        <dsp:cNvPr id="0" name=""/>
        <dsp:cNvSpPr/>
      </dsp:nvSpPr>
      <dsp:spPr>
        <a:xfrm>
          <a:off x="455570" y="763310"/>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ysClr val="window" lastClr="FFFFFF"/>
              </a:solidFill>
              <a:latin typeface="Calibri"/>
              <a:ea typeface="+mn-ea"/>
              <a:cs typeface="+mn-cs"/>
            </a:rPr>
            <a:t>Filial piety and familism</a:t>
          </a:r>
        </a:p>
      </dsp:txBody>
      <dsp:txXfrm>
        <a:off x="478305" y="786045"/>
        <a:ext cx="924817" cy="730760"/>
      </dsp:txXfrm>
    </dsp:sp>
    <dsp:sp modelId="{2ED08555-F374-44E0-A4D4-9A03CB715F7F}">
      <dsp:nvSpPr>
        <dsp:cNvPr id="0" name=""/>
        <dsp:cNvSpPr/>
      </dsp:nvSpPr>
      <dsp:spPr>
        <a:xfrm rot="15120000">
          <a:off x="1512181" y="823212"/>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05A8B3D-67E0-4F82-B560-3C6530CBF6E4}">
      <dsp:nvSpPr>
        <dsp:cNvPr id="0" name=""/>
        <dsp:cNvSpPr/>
      </dsp:nvSpPr>
      <dsp:spPr>
        <a:xfrm>
          <a:off x="1505205" y="705"/>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ysClr val="window" lastClr="FFFFFF"/>
              </a:solidFill>
              <a:latin typeface="Calibri"/>
              <a:ea typeface="+mn-ea"/>
              <a:cs typeface="+mn-cs"/>
            </a:rPr>
            <a:t>Respect for older adults</a:t>
          </a:r>
        </a:p>
      </dsp:txBody>
      <dsp:txXfrm>
        <a:off x="1527940" y="23440"/>
        <a:ext cx="924817" cy="730760"/>
      </dsp:txXfrm>
    </dsp:sp>
    <dsp:sp modelId="{7085E32A-F091-45B0-BDC2-64C0A063DA0C}">
      <dsp:nvSpPr>
        <dsp:cNvPr id="0" name=""/>
        <dsp:cNvSpPr/>
      </dsp:nvSpPr>
      <dsp:spPr>
        <a:xfrm rot="17280000">
          <a:off x="2418015" y="823212"/>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6377AAC-EB81-4234-838B-C1581C02DFCD}">
      <dsp:nvSpPr>
        <dsp:cNvPr id="0" name=""/>
        <dsp:cNvSpPr/>
      </dsp:nvSpPr>
      <dsp:spPr>
        <a:xfrm>
          <a:off x="2802626" y="705"/>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rgbClr val="4472C4"/>
              </a:solidFill>
              <a:latin typeface="Calibri"/>
              <a:ea typeface="+mn-ea"/>
              <a:cs typeface="+mn-cs"/>
            </a:rPr>
            <a:t>Religious values</a:t>
          </a:r>
        </a:p>
      </dsp:txBody>
      <dsp:txXfrm>
        <a:off x="2825361" y="23440"/>
        <a:ext cx="924817" cy="730760"/>
      </dsp:txXfrm>
    </dsp:sp>
    <dsp:sp modelId="{3989068B-F8A9-4294-9D57-3CFC83B5E506}">
      <dsp:nvSpPr>
        <dsp:cNvPr id="0" name=""/>
        <dsp:cNvSpPr/>
      </dsp:nvSpPr>
      <dsp:spPr>
        <a:xfrm rot="19440000">
          <a:off x="3135434" y="1344447"/>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754162-ACB3-4171-B278-08214F8F8405}">
      <dsp:nvSpPr>
        <dsp:cNvPr id="0" name=""/>
        <dsp:cNvSpPr/>
      </dsp:nvSpPr>
      <dsp:spPr>
        <a:xfrm>
          <a:off x="3852262" y="763310"/>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rgbClr val="ED7D31"/>
              </a:solidFill>
              <a:latin typeface="Calibri"/>
              <a:ea typeface="+mn-ea"/>
              <a:cs typeface="+mn-cs"/>
            </a:rPr>
            <a:t>Dementia care training</a:t>
          </a:r>
        </a:p>
      </dsp:txBody>
      <dsp:txXfrm>
        <a:off x="3874997" y="786045"/>
        <a:ext cx="924817" cy="730760"/>
      </dsp:txXfrm>
    </dsp:sp>
    <dsp:sp modelId="{2710850C-E5C5-401E-B718-5B1CD4E1466E}">
      <dsp:nvSpPr>
        <dsp:cNvPr id="0" name=""/>
        <dsp:cNvSpPr/>
      </dsp:nvSpPr>
      <dsp:spPr>
        <a:xfrm>
          <a:off x="3409463" y="2187823"/>
          <a:ext cx="1328867" cy="395045"/>
        </a:xfrm>
        <a:prstGeom prst="lef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25D7DC39-8106-47B0-9E5E-B8DB4778D88E}">
      <dsp:nvSpPr>
        <dsp:cNvPr id="0" name=""/>
        <dsp:cNvSpPr/>
      </dsp:nvSpPr>
      <dsp:spPr>
        <a:xfrm>
          <a:off x="4253187" y="1997231"/>
          <a:ext cx="970287" cy="776230"/>
        </a:xfrm>
        <a:prstGeom prst="roundRect">
          <a:avLst>
            <a:gd name="adj" fmla="val 10000"/>
          </a:avLst>
        </a:prstGeom>
        <a:gradFill rotWithShape="0">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rgbClr val="ED7D31"/>
              </a:solidFill>
              <a:latin typeface="Calibri"/>
              <a:ea typeface="+mn-ea"/>
              <a:cs typeface="+mn-cs"/>
            </a:rPr>
            <a:t>Use of age simulation suit</a:t>
          </a:r>
        </a:p>
      </dsp:txBody>
      <dsp:txXfrm>
        <a:off x="4275922" y="2019966"/>
        <a:ext cx="924817" cy="730760"/>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ABD10D-83A6-41BF-858A-96A274B15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422</Pages>
  <Words>114941</Words>
  <Characters>634363</Characters>
  <Application>Microsoft Office Word</Application>
  <DocSecurity>0</DocSecurity>
  <Lines>11893</Lines>
  <Paragraphs>3590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746362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Ejere, Ojeiu (Postgraduate Researcher)</dc:creator>
  <cp:keywords/>
  <dc:description/>
  <cp:lastModifiedBy>Blanshard, Lisa</cp:lastModifiedBy>
  <cp:revision>30</cp:revision>
  <cp:lastPrinted>2021-10-29T15:29:00Z</cp:lastPrinted>
  <dcterms:created xsi:type="dcterms:W3CDTF">2021-10-12T07:07:00Z</dcterms:created>
  <dcterms:modified xsi:type="dcterms:W3CDTF">2021-10-29T15:33:00Z</dcterms:modified>
</cp:coreProperties>
</file>