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F47B8" w14:textId="77777777" w:rsidR="009F7FCE" w:rsidRPr="00A503E5" w:rsidRDefault="00B27E87" w:rsidP="00076FAB">
      <w:pPr>
        <w:pStyle w:val="papertitle"/>
      </w:pPr>
      <w:r w:rsidRPr="00A503E5">
        <w:t>The response of the Italian healthcare facilities to the COVID-19 pandemic: a</w:t>
      </w:r>
      <w:r w:rsidR="00076FAB" w:rsidRPr="00A503E5">
        <w:t xml:space="preserve">nalysis of </w:t>
      </w:r>
      <w:r w:rsidR="005A755F" w:rsidRPr="00A503E5">
        <w:t xml:space="preserve">national and regional </w:t>
      </w:r>
      <w:r w:rsidRPr="00A503E5">
        <w:t>legislation</w:t>
      </w:r>
    </w:p>
    <w:p w14:paraId="429F2E78" w14:textId="77777777" w:rsidR="005B6A28" w:rsidRPr="00A503E5" w:rsidRDefault="00076FAB" w:rsidP="00076FAB">
      <w:pPr>
        <w:pStyle w:val="author"/>
        <w:rPr>
          <w:lang w:val="it-IT"/>
        </w:rPr>
      </w:pPr>
      <w:r w:rsidRPr="00A503E5">
        <w:rPr>
          <w:lang w:val="it-IT"/>
        </w:rPr>
        <w:t>Rossella Marmo</w:t>
      </w:r>
      <w:r w:rsidRPr="00A503E5">
        <w:rPr>
          <w:rStyle w:val="ORCID"/>
          <w:lang w:val="it-IT"/>
        </w:rPr>
        <w:t>1</w:t>
      </w:r>
      <w:r w:rsidRPr="00A503E5">
        <w:rPr>
          <w:lang w:val="it-IT"/>
        </w:rPr>
        <w:t>, Federica Pascale</w:t>
      </w:r>
      <w:r w:rsidRPr="00A503E5">
        <w:rPr>
          <w:vertAlign w:val="superscript"/>
          <w:lang w:val="it-IT"/>
        </w:rPr>
        <w:t>2</w:t>
      </w:r>
      <w:r w:rsidRPr="00A503E5">
        <w:rPr>
          <w:lang w:val="it-IT"/>
        </w:rPr>
        <w:t>, Enrico Sicignano</w:t>
      </w:r>
      <w:r w:rsidRPr="00A503E5">
        <w:rPr>
          <w:vertAlign w:val="superscript"/>
          <w:lang w:val="it-IT"/>
        </w:rPr>
        <w:t>1</w:t>
      </w:r>
      <w:r w:rsidRPr="00A503E5">
        <w:rPr>
          <w:lang w:val="it-IT"/>
        </w:rPr>
        <w:t>, Pierf</w:t>
      </w:r>
      <w:r w:rsidR="00BC6F4E">
        <w:rPr>
          <w:lang w:val="it-IT"/>
        </w:rPr>
        <w:t>r</w:t>
      </w:r>
      <w:r w:rsidRPr="00A503E5">
        <w:rPr>
          <w:lang w:val="it-IT"/>
        </w:rPr>
        <w:t>ancesco Fiore</w:t>
      </w:r>
      <w:r w:rsidRPr="00A503E5">
        <w:rPr>
          <w:vertAlign w:val="superscript"/>
          <w:lang w:val="it-IT"/>
        </w:rPr>
        <w:t>1</w:t>
      </w:r>
      <w:r w:rsidRPr="00A503E5">
        <w:rPr>
          <w:lang w:val="it-IT"/>
        </w:rPr>
        <w:t xml:space="preserve"> </w:t>
      </w:r>
      <w:r w:rsidR="009B2539" w:rsidRPr="00A503E5">
        <w:rPr>
          <w:lang w:val="it-IT"/>
        </w:rPr>
        <w:t xml:space="preserve">and </w:t>
      </w:r>
      <w:r w:rsidRPr="00A503E5">
        <w:rPr>
          <w:lang w:val="it-IT"/>
        </w:rPr>
        <w:t>Francesco Polverino</w:t>
      </w:r>
      <w:r w:rsidRPr="00A503E5">
        <w:rPr>
          <w:vertAlign w:val="superscript"/>
          <w:lang w:val="it-IT"/>
        </w:rPr>
        <w:t>3</w:t>
      </w:r>
    </w:p>
    <w:p w14:paraId="6FC68403" w14:textId="77777777" w:rsidR="005B6A28" w:rsidRPr="00A503E5" w:rsidRDefault="009B2539" w:rsidP="005B6A28">
      <w:pPr>
        <w:pStyle w:val="address"/>
        <w:rPr>
          <w:lang w:val="it-IT"/>
        </w:rPr>
      </w:pPr>
      <w:r w:rsidRPr="00A503E5">
        <w:rPr>
          <w:vertAlign w:val="superscript"/>
          <w:lang w:val="it-IT"/>
        </w:rPr>
        <w:t>1</w:t>
      </w:r>
      <w:r w:rsidRPr="00A503E5">
        <w:rPr>
          <w:lang w:val="it-IT"/>
        </w:rPr>
        <w:t xml:space="preserve"> </w:t>
      </w:r>
      <w:r w:rsidR="00076FAB" w:rsidRPr="00A503E5">
        <w:rPr>
          <w:lang w:val="it-IT"/>
        </w:rPr>
        <w:t xml:space="preserve">University of Salerno, </w:t>
      </w:r>
      <w:r w:rsidR="003A6910" w:rsidRPr="00A503E5">
        <w:rPr>
          <w:lang w:val="it-IT"/>
        </w:rPr>
        <w:t xml:space="preserve">Giovani Paolo II, </w:t>
      </w:r>
      <w:r w:rsidRPr="00A503E5">
        <w:rPr>
          <w:lang w:val="it-IT"/>
        </w:rPr>
        <w:t>08544</w:t>
      </w:r>
      <w:r w:rsidR="00076FAB" w:rsidRPr="00A503E5">
        <w:rPr>
          <w:lang w:val="it-IT"/>
        </w:rPr>
        <w:t xml:space="preserve"> Fisciano</w:t>
      </w:r>
      <w:r w:rsidRPr="00A503E5">
        <w:rPr>
          <w:lang w:val="it-IT"/>
        </w:rPr>
        <w:t xml:space="preserve">, </w:t>
      </w:r>
      <w:r w:rsidR="00076FAB" w:rsidRPr="00A503E5">
        <w:rPr>
          <w:lang w:val="it-IT"/>
        </w:rPr>
        <w:t>Italy</w:t>
      </w:r>
    </w:p>
    <w:p w14:paraId="2DC35FCD" w14:textId="77777777" w:rsidR="00076FAB" w:rsidRPr="00A503E5" w:rsidRDefault="009B2539" w:rsidP="003A6910">
      <w:pPr>
        <w:pStyle w:val="address"/>
      </w:pPr>
      <w:r w:rsidRPr="00A503E5">
        <w:rPr>
          <w:vertAlign w:val="superscript"/>
        </w:rPr>
        <w:t>2</w:t>
      </w:r>
      <w:r w:rsidRPr="00A503E5">
        <w:t xml:space="preserve"> </w:t>
      </w:r>
      <w:r w:rsidR="00076FAB" w:rsidRPr="00A503E5">
        <w:t>Anglia Ruskin University,</w:t>
      </w:r>
      <w:r w:rsidRPr="00A503E5">
        <w:t xml:space="preserve"> </w:t>
      </w:r>
      <w:r w:rsidR="003A6910" w:rsidRPr="00A503E5">
        <w:t>Bishop Hall Lane, CM1 1SQ Chelmsford, UK</w:t>
      </w:r>
    </w:p>
    <w:p w14:paraId="3B3F06ED" w14:textId="77777777" w:rsidR="005B6A28" w:rsidRPr="00A503E5" w:rsidRDefault="003A6910" w:rsidP="005B6A28">
      <w:pPr>
        <w:pStyle w:val="address"/>
      </w:pPr>
      <w:r w:rsidRPr="00A503E5">
        <w:rPr>
          <w:vertAlign w:val="superscript"/>
        </w:rPr>
        <w:t>3</w:t>
      </w:r>
      <w:r w:rsidR="00076FAB" w:rsidRPr="00A503E5">
        <w:t xml:space="preserve"> </w:t>
      </w:r>
      <w:r w:rsidRPr="00A503E5">
        <w:t xml:space="preserve">University of Naples, </w:t>
      </w:r>
      <w:proofErr w:type="spellStart"/>
      <w:proofErr w:type="gramStart"/>
      <w:r w:rsidRPr="00A503E5">
        <w:t>P.le</w:t>
      </w:r>
      <w:proofErr w:type="spellEnd"/>
      <w:proofErr w:type="gramEnd"/>
      <w:r w:rsidRPr="00A503E5">
        <w:t xml:space="preserve"> </w:t>
      </w:r>
      <w:proofErr w:type="spellStart"/>
      <w:r w:rsidRPr="00A503E5">
        <w:t>Tecchio</w:t>
      </w:r>
      <w:proofErr w:type="spellEnd"/>
      <w:r w:rsidRPr="00A503E5">
        <w:t>, 80125 Naples, Italy</w:t>
      </w:r>
      <w:r w:rsidR="00076FAB" w:rsidRPr="00A503E5">
        <w:br/>
      </w:r>
      <w:r w:rsidR="009B2539" w:rsidRPr="00A503E5">
        <w:br/>
      </w:r>
      <w:r w:rsidRPr="00A503E5">
        <w:rPr>
          <w:rStyle w:val="e-mail"/>
        </w:rPr>
        <w:t>rmarmo@unisa.it</w:t>
      </w:r>
    </w:p>
    <w:p w14:paraId="7BF98890" w14:textId="77777777" w:rsidR="005B6A28" w:rsidRPr="00A503E5" w:rsidRDefault="009B2539" w:rsidP="003A6910">
      <w:pPr>
        <w:pStyle w:val="abstract"/>
        <w:ind w:firstLine="0"/>
        <w:rPr>
          <w:lang w:val="en-GB"/>
        </w:rPr>
      </w:pPr>
      <w:r w:rsidRPr="00A503E5">
        <w:rPr>
          <w:b/>
          <w:bCs/>
        </w:rPr>
        <w:t>Abstract</w:t>
      </w:r>
      <w:r w:rsidRPr="00A503E5">
        <w:rPr>
          <w:b/>
          <w:bCs/>
          <w:lang w:val="en-GB"/>
        </w:rPr>
        <w:t xml:space="preserve">. </w:t>
      </w:r>
      <w:r w:rsidR="003A6910" w:rsidRPr="00A503E5">
        <w:rPr>
          <w:lang w:val="en-GB"/>
        </w:rPr>
        <w:t xml:space="preserve">Since January 2020 Italy has been countering the COVID-19 pandemic with several measures, including strategies to improve the National Health System’s preparedness to such a threat. The paper aims to analyse response plans and measures against the COVID-19 pandemic within the Italian healthcare system, at national and regional level. Two objectives have been set: reviewing governmental provisions for territorial and hospital health services rearrangement; reviewing operational responses on the regional scale to address those demands. To collect and review operational responses at the regional level, six Regions have been considered as the field of study, chosen for being a relevant sample of the resident population in North, Middle and South Italy. Comparative analyses have been carried out to outline similarities and differences in managing this difficult healthcare situation. Results show that territorial medicine, particularly epidemiologic service, has been essential in facing the national crisis, but hospitals have been the main actors in addressing COVID-19 needs. Relevant structural, </w:t>
      </w:r>
      <w:proofErr w:type="gramStart"/>
      <w:r w:rsidR="003A6910" w:rsidRPr="00A503E5">
        <w:rPr>
          <w:lang w:val="en-GB"/>
        </w:rPr>
        <w:t>technological</w:t>
      </w:r>
      <w:proofErr w:type="gramEnd"/>
      <w:r w:rsidR="003A6910" w:rsidRPr="00A503E5">
        <w:rPr>
          <w:lang w:val="en-GB"/>
        </w:rPr>
        <w:t xml:space="preserve"> and organisational changes were needed to prepare hospitals. </w:t>
      </w:r>
      <w:r w:rsidR="003B614D" w:rsidRPr="00A503E5">
        <w:rPr>
          <w:lang w:val="en-GB"/>
        </w:rPr>
        <w:t>The built environment play</w:t>
      </w:r>
      <w:r w:rsidR="00963382" w:rsidRPr="00A503E5">
        <w:rPr>
          <w:lang w:val="en-GB"/>
        </w:rPr>
        <w:t>s</w:t>
      </w:r>
      <w:r w:rsidR="003B614D" w:rsidRPr="00A503E5">
        <w:rPr>
          <w:lang w:val="en-GB"/>
        </w:rPr>
        <w:t xml:space="preserve"> a significant role in managing the pandemic response, indeed. </w:t>
      </w:r>
      <w:r w:rsidR="003A6910" w:rsidRPr="00A503E5">
        <w:rPr>
          <w:lang w:val="en-GB"/>
        </w:rPr>
        <w:t>Further efforts to develop a novel, resilient and sustainable hospital model are needed. This study contributes to a better understanding of factors influencing current Italian hospitals’ strengths and limitations, shedding light on future design models which can increase resilience in emergency conditions.</w:t>
      </w:r>
    </w:p>
    <w:p w14:paraId="2EF8EDAE" w14:textId="77777777" w:rsidR="006608DD" w:rsidRPr="00A503E5" w:rsidRDefault="009B2539" w:rsidP="006608DD">
      <w:pPr>
        <w:pStyle w:val="keywords"/>
      </w:pPr>
      <w:r w:rsidRPr="00A503E5">
        <w:rPr>
          <w:b/>
          <w:bCs/>
        </w:rPr>
        <w:t>Keywords:</w:t>
      </w:r>
      <w:r w:rsidRPr="00A503E5">
        <w:t xml:space="preserve"> </w:t>
      </w:r>
      <w:r w:rsidR="003A6910" w:rsidRPr="00A503E5">
        <w:t xml:space="preserve">COVID-19, resilience, safety, </w:t>
      </w:r>
      <w:r w:rsidR="001A03A9" w:rsidRPr="00A503E5">
        <w:t xml:space="preserve">built environment, </w:t>
      </w:r>
      <w:r w:rsidR="003A6910" w:rsidRPr="00A503E5">
        <w:t>healthcare facilities, hospital.</w:t>
      </w:r>
      <w:r w:rsidR="006608DD" w:rsidRPr="00A503E5">
        <w:t xml:space="preserve"> </w:t>
      </w:r>
    </w:p>
    <w:p w14:paraId="1EC2FF4F" w14:textId="77777777" w:rsidR="005B6A28" w:rsidRPr="00A503E5" w:rsidRDefault="00825C83" w:rsidP="00B04CC0">
      <w:pPr>
        <w:pStyle w:val="heading1"/>
        <w:spacing w:line="240" w:lineRule="auto"/>
      </w:pPr>
      <w:r w:rsidRPr="00A503E5">
        <w:t>Introduction</w:t>
      </w:r>
    </w:p>
    <w:p w14:paraId="39C93E09" w14:textId="77777777" w:rsidR="00A21192" w:rsidRPr="00A503E5" w:rsidRDefault="00825C83" w:rsidP="00195493">
      <w:pPr>
        <w:pStyle w:val="p1a"/>
      </w:pPr>
      <w:r w:rsidRPr="00A503E5">
        <w:t>The world is facing one of the greatest socio-economic cris</w:t>
      </w:r>
      <w:r w:rsidR="001A02F6" w:rsidRPr="00A503E5">
        <w:t>e</w:t>
      </w:r>
      <w:r w:rsidRPr="00A503E5">
        <w:t xml:space="preserve">s </w:t>
      </w:r>
      <w:r w:rsidR="001A02F6" w:rsidRPr="00A503E5">
        <w:t xml:space="preserve">ever </w:t>
      </w:r>
      <w:r w:rsidRPr="00A503E5">
        <w:t>due to the COVID-19 pandemic</w:t>
      </w:r>
      <w:r w:rsidR="000A2A2F" w:rsidRPr="00A503E5">
        <w:t xml:space="preserve"> [1]</w:t>
      </w:r>
      <w:r w:rsidRPr="00A503E5">
        <w:t>. Starting from December 2019 a</w:t>
      </w:r>
      <w:r w:rsidR="000A2A2F" w:rsidRPr="00A503E5">
        <w:t xml:space="preserve"> </w:t>
      </w:r>
      <w:r w:rsidRPr="00A503E5">
        <w:t xml:space="preserve">novel </w:t>
      </w:r>
      <w:r w:rsidR="000A2A2F" w:rsidRPr="00A503E5">
        <w:t>virus,</w:t>
      </w:r>
      <w:r w:rsidRPr="00A503E5">
        <w:t xml:space="preserve"> named SARS-CoV-2, has</w:t>
      </w:r>
      <w:r w:rsidR="000A2A2F" w:rsidRPr="00A503E5">
        <w:t xml:space="preserve"> caused</w:t>
      </w:r>
      <w:r w:rsidRPr="00A503E5">
        <w:t xml:space="preserve"> t</w:t>
      </w:r>
      <w:r w:rsidR="000A2A2F" w:rsidRPr="00A503E5">
        <w:t>o date, March 2021, more than 2</w:t>
      </w:r>
      <w:r w:rsidR="007F5B96" w:rsidRPr="00A503E5">
        <w:t>.</w:t>
      </w:r>
      <w:r w:rsidR="00D402B4" w:rsidRPr="00A503E5">
        <w:t>7</w:t>
      </w:r>
      <w:r w:rsidR="000A2A2F" w:rsidRPr="00A503E5">
        <w:t xml:space="preserve"> million deaths </w:t>
      </w:r>
      <w:r w:rsidR="001A03A9" w:rsidRPr="00A503E5">
        <w:t xml:space="preserve">around the world, </w:t>
      </w:r>
      <w:r w:rsidR="000A2A2F" w:rsidRPr="00A503E5">
        <w:lastRenderedPageBreak/>
        <w:t>according to the World Health Organization (WHO)</w:t>
      </w:r>
      <w:r w:rsidR="001A03A9" w:rsidRPr="00A503E5">
        <w:t xml:space="preserve"> dashboard</w:t>
      </w:r>
      <w:r w:rsidR="000A2A2F" w:rsidRPr="00A503E5">
        <w:t>.</w:t>
      </w:r>
      <w:r w:rsidR="001A03A9" w:rsidRPr="00A503E5">
        <w:t xml:space="preserve"> </w:t>
      </w:r>
      <w:r w:rsidR="000A2A2F" w:rsidRPr="00A503E5">
        <w:t xml:space="preserve"> </w:t>
      </w:r>
      <w:r w:rsidR="001A03A9" w:rsidRPr="00A503E5">
        <w:t xml:space="preserve">The pandemic not only has dramatically </w:t>
      </w:r>
      <w:r w:rsidR="001A02F6" w:rsidRPr="00A503E5">
        <w:t xml:space="preserve">changed </w:t>
      </w:r>
      <w:r w:rsidR="001A03A9" w:rsidRPr="00A503E5">
        <w:t>people</w:t>
      </w:r>
      <w:r w:rsidR="002C6E63" w:rsidRPr="00A503E5">
        <w:t>’s</w:t>
      </w:r>
      <w:r w:rsidR="001A03A9" w:rsidRPr="00A503E5">
        <w:t xml:space="preserve"> lives but also the Built Environment (BE) requirements.  </w:t>
      </w:r>
      <w:r w:rsidR="001A02F6" w:rsidRPr="00A503E5">
        <w:t xml:space="preserve">The </w:t>
      </w:r>
      <w:r w:rsidR="001A03A9" w:rsidRPr="00A503E5">
        <w:t>BE serves as</w:t>
      </w:r>
      <w:r w:rsidR="001A02F6" w:rsidRPr="00A503E5">
        <w:t xml:space="preserve"> a</w:t>
      </w:r>
      <w:r w:rsidR="001A03A9" w:rsidRPr="00A503E5">
        <w:t xml:space="preserve"> potential transmission vector for the spread of COVID-19 by inducing close interactions between individuals, by containing fomites and allowing viral exchange and transfer through </w:t>
      </w:r>
      <w:r w:rsidR="001A02F6" w:rsidRPr="00A503E5">
        <w:t xml:space="preserve">the </w:t>
      </w:r>
      <w:r w:rsidR="001A03A9" w:rsidRPr="00A503E5">
        <w:t xml:space="preserve">air [2]. </w:t>
      </w:r>
      <w:r w:rsidR="001A02F6" w:rsidRPr="00A503E5">
        <w:t>The p</w:t>
      </w:r>
      <w:r w:rsidR="001A03A9" w:rsidRPr="00A503E5">
        <w:t>andemic</w:t>
      </w:r>
      <w:r w:rsidR="001A02F6" w:rsidRPr="00A503E5">
        <w:t>’s</w:t>
      </w:r>
      <w:r w:rsidR="001A03A9" w:rsidRPr="00A503E5">
        <w:t xml:space="preserve"> </w:t>
      </w:r>
      <w:r w:rsidR="002414CF" w:rsidRPr="00A503E5">
        <w:t>effects</w:t>
      </w:r>
      <w:r w:rsidR="001A03A9" w:rsidRPr="00A503E5">
        <w:t xml:space="preserve"> on </w:t>
      </w:r>
      <w:r w:rsidR="000A04F1" w:rsidRPr="00A503E5">
        <w:t>housing</w:t>
      </w:r>
      <w:r w:rsidR="001A03A9" w:rsidRPr="00A503E5">
        <w:t xml:space="preserve">, </w:t>
      </w:r>
      <w:r w:rsidR="000A04F1" w:rsidRPr="00A503E5">
        <w:t>workplaces and public spaces will last [3].</w:t>
      </w:r>
      <w:r w:rsidR="002414CF" w:rsidRPr="00A503E5">
        <w:t xml:space="preserve"> Ongoing experiences might yield positive impacts for future resilience designs, plans and policies within the BE. Resilience is critically important for filling the void left by risk management, which is limited to probabilistic analysis and events, as it relates to highly uncertain and high impact events such as epidemics [4]. </w:t>
      </w:r>
      <w:r w:rsidR="001A02F6" w:rsidRPr="00A503E5">
        <w:t>Past epidemics</w:t>
      </w:r>
      <w:r w:rsidR="002414CF" w:rsidRPr="00A503E5">
        <w:t xml:space="preserve"> have </w:t>
      </w:r>
      <w:r w:rsidR="001A02F6" w:rsidRPr="00A503E5">
        <w:t>spurred</w:t>
      </w:r>
      <w:r w:rsidR="002414CF" w:rsidRPr="00A503E5">
        <w:t xml:space="preserve"> the development of new solutions</w:t>
      </w:r>
      <w:r w:rsidR="002D2333" w:rsidRPr="00A503E5">
        <w:t xml:space="preserve"> for </w:t>
      </w:r>
      <w:r w:rsidR="001A02F6" w:rsidRPr="00A503E5">
        <w:t xml:space="preserve">the </w:t>
      </w:r>
      <w:r w:rsidR="002D2333" w:rsidRPr="00A503E5">
        <w:t>BE</w:t>
      </w:r>
      <w:r w:rsidR="002414CF" w:rsidRPr="00A503E5">
        <w:t xml:space="preserve">, which not only solve infections but also enhance lifestyles [5]. </w:t>
      </w:r>
      <w:r w:rsidR="00EE3F7C" w:rsidRPr="00A503E5">
        <w:t xml:space="preserve">The COVID-19 pandemic is requiring action to make the BE both resilient and sustainable. </w:t>
      </w:r>
      <w:r w:rsidR="001A02F6" w:rsidRPr="00A503E5">
        <w:t>T</w:t>
      </w:r>
      <w:r w:rsidR="00EE3F7C" w:rsidRPr="00A503E5">
        <w:t>he necessity to link disaster risk reduction, climate change and sustainable development goals</w:t>
      </w:r>
      <w:r w:rsidR="001A02F6" w:rsidRPr="00A503E5">
        <w:t xml:space="preserve"> has been outlined</w:t>
      </w:r>
      <w:r w:rsidR="00EE3F7C" w:rsidRPr="00A503E5">
        <w:t xml:space="preserve"> [6, 7, 8, 9]. </w:t>
      </w:r>
      <w:proofErr w:type="spellStart"/>
      <w:r w:rsidR="00963382" w:rsidRPr="00A503E5">
        <w:t>Capolongo</w:t>
      </w:r>
      <w:proofErr w:type="spellEnd"/>
      <w:r w:rsidR="00963382" w:rsidRPr="00A503E5">
        <w:t xml:space="preserve"> et al. [10] have recently</w:t>
      </w:r>
      <w:r w:rsidR="00C4677F" w:rsidRPr="00A503E5">
        <w:t xml:space="preserve"> </w:t>
      </w:r>
      <w:r w:rsidR="006724AF" w:rsidRPr="00A503E5">
        <w:t>claimed</w:t>
      </w:r>
      <w:r w:rsidR="00C4677F" w:rsidRPr="00A503E5">
        <w:t xml:space="preserve"> that public health relates to the planet’s health and suggested recommendations to make cities and communities resilient to future outbreaks. </w:t>
      </w:r>
      <w:r w:rsidR="003F01ED" w:rsidRPr="00A503E5">
        <w:t>Also, the pandemic consequences highlighted the need to rethink</w:t>
      </w:r>
      <w:r w:rsidR="00C4677F" w:rsidRPr="00A503E5">
        <w:t xml:space="preserve"> </w:t>
      </w:r>
      <w:r w:rsidR="003F01ED" w:rsidRPr="00A503E5">
        <w:t xml:space="preserve">the </w:t>
      </w:r>
      <w:r w:rsidR="00C4677F" w:rsidRPr="00A503E5">
        <w:t xml:space="preserve">indoor environments, as housing, </w:t>
      </w:r>
      <w:r w:rsidR="003F01ED" w:rsidRPr="00A503E5">
        <w:t xml:space="preserve">in a more healthy, </w:t>
      </w:r>
      <w:r w:rsidR="00963382" w:rsidRPr="00A503E5">
        <w:t>safe,</w:t>
      </w:r>
      <w:r w:rsidR="003F01ED" w:rsidRPr="00A503E5">
        <w:t xml:space="preserve"> and sustainable way [11].</w:t>
      </w:r>
    </w:p>
    <w:p w14:paraId="785DABEB" w14:textId="77777777" w:rsidR="0073786C" w:rsidRPr="00A503E5" w:rsidRDefault="00702EC7" w:rsidP="00195493">
      <w:pPr>
        <w:rPr>
          <w:lang w:val="en-GB"/>
        </w:rPr>
      </w:pPr>
      <w:r w:rsidRPr="00A503E5">
        <w:rPr>
          <w:lang w:val="en-GB"/>
        </w:rPr>
        <w:t>During times of disasters, h</w:t>
      </w:r>
      <w:r w:rsidR="004F258D" w:rsidRPr="00A503E5">
        <w:rPr>
          <w:lang w:val="en-GB"/>
        </w:rPr>
        <w:t xml:space="preserve">ealthcare systems are </w:t>
      </w:r>
      <w:r w:rsidR="003F4C96" w:rsidRPr="00A503E5">
        <w:rPr>
          <w:lang w:val="en-GB"/>
        </w:rPr>
        <w:t>called</w:t>
      </w:r>
      <w:r w:rsidR="001A02F6" w:rsidRPr="00A503E5">
        <w:rPr>
          <w:lang w:val="en-GB"/>
        </w:rPr>
        <w:t xml:space="preserve"> upon</w:t>
      </w:r>
      <w:r w:rsidR="003F4C96" w:rsidRPr="00A503E5">
        <w:rPr>
          <w:lang w:val="en-GB"/>
        </w:rPr>
        <w:t xml:space="preserve"> to ensure essential health services </w:t>
      </w:r>
      <w:r w:rsidR="001A02F6" w:rsidRPr="00A503E5">
        <w:rPr>
          <w:lang w:val="en-GB"/>
        </w:rPr>
        <w:t xml:space="preserve">are </w:t>
      </w:r>
      <w:r w:rsidR="003F4C96" w:rsidRPr="00A503E5">
        <w:rPr>
          <w:lang w:val="en-GB"/>
        </w:rPr>
        <w:t>uninterrupte</w:t>
      </w:r>
      <w:r w:rsidR="001A02F6" w:rsidRPr="00A503E5">
        <w:rPr>
          <w:lang w:val="en-GB"/>
        </w:rPr>
        <w:t>d</w:t>
      </w:r>
      <w:r w:rsidR="003F4C96" w:rsidRPr="00A503E5">
        <w:rPr>
          <w:lang w:val="en-GB"/>
        </w:rPr>
        <w:t xml:space="preserve"> while protecting healthcare workers, </w:t>
      </w:r>
      <w:proofErr w:type="gramStart"/>
      <w:r w:rsidR="003F4C96" w:rsidRPr="00A503E5">
        <w:rPr>
          <w:lang w:val="en-GB"/>
        </w:rPr>
        <w:t>patients</w:t>
      </w:r>
      <w:proofErr w:type="gramEnd"/>
      <w:r w:rsidR="003F4C96" w:rsidRPr="00A503E5">
        <w:rPr>
          <w:lang w:val="en-GB"/>
        </w:rPr>
        <w:t xml:space="preserve"> and communities at once. </w:t>
      </w:r>
      <w:r w:rsidR="00A21192" w:rsidRPr="00A503E5">
        <w:rPr>
          <w:lang w:val="en-GB"/>
        </w:rPr>
        <w:t xml:space="preserve">The WHO has recently published a suite of health service capacity assessments </w:t>
      </w:r>
      <w:proofErr w:type="gramStart"/>
      <w:r w:rsidR="00A21192" w:rsidRPr="00A503E5">
        <w:rPr>
          <w:lang w:val="en-GB"/>
        </w:rPr>
        <w:t>in order to</w:t>
      </w:r>
      <w:proofErr w:type="gramEnd"/>
      <w:r w:rsidR="00A21192" w:rsidRPr="00A503E5">
        <w:rPr>
          <w:lang w:val="en-GB"/>
        </w:rPr>
        <w:t xml:space="preserve"> support rapid and accurate assessments of the current and future capacities of health facilities, so that they are prepared for and responsive to COVID-19. [</w:t>
      </w:r>
      <w:r w:rsidR="00EE3F7C" w:rsidRPr="00A503E5">
        <w:rPr>
          <w:lang w:val="en-GB"/>
        </w:rPr>
        <w:t>1</w:t>
      </w:r>
      <w:r w:rsidR="006724AF" w:rsidRPr="00A503E5">
        <w:rPr>
          <w:lang w:val="en-GB"/>
        </w:rPr>
        <w:t>2</w:t>
      </w:r>
      <w:r w:rsidR="00A21192" w:rsidRPr="00A503E5">
        <w:rPr>
          <w:lang w:val="en-GB"/>
        </w:rPr>
        <w:t xml:space="preserve">]. </w:t>
      </w:r>
      <w:r w:rsidR="003F4C96" w:rsidRPr="00A503E5">
        <w:rPr>
          <w:lang w:val="en-GB"/>
        </w:rPr>
        <w:t>T</w:t>
      </w:r>
      <w:r w:rsidR="002414CF" w:rsidRPr="00A503E5">
        <w:rPr>
          <w:lang w:val="en-GB"/>
        </w:rPr>
        <w:t xml:space="preserve">here are examples of disaster resilience planning activities which have engaged health systems especially </w:t>
      </w:r>
      <w:r w:rsidR="001A02F6" w:rsidRPr="00A503E5">
        <w:rPr>
          <w:lang w:val="en-GB"/>
        </w:rPr>
        <w:t>in</w:t>
      </w:r>
      <w:r w:rsidR="002414CF" w:rsidRPr="00A503E5">
        <w:rPr>
          <w:lang w:val="en-GB"/>
        </w:rPr>
        <w:t xml:space="preserve"> overcom</w:t>
      </w:r>
      <w:r w:rsidR="001A02F6" w:rsidRPr="00A503E5">
        <w:rPr>
          <w:lang w:val="en-GB"/>
        </w:rPr>
        <w:t>ing</w:t>
      </w:r>
      <w:r w:rsidR="002414CF" w:rsidRPr="00A503E5">
        <w:rPr>
          <w:lang w:val="en-GB"/>
        </w:rPr>
        <w:t xml:space="preserve"> climate change induced threats (</w:t>
      </w:r>
      <w:proofErr w:type="gramStart"/>
      <w:r w:rsidR="002414CF" w:rsidRPr="00A503E5">
        <w:rPr>
          <w:lang w:val="en-GB"/>
        </w:rPr>
        <w:t>e.g.</w:t>
      </w:r>
      <w:proofErr w:type="gramEnd"/>
      <w:r w:rsidR="002414CF" w:rsidRPr="00A503E5">
        <w:rPr>
          <w:lang w:val="en-GB"/>
        </w:rPr>
        <w:t xml:space="preserve"> hurricanes) [</w:t>
      </w:r>
      <w:r w:rsidR="00A21192" w:rsidRPr="00A503E5">
        <w:rPr>
          <w:lang w:val="en-GB"/>
        </w:rPr>
        <w:t>1</w:t>
      </w:r>
      <w:r w:rsidR="006724AF" w:rsidRPr="00A503E5">
        <w:rPr>
          <w:lang w:val="en-GB"/>
        </w:rPr>
        <w:t>3</w:t>
      </w:r>
      <w:r w:rsidR="002414CF" w:rsidRPr="00A503E5">
        <w:rPr>
          <w:lang w:val="en-GB"/>
        </w:rPr>
        <w:t xml:space="preserve">]. </w:t>
      </w:r>
      <w:r w:rsidR="002D2333" w:rsidRPr="00A503E5">
        <w:rPr>
          <w:lang w:val="en-GB"/>
        </w:rPr>
        <w:t>Global efforts have been made to improve the functioning of hospital</w:t>
      </w:r>
      <w:r w:rsidR="001A02F6" w:rsidRPr="00A503E5">
        <w:rPr>
          <w:lang w:val="en-GB"/>
        </w:rPr>
        <w:t>s</w:t>
      </w:r>
      <w:r w:rsidR="002D2333" w:rsidRPr="00A503E5">
        <w:rPr>
          <w:lang w:val="en-GB"/>
        </w:rPr>
        <w:t xml:space="preserve"> in emergencies and disaster</w:t>
      </w:r>
      <w:r w:rsidR="001A02F6" w:rsidRPr="00A503E5">
        <w:rPr>
          <w:lang w:val="en-GB"/>
        </w:rPr>
        <w:t>s</w:t>
      </w:r>
      <w:r w:rsidR="002D2333" w:rsidRPr="00A503E5">
        <w:rPr>
          <w:lang w:val="en-GB"/>
        </w:rPr>
        <w:t>, developing the Hospital Safety Index [</w:t>
      </w:r>
      <w:r w:rsidR="00A21192" w:rsidRPr="00A503E5">
        <w:rPr>
          <w:lang w:val="en-GB"/>
        </w:rPr>
        <w:t>1</w:t>
      </w:r>
      <w:r w:rsidR="006724AF" w:rsidRPr="00A503E5">
        <w:rPr>
          <w:lang w:val="en-GB"/>
        </w:rPr>
        <w:t>4</w:t>
      </w:r>
      <w:r w:rsidR="002D2333" w:rsidRPr="00A503E5">
        <w:rPr>
          <w:lang w:val="en-GB"/>
        </w:rPr>
        <w:t>]</w:t>
      </w:r>
      <w:r w:rsidR="001A02F6" w:rsidRPr="00A503E5">
        <w:rPr>
          <w:lang w:val="en-GB"/>
        </w:rPr>
        <w:t>;</w:t>
      </w:r>
      <w:r w:rsidR="002D2333" w:rsidRPr="00A503E5">
        <w:rPr>
          <w:lang w:val="en-GB"/>
        </w:rPr>
        <w:t xml:space="preserve"> </w:t>
      </w:r>
      <w:proofErr w:type="gramStart"/>
      <w:r w:rsidR="002D2333" w:rsidRPr="00A503E5">
        <w:rPr>
          <w:lang w:val="en-GB"/>
        </w:rPr>
        <w:t>similarly</w:t>
      </w:r>
      <w:proofErr w:type="gramEnd"/>
      <w:r w:rsidR="002D2333" w:rsidRPr="00A503E5">
        <w:rPr>
          <w:lang w:val="en-GB"/>
        </w:rPr>
        <w:t xml:space="preserve"> the Project ER One aim</w:t>
      </w:r>
      <w:r w:rsidR="004F258D" w:rsidRPr="00A503E5">
        <w:rPr>
          <w:lang w:val="en-GB"/>
        </w:rPr>
        <w:t>ed</w:t>
      </w:r>
      <w:r w:rsidR="002D2333" w:rsidRPr="00A503E5">
        <w:rPr>
          <w:lang w:val="en-GB"/>
        </w:rPr>
        <w:t xml:space="preserve"> at an all risk ready emergency-care facility [</w:t>
      </w:r>
      <w:r w:rsidR="00A21192" w:rsidRPr="00A503E5">
        <w:rPr>
          <w:lang w:val="en-GB"/>
        </w:rPr>
        <w:t>1</w:t>
      </w:r>
      <w:r w:rsidR="006724AF" w:rsidRPr="00A503E5">
        <w:rPr>
          <w:lang w:val="en-GB"/>
        </w:rPr>
        <w:t>5</w:t>
      </w:r>
      <w:r w:rsidR="002D2333" w:rsidRPr="00A503E5">
        <w:rPr>
          <w:lang w:val="en-GB"/>
        </w:rPr>
        <w:t>].</w:t>
      </w:r>
      <w:r w:rsidR="003F4C96" w:rsidRPr="00A503E5">
        <w:rPr>
          <w:lang w:val="en-GB"/>
        </w:rPr>
        <w:t xml:space="preserve"> </w:t>
      </w:r>
      <w:r w:rsidR="00A21192" w:rsidRPr="00A503E5">
        <w:rPr>
          <w:lang w:val="en-GB"/>
        </w:rPr>
        <w:t xml:space="preserve">Hospitals face big challenges as they include units with vastly different requirements (e.g.  airborne infection isolation rooms and protective environment rooms) [2]. </w:t>
      </w:r>
      <w:r w:rsidR="0073786C" w:rsidRPr="00A503E5">
        <w:rPr>
          <w:lang w:val="en-GB"/>
        </w:rPr>
        <w:t xml:space="preserve">Some authors have argued that a common definition of disaster preparedness in hospital does not exist in </w:t>
      </w:r>
      <w:r w:rsidR="00B91E8F" w:rsidRPr="00A503E5">
        <w:rPr>
          <w:lang w:val="en-GB"/>
        </w:rPr>
        <w:t xml:space="preserve">the </w:t>
      </w:r>
      <w:r w:rsidR="0073786C" w:rsidRPr="00A503E5">
        <w:rPr>
          <w:lang w:val="en-GB"/>
        </w:rPr>
        <w:t>literature</w:t>
      </w:r>
      <w:r w:rsidR="00C4677F" w:rsidRPr="00A503E5">
        <w:rPr>
          <w:lang w:val="en-GB"/>
        </w:rPr>
        <w:t xml:space="preserve"> </w:t>
      </w:r>
      <w:r w:rsidR="00EE3F7C" w:rsidRPr="00A503E5">
        <w:rPr>
          <w:lang w:val="en-GB"/>
        </w:rPr>
        <w:t>[</w:t>
      </w:r>
      <w:r w:rsidR="00F60290" w:rsidRPr="00A503E5">
        <w:rPr>
          <w:lang w:val="en-GB"/>
        </w:rPr>
        <w:t>1</w:t>
      </w:r>
      <w:r w:rsidR="006724AF" w:rsidRPr="00A503E5">
        <w:rPr>
          <w:lang w:val="en-GB"/>
        </w:rPr>
        <w:t>6</w:t>
      </w:r>
      <w:r w:rsidR="00EE3F7C" w:rsidRPr="00A503E5">
        <w:rPr>
          <w:lang w:val="en-GB"/>
        </w:rPr>
        <w:t>]</w:t>
      </w:r>
      <w:r w:rsidR="0073786C" w:rsidRPr="00A503E5">
        <w:rPr>
          <w:lang w:val="en-GB"/>
        </w:rPr>
        <w:t xml:space="preserve">. </w:t>
      </w:r>
      <w:r w:rsidR="00EE3F7C" w:rsidRPr="00A503E5">
        <w:rPr>
          <w:lang w:val="en-GB"/>
        </w:rPr>
        <w:t>At the same</w:t>
      </w:r>
      <w:r w:rsidR="00B91E8F" w:rsidRPr="00A503E5">
        <w:rPr>
          <w:lang w:val="en-GB"/>
        </w:rPr>
        <w:t xml:space="preserve"> </w:t>
      </w:r>
      <w:proofErr w:type="gramStart"/>
      <w:r w:rsidR="00B91E8F" w:rsidRPr="00A503E5">
        <w:rPr>
          <w:lang w:val="en-GB"/>
        </w:rPr>
        <w:t>time</w:t>
      </w:r>
      <w:proofErr w:type="gramEnd"/>
      <w:r w:rsidR="00EE3F7C" w:rsidRPr="00A503E5">
        <w:rPr>
          <w:lang w:val="en-GB"/>
        </w:rPr>
        <w:t xml:space="preserve"> it is not easy to a</w:t>
      </w:r>
      <w:r w:rsidR="00B91E8F" w:rsidRPr="00A503E5">
        <w:rPr>
          <w:lang w:val="en-GB"/>
        </w:rPr>
        <w:t xml:space="preserve">ddress </w:t>
      </w:r>
      <w:r w:rsidR="00EE3F7C" w:rsidRPr="00A503E5">
        <w:rPr>
          <w:lang w:val="en-GB"/>
        </w:rPr>
        <w:t xml:space="preserve">how to prepare a hospital </w:t>
      </w:r>
      <w:r w:rsidR="00B91E8F" w:rsidRPr="00A503E5">
        <w:rPr>
          <w:lang w:val="en-GB"/>
        </w:rPr>
        <w:t>f</w:t>
      </w:r>
      <w:r w:rsidR="00EE3F7C" w:rsidRPr="00A503E5">
        <w:rPr>
          <w:lang w:val="en-GB"/>
        </w:rPr>
        <w:t>o</w:t>
      </w:r>
      <w:r w:rsidR="00B91E8F" w:rsidRPr="00A503E5">
        <w:rPr>
          <w:lang w:val="en-GB"/>
        </w:rPr>
        <w:t>r</w:t>
      </w:r>
      <w:r w:rsidR="00EE3F7C" w:rsidRPr="00A503E5">
        <w:rPr>
          <w:lang w:val="en-GB"/>
        </w:rPr>
        <w:t xml:space="preserve"> disaster</w:t>
      </w:r>
      <w:r w:rsidR="00404345" w:rsidRPr="00A503E5">
        <w:rPr>
          <w:lang w:val="en-GB"/>
        </w:rPr>
        <w:t>s</w:t>
      </w:r>
      <w:r w:rsidR="00EE3F7C" w:rsidRPr="00A503E5">
        <w:rPr>
          <w:lang w:val="en-GB"/>
        </w:rPr>
        <w:t xml:space="preserve">. </w:t>
      </w:r>
      <w:proofErr w:type="spellStart"/>
      <w:r w:rsidR="00EE3F7C" w:rsidRPr="00A503E5">
        <w:rPr>
          <w:lang w:val="en-GB"/>
        </w:rPr>
        <w:t>Capolongo</w:t>
      </w:r>
      <w:proofErr w:type="spellEnd"/>
      <w:r w:rsidR="00EE3F7C" w:rsidRPr="00A503E5">
        <w:rPr>
          <w:lang w:val="en-GB"/>
        </w:rPr>
        <w:t xml:space="preserve"> et al. [</w:t>
      </w:r>
      <w:r w:rsidR="00B76535" w:rsidRPr="00A503E5">
        <w:rPr>
          <w:lang w:val="en-GB"/>
        </w:rPr>
        <w:t>1</w:t>
      </w:r>
      <w:r w:rsidR="006724AF" w:rsidRPr="00A503E5">
        <w:rPr>
          <w:lang w:val="en-GB"/>
        </w:rPr>
        <w:t>7</w:t>
      </w:r>
      <w:r w:rsidR="00EE3F7C" w:rsidRPr="00A503E5">
        <w:rPr>
          <w:lang w:val="en-GB"/>
        </w:rPr>
        <w:t>] have recently proposed a Decalogue of design strategies for new and existing hospitals aim</w:t>
      </w:r>
      <w:r w:rsidR="00B91E8F" w:rsidRPr="00A503E5">
        <w:rPr>
          <w:lang w:val="en-GB"/>
        </w:rPr>
        <w:t>ed</w:t>
      </w:r>
      <w:r w:rsidR="00EE3F7C" w:rsidRPr="00A503E5">
        <w:rPr>
          <w:lang w:val="en-GB"/>
        </w:rPr>
        <w:t xml:space="preserve"> at improving hospital resilience.</w:t>
      </w:r>
      <w:r w:rsidR="00404345" w:rsidRPr="00A503E5">
        <w:rPr>
          <w:lang w:val="en-GB"/>
        </w:rPr>
        <w:t xml:space="preserve"> </w:t>
      </w:r>
    </w:p>
    <w:p w14:paraId="3C994F9B" w14:textId="77777777" w:rsidR="00FF7DFB" w:rsidRPr="00A503E5" w:rsidRDefault="002D0EE1" w:rsidP="00195493">
      <w:pPr>
        <w:rPr>
          <w:lang w:val="en-GB"/>
        </w:rPr>
      </w:pPr>
      <w:r w:rsidRPr="00A503E5">
        <w:rPr>
          <w:lang w:val="en-GB"/>
        </w:rPr>
        <w:t>Italy</w:t>
      </w:r>
      <w:r w:rsidR="007E529E" w:rsidRPr="00A503E5">
        <w:rPr>
          <w:lang w:val="en-GB"/>
        </w:rPr>
        <w:t xml:space="preserve"> has been</w:t>
      </w:r>
      <w:r w:rsidRPr="00A503E5">
        <w:t xml:space="preserve"> the first western country to be affected by the COVID-19 pandemic and the first who </w:t>
      </w:r>
      <w:r w:rsidR="007E529E" w:rsidRPr="00A503E5">
        <w:t xml:space="preserve">has </w:t>
      </w:r>
      <w:r w:rsidRPr="00A503E5">
        <w:t xml:space="preserve">adopted strict safety measures to stop the transmission chain (the </w:t>
      </w:r>
      <w:r w:rsidR="007E529E" w:rsidRPr="00A503E5">
        <w:t>so-called</w:t>
      </w:r>
      <w:r w:rsidRPr="00A503E5">
        <w:t xml:space="preserve"> lockdown)</w:t>
      </w:r>
      <w:r w:rsidR="007E529E" w:rsidRPr="00A503E5">
        <w:t>. According to the WHO dashboard,</w:t>
      </w:r>
      <w:r w:rsidR="000A32F7" w:rsidRPr="00A503E5">
        <w:t xml:space="preserve"> to</w:t>
      </w:r>
      <w:r w:rsidR="007E529E" w:rsidRPr="00A503E5">
        <w:t xml:space="preserve"> March 2021 it</w:t>
      </w:r>
      <w:r w:rsidRPr="00A503E5">
        <w:t xml:space="preserve"> counts </w:t>
      </w:r>
      <w:r w:rsidR="007E529E" w:rsidRPr="00A503E5">
        <w:t>more than 100.000 deaths, second only to the United Kingdom within the European context. Starting from February 2020, t</w:t>
      </w:r>
      <w:r w:rsidRPr="00A503E5">
        <w:rPr>
          <w:lang w:val="en-GB"/>
        </w:rPr>
        <w:t xml:space="preserve">he Italian </w:t>
      </w:r>
      <w:r w:rsidR="00ED6421" w:rsidRPr="00A503E5">
        <w:rPr>
          <w:lang w:val="en-GB"/>
        </w:rPr>
        <w:t>n</w:t>
      </w:r>
      <w:r w:rsidRPr="00A503E5">
        <w:rPr>
          <w:lang w:val="en-GB"/>
        </w:rPr>
        <w:t xml:space="preserve">ational </w:t>
      </w:r>
      <w:r w:rsidR="00ED6421" w:rsidRPr="00A503E5">
        <w:rPr>
          <w:lang w:val="en-GB"/>
        </w:rPr>
        <w:t>h</w:t>
      </w:r>
      <w:r w:rsidRPr="00A503E5">
        <w:rPr>
          <w:lang w:val="en-GB"/>
        </w:rPr>
        <w:t xml:space="preserve">ealth </w:t>
      </w:r>
      <w:r w:rsidR="00ED6421" w:rsidRPr="00A503E5">
        <w:rPr>
          <w:lang w:val="en-GB"/>
        </w:rPr>
        <w:t>s</w:t>
      </w:r>
      <w:r w:rsidRPr="00A503E5">
        <w:rPr>
          <w:lang w:val="en-GB"/>
        </w:rPr>
        <w:t xml:space="preserve">ystem </w:t>
      </w:r>
      <w:r w:rsidR="00FF7DFB" w:rsidRPr="00A503E5">
        <w:rPr>
          <w:lang w:val="en-GB"/>
        </w:rPr>
        <w:t>(</w:t>
      </w:r>
      <w:r w:rsidR="00ED6421" w:rsidRPr="00A503E5">
        <w:rPr>
          <w:lang w:val="en-GB"/>
        </w:rPr>
        <w:t>SSN</w:t>
      </w:r>
      <w:r w:rsidR="00FF7DFB" w:rsidRPr="00A503E5">
        <w:rPr>
          <w:lang w:val="en-GB"/>
        </w:rPr>
        <w:t xml:space="preserve">) </w:t>
      </w:r>
      <w:r w:rsidRPr="00A503E5">
        <w:rPr>
          <w:lang w:val="en-GB"/>
        </w:rPr>
        <w:t>had to quickly respond and adapt to address the surge of care and inpatient demands</w:t>
      </w:r>
      <w:r w:rsidR="007E529E" w:rsidRPr="00A503E5">
        <w:rPr>
          <w:lang w:val="en-GB"/>
        </w:rPr>
        <w:t xml:space="preserve"> [</w:t>
      </w:r>
      <w:r w:rsidR="00B76535" w:rsidRPr="00A503E5">
        <w:rPr>
          <w:lang w:val="en-GB"/>
        </w:rPr>
        <w:t>1</w:t>
      </w:r>
      <w:r w:rsidR="006724AF" w:rsidRPr="00A503E5">
        <w:rPr>
          <w:lang w:val="en-GB"/>
        </w:rPr>
        <w:t>8</w:t>
      </w:r>
      <w:r w:rsidR="000A32F7" w:rsidRPr="00A503E5">
        <w:rPr>
          <w:lang w:val="en-GB"/>
        </w:rPr>
        <w:t>]</w:t>
      </w:r>
      <w:r w:rsidRPr="00A503E5">
        <w:rPr>
          <w:lang w:val="en-GB"/>
        </w:rPr>
        <w:t xml:space="preserve">. </w:t>
      </w:r>
    </w:p>
    <w:p w14:paraId="608FC340" w14:textId="77777777" w:rsidR="002D0EE1" w:rsidRPr="00A503E5" w:rsidRDefault="002D0EE1" w:rsidP="00195493">
      <w:pPr>
        <w:rPr>
          <w:lang w:val="en-GB"/>
        </w:rPr>
      </w:pPr>
      <w:r w:rsidRPr="00A503E5">
        <w:rPr>
          <w:lang w:val="en-GB"/>
        </w:rPr>
        <w:t xml:space="preserve">Governmental and regional provisions led to a rearrangement of hospital and territorial services. </w:t>
      </w:r>
      <w:proofErr w:type="gramStart"/>
      <w:r w:rsidRPr="00A503E5">
        <w:rPr>
          <w:lang w:val="en-GB"/>
        </w:rPr>
        <w:t>As a consequence</w:t>
      </w:r>
      <w:proofErr w:type="gramEnd"/>
      <w:r w:rsidRPr="00A503E5">
        <w:rPr>
          <w:lang w:val="en-GB"/>
        </w:rPr>
        <w:t>, healthcare facilities have undergone extensive changes.</w:t>
      </w:r>
      <w:r w:rsidR="000A32F7" w:rsidRPr="00A503E5">
        <w:t xml:space="preserve"> </w:t>
      </w:r>
      <w:r w:rsidR="000A32F7" w:rsidRPr="00A503E5">
        <w:rPr>
          <w:lang w:val="en-GB"/>
        </w:rPr>
        <w:t xml:space="preserve">Hospital wards and units dedicated to COVID-19 were needed and outpatient services were suspended </w:t>
      </w:r>
      <w:r w:rsidR="00F60290" w:rsidRPr="00A503E5">
        <w:rPr>
          <w:lang w:val="en-GB"/>
        </w:rPr>
        <w:t>(</w:t>
      </w:r>
      <w:r w:rsidR="00F60290" w:rsidRPr="00A503E5">
        <w:t>Decree Law 9 March 2020, no14)</w:t>
      </w:r>
      <w:r w:rsidR="000A32F7" w:rsidRPr="00A503E5">
        <w:rPr>
          <w:lang w:val="en-GB"/>
        </w:rPr>
        <w:t xml:space="preserve">, so that the </w:t>
      </w:r>
      <w:r w:rsidR="00AE4832" w:rsidRPr="00A503E5">
        <w:rPr>
          <w:lang w:val="en-GB"/>
        </w:rPr>
        <w:t xml:space="preserve">oncological </w:t>
      </w:r>
      <w:r w:rsidR="000A32F7" w:rsidRPr="00A503E5">
        <w:rPr>
          <w:lang w:val="en-GB"/>
        </w:rPr>
        <w:t>screening activities have decreased by more than 50% compared to 2019 [</w:t>
      </w:r>
      <w:r w:rsidR="00B76535" w:rsidRPr="00A503E5">
        <w:rPr>
          <w:lang w:val="en-GB"/>
        </w:rPr>
        <w:t>1</w:t>
      </w:r>
      <w:r w:rsidR="006724AF" w:rsidRPr="00A503E5">
        <w:rPr>
          <w:lang w:val="en-GB"/>
        </w:rPr>
        <w:t>9</w:t>
      </w:r>
      <w:r w:rsidR="000A32F7" w:rsidRPr="00A503E5">
        <w:rPr>
          <w:lang w:val="en-GB"/>
        </w:rPr>
        <w:t>].</w:t>
      </w:r>
    </w:p>
    <w:p w14:paraId="06425535" w14:textId="77777777" w:rsidR="00404345" w:rsidRPr="00A503E5" w:rsidRDefault="007F52F5" w:rsidP="00195493">
      <w:pPr>
        <w:rPr>
          <w:lang w:val="en-GB"/>
        </w:rPr>
      </w:pPr>
      <w:r w:rsidRPr="00A503E5">
        <w:rPr>
          <w:lang w:val="en-GB"/>
        </w:rPr>
        <w:lastRenderedPageBreak/>
        <w:t xml:space="preserve">According to the previous statements and scenario, it </w:t>
      </w:r>
      <w:r w:rsidR="00EA35AC" w:rsidRPr="00A503E5">
        <w:rPr>
          <w:lang w:val="en-GB"/>
        </w:rPr>
        <w:t xml:space="preserve">can be </w:t>
      </w:r>
      <w:r w:rsidR="00E10CDF" w:rsidRPr="00A503E5">
        <w:rPr>
          <w:lang w:val="en-GB"/>
        </w:rPr>
        <w:t>concluded</w:t>
      </w:r>
      <w:r w:rsidR="00EA35AC" w:rsidRPr="00A503E5">
        <w:rPr>
          <w:lang w:val="en-GB"/>
        </w:rPr>
        <w:t xml:space="preserve"> that</w:t>
      </w:r>
      <w:r w:rsidRPr="00A503E5">
        <w:rPr>
          <w:lang w:val="en-GB"/>
        </w:rPr>
        <w:t xml:space="preserve"> the BE play</w:t>
      </w:r>
      <w:r w:rsidR="00EA35AC" w:rsidRPr="00A503E5">
        <w:rPr>
          <w:lang w:val="en-GB"/>
        </w:rPr>
        <w:t>s</w:t>
      </w:r>
      <w:r w:rsidRPr="00A503E5">
        <w:rPr>
          <w:lang w:val="en-GB"/>
        </w:rPr>
        <w:t xml:space="preserve"> </w:t>
      </w:r>
      <w:r w:rsidR="00EA35AC" w:rsidRPr="00A503E5">
        <w:rPr>
          <w:lang w:val="en-GB"/>
        </w:rPr>
        <w:t>an important role in the management of the pandemic and that it is important to increase the resilience of spaces and communities to quickly manage emergency conditions.</w:t>
      </w:r>
      <w:r w:rsidRPr="00A503E5">
        <w:rPr>
          <w:lang w:val="en-GB"/>
        </w:rPr>
        <w:t xml:space="preserve"> </w:t>
      </w:r>
      <w:r w:rsidR="00EA35AC" w:rsidRPr="00A503E5">
        <w:rPr>
          <w:lang w:val="en-GB"/>
        </w:rPr>
        <w:t>T</w:t>
      </w:r>
      <w:r w:rsidR="00404345" w:rsidRPr="00A503E5">
        <w:rPr>
          <w:lang w:val="en-GB"/>
        </w:rPr>
        <w:t xml:space="preserve">his paper is part </w:t>
      </w:r>
      <w:r w:rsidR="00B91E8F" w:rsidRPr="00A503E5">
        <w:rPr>
          <w:lang w:val="en-GB"/>
        </w:rPr>
        <w:t>of a body of</w:t>
      </w:r>
      <w:r w:rsidR="00404345" w:rsidRPr="00A503E5">
        <w:rPr>
          <w:lang w:val="en-GB"/>
        </w:rPr>
        <w:t xml:space="preserve"> research which argues for a more sustainable and resilient model for hospitals</w:t>
      </w:r>
      <w:r w:rsidR="005249E8" w:rsidRPr="00A503E5">
        <w:rPr>
          <w:lang w:val="en-GB"/>
        </w:rPr>
        <w:t xml:space="preserve"> in the post-COVID-19 era</w:t>
      </w:r>
      <w:r w:rsidR="00404345" w:rsidRPr="00A503E5">
        <w:rPr>
          <w:lang w:val="en-GB"/>
        </w:rPr>
        <w:t xml:space="preserve">. The paper analyses response plans and measures against the COVID-19 pandemic within the Italian context, at </w:t>
      </w:r>
      <w:r w:rsidR="00B91E8F" w:rsidRPr="00A503E5">
        <w:rPr>
          <w:lang w:val="en-GB"/>
        </w:rPr>
        <w:t xml:space="preserve">the </w:t>
      </w:r>
      <w:r w:rsidR="00404345" w:rsidRPr="00A503E5">
        <w:rPr>
          <w:lang w:val="en-GB"/>
        </w:rPr>
        <w:t>national and regional level. Two objectives have been set: reviewing governmental provisions for territorial and hospital health services rearrangement; reviewing operational responses on the regional scale to address those demands</w:t>
      </w:r>
      <w:r w:rsidR="00C47B08" w:rsidRPr="00A503E5">
        <w:rPr>
          <w:lang w:val="en-GB"/>
        </w:rPr>
        <w:t xml:space="preserve">. Section 2 provides for </w:t>
      </w:r>
      <w:r w:rsidR="009767F3" w:rsidRPr="00A503E5">
        <w:rPr>
          <w:lang w:val="en-GB"/>
        </w:rPr>
        <w:t xml:space="preserve">data and methods used for deepening </w:t>
      </w:r>
      <w:r w:rsidR="00C47B08" w:rsidRPr="00A503E5">
        <w:rPr>
          <w:lang w:val="en-GB"/>
        </w:rPr>
        <w:t xml:space="preserve">the analysis of </w:t>
      </w:r>
      <w:r w:rsidR="009767F3" w:rsidRPr="00A503E5">
        <w:rPr>
          <w:lang w:val="en-GB"/>
        </w:rPr>
        <w:t>the Italian</w:t>
      </w:r>
      <w:r w:rsidR="00C47B08" w:rsidRPr="00A503E5">
        <w:rPr>
          <w:lang w:val="en-GB"/>
        </w:rPr>
        <w:t xml:space="preserve"> measures to strengthen the health system. Section 3 shows the results achieved from this analysis, while Section 4 discusses them.</w:t>
      </w:r>
    </w:p>
    <w:p w14:paraId="39CB7565" w14:textId="77777777" w:rsidR="001A03A9" w:rsidRPr="00A503E5" w:rsidRDefault="00702EC7" w:rsidP="00D675C7">
      <w:pPr>
        <w:pStyle w:val="heading1"/>
      </w:pPr>
      <w:r w:rsidRPr="00A503E5">
        <w:t>Materials and methods</w:t>
      </w:r>
    </w:p>
    <w:p w14:paraId="4D6384CC" w14:textId="77777777" w:rsidR="004D4B67" w:rsidRPr="00A503E5" w:rsidRDefault="00FF7DFB" w:rsidP="004D4B67">
      <w:pPr>
        <w:pStyle w:val="p1a"/>
        <w:rPr>
          <w:lang w:val="en-GB"/>
        </w:rPr>
      </w:pPr>
      <w:r w:rsidRPr="00A503E5">
        <w:rPr>
          <w:lang w:val="en-GB"/>
        </w:rPr>
        <w:t>This section provides a brief overview of the Italian health</w:t>
      </w:r>
      <w:r w:rsidR="00AE4832" w:rsidRPr="00A503E5">
        <w:rPr>
          <w:lang w:val="en-GB"/>
        </w:rPr>
        <w:t>care</w:t>
      </w:r>
      <w:r w:rsidRPr="00A503E5">
        <w:rPr>
          <w:lang w:val="en-GB"/>
        </w:rPr>
        <w:t xml:space="preserve"> system and gives details about </w:t>
      </w:r>
      <w:r w:rsidR="006B3C0F" w:rsidRPr="00A503E5">
        <w:rPr>
          <w:lang w:val="en-GB"/>
        </w:rPr>
        <w:t>accesse</w:t>
      </w:r>
      <w:r w:rsidR="005249E8" w:rsidRPr="00A503E5">
        <w:rPr>
          <w:lang w:val="en-GB"/>
        </w:rPr>
        <w:t>d</w:t>
      </w:r>
      <w:r w:rsidR="006B3C0F" w:rsidRPr="00A503E5">
        <w:rPr>
          <w:lang w:val="en-GB"/>
        </w:rPr>
        <w:t xml:space="preserve"> </w:t>
      </w:r>
      <w:r w:rsidR="00073A44" w:rsidRPr="00A503E5">
        <w:rPr>
          <w:lang w:val="en-GB"/>
        </w:rPr>
        <w:t>databases and adopted processes to analyse</w:t>
      </w:r>
      <w:r w:rsidR="004D4B67" w:rsidRPr="00A503E5">
        <w:rPr>
          <w:lang w:val="en-GB"/>
        </w:rPr>
        <w:t xml:space="preserve"> healthcare facilities management</w:t>
      </w:r>
      <w:r w:rsidR="00AE4832" w:rsidRPr="00A503E5">
        <w:rPr>
          <w:lang w:val="en-GB"/>
        </w:rPr>
        <w:t xml:space="preserve"> during the emergency</w:t>
      </w:r>
      <w:r w:rsidRPr="00A503E5">
        <w:rPr>
          <w:lang w:val="en-GB"/>
        </w:rPr>
        <w:t>.</w:t>
      </w:r>
    </w:p>
    <w:p w14:paraId="7DEA6F88" w14:textId="77777777" w:rsidR="00ED6421" w:rsidRPr="00A503E5" w:rsidRDefault="00ED6421" w:rsidP="00ED6421">
      <w:pPr>
        <w:rPr>
          <w:lang w:val="en-GB"/>
        </w:rPr>
      </w:pPr>
      <w:r w:rsidRPr="00A503E5">
        <w:rPr>
          <w:lang w:val="en-GB"/>
        </w:rPr>
        <w:t>The SSN has implemented a decentralised model, especially s</w:t>
      </w:r>
      <w:r w:rsidR="00FF7DFB" w:rsidRPr="00A503E5">
        <w:rPr>
          <w:lang w:val="en-GB"/>
        </w:rPr>
        <w:t xml:space="preserve">ince the constitutional reform of 2001 </w:t>
      </w:r>
      <w:r w:rsidRPr="00A503E5">
        <w:rPr>
          <w:lang w:val="en-GB"/>
        </w:rPr>
        <w:t>by which</w:t>
      </w:r>
      <w:r w:rsidR="00FF7DFB" w:rsidRPr="00A503E5">
        <w:rPr>
          <w:lang w:val="en-GB"/>
        </w:rPr>
        <w:t xml:space="preserve"> </w:t>
      </w:r>
      <w:r w:rsidR="00FD30FA" w:rsidRPr="00A503E5">
        <w:rPr>
          <w:lang w:val="en-GB"/>
        </w:rPr>
        <w:t>r</w:t>
      </w:r>
      <w:r w:rsidR="00FF7DFB" w:rsidRPr="00A503E5">
        <w:rPr>
          <w:lang w:val="en-GB"/>
        </w:rPr>
        <w:t xml:space="preserve">egions have gained legislative power in a wide range of fields, </w:t>
      </w:r>
      <w:r w:rsidRPr="00A503E5">
        <w:rPr>
          <w:lang w:val="en-GB"/>
        </w:rPr>
        <w:t>including</w:t>
      </w:r>
      <w:r w:rsidR="00FF7DFB" w:rsidRPr="00A503E5">
        <w:rPr>
          <w:lang w:val="en-GB"/>
        </w:rPr>
        <w:t xml:space="preserve"> healthcare. </w:t>
      </w:r>
      <w:r w:rsidR="007E4707" w:rsidRPr="00A503E5">
        <w:rPr>
          <w:lang w:val="en-GB"/>
        </w:rPr>
        <w:t xml:space="preserve">Health is a constitutional </w:t>
      </w:r>
      <w:r w:rsidRPr="00A503E5">
        <w:rPr>
          <w:lang w:val="en-GB"/>
        </w:rPr>
        <w:t>right;</w:t>
      </w:r>
      <w:r w:rsidR="007E4707" w:rsidRPr="00A503E5">
        <w:rPr>
          <w:lang w:val="en-GB"/>
        </w:rPr>
        <w:t xml:space="preserve"> the central government defines </w:t>
      </w:r>
      <w:r w:rsidR="00FF7DFB" w:rsidRPr="00A503E5">
        <w:rPr>
          <w:lang w:val="en-GB"/>
        </w:rPr>
        <w:t>the essential levels of care</w:t>
      </w:r>
      <w:r w:rsidR="007E4707" w:rsidRPr="00A503E5">
        <w:rPr>
          <w:lang w:val="en-GB"/>
        </w:rPr>
        <w:t xml:space="preserve"> </w:t>
      </w:r>
      <w:r w:rsidR="007E4707" w:rsidRPr="00A503E5">
        <w:rPr>
          <w:shd w:val="clear" w:color="auto" w:fill="FFFFFF"/>
          <w:lang w:val="en-GB"/>
        </w:rPr>
        <w:t>and guarantees them to all residents</w:t>
      </w:r>
      <w:r w:rsidR="007E4707" w:rsidRPr="00A503E5">
        <w:rPr>
          <w:lang w:val="en-GB"/>
        </w:rPr>
        <w:t>. The</w:t>
      </w:r>
      <w:r w:rsidRPr="00A503E5">
        <w:rPr>
          <w:lang w:val="en-GB"/>
        </w:rPr>
        <w:t xml:space="preserve"> </w:t>
      </w:r>
      <w:r w:rsidR="007E4707" w:rsidRPr="00A503E5">
        <w:rPr>
          <w:lang w:val="en-GB"/>
        </w:rPr>
        <w:t>healthcare services are</w:t>
      </w:r>
      <w:r w:rsidR="007E4707" w:rsidRPr="00A503E5">
        <w:rPr>
          <w:shd w:val="clear" w:color="auto" w:fill="FFFFFF"/>
          <w:lang w:val="en-GB"/>
        </w:rPr>
        <w:t xml:space="preserve"> </w:t>
      </w:r>
      <w:r w:rsidR="007E4707" w:rsidRPr="00A503E5">
        <w:rPr>
          <w:lang w:val="en-GB"/>
        </w:rPr>
        <w:t>categori</w:t>
      </w:r>
      <w:r w:rsidR="00FD30FA" w:rsidRPr="00A503E5">
        <w:rPr>
          <w:lang w:val="en-GB"/>
        </w:rPr>
        <w:t>s</w:t>
      </w:r>
      <w:r w:rsidR="007E4707" w:rsidRPr="00A503E5">
        <w:rPr>
          <w:lang w:val="en-GB"/>
        </w:rPr>
        <w:t>ed in three macro</w:t>
      </w:r>
      <w:r w:rsidR="00674743" w:rsidRPr="00A503E5">
        <w:rPr>
          <w:lang w:val="en-GB"/>
        </w:rPr>
        <w:t xml:space="preserve"> </w:t>
      </w:r>
      <w:r w:rsidR="007E4707" w:rsidRPr="00A503E5">
        <w:rPr>
          <w:lang w:val="en-GB"/>
        </w:rPr>
        <w:t xml:space="preserve">levels: (a) public health, (b) community care, and (c) hospital care </w:t>
      </w:r>
      <w:r w:rsidR="003E1F1B" w:rsidRPr="00A503E5">
        <w:rPr>
          <w:lang w:val="en-GB"/>
        </w:rPr>
        <w:t>(D</w:t>
      </w:r>
      <w:r w:rsidR="00EA35AC" w:rsidRPr="00A503E5">
        <w:rPr>
          <w:lang w:val="en-GB"/>
        </w:rPr>
        <w:t xml:space="preserve">ecree of the </w:t>
      </w:r>
      <w:r w:rsidR="003E1F1B" w:rsidRPr="00A503E5">
        <w:rPr>
          <w:lang w:val="en-GB"/>
        </w:rPr>
        <w:t>P</w:t>
      </w:r>
      <w:r w:rsidR="00EA35AC" w:rsidRPr="00A503E5">
        <w:rPr>
          <w:lang w:val="en-GB"/>
        </w:rPr>
        <w:t xml:space="preserve">resident of the </w:t>
      </w:r>
      <w:r w:rsidR="003E1F1B" w:rsidRPr="00A503E5">
        <w:rPr>
          <w:lang w:val="en-GB"/>
        </w:rPr>
        <w:t>C</w:t>
      </w:r>
      <w:r w:rsidR="00EA35AC" w:rsidRPr="00A503E5">
        <w:rPr>
          <w:lang w:val="en-GB"/>
        </w:rPr>
        <w:t xml:space="preserve">ouncil of </w:t>
      </w:r>
      <w:r w:rsidR="003E1F1B" w:rsidRPr="00A503E5">
        <w:rPr>
          <w:lang w:val="en-GB"/>
        </w:rPr>
        <w:t>M</w:t>
      </w:r>
      <w:r w:rsidR="00EA35AC" w:rsidRPr="00A503E5">
        <w:rPr>
          <w:lang w:val="en-GB"/>
        </w:rPr>
        <w:t>inisters - DPCM</w:t>
      </w:r>
      <w:r w:rsidR="003E1F1B" w:rsidRPr="00A503E5">
        <w:rPr>
          <w:lang w:val="en-GB"/>
        </w:rPr>
        <w:t xml:space="preserve"> </w:t>
      </w:r>
      <w:r w:rsidR="00EA35AC" w:rsidRPr="00A503E5">
        <w:rPr>
          <w:lang w:val="en-GB"/>
        </w:rPr>
        <w:t xml:space="preserve">- </w:t>
      </w:r>
      <w:r w:rsidR="003E1F1B" w:rsidRPr="00A503E5">
        <w:rPr>
          <w:lang w:val="en-GB"/>
        </w:rPr>
        <w:t>12th Jan 2017)</w:t>
      </w:r>
      <w:r w:rsidR="007E4707" w:rsidRPr="00A503E5">
        <w:rPr>
          <w:lang w:val="en-GB"/>
        </w:rPr>
        <w:t xml:space="preserve">. </w:t>
      </w:r>
      <w:r w:rsidR="00FD30FA" w:rsidRPr="00A503E5">
        <w:rPr>
          <w:lang w:val="en-GB"/>
        </w:rPr>
        <w:t>R</w:t>
      </w:r>
      <w:r w:rsidR="00FF7DFB" w:rsidRPr="00A503E5">
        <w:rPr>
          <w:lang w:val="en-GB"/>
        </w:rPr>
        <w:t>egions have the responsibility to deliver health services</w:t>
      </w:r>
      <w:r w:rsidR="003E1F1B" w:rsidRPr="00A503E5">
        <w:rPr>
          <w:lang w:val="en-GB"/>
        </w:rPr>
        <w:t xml:space="preserve"> by means of health districts, </w:t>
      </w:r>
      <w:proofErr w:type="gramStart"/>
      <w:r w:rsidR="003E1F1B" w:rsidRPr="00A503E5">
        <w:rPr>
          <w:lang w:val="en-GB"/>
        </w:rPr>
        <w:t>hospitals</w:t>
      </w:r>
      <w:proofErr w:type="gramEnd"/>
      <w:r w:rsidR="003E1F1B" w:rsidRPr="00A503E5">
        <w:rPr>
          <w:lang w:val="en-GB"/>
        </w:rPr>
        <w:t xml:space="preserve"> and local health </w:t>
      </w:r>
      <w:r w:rsidR="00A86160" w:rsidRPr="00A503E5">
        <w:rPr>
          <w:lang w:val="en-GB"/>
        </w:rPr>
        <w:t>units</w:t>
      </w:r>
      <w:r w:rsidR="00FF7DFB" w:rsidRPr="00A503E5">
        <w:rPr>
          <w:lang w:val="en-GB"/>
        </w:rPr>
        <w:t>.</w:t>
      </w:r>
      <w:r w:rsidR="003E1F1B" w:rsidRPr="00A503E5">
        <w:rPr>
          <w:lang w:val="en-GB"/>
        </w:rPr>
        <w:t xml:space="preserve"> They autonomously regulate, organi</w:t>
      </w:r>
      <w:r w:rsidR="00FD30FA" w:rsidRPr="00A503E5">
        <w:rPr>
          <w:lang w:val="en-GB"/>
        </w:rPr>
        <w:t>s</w:t>
      </w:r>
      <w:r w:rsidR="003E1F1B" w:rsidRPr="00A503E5">
        <w:rPr>
          <w:lang w:val="en-GB"/>
        </w:rPr>
        <w:t>e, and administrate publicly financed healthcare [</w:t>
      </w:r>
      <w:r w:rsidR="006724AF" w:rsidRPr="00A503E5">
        <w:rPr>
          <w:lang w:val="en-GB"/>
        </w:rPr>
        <w:t>20</w:t>
      </w:r>
      <w:r w:rsidR="003E1F1B" w:rsidRPr="00A503E5">
        <w:rPr>
          <w:lang w:val="en-GB"/>
        </w:rPr>
        <w:t xml:space="preserve">]. </w:t>
      </w:r>
      <w:r w:rsidR="00C75466" w:rsidRPr="00A503E5">
        <w:rPr>
          <w:lang w:val="en-GB"/>
        </w:rPr>
        <w:t xml:space="preserve">Also, in addition to public companies, private healthcare facilities, the so-called accredited facilities, can participate </w:t>
      </w:r>
      <w:r w:rsidR="00674743" w:rsidRPr="00A503E5">
        <w:rPr>
          <w:lang w:val="en-GB"/>
        </w:rPr>
        <w:t>in</w:t>
      </w:r>
      <w:r w:rsidR="00C75466" w:rsidRPr="00A503E5">
        <w:rPr>
          <w:lang w:val="en-GB"/>
        </w:rPr>
        <w:t xml:space="preserve"> the delivery of essential services. </w:t>
      </w:r>
      <w:r w:rsidR="003E1F1B" w:rsidRPr="00A503E5">
        <w:rPr>
          <w:lang w:val="en-GB"/>
        </w:rPr>
        <w:t xml:space="preserve">This led to </w:t>
      </w:r>
      <w:r w:rsidR="00C75466" w:rsidRPr="00A503E5">
        <w:rPr>
          <w:lang w:val="en-GB"/>
        </w:rPr>
        <w:t>interregional differences in access to care [1</w:t>
      </w:r>
      <w:r w:rsidR="00A86160" w:rsidRPr="00A503E5">
        <w:rPr>
          <w:lang w:val="en-GB"/>
        </w:rPr>
        <w:t xml:space="preserve">, </w:t>
      </w:r>
      <w:r w:rsidR="006724AF" w:rsidRPr="00A503E5">
        <w:rPr>
          <w:lang w:val="en-GB"/>
        </w:rPr>
        <w:t>21</w:t>
      </w:r>
      <w:r w:rsidR="00C75466" w:rsidRPr="00A503E5">
        <w:rPr>
          <w:lang w:val="en-GB"/>
        </w:rPr>
        <w:t>]</w:t>
      </w:r>
      <w:r w:rsidR="00A86160" w:rsidRPr="00A503E5">
        <w:rPr>
          <w:lang w:val="en-GB"/>
        </w:rPr>
        <w:t xml:space="preserve">. </w:t>
      </w:r>
      <w:r w:rsidR="002B400D" w:rsidRPr="00A503E5">
        <w:rPr>
          <w:lang w:val="en-GB"/>
        </w:rPr>
        <w:t>Bosa et al. [</w:t>
      </w:r>
      <w:r w:rsidR="00B76535" w:rsidRPr="00A503E5">
        <w:rPr>
          <w:lang w:val="en-GB"/>
        </w:rPr>
        <w:t>2</w:t>
      </w:r>
      <w:r w:rsidR="006724AF" w:rsidRPr="00A503E5">
        <w:rPr>
          <w:lang w:val="en-GB"/>
        </w:rPr>
        <w:t>2</w:t>
      </w:r>
      <w:r w:rsidR="002B400D" w:rsidRPr="00A503E5">
        <w:rPr>
          <w:lang w:val="en-GB"/>
        </w:rPr>
        <w:t xml:space="preserve">] have outlined that this decentralised model led to different capacities in addressing the demand and the supply of healthcare services during the </w:t>
      </w:r>
      <w:r w:rsidR="004D4B67" w:rsidRPr="00A503E5">
        <w:rPr>
          <w:lang w:val="en-GB"/>
        </w:rPr>
        <w:t xml:space="preserve">COVID-19 </w:t>
      </w:r>
      <w:r w:rsidR="002B400D" w:rsidRPr="00A503E5">
        <w:rPr>
          <w:lang w:val="en-GB"/>
        </w:rPr>
        <w:t xml:space="preserve">pandemic. On one hand it allowed local governments to tailor their responses to the needs of their population, on the other hand it might have impeded fast and integrated responses. Moreover, the COVID-19 pandemic has hit the country </w:t>
      </w:r>
      <w:r w:rsidR="00FD30FA" w:rsidRPr="00A503E5">
        <w:rPr>
          <w:lang w:val="en-GB"/>
        </w:rPr>
        <w:t xml:space="preserve">hard </w:t>
      </w:r>
      <w:r w:rsidR="002B400D" w:rsidRPr="00A503E5">
        <w:rPr>
          <w:lang w:val="en-GB"/>
        </w:rPr>
        <w:t>after years of strict spending reviews and severe cost containment measures which resulted in workforce shortages, insufficient communication and surveillance system</w:t>
      </w:r>
      <w:r w:rsidR="00FD30FA" w:rsidRPr="00A503E5">
        <w:rPr>
          <w:lang w:val="en-GB"/>
        </w:rPr>
        <w:t>s</w:t>
      </w:r>
      <w:r w:rsidR="002B400D" w:rsidRPr="00A503E5">
        <w:rPr>
          <w:lang w:val="en-GB"/>
        </w:rPr>
        <w:t xml:space="preserve"> and inadequate healthcare infrastructures</w:t>
      </w:r>
      <w:r w:rsidR="00681AF0" w:rsidRPr="00A503E5">
        <w:rPr>
          <w:lang w:val="en-GB"/>
        </w:rPr>
        <w:t xml:space="preserve"> [</w:t>
      </w:r>
      <w:r w:rsidR="00B76535" w:rsidRPr="00A503E5">
        <w:rPr>
          <w:lang w:val="en-GB"/>
        </w:rPr>
        <w:t>2</w:t>
      </w:r>
      <w:r w:rsidR="006724AF" w:rsidRPr="00A503E5">
        <w:rPr>
          <w:lang w:val="en-GB"/>
        </w:rPr>
        <w:t>2</w:t>
      </w:r>
      <w:r w:rsidR="00681AF0" w:rsidRPr="00A503E5">
        <w:rPr>
          <w:lang w:val="en-GB"/>
        </w:rPr>
        <w:t>]</w:t>
      </w:r>
      <w:r w:rsidR="002B400D" w:rsidRPr="00A503E5">
        <w:rPr>
          <w:lang w:val="en-GB"/>
        </w:rPr>
        <w:t>.</w:t>
      </w:r>
    </w:p>
    <w:p w14:paraId="25C5A40D" w14:textId="77777777" w:rsidR="00195493" w:rsidRPr="00A503E5" w:rsidRDefault="00FF7DFB" w:rsidP="009C50A4">
      <w:bookmarkStart w:id="0" w:name="_Hlk72941219"/>
      <w:r w:rsidRPr="00A503E5">
        <w:rPr>
          <w:lang w:val="en-GB"/>
        </w:rPr>
        <w:t xml:space="preserve">In order to </w:t>
      </w:r>
      <w:r w:rsidR="00ED6421" w:rsidRPr="00A503E5">
        <w:rPr>
          <w:lang w:val="en-GB"/>
        </w:rPr>
        <w:t>further investigate</w:t>
      </w:r>
      <w:r w:rsidR="002E1C3A" w:rsidRPr="00A503E5">
        <w:rPr>
          <w:lang w:val="en-GB"/>
        </w:rPr>
        <w:t xml:space="preserve"> the</w:t>
      </w:r>
      <w:r w:rsidRPr="00A503E5">
        <w:rPr>
          <w:lang w:val="en-GB"/>
        </w:rPr>
        <w:t xml:space="preserve"> Italian response</w:t>
      </w:r>
      <w:r w:rsidR="00EA35AC" w:rsidRPr="00A503E5">
        <w:rPr>
          <w:lang w:val="en-GB"/>
        </w:rPr>
        <w:t xml:space="preserve"> </w:t>
      </w:r>
      <w:r w:rsidRPr="00A503E5">
        <w:rPr>
          <w:lang w:val="en-GB"/>
        </w:rPr>
        <w:t>to the C</w:t>
      </w:r>
      <w:r w:rsidR="00FD30FA" w:rsidRPr="00A503E5">
        <w:rPr>
          <w:lang w:val="en-GB"/>
        </w:rPr>
        <w:t>OVID</w:t>
      </w:r>
      <w:r w:rsidRPr="00A503E5">
        <w:rPr>
          <w:lang w:val="en-GB"/>
        </w:rPr>
        <w:t>-19 pandemic</w:t>
      </w:r>
      <w:r w:rsidR="00EA35AC" w:rsidRPr="00A503E5">
        <w:rPr>
          <w:lang w:val="en-GB"/>
        </w:rPr>
        <w:t xml:space="preserve">, in terms of national and regional urgent </w:t>
      </w:r>
      <w:r w:rsidR="0049288A" w:rsidRPr="00A503E5">
        <w:rPr>
          <w:lang w:val="en-GB"/>
        </w:rPr>
        <w:t>legislative measures</w:t>
      </w:r>
      <w:r w:rsidR="00EA35AC" w:rsidRPr="00A503E5">
        <w:rPr>
          <w:lang w:val="en-GB"/>
        </w:rPr>
        <w:t xml:space="preserve">, </w:t>
      </w:r>
      <w:r w:rsidRPr="00A503E5">
        <w:rPr>
          <w:lang w:val="en-GB"/>
        </w:rPr>
        <w:t xml:space="preserve"> </w:t>
      </w:r>
      <w:bookmarkEnd w:id="0"/>
      <w:r w:rsidRPr="00A503E5">
        <w:rPr>
          <w:lang w:val="en-GB"/>
        </w:rPr>
        <w:t>the authors have collected and reviewed regulatory provisions</w:t>
      </w:r>
      <w:r w:rsidR="002E1C3A" w:rsidRPr="00A503E5">
        <w:rPr>
          <w:lang w:val="en-GB"/>
        </w:rPr>
        <w:t xml:space="preserve"> (i.e. Law Decree, Presidential Decree, Ministerial Circulars, Regional Orders),</w:t>
      </w:r>
      <w:r w:rsidRPr="00A503E5">
        <w:rPr>
          <w:lang w:val="en-GB"/>
        </w:rPr>
        <w:t xml:space="preserve"> national guidelines </w:t>
      </w:r>
      <w:r w:rsidR="002E1C3A" w:rsidRPr="00A503E5">
        <w:rPr>
          <w:lang w:val="en-GB"/>
        </w:rPr>
        <w:t xml:space="preserve">(i.e. guides from the Minister of Health and the National Institute of  Health), </w:t>
      </w:r>
      <w:r w:rsidRPr="00A503E5">
        <w:rPr>
          <w:lang w:val="en-GB"/>
        </w:rPr>
        <w:t xml:space="preserve">and </w:t>
      </w:r>
      <w:r w:rsidR="002E1C3A" w:rsidRPr="00A503E5">
        <w:rPr>
          <w:lang w:val="en-GB"/>
        </w:rPr>
        <w:t xml:space="preserve">other </w:t>
      </w:r>
      <w:r w:rsidRPr="00A503E5">
        <w:rPr>
          <w:lang w:val="en-GB"/>
        </w:rPr>
        <w:t xml:space="preserve">grey literature </w:t>
      </w:r>
      <w:r w:rsidR="002E1C3A" w:rsidRPr="00A503E5">
        <w:rPr>
          <w:lang w:val="en-GB"/>
        </w:rPr>
        <w:t xml:space="preserve">(i.e. reports of the National Centre for Screening Monitoring) from </w:t>
      </w:r>
      <w:r w:rsidRPr="00A503E5">
        <w:rPr>
          <w:lang w:val="en-GB"/>
        </w:rPr>
        <w:t>January 2020 to March 2021.</w:t>
      </w:r>
      <w:r w:rsidR="004D4B67" w:rsidRPr="00A503E5">
        <w:rPr>
          <w:lang w:val="en-GB"/>
        </w:rPr>
        <w:t xml:space="preserve"> </w:t>
      </w:r>
      <w:r w:rsidR="009D661C" w:rsidRPr="00A503E5">
        <w:rPr>
          <w:lang w:val="en-GB"/>
        </w:rPr>
        <w:t xml:space="preserve">National policies have been collected from the website of the Official </w:t>
      </w:r>
      <w:r w:rsidR="000B4670" w:rsidRPr="00A503E5">
        <w:rPr>
          <w:lang w:val="en-GB"/>
        </w:rPr>
        <w:t>Gazette</w:t>
      </w:r>
      <w:r w:rsidR="009D661C" w:rsidRPr="00A503E5">
        <w:rPr>
          <w:lang w:val="en-GB"/>
        </w:rPr>
        <w:t xml:space="preserve"> of the Italian </w:t>
      </w:r>
      <w:r w:rsidR="009D661C" w:rsidRPr="00A503E5">
        <w:rPr>
          <w:lang w:val="en-GB"/>
        </w:rPr>
        <w:lastRenderedPageBreak/>
        <w:t xml:space="preserve">Republic. </w:t>
      </w:r>
      <w:r w:rsidR="006032DF" w:rsidRPr="00A503E5">
        <w:rPr>
          <w:lang w:val="en-GB"/>
        </w:rPr>
        <w:t>A thematic area, named “Coronavirus”, of the above-mentioned gazette is available online as a dedicated collection of urgent measures to manage the COVID-19 emergency [</w:t>
      </w:r>
      <w:r w:rsidR="00B76535" w:rsidRPr="00A503E5">
        <w:rPr>
          <w:lang w:val="en-GB"/>
        </w:rPr>
        <w:t>2</w:t>
      </w:r>
      <w:r w:rsidR="006724AF" w:rsidRPr="00A503E5">
        <w:rPr>
          <w:lang w:val="en-GB"/>
        </w:rPr>
        <w:t>3</w:t>
      </w:r>
      <w:r w:rsidR="006032DF" w:rsidRPr="00A503E5">
        <w:rPr>
          <w:lang w:val="en-GB"/>
        </w:rPr>
        <w:t xml:space="preserve">]. </w:t>
      </w:r>
      <w:r w:rsidR="000B4670" w:rsidRPr="00A503E5">
        <w:rPr>
          <w:lang w:val="en-GB"/>
        </w:rPr>
        <w:t>From January 2020 to March 2021 the government ha</w:t>
      </w:r>
      <w:r w:rsidR="00CB2BFE" w:rsidRPr="00A503E5">
        <w:rPr>
          <w:lang w:val="en-GB"/>
        </w:rPr>
        <w:t>s</w:t>
      </w:r>
      <w:r w:rsidR="000B4670" w:rsidRPr="00A503E5">
        <w:rPr>
          <w:lang w:val="en-GB"/>
        </w:rPr>
        <w:t xml:space="preserve"> published 8</w:t>
      </w:r>
      <w:r w:rsidR="00073A44" w:rsidRPr="00A503E5">
        <w:rPr>
          <w:lang w:val="en-GB"/>
        </w:rPr>
        <w:t>7</w:t>
      </w:r>
      <w:r w:rsidR="000B4670" w:rsidRPr="00A503E5">
        <w:rPr>
          <w:lang w:val="en-GB"/>
        </w:rPr>
        <w:t xml:space="preserve"> </w:t>
      </w:r>
      <w:r w:rsidR="009D661C" w:rsidRPr="00A503E5">
        <w:rPr>
          <w:lang w:val="en-GB"/>
        </w:rPr>
        <w:t>documents</w:t>
      </w:r>
      <w:r w:rsidR="00FD30FA" w:rsidRPr="00A503E5">
        <w:rPr>
          <w:lang w:val="en-GB"/>
        </w:rPr>
        <w:t>. T</w:t>
      </w:r>
      <w:r w:rsidR="000B4670" w:rsidRPr="00A503E5">
        <w:rPr>
          <w:lang w:val="en-GB"/>
        </w:rPr>
        <w:t>he authors gathered</w:t>
      </w:r>
      <w:r w:rsidR="00FD30FA" w:rsidRPr="00A503E5">
        <w:rPr>
          <w:lang w:val="en-GB"/>
        </w:rPr>
        <w:t xml:space="preserve"> these documents</w:t>
      </w:r>
      <w:r w:rsidR="000B4670" w:rsidRPr="00A503E5">
        <w:rPr>
          <w:lang w:val="en-GB"/>
        </w:rPr>
        <w:t xml:space="preserve"> in a database and used</w:t>
      </w:r>
      <w:r w:rsidR="00073A44" w:rsidRPr="00A503E5">
        <w:rPr>
          <w:lang w:val="en-GB"/>
        </w:rPr>
        <w:t xml:space="preserve"> </w:t>
      </w:r>
      <w:r w:rsidR="00FD30FA" w:rsidRPr="00A503E5">
        <w:rPr>
          <w:lang w:val="en-GB"/>
        </w:rPr>
        <w:t xml:space="preserve">them </w:t>
      </w:r>
      <w:r w:rsidR="00073A44" w:rsidRPr="00A503E5">
        <w:rPr>
          <w:lang w:val="en-GB"/>
        </w:rPr>
        <w:t xml:space="preserve">as a reference to understand the development of the central response to the COVID-19 pandemic. </w:t>
      </w:r>
      <w:r w:rsidR="006032DF" w:rsidRPr="00A503E5">
        <w:rPr>
          <w:lang w:val="en-GB"/>
        </w:rPr>
        <w:t>They a</w:t>
      </w:r>
      <w:r w:rsidR="00073A44" w:rsidRPr="00A503E5">
        <w:rPr>
          <w:lang w:val="en-GB"/>
        </w:rPr>
        <w:t>lso</w:t>
      </w:r>
      <w:r w:rsidR="006032DF" w:rsidRPr="00A503E5">
        <w:rPr>
          <w:lang w:val="en-GB"/>
        </w:rPr>
        <w:t xml:space="preserve"> collected and reviewed</w:t>
      </w:r>
      <w:r w:rsidR="00073A44" w:rsidRPr="00A503E5">
        <w:rPr>
          <w:lang w:val="en-GB"/>
        </w:rPr>
        <w:t xml:space="preserve"> the provisions of the Minister of Health</w:t>
      </w:r>
      <w:r w:rsidR="006032DF" w:rsidRPr="00A503E5">
        <w:rPr>
          <w:lang w:val="en-GB"/>
        </w:rPr>
        <w:t xml:space="preserve"> published within the same time span</w:t>
      </w:r>
      <w:r w:rsidR="00073A44" w:rsidRPr="00A503E5">
        <w:rPr>
          <w:lang w:val="en-GB"/>
        </w:rPr>
        <w:t xml:space="preserve">, for a total of </w:t>
      </w:r>
      <w:r w:rsidR="006032DF" w:rsidRPr="00A503E5">
        <w:rPr>
          <w:lang w:val="en-GB"/>
        </w:rPr>
        <w:t>110 documents.</w:t>
      </w:r>
      <w:r w:rsidR="00195493" w:rsidRPr="00A503E5">
        <w:rPr>
          <w:lang w:val="en-GB"/>
        </w:rPr>
        <w:t xml:space="preserve"> </w:t>
      </w:r>
      <w:r w:rsidR="00CB2BFE" w:rsidRPr="00A503E5">
        <w:rPr>
          <w:lang w:val="en-GB"/>
        </w:rPr>
        <w:t>The a</w:t>
      </w:r>
      <w:r w:rsidR="006032DF" w:rsidRPr="00A503E5">
        <w:rPr>
          <w:lang w:val="en-GB"/>
        </w:rPr>
        <w:t xml:space="preserve">uthors </w:t>
      </w:r>
      <w:r w:rsidR="00195493" w:rsidRPr="00A503E5">
        <w:rPr>
          <w:lang w:val="en-GB"/>
        </w:rPr>
        <w:t>analysed t</w:t>
      </w:r>
      <w:r w:rsidR="006032DF" w:rsidRPr="00A503E5">
        <w:rPr>
          <w:lang w:val="en-GB"/>
        </w:rPr>
        <w:t>he regional responses</w:t>
      </w:r>
      <w:r w:rsidR="00FD30FA" w:rsidRPr="00A503E5">
        <w:rPr>
          <w:lang w:val="en-GB"/>
        </w:rPr>
        <w:t>,</w:t>
      </w:r>
      <w:r w:rsidR="006032DF" w:rsidRPr="00A503E5">
        <w:rPr>
          <w:lang w:val="en-GB"/>
        </w:rPr>
        <w:t xml:space="preserve"> </w:t>
      </w:r>
      <w:r w:rsidR="00195493" w:rsidRPr="00A503E5">
        <w:t>retrieving data from the website of the National Agency for Health Regional Services [</w:t>
      </w:r>
      <w:r w:rsidR="00B76535" w:rsidRPr="00A503E5">
        <w:t>2</w:t>
      </w:r>
      <w:r w:rsidR="006724AF" w:rsidRPr="00A503E5">
        <w:t>4</w:t>
      </w:r>
      <w:r w:rsidR="00195493" w:rsidRPr="00A503E5">
        <w:t>]</w:t>
      </w:r>
      <w:r w:rsidR="00EE3923" w:rsidRPr="00A503E5">
        <w:t xml:space="preserve"> and from the official website of each </w:t>
      </w:r>
      <w:r w:rsidR="00FD30FA" w:rsidRPr="00A503E5">
        <w:t>r</w:t>
      </w:r>
      <w:r w:rsidR="00EE3923" w:rsidRPr="00A503E5">
        <w:t>egion</w:t>
      </w:r>
      <w:r w:rsidR="00195493" w:rsidRPr="00A503E5">
        <w:t xml:space="preserve">. Documents of particular interest for </w:t>
      </w:r>
      <w:r w:rsidR="00FD30FA" w:rsidRPr="00A503E5">
        <w:t>t</w:t>
      </w:r>
      <w:r w:rsidR="00195493" w:rsidRPr="00A503E5">
        <w:t xml:space="preserve">his paper are the regional plans for the rearrangement of hospital services and territorial services. </w:t>
      </w:r>
      <w:r w:rsidR="00DF79EC" w:rsidRPr="00A503E5">
        <w:t>Those plans have been required since 19</w:t>
      </w:r>
      <w:r w:rsidR="00DF79EC" w:rsidRPr="00A503E5">
        <w:rPr>
          <w:vertAlign w:val="superscript"/>
        </w:rPr>
        <w:t>th</w:t>
      </w:r>
      <w:r w:rsidR="00DF79EC" w:rsidRPr="00A503E5">
        <w:t xml:space="preserve"> May 2020 by the Decree Law n.34 which argues for enhancing both hospital network and territorial services. </w:t>
      </w:r>
      <w:r w:rsidR="00CB2BFE" w:rsidRPr="00A503E5">
        <w:t xml:space="preserve">The authors selected six </w:t>
      </w:r>
      <w:r w:rsidR="00FD30FA" w:rsidRPr="00A503E5">
        <w:t>r</w:t>
      </w:r>
      <w:r w:rsidR="00CB2BFE" w:rsidRPr="00A503E5">
        <w:t>egions as</w:t>
      </w:r>
      <w:r w:rsidR="007C3248" w:rsidRPr="00A503E5">
        <w:t xml:space="preserve"> a</w:t>
      </w:r>
      <w:r w:rsidR="00CB2BFE" w:rsidRPr="00A503E5">
        <w:t xml:space="preserve"> field of study</w:t>
      </w:r>
      <w:r w:rsidR="00DF79EC" w:rsidRPr="00A503E5">
        <w:t xml:space="preserve">. The six </w:t>
      </w:r>
      <w:r w:rsidR="00FD30FA" w:rsidRPr="00A503E5">
        <w:t>r</w:t>
      </w:r>
      <w:r w:rsidR="00DF79EC" w:rsidRPr="00A503E5">
        <w:t>egions were selected for being a</w:t>
      </w:r>
      <w:r w:rsidR="00CB2BFE" w:rsidRPr="00A503E5">
        <w:t xml:space="preserve"> relevant sample of resident population in </w:t>
      </w:r>
      <w:r w:rsidR="007F5B96" w:rsidRPr="00A503E5">
        <w:t>northern</w:t>
      </w:r>
      <w:r w:rsidR="00CB2BFE" w:rsidRPr="00A503E5">
        <w:t xml:space="preserve">, </w:t>
      </w:r>
      <w:r w:rsidR="007F5B96" w:rsidRPr="00A503E5">
        <w:t>central,</w:t>
      </w:r>
      <w:r w:rsidR="00CB2BFE" w:rsidRPr="00A503E5">
        <w:t xml:space="preserve"> and </w:t>
      </w:r>
      <w:r w:rsidR="007F5B96" w:rsidRPr="00A503E5">
        <w:t>southern</w:t>
      </w:r>
      <w:r w:rsidR="00CB2BFE" w:rsidRPr="00A503E5">
        <w:t xml:space="preserve"> Italy, and </w:t>
      </w:r>
      <w:r w:rsidR="00DF79EC" w:rsidRPr="00A503E5">
        <w:t>for having adopted</w:t>
      </w:r>
      <w:r w:rsidR="00CB2BFE" w:rsidRPr="00A503E5">
        <w:t xml:space="preserve"> the above-mentioned plans to examine.</w:t>
      </w:r>
      <w:r w:rsidR="00AE1A0A" w:rsidRPr="00A503E5">
        <w:t xml:space="preserve"> </w:t>
      </w:r>
      <w:r w:rsidR="00195493" w:rsidRPr="00A503E5">
        <w:t>Comparative analyses have been carried out to outline similarities and differences in managing the healthcare crisis referring to those plans.</w:t>
      </w:r>
      <w:r w:rsidR="009C50A4" w:rsidRPr="00A503E5">
        <w:t xml:space="preserve"> Table 1 reports population and available plans of the selected </w:t>
      </w:r>
      <w:r w:rsidR="007F5B96" w:rsidRPr="00A503E5">
        <w:t>r</w:t>
      </w:r>
      <w:r w:rsidR="009C50A4" w:rsidRPr="00A503E5">
        <w:t>egions.</w:t>
      </w:r>
    </w:p>
    <w:p w14:paraId="2A335314" w14:textId="77777777" w:rsidR="009C50A4" w:rsidRPr="00A503E5" w:rsidRDefault="009C50A4" w:rsidP="009C50A4">
      <w:pPr>
        <w:pStyle w:val="tablecaption"/>
      </w:pPr>
      <w:r w:rsidRPr="00A503E5">
        <w:rPr>
          <w:b/>
        </w:rPr>
        <w:t xml:space="preserve">Table </w:t>
      </w:r>
      <w:r w:rsidRPr="00A503E5">
        <w:rPr>
          <w:b/>
        </w:rPr>
        <w:fldChar w:fldCharType="begin"/>
      </w:r>
      <w:r w:rsidRPr="00A503E5">
        <w:rPr>
          <w:b/>
        </w:rPr>
        <w:instrText xml:space="preserve"> SEQ "Table" \* MERGEFORMAT </w:instrText>
      </w:r>
      <w:r w:rsidRPr="00A503E5">
        <w:rPr>
          <w:b/>
        </w:rPr>
        <w:fldChar w:fldCharType="separate"/>
      </w:r>
      <w:r w:rsidR="00BC6F4E">
        <w:rPr>
          <w:b/>
          <w:noProof/>
        </w:rPr>
        <w:t>1</w:t>
      </w:r>
      <w:r w:rsidRPr="00A503E5">
        <w:rPr>
          <w:b/>
        </w:rPr>
        <w:fldChar w:fldCharType="end"/>
      </w:r>
      <w:r w:rsidRPr="00A503E5">
        <w:rPr>
          <w:b/>
        </w:rPr>
        <w:t>.</w:t>
      </w:r>
      <w:r w:rsidRPr="00A503E5">
        <w:t xml:space="preserve"> Summary </w:t>
      </w:r>
      <w:r w:rsidR="00846511" w:rsidRPr="00A503E5">
        <w:t>of e</w:t>
      </w:r>
      <w:r w:rsidRPr="00A503E5">
        <w:t>xamined</w:t>
      </w:r>
      <w:r w:rsidR="00846511" w:rsidRPr="00A503E5">
        <w:t xml:space="preserve"> plans</w:t>
      </w:r>
      <w:r w:rsidRPr="00A503E5">
        <w:t xml:space="preserve"> for </w:t>
      </w:r>
      <w:r w:rsidR="00733D90" w:rsidRPr="00A503E5">
        <w:t xml:space="preserve">the </w:t>
      </w:r>
      <w:r w:rsidRPr="00A503E5">
        <w:t xml:space="preserve">selected </w:t>
      </w:r>
      <w:r w:rsidR="007F5B96" w:rsidRPr="00A503E5">
        <w:t>r</w:t>
      </w:r>
      <w:r w:rsidRPr="00A503E5">
        <w:t>egion</w:t>
      </w:r>
      <w:r w:rsidR="00733D90" w:rsidRPr="00A503E5">
        <w:t>s</w:t>
      </w:r>
      <w:r w:rsidRPr="00A503E5">
        <w:t>.</w:t>
      </w:r>
    </w:p>
    <w:tbl>
      <w:tblP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275"/>
        <w:gridCol w:w="1276"/>
        <w:gridCol w:w="1701"/>
        <w:gridCol w:w="1701"/>
      </w:tblGrid>
      <w:tr w:rsidR="00A503E5" w:rsidRPr="00A503E5" w14:paraId="69855AA7" w14:textId="77777777" w:rsidTr="00A503E5">
        <w:tc>
          <w:tcPr>
            <w:tcW w:w="988" w:type="dxa"/>
            <w:tcBorders>
              <w:top w:val="single" w:sz="4" w:space="0" w:color="auto"/>
              <w:left w:val="nil"/>
              <w:bottom w:val="single" w:sz="4" w:space="0" w:color="auto"/>
              <w:right w:val="nil"/>
            </w:tcBorders>
            <w:shd w:val="clear" w:color="auto" w:fill="auto"/>
          </w:tcPr>
          <w:p w14:paraId="0E06DD44" w14:textId="77777777" w:rsidR="009C50A4" w:rsidRPr="00A503E5" w:rsidRDefault="009C50A4" w:rsidP="00A503E5">
            <w:pPr>
              <w:spacing w:line="240" w:lineRule="auto"/>
              <w:ind w:firstLine="0"/>
            </w:pPr>
            <w:r w:rsidRPr="00A503E5">
              <w:t>Position</w:t>
            </w:r>
          </w:p>
        </w:tc>
        <w:tc>
          <w:tcPr>
            <w:tcW w:w="1275" w:type="dxa"/>
            <w:tcBorders>
              <w:top w:val="single" w:sz="4" w:space="0" w:color="auto"/>
              <w:left w:val="nil"/>
              <w:bottom w:val="single" w:sz="4" w:space="0" w:color="auto"/>
              <w:right w:val="nil"/>
            </w:tcBorders>
            <w:shd w:val="clear" w:color="auto" w:fill="auto"/>
          </w:tcPr>
          <w:p w14:paraId="3863399E" w14:textId="77777777" w:rsidR="009C50A4" w:rsidRPr="00A503E5" w:rsidRDefault="009C50A4" w:rsidP="00A503E5">
            <w:pPr>
              <w:spacing w:line="240" w:lineRule="auto"/>
              <w:ind w:firstLine="0"/>
            </w:pPr>
            <w:r w:rsidRPr="00A503E5">
              <w:t>Region name</w:t>
            </w:r>
          </w:p>
        </w:tc>
        <w:tc>
          <w:tcPr>
            <w:tcW w:w="1276" w:type="dxa"/>
            <w:tcBorders>
              <w:top w:val="single" w:sz="4" w:space="0" w:color="auto"/>
              <w:left w:val="nil"/>
              <w:bottom w:val="single" w:sz="4" w:space="0" w:color="auto"/>
              <w:right w:val="nil"/>
            </w:tcBorders>
            <w:shd w:val="clear" w:color="auto" w:fill="auto"/>
          </w:tcPr>
          <w:p w14:paraId="51A639EA" w14:textId="77777777" w:rsidR="009C50A4" w:rsidRPr="00A503E5" w:rsidRDefault="009C50A4" w:rsidP="00A503E5">
            <w:pPr>
              <w:spacing w:line="240" w:lineRule="auto"/>
              <w:ind w:firstLine="0"/>
            </w:pPr>
            <w:r w:rsidRPr="00A503E5">
              <w:t>Population</w:t>
            </w:r>
            <w:r w:rsidR="00EE3923" w:rsidRPr="00A503E5">
              <w:rPr>
                <w:vertAlign w:val="superscript"/>
              </w:rPr>
              <w:t>1</w:t>
            </w:r>
          </w:p>
        </w:tc>
        <w:tc>
          <w:tcPr>
            <w:tcW w:w="1701" w:type="dxa"/>
            <w:tcBorders>
              <w:top w:val="single" w:sz="4" w:space="0" w:color="auto"/>
              <w:left w:val="nil"/>
              <w:bottom w:val="single" w:sz="4" w:space="0" w:color="auto"/>
              <w:right w:val="nil"/>
            </w:tcBorders>
            <w:shd w:val="clear" w:color="auto" w:fill="auto"/>
          </w:tcPr>
          <w:p w14:paraId="7108A5D7" w14:textId="77777777" w:rsidR="009C50A4" w:rsidRPr="00A503E5" w:rsidRDefault="009C50A4" w:rsidP="00A503E5">
            <w:pPr>
              <w:spacing w:line="240" w:lineRule="auto"/>
              <w:ind w:firstLine="0"/>
            </w:pPr>
            <w:r w:rsidRPr="00A503E5">
              <w:t>Hospital plan</w:t>
            </w:r>
          </w:p>
        </w:tc>
        <w:tc>
          <w:tcPr>
            <w:tcW w:w="1701" w:type="dxa"/>
            <w:tcBorders>
              <w:top w:val="single" w:sz="4" w:space="0" w:color="auto"/>
              <w:left w:val="nil"/>
              <w:bottom w:val="single" w:sz="4" w:space="0" w:color="auto"/>
              <w:right w:val="nil"/>
            </w:tcBorders>
            <w:shd w:val="clear" w:color="auto" w:fill="auto"/>
          </w:tcPr>
          <w:p w14:paraId="73CF0F28" w14:textId="77777777" w:rsidR="009C50A4" w:rsidRPr="00A503E5" w:rsidRDefault="009C50A4" w:rsidP="00A503E5">
            <w:pPr>
              <w:spacing w:line="240" w:lineRule="auto"/>
              <w:ind w:firstLine="0"/>
            </w:pPr>
            <w:r w:rsidRPr="00A503E5">
              <w:t>Territorial plan</w:t>
            </w:r>
          </w:p>
        </w:tc>
      </w:tr>
      <w:tr w:rsidR="00A503E5" w:rsidRPr="00A503E5" w14:paraId="005EF6F1" w14:textId="77777777" w:rsidTr="00A503E5">
        <w:tc>
          <w:tcPr>
            <w:tcW w:w="988" w:type="dxa"/>
            <w:tcBorders>
              <w:top w:val="single" w:sz="4" w:space="0" w:color="auto"/>
              <w:left w:val="nil"/>
              <w:bottom w:val="nil"/>
              <w:right w:val="nil"/>
            </w:tcBorders>
            <w:shd w:val="clear" w:color="auto" w:fill="auto"/>
          </w:tcPr>
          <w:p w14:paraId="3BF3B2E0" w14:textId="77777777" w:rsidR="009C50A4" w:rsidRPr="00A503E5" w:rsidRDefault="009C50A4" w:rsidP="00A503E5">
            <w:pPr>
              <w:spacing w:line="240" w:lineRule="auto"/>
              <w:ind w:firstLine="0"/>
            </w:pPr>
            <w:r w:rsidRPr="00A503E5">
              <w:t>North</w:t>
            </w:r>
          </w:p>
        </w:tc>
        <w:tc>
          <w:tcPr>
            <w:tcW w:w="1275" w:type="dxa"/>
            <w:tcBorders>
              <w:top w:val="single" w:sz="4" w:space="0" w:color="auto"/>
              <w:left w:val="nil"/>
              <w:bottom w:val="nil"/>
              <w:right w:val="nil"/>
            </w:tcBorders>
            <w:shd w:val="clear" w:color="auto" w:fill="auto"/>
          </w:tcPr>
          <w:p w14:paraId="0F221F08" w14:textId="77777777" w:rsidR="009C50A4" w:rsidRPr="00A503E5" w:rsidRDefault="009C50A4" w:rsidP="00A503E5">
            <w:pPr>
              <w:spacing w:line="240" w:lineRule="auto"/>
              <w:ind w:firstLine="0"/>
            </w:pPr>
            <w:proofErr w:type="spellStart"/>
            <w:r w:rsidRPr="00A503E5">
              <w:t>Lombardia</w:t>
            </w:r>
            <w:proofErr w:type="spellEnd"/>
          </w:p>
        </w:tc>
        <w:tc>
          <w:tcPr>
            <w:tcW w:w="1276" w:type="dxa"/>
            <w:tcBorders>
              <w:top w:val="single" w:sz="4" w:space="0" w:color="auto"/>
              <w:left w:val="nil"/>
              <w:bottom w:val="nil"/>
              <w:right w:val="nil"/>
            </w:tcBorders>
            <w:shd w:val="clear" w:color="auto" w:fill="auto"/>
          </w:tcPr>
          <w:p w14:paraId="2B0D3FB6" w14:textId="77777777" w:rsidR="009C50A4" w:rsidRPr="00A503E5" w:rsidRDefault="009C50A4" w:rsidP="00A503E5">
            <w:pPr>
              <w:spacing w:line="240" w:lineRule="auto"/>
              <w:ind w:firstLine="0"/>
            </w:pPr>
            <w:r w:rsidRPr="00A503E5">
              <w:t>10.027</w:t>
            </w:r>
            <w:r w:rsidR="00EA35AC" w:rsidRPr="00A503E5">
              <w:t>,</w:t>
            </w:r>
            <w:r w:rsidRPr="00A503E5">
              <w:t>602</w:t>
            </w:r>
          </w:p>
        </w:tc>
        <w:tc>
          <w:tcPr>
            <w:tcW w:w="1701" w:type="dxa"/>
            <w:tcBorders>
              <w:top w:val="single" w:sz="4" w:space="0" w:color="auto"/>
              <w:left w:val="nil"/>
              <w:bottom w:val="nil"/>
              <w:right w:val="nil"/>
            </w:tcBorders>
            <w:shd w:val="clear" w:color="auto" w:fill="auto"/>
          </w:tcPr>
          <w:p w14:paraId="3651FFBC" w14:textId="77777777" w:rsidR="009C50A4" w:rsidRPr="00A503E5" w:rsidRDefault="00EE3923" w:rsidP="00A503E5">
            <w:pPr>
              <w:spacing w:line="240" w:lineRule="auto"/>
              <w:ind w:firstLine="0"/>
            </w:pPr>
            <w:r w:rsidRPr="00A503E5">
              <w:t>DGR</w:t>
            </w:r>
            <w:r w:rsidR="00EA35AC" w:rsidRPr="00A503E5">
              <w:rPr>
                <w:vertAlign w:val="superscript"/>
              </w:rPr>
              <w:t>2</w:t>
            </w:r>
            <w:r w:rsidRPr="00A503E5">
              <w:t xml:space="preserve"> n. XI-3264</w:t>
            </w:r>
          </w:p>
        </w:tc>
        <w:tc>
          <w:tcPr>
            <w:tcW w:w="1701" w:type="dxa"/>
            <w:tcBorders>
              <w:top w:val="single" w:sz="4" w:space="0" w:color="auto"/>
              <w:left w:val="nil"/>
              <w:bottom w:val="nil"/>
              <w:right w:val="nil"/>
            </w:tcBorders>
            <w:shd w:val="clear" w:color="auto" w:fill="auto"/>
          </w:tcPr>
          <w:p w14:paraId="02CCA83E" w14:textId="77777777" w:rsidR="009C50A4" w:rsidRPr="00A503E5" w:rsidRDefault="00EE3923" w:rsidP="00A503E5">
            <w:pPr>
              <w:spacing w:line="240" w:lineRule="auto"/>
              <w:ind w:firstLine="0"/>
            </w:pPr>
            <w:r w:rsidRPr="00A503E5">
              <w:t>DGR n. XI-3525</w:t>
            </w:r>
          </w:p>
        </w:tc>
      </w:tr>
      <w:tr w:rsidR="00A503E5" w:rsidRPr="00A503E5" w14:paraId="7341A1BD" w14:textId="77777777" w:rsidTr="00A503E5">
        <w:tc>
          <w:tcPr>
            <w:tcW w:w="988" w:type="dxa"/>
            <w:tcBorders>
              <w:top w:val="nil"/>
              <w:left w:val="nil"/>
              <w:bottom w:val="nil"/>
              <w:right w:val="nil"/>
            </w:tcBorders>
            <w:shd w:val="clear" w:color="auto" w:fill="auto"/>
          </w:tcPr>
          <w:p w14:paraId="563439AB" w14:textId="77777777" w:rsidR="009C50A4" w:rsidRPr="00A503E5" w:rsidRDefault="009C50A4" w:rsidP="00A503E5">
            <w:pPr>
              <w:spacing w:line="240" w:lineRule="auto"/>
              <w:ind w:firstLine="0"/>
            </w:pPr>
            <w:r w:rsidRPr="00A503E5">
              <w:t>North</w:t>
            </w:r>
          </w:p>
        </w:tc>
        <w:tc>
          <w:tcPr>
            <w:tcW w:w="1275" w:type="dxa"/>
            <w:tcBorders>
              <w:top w:val="nil"/>
              <w:left w:val="nil"/>
              <w:bottom w:val="nil"/>
              <w:right w:val="nil"/>
            </w:tcBorders>
            <w:shd w:val="clear" w:color="auto" w:fill="auto"/>
          </w:tcPr>
          <w:p w14:paraId="2C9535D9" w14:textId="77777777" w:rsidR="009C50A4" w:rsidRPr="00A503E5" w:rsidRDefault="009C50A4" w:rsidP="00A503E5">
            <w:pPr>
              <w:spacing w:line="240" w:lineRule="auto"/>
              <w:ind w:firstLine="0"/>
            </w:pPr>
            <w:r w:rsidRPr="00A503E5">
              <w:t>Veneto</w:t>
            </w:r>
          </w:p>
        </w:tc>
        <w:tc>
          <w:tcPr>
            <w:tcW w:w="1276" w:type="dxa"/>
            <w:tcBorders>
              <w:top w:val="nil"/>
              <w:left w:val="nil"/>
              <w:bottom w:val="nil"/>
              <w:right w:val="nil"/>
            </w:tcBorders>
            <w:shd w:val="clear" w:color="auto" w:fill="auto"/>
          </w:tcPr>
          <w:p w14:paraId="733FA284" w14:textId="77777777" w:rsidR="009C50A4" w:rsidRPr="00A503E5" w:rsidRDefault="009C50A4" w:rsidP="00A503E5">
            <w:pPr>
              <w:spacing w:line="240" w:lineRule="auto"/>
              <w:ind w:firstLine="0"/>
            </w:pPr>
            <w:r w:rsidRPr="00A503E5">
              <w:t>4.879</w:t>
            </w:r>
            <w:r w:rsidR="00EA35AC" w:rsidRPr="00A503E5">
              <w:t>,</w:t>
            </w:r>
            <w:r w:rsidRPr="00A503E5">
              <w:t>133</w:t>
            </w:r>
          </w:p>
        </w:tc>
        <w:tc>
          <w:tcPr>
            <w:tcW w:w="1701" w:type="dxa"/>
            <w:tcBorders>
              <w:top w:val="nil"/>
              <w:left w:val="nil"/>
              <w:bottom w:val="nil"/>
              <w:right w:val="nil"/>
            </w:tcBorders>
            <w:shd w:val="clear" w:color="auto" w:fill="auto"/>
          </w:tcPr>
          <w:p w14:paraId="6B4A963D" w14:textId="77777777" w:rsidR="009C50A4" w:rsidRPr="00A503E5" w:rsidRDefault="00EE3923" w:rsidP="00A503E5">
            <w:pPr>
              <w:spacing w:line="240" w:lineRule="auto"/>
              <w:ind w:firstLine="0"/>
            </w:pPr>
            <w:r w:rsidRPr="00A503E5">
              <w:t>DGR n. 782</w:t>
            </w:r>
          </w:p>
        </w:tc>
        <w:tc>
          <w:tcPr>
            <w:tcW w:w="1701" w:type="dxa"/>
            <w:tcBorders>
              <w:top w:val="nil"/>
              <w:left w:val="nil"/>
              <w:bottom w:val="nil"/>
              <w:right w:val="nil"/>
            </w:tcBorders>
            <w:shd w:val="clear" w:color="auto" w:fill="auto"/>
          </w:tcPr>
          <w:p w14:paraId="27729EC5" w14:textId="77777777" w:rsidR="009C50A4" w:rsidRPr="00A503E5" w:rsidRDefault="00EE3923" w:rsidP="00A503E5">
            <w:pPr>
              <w:spacing w:line="240" w:lineRule="auto"/>
              <w:ind w:firstLine="0"/>
            </w:pPr>
            <w:r w:rsidRPr="00A503E5">
              <w:t>DGR n. 782</w:t>
            </w:r>
          </w:p>
        </w:tc>
      </w:tr>
      <w:tr w:rsidR="00A503E5" w:rsidRPr="00A503E5" w14:paraId="7F5B147C" w14:textId="77777777" w:rsidTr="00A503E5">
        <w:tc>
          <w:tcPr>
            <w:tcW w:w="988" w:type="dxa"/>
            <w:tcBorders>
              <w:top w:val="nil"/>
              <w:left w:val="nil"/>
              <w:bottom w:val="nil"/>
              <w:right w:val="nil"/>
            </w:tcBorders>
            <w:shd w:val="clear" w:color="auto" w:fill="auto"/>
          </w:tcPr>
          <w:p w14:paraId="37E6B603" w14:textId="77777777" w:rsidR="009C50A4" w:rsidRPr="00A503E5" w:rsidRDefault="00FD30FA" w:rsidP="00A503E5">
            <w:pPr>
              <w:spacing w:line="240" w:lineRule="auto"/>
              <w:ind w:firstLine="0"/>
            </w:pPr>
            <w:r w:rsidRPr="00A503E5">
              <w:t>Central</w:t>
            </w:r>
          </w:p>
        </w:tc>
        <w:tc>
          <w:tcPr>
            <w:tcW w:w="1275" w:type="dxa"/>
            <w:tcBorders>
              <w:top w:val="nil"/>
              <w:left w:val="nil"/>
              <w:bottom w:val="nil"/>
              <w:right w:val="nil"/>
            </w:tcBorders>
            <w:shd w:val="clear" w:color="auto" w:fill="auto"/>
          </w:tcPr>
          <w:p w14:paraId="28E16FBA" w14:textId="77777777" w:rsidR="009C50A4" w:rsidRPr="00A503E5" w:rsidRDefault="009C50A4" w:rsidP="00A503E5">
            <w:pPr>
              <w:spacing w:line="240" w:lineRule="auto"/>
              <w:ind w:firstLine="0"/>
            </w:pPr>
            <w:r w:rsidRPr="00A503E5">
              <w:t>Umbria</w:t>
            </w:r>
          </w:p>
        </w:tc>
        <w:tc>
          <w:tcPr>
            <w:tcW w:w="1276" w:type="dxa"/>
            <w:tcBorders>
              <w:top w:val="nil"/>
              <w:left w:val="nil"/>
              <w:bottom w:val="nil"/>
              <w:right w:val="nil"/>
            </w:tcBorders>
            <w:shd w:val="clear" w:color="auto" w:fill="auto"/>
          </w:tcPr>
          <w:p w14:paraId="6B87F5DB" w14:textId="77777777" w:rsidR="009C50A4" w:rsidRPr="00A503E5" w:rsidRDefault="00AE4832" w:rsidP="00A503E5">
            <w:pPr>
              <w:spacing w:line="240" w:lineRule="auto"/>
              <w:ind w:firstLine="0"/>
            </w:pPr>
            <w:r w:rsidRPr="00A503E5">
              <w:t>870</w:t>
            </w:r>
            <w:r w:rsidR="00EA35AC" w:rsidRPr="00A503E5">
              <w:t>,</w:t>
            </w:r>
            <w:r w:rsidRPr="00A503E5">
              <w:t>165</w:t>
            </w:r>
          </w:p>
        </w:tc>
        <w:tc>
          <w:tcPr>
            <w:tcW w:w="1701" w:type="dxa"/>
            <w:tcBorders>
              <w:top w:val="nil"/>
              <w:left w:val="nil"/>
              <w:bottom w:val="nil"/>
              <w:right w:val="nil"/>
            </w:tcBorders>
            <w:shd w:val="clear" w:color="auto" w:fill="auto"/>
          </w:tcPr>
          <w:p w14:paraId="59EFB0BE" w14:textId="77777777" w:rsidR="009C50A4" w:rsidRPr="00A503E5" w:rsidRDefault="00EE3923" w:rsidP="00A503E5">
            <w:pPr>
              <w:spacing w:line="240" w:lineRule="auto"/>
              <w:ind w:firstLine="0"/>
            </w:pPr>
            <w:r w:rsidRPr="00A503E5">
              <w:t>DGR n.1096</w:t>
            </w:r>
          </w:p>
        </w:tc>
        <w:tc>
          <w:tcPr>
            <w:tcW w:w="1701" w:type="dxa"/>
            <w:tcBorders>
              <w:top w:val="nil"/>
              <w:left w:val="nil"/>
              <w:bottom w:val="nil"/>
              <w:right w:val="nil"/>
            </w:tcBorders>
            <w:shd w:val="clear" w:color="auto" w:fill="auto"/>
          </w:tcPr>
          <w:p w14:paraId="5B5C4F4D" w14:textId="77777777" w:rsidR="009C50A4" w:rsidRPr="00A503E5" w:rsidRDefault="00EE3923" w:rsidP="00A503E5">
            <w:pPr>
              <w:spacing w:line="240" w:lineRule="auto"/>
              <w:ind w:firstLine="0"/>
            </w:pPr>
            <w:r w:rsidRPr="00A503E5">
              <w:t>DGR n.1096</w:t>
            </w:r>
          </w:p>
        </w:tc>
      </w:tr>
      <w:tr w:rsidR="00A503E5" w:rsidRPr="00A503E5" w14:paraId="576ED523" w14:textId="77777777" w:rsidTr="00A503E5">
        <w:tc>
          <w:tcPr>
            <w:tcW w:w="988" w:type="dxa"/>
            <w:tcBorders>
              <w:top w:val="nil"/>
              <w:left w:val="nil"/>
              <w:bottom w:val="nil"/>
              <w:right w:val="nil"/>
            </w:tcBorders>
            <w:shd w:val="clear" w:color="auto" w:fill="auto"/>
          </w:tcPr>
          <w:p w14:paraId="642DDF3E" w14:textId="77777777" w:rsidR="009C50A4" w:rsidRPr="00A503E5" w:rsidRDefault="00FD30FA" w:rsidP="00A503E5">
            <w:pPr>
              <w:spacing w:line="240" w:lineRule="auto"/>
              <w:ind w:firstLine="0"/>
            </w:pPr>
            <w:r w:rsidRPr="00A503E5">
              <w:t>Central</w:t>
            </w:r>
          </w:p>
        </w:tc>
        <w:tc>
          <w:tcPr>
            <w:tcW w:w="1275" w:type="dxa"/>
            <w:tcBorders>
              <w:top w:val="nil"/>
              <w:left w:val="nil"/>
              <w:bottom w:val="nil"/>
              <w:right w:val="nil"/>
            </w:tcBorders>
            <w:shd w:val="clear" w:color="auto" w:fill="auto"/>
          </w:tcPr>
          <w:p w14:paraId="4EDA33A6" w14:textId="77777777" w:rsidR="009C50A4" w:rsidRPr="00A503E5" w:rsidRDefault="009C50A4" w:rsidP="00A503E5">
            <w:pPr>
              <w:spacing w:line="240" w:lineRule="auto"/>
              <w:ind w:firstLine="0"/>
            </w:pPr>
            <w:r w:rsidRPr="00A503E5">
              <w:t>Lazio</w:t>
            </w:r>
          </w:p>
        </w:tc>
        <w:tc>
          <w:tcPr>
            <w:tcW w:w="1276" w:type="dxa"/>
            <w:tcBorders>
              <w:top w:val="nil"/>
              <w:left w:val="nil"/>
              <w:bottom w:val="nil"/>
              <w:right w:val="nil"/>
            </w:tcBorders>
            <w:shd w:val="clear" w:color="auto" w:fill="auto"/>
          </w:tcPr>
          <w:p w14:paraId="23FC5740" w14:textId="77777777" w:rsidR="009C50A4" w:rsidRPr="00A503E5" w:rsidRDefault="00AE4832" w:rsidP="00A503E5">
            <w:pPr>
              <w:spacing w:line="240" w:lineRule="auto"/>
              <w:ind w:firstLine="0"/>
            </w:pPr>
            <w:r w:rsidRPr="00A503E5">
              <w:t>5.755</w:t>
            </w:r>
            <w:r w:rsidR="00EA35AC" w:rsidRPr="00A503E5">
              <w:t>,</w:t>
            </w:r>
            <w:r w:rsidRPr="00A503E5">
              <w:t>700</w:t>
            </w:r>
          </w:p>
        </w:tc>
        <w:tc>
          <w:tcPr>
            <w:tcW w:w="1701" w:type="dxa"/>
            <w:tcBorders>
              <w:top w:val="nil"/>
              <w:left w:val="nil"/>
              <w:bottom w:val="nil"/>
              <w:right w:val="nil"/>
            </w:tcBorders>
            <w:shd w:val="clear" w:color="auto" w:fill="auto"/>
          </w:tcPr>
          <w:p w14:paraId="22ABF3F7" w14:textId="77777777" w:rsidR="009C50A4" w:rsidRPr="00A503E5" w:rsidRDefault="00EE3923" w:rsidP="00A503E5">
            <w:pPr>
              <w:spacing w:line="240" w:lineRule="auto"/>
              <w:ind w:firstLine="0"/>
            </w:pPr>
            <w:r w:rsidRPr="00A503E5">
              <w:t>DCA</w:t>
            </w:r>
            <w:r w:rsidR="00EA35AC" w:rsidRPr="00A503E5">
              <w:rPr>
                <w:vertAlign w:val="superscript"/>
              </w:rPr>
              <w:t>3</w:t>
            </w:r>
            <w:r w:rsidRPr="00A503E5">
              <w:t xml:space="preserve"> n. U00096</w:t>
            </w:r>
          </w:p>
        </w:tc>
        <w:tc>
          <w:tcPr>
            <w:tcW w:w="1701" w:type="dxa"/>
            <w:tcBorders>
              <w:top w:val="nil"/>
              <w:left w:val="nil"/>
              <w:bottom w:val="nil"/>
              <w:right w:val="nil"/>
            </w:tcBorders>
            <w:shd w:val="clear" w:color="auto" w:fill="auto"/>
          </w:tcPr>
          <w:p w14:paraId="39BB09AC" w14:textId="77777777" w:rsidR="009C50A4" w:rsidRPr="00A503E5" w:rsidRDefault="003B614D" w:rsidP="00A503E5">
            <w:pPr>
              <w:spacing w:line="240" w:lineRule="auto"/>
              <w:ind w:firstLine="0"/>
            </w:pPr>
            <w:r w:rsidRPr="00A503E5">
              <w:t>Note n. 472488</w:t>
            </w:r>
          </w:p>
        </w:tc>
      </w:tr>
      <w:tr w:rsidR="00A503E5" w:rsidRPr="00A503E5" w14:paraId="3E97BBFD" w14:textId="77777777" w:rsidTr="00A503E5">
        <w:tc>
          <w:tcPr>
            <w:tcW w:w="988" w:type="dxa"/>
            <w:tcBorders>
              <w:top w:val="nil"/>
              <w:left w:val="nil"/>
              <w:bottom w:val="nil"/>
              <w:right w:val="nil"/>
            </w:tcBorders>
            <w:shd w:val="clear" w:color="auto" w:fill="auto"/>
          </w:tcPr>
          <w:p w14:paraId="51F38EC2" w14:textId="77777777" w:rsidR="009C50A4" w:rsidRPr="00A503E5" w:rsidRDefault="009C50A4" w:rsidP="00A503E5">
            <w:pPr>
              <w:spacing w:line="240" w:lineRule="auto"/>
              <w:ind w:firstLine="0"/>
            </w:pPr>
            <w:r w:rsidRPr="00A503E5">
              <w:t>South</w:t>
            </w:r>
          </w:p>
        </w:tc>
        <w:tc>
          <w:tcPr>
            <w:tcW w:w="1275" w:type="dxa"/>
            <w:tcBorders>
              <w:top w:val="nil"/>
              <w:left w:val="nil"/>
              <w:bottom w:val="nil"/>
              <w:right w:val="nil"/>
            </w:tcBorders>
            <w:shd w:val="clear" w:color="auto" w:fill="auto"/>
          </w:tcPr>
          <w:p w14:paraId="07B889AA" w14:textId="77777777" w:rsidR="009C50A4" w:rsidRPr="00A503E5" w:rsidRDefault="009C50A4" w:rsidP="00A503E5">
            <w:pPr>
              <w:spacing w:line="240" w:lineRule="auto"/>
              <w:ind w:firstLine="0"/>
            </w:pPr>
            <w:r w:rsidRPr="00A503E5">
              <w:t>Campania</w:t>
            </w:r>
          </w:p>
        </w:tc>
        <w:tc>
          <w:tcPr>
            <w:tcW w:w="1276" w:type="dxa"/>
            <w:tcBorders>
              <w:top w:val="nil"/>
              <w:left w:val="nil"/>
              <w:bottom w:val="nil"/>
              <w:right w:val="nil"/>
            </w:tcBorders>
            <w:shd w:val="clear" w:color="auto" w:fill="auto"/>
          </w:tcPr>
          <w:p w14:paraId="4D85E26C" w14:textId="77777777" w:rsidR="009C50A4" w:rsidRPr="00A503E5" w:rsidRDefault="009C50A4" w:rsidP="00A503E5">
            <w:pPr>
              <w:spacing w:line="240" w:lineRule="auto"/>
              <w:ind w:firstLine="0"/>
            </w:pPr>
            <w:r w:rsidRPr="00A503E5">
              <w:t>5.712</w:t>
            </w:r>
            <w:r w:rsidR="00EA35AC" w:rsidRPr="00A503E5">
              <w:t>,</w:t>
            </w:r>
            <w:r w:rsidRPr="00A503E5">
              <w:t>143</w:t>
            </w:r>
          </w:p>
        </w:tc>
        <w:tc>
          <w:tcPr>
            <w:tcW w:w="1701" w:type="dxa"/>
            <w:tcBorders>
              <w:top w:val="nil"/>
              <w:left w:val="nil"/>
              <w:bottom w:val="nil"/>
              <w:right w:val="nil"/>
            </w:tcBorders>
            <w:shd w:val="clear" w:color="auto" w:fill="auto"/>
          </w:tcPr>
          <w:p w14:paraId="244C34C2" w14:textId="77777777" w:rsidR="009C50A4" w:rsidRPr="00A503E5" w:rsidRDefault="00EE3923" w:rsidP="00A503E5">
            <w:pPr>
              <w:spacing w:line="240" w:lineRule="auto"/>
              <w:ind w:firstLine="0"/>
            </w:pPr>
            <w:r w:rsidRPr="00A503E5">
              <w:rPr>
                <w:lang w:val="it-IT"/>
              </w:rPr>
              <w:t>DGR n. 304</w:t>
            </w:r>
          </w:p>
        </w:tc>
        <w:tc>
          <w:tcPr>
            <w:tcW w:w="1701" w:type="dxa"/>
            <w:tcBorders>
              <w:top w:val="nil"/>
              <w:left w:val="nil"/>
              <w:bottom w:val="nil"/>
              <w:right w:val="nil"/>
            </w:tcBorders>
            <w:shd w:val="clear" w:color="auto" w:fill="auto"/>
          </w:tcPr>
          <w:p w14:paraId="1A90C30E" w14:textId="77777777" w:rsidR="009C50A4" w:rsidRPr="00A503E5" w:rsidRDefault="00EE3923" w:rsidP="00A503E5">
            <w:pPr>
              <w:spacing w:line="240" w:lineRule="auto"/>
              <w:ind w:firstLine="0"/>
            </w:pPr>
            <w:r w:rsidRPr="00A503E5">
              <w:rPr>
                <w:lang w:val="it-IT"/>
              </w:rPr>
              <w:t>DGR n. 542</w:t>
            </w:r>
          </w:p>
        </w:tc>
      </w:tr>
      <w:tr w:rsidR="00A503E5" w:rsidRPr="00A503E5" w14:paraId="73C3B3A9" w14:textId="77777777" w:rsidTr="00A503E5">
        <w:tc>
          <w:tcPr>
            <w:tcW w:w="988" w:type="dxa"/>
            <w:tcBorders>
              <w:top w:val="nil"/>
              <w:left w:val="nil"/>
              <w:bottom w:val="single" w:sz="4" w:space="0" w:color="auto"/>
              <w:right w:val="nil"/>
            </w:tcBorders>
            <w:shd w:val="clear" w:color="auto" w:fill="auto"/>
          </w:tcPr>
          <w:p w14:paraId="5E13B2D3" w14:textId="77777777" w:rsidR="009C50A4" w:rsidRPr="00A503E5" w:rsidRDefault="009C50A4" w:rsidP="00A503E5">
            <w:pPr>
              <w:spacing w:line="240" w:lineRule="auto"/>
              <w:ind w:firstLine="0"/>
            </w:pPr>
            <w:r w:rsidRPr="00A503E5">
              <w:t>South</w:t>
            </w:r>
          </w:p>
        </w:tc>
        <w:tc>
          <w:tcPr>
            <w:tcW w:w="1275" w:type="dxa"/>
            <w:tcBorders>
              <w:top w:val="nil"/>
              <w:left w:val="nil"/>
              <w:bottom w:val="single" w:sz="4" w:space="0" w:color="auto"/>
              <w:right w:val="nil"/>
            </w:tcBorders>
            <w:shd w:val="clear" w:color="auto" w:fill="auto"/>
          </w:tcPr>
          <w:p w14:paraId="34C0214B" w14:textId="77777777" w:rsidR="009C50A4" w:rsidRPr="00A503E5" w:rsidRDefault="009C50A4" w:rsidP="00A503E5">
            <w:pPr>
              <w:spacing w:line="240" w:lineRule="auto"/>
              <w:ind w:firstLine="0"/>
            </w:pPr>
            <w:r w:rsidRPr="00A503E5">
              <w:t>Puglia</w:t>
            </w:r>
          </w:p>
        </w:tc>
        <w:tc>
          <w:tcPr>
            <w:tcW w:w="1276" w:type="dxa"/>
            <w:tcBorders>
              <w:top w:val="nil"/>
              <w:left w:val="nil"/>
              <w:bottom w:val="single" w:sz="4" w:space="0" w:color="auto"/>
              <w:right w:val="nil"/>
            </w:tcBorders>
            <w:shd w:val="clear" w:color="auto" w:fill="auto"/>
          </w:tcPr>
          <w:p w14:paraId="49CA0F84" w14:textId="77777777" w:rsidR="009C50A4" w:rsidRPr="00A503E5" w:rsidRDefault="009C50A4" w:rsidP="00A503E5">
            <w:pPr>
              <w:spacing w:line="240" w:lineRule="auto"/>
              <w:ind w:firstLine="0"/>
            </w:pPr>
            <w:r w:rsidRPr="00A503E5">
              <w:t>3.953</w:t>
            </w:r>
            <w:r w:rsidR="00EA35AC" w:rsidRPr="00A503E5">
              <w:t>,</w:t>
            </w:r>
            <w:r w:rsidRPr="00A503E5">
              <w:t>305</w:t>
            </w:r>
          </w:p>
        </w:tc>
        <w:tc>
          <w:tcPr>
            <w:tcW w:w="1701" w:type="dxa"/>
            <w:tcBorders>
              <w:top w:val="nil"/>
              <w:left w:val="nil"/>
              <w:bottom w:val="single" w:sz="4" w:space="0" w:color="auto"/>
              <w:right w:val="nil"/>
            </w:tcBorders>
            <w:shd w:val="clear" w:color="auto" w:fill="auto"/>
          </w:tcPr>
          <w:p w14:paraId="67C2098D" w14:textId="77777777" w:rsidR="009C50A4" w:rsidRPr="00A503E5" w:rsidRDefault="00EE3923" w:rsidP="00A503E5">
            <w:pPr>
              <w:spacing w:line="240" w:lineRule="auto"/>
              <w:ind w:firstLine="0"/>
            </w:pPr>
            <w:r w:rsidRPr="00A503E5">
              <w:rPr>
                <w:lang w:val="it-IT"/>
              </w:rPr>
              <w:t>DGR n. 1079</w:t>
            </w:r>
          </w:p>
        </w:tc>
        <w:tc>
          <w:tcPr>
            <w:tcW w:w="1701" w:type="dxa"/>
            <w:tcBorders>
              <w:top w:val="nil"/>
              <w:left w:val="nil"/>
              <w:bottom w:val="single" w:sz="4" w:space="0" w:color="auto"/>
              <w:right w:val="nil"/>
            </w:tcBorders>
            <w:shd w:val="clear" w:color="auto" w:fill="auto"/>
          </w:tcPr>
          <w:p w14:paraId="19F554D2" w14:textId="77777777" w:rsidR="009C50A4" w:rsidRPr="00A503E5" w:rsidRDefault="00EE3923" w:rsidP="00A503E5">
            <w:pPr>
              <w:spacing w:line="240" w:lineRule="auto"/>
              <w:ind w:firstLine="0"/>
              <w:jc w:val="center"/>
            </w:pPr>
            <w:r w:rsidRPr="00A503E5">
              <w:t>-</w:t>
            </w:r>
          </w:p>
        </w:tc>
      </w:tr>
    </w:tbl>
    <w:p w14:paraId="35D03D27" w14:textId="77777777" w:rsidR="00EA35AC" w:rsidRPr="00A503E5" w:rsidRDefault="00EE3923" w:rsidP="009C50A4">
      <w:pPr>
        <w:ind w:firstLine="0"/>
      </w:pPr>
      <w:r w:rsidRPr="00A503E5">
        <w:rPr>
          <w:vertAlign w:val="superscript"/>
        </w:rPr>
        <w:t>1</w:t>
      </w:r>
      <w:r w:rsidR="009C50A4" w:rsidRPr="00A503E5">
        <w:t xml:space="preserve">Data are </w:t>
      </w:r>
      <w:r w:rsidR="00617197" w:rsidRPr="00A503E5">
        <w:t xml:space="preserve">retrieved from </w:t>
      </w:r>
      <w:r w:rsidR="009C50A4" w:rsidRPr="00A503E5">
        <w:t>the National Institute of Statistic</w:t>
      </w:r>
      <w:r w:rsidR="007F5B96" w:rsidRPr="00A503E5">
        <w:t>s</w:t>
      </w:r>
      <w:r w:rsidR="009C50A4" w:rsidRPr="00A503E5">
        <w:t xml:space="preserve"> (ISTAT) and refer to</w:t>
      </w:r>
      <w:r w:rsidR="00617197" w:rsidRPr="00A503E5">
        <w:t xml:space="preserve"> the</w:t>
      </w:r>
      <w:r w:rsidR="009C50A4" w:rsidRPr="00A503E5">
        <w:t xml:space="preserve"> </w:t>
      </w:r>
      <w:r w:rsidR="00617197" w:rsidRPr="00A503E5">
        <w:t xml:space="preserve">year </w:t>
      </w:r>
      <w:r w:rsidR="009C50A4" w:rsidRPr="00A503E5">
        <w:t>2019</w:t>
      </w:r>
      <w:r w:rsidR="00E10CDF" w:rsidRPr="00A503E5">
        <w:t xml:space="preserve">; </w:t>
      </w:r>
      <w:r w:rsidR="00EA35AC" w:rsidRPr="00A503E5">
        <w:rPr>
          <w:vertAlign w:val="superscript"/>
        </w:rPr>
        <w:t xml:space="preserve">2 </w:t>
      </w:r>
      <w:r w:rsidR="00EA35AC" w:rsidRPr="00A503E5">
        <w:t>Regional Council Deliberation</w:t>
      </w:r>
      <w:r w:rsidR="00E10CDF" w:rsidRPr="00A503E5">
        <w:t xml:space="preserve">; </w:t>
      </w:r>
      <w:r w:rsidR="00E10CDF" w:rsidRPr="00A503E5">
        <w:rPr>
          <w:vertAlign w:val="superscript"/>
        </w:rPr>
        <w:t>3</w:t>
      </w:r>
      <w:r w:rsidR="00275B5E" w:rsidRPr="00A503E5">
        <w:t>Ad acta</w:t>
      </w:r>
      <w:r w:rsidR="00E10CDF" w:rsidRPr="00A503E5">
        <w:t xml:space="preserve"> Commissioner Decree.</w:t>
      </w:r>
    </w:p>
    <w:p w14:paraId="10C6C43B" w14:textId="77777777" w:rsidR="006032DF" w:rsidRPr="00A503E5" w:rsidRDefault="006032DF" w:rsidP="00ED6421"/>
    <w:p w14:paraId="3462D4B7" w14:textId="77777777" w:rsidR="004D4B67" w:rsidRPr="00A503E5" w:rsidRDefault="00984F77" w:rsidP="00984F77">
      <w:pPr>
        <w:pStyle w:val="heading1"/>
        <w:rPr>
          <w:lang w:val="en-GB"/>
        </w:rPr>
      </w:pPr>
      <w:r w:rsidRPr="00A503E5">
        <w:rPr>
          <w:lang w:val="en-GB"/>
        </w:rPr>
        <w:t>Results</w:t>
      </w:r>
    </w:p>
    <w:p w14:paraId="4E873CAF" w14:textId="77777777" w:rsidR="001767F8" w:rsidRPr="00A503E5" w:rsidRDefault="007F5B96" w:rsidP="00EF7E9A">
      <w:pPr>
        <w:pStyle w:val="p1a"/>
        <w:rPr>
          <w:lang w:val="en-GB"/>
        </w:rPr>
      </w:pPr>
      <w:r w:rsidRPr="00A503E5">
        <w:rPr>
          <w:lang w:val="en-GB"/>
        </w:rPr>
        <w:t>The r</w:t>
      </w:r>
      <w:r w:rsidR="001767F8" w:rsidRPr="00A503E5">
        <w:rPr>
          <w:lang w:val="en-GB"/>
        </w:rPr>
        <w:t xml:space="preserve">esults are divided in two </w:t>
      </w:r>
      <w:r w:rsidR="00BB7D7E" w:rsidRPr="00A503E5">
        <w:rPr>
          <w:lang w:val="en-GB"/>
        </w:rPr>
        <w:t>sub-sections</w:t>
      </w:r>
      <w:r w:rsidR="006A59F8" w:rsidRPr="00A503E5">
        <w:rPr>
          <w:lang w:val="en-GB"/>
        </w:rPr>
        <w:t xml:space="preserve"> regarding respectively </w:t>
      </w:r>
      <w:r w:rsidR="001767F8" w:rsidRPr="00A503E5">
        <w:rPr>
          <w:lang w:val="en-GB"/>
        </w:rPr>
        <w:t xml:space="preserve">national </w:t>
      </w:r>
      <w:r w:rsidR="006A59F8" w:rsidRPr="00A503E5">
        <w:rPr>
          <w:lang w:val="en-GB"/>
        </w:rPr>
        <w:t xml:space="preserve">policies and </w:t>
      </w:r>
      <w:r w:rsidR="001767F8" w:rsidRPr="00A503E5">
        <w:rPr>
          <w:lang w:val="en-GB"/>
        </w:rPr>
        <w:t xml:space="preserve">regional </w:t>
      </w:r>
      <w:r w:rsidR="006A59F8" w:rsidRPr="00A503E5">
        <w:rPr>
          <w:lang w:val="en-GB"/>
        </w:rPr>
        <w:t>provisions</w:t>
      </w:r>
      <w:r w:rsidR="001767F8" w:rsidRPr="00A503E5">
        <w:rPr>
          <w:lang w:val="en-GB"/>
        </w:rPr>
        <w:t xml:space="preserve">. The authors selected provisions and circulars related to healthcare facilities management, </w:t>
      </w:r>
      <w:r w:rsidR="00617197" w:rsidRPr="00A503E5">
        <w:rPr>
          <w:lang w:val="en-GB"/>
        </w:rPr>
        <w:t>as</w:t>
      </w:r>
      <w:r w:rsidR="001767F8" w:rsidRPr="00A503E5">
        <w:rPr>
          <w:lang w:val="en-GB"/>
        </w:rPr>
        <w:t xml:space="preserve"> those related to other fields of intervention (</w:t>
      </w:r>
      <w:proofErr w:type="gramStart"/>
      <w:r w:rsidR="001767F8" w:rsidRPr="00A503E5">
        <w:rPr>
          <w:lang w:val="en-GB"/>
        </w:rPr>
        <w:t>e.g.</w:t>
      </w:r>
      <w:proofErr w:type="gramEnd"/>
      <w:r w:rsidR="001767F8" w:rsidRPr="00A503E5">
        <w:rPr>
          <w:lang w:val="en-GB"/>
        </w:rPr>
        <w:t xml:space="preserve"> general governance, protective equipment, financial interventions etc.) </w:t>
      </w:r>
      <w:r w:rsidR="00152AEC" w:rsidRPr="00A503E5">
        <w:rPr>
          <w:lang w:val="en-GB"/>
        </w:rPr>
        <w:t>are</w:t>
      </w:r>
      <w:r w:rsidR="001767F8" w:rsidRPr="00A503E5">
        <w:rPr>
          <w:lang w:val="en-GB"/>
        </w:rPr>
        <w:t xml:space="preserve"> considered </w:t>
      </w:r>
      <w:r w:rsidR="00152AEC" w:rsidRPr="00A503E5">
        <w:rPr>
          <w:lang w:val="en-GB"/>
        </w:rPr>
        <w:t xml:space="preserve">not </w:t>
      </w:r>
      <w:r w:rsidRPr="00A503E5">
        <w:rPr>
          <w:lang w:val="en-GB"/>
        </w:rPr>
        <w:t>to fall</w:t>
      </w:r>
      <w:r w:rsidR="001767F8" w:rsidRPr="00A503E5">
        <w:rPr>
          <w:lang w:val="en-GB"/>
        </w:rPr>
        <w:t xml:space="preserve"> within the remit of this paper.</w:t>
      </w:r>
      <w:r w:rsidR="00AE4832" w:rsidRPr="00A503E5">
        <w:rPr>
          <w:lang w:val="en-GB"/>
        </w:rPr>
        <w:t xml:space="preserve"> </w:t>
      </w:r>
    </w:p>
    <w:p w14:paraId="352FD500" w14:textId="77777777" w:rsidR="00DF79EC" w:rsidRPr="00A503E5" w:rsidRDefault="00DF79EC" w:rsidP="00DF79EC">
      <w:pPr>
        <w:rPr>
          <w:lang w:val="en-GB"/>
        </w:rPr>
      </w:pPr>
    </w:p>
    <w:p w14:paraId="070B2929" w14:textId="77777777" w:rsidR="00984F77" w:rsidRPr="00A503E5" w:rsidRDefault="00984F77" w:rsidP="00984F77">
      <w:pPr>
        <w:pStyle w:val="heading2"/>
        <w:spacing w:before="0"/>
        <w:rPr>
          <w:lang w:val="en-GB"/>
        </w:rPr>
      </w:pPr>
      <w:r w:rsidRPr="00A503E5">
        <w:rPr>
          <w:lang w:val="en-GB"/>
        </w:rPr>
        <w:t>National response</w:t>
      </w:r>
    </w:p>
    <w:p w14:paraId="5236BA4C" w14:textId="77777777" w:rsidR="00630926" w:rsidRDefault="00832613" w:rsidP="00E843B3">
      <w:pPr>
        <w:pStyle w:val="p1a"/>
        <w:rPr>
          <w:lang w:val="en-GB"/>
        </w:rPr>
      </w:pPr>
      <w:r w:rsidRPr="00A503E5">
        <w:rPr>
          <w:lang w:val="en-GB"/>
        </w:rPr>
        <w:t>A pandemic</w:t>
      </w:r>
      <w:r w:rsidR="007F5B96" w:rsidRPr="00A503E5">
        <w:rPr>
          <w:lang w:val="en-GB"/>
        </w:rPr>
        <w:t>’s</w:t>
      </w:r>
      <w:r w:rsidRPr="00A503E5">
        <w:rPr>
          <w:lang w:val="en-GB"/>
        </w:rPr>
        <w:t xml:space="preserve"> evolution is characteri</w:t>
      </w:r>
      <w:r w:rsidR="007F5B96" w:rsidRPr="00A503E5">
        <w:rPr>
          <w:lang w:val="en-GB"/>
        </w:rPr>
        <w:t>s</w:t>
      </w:r>
      <w:r w:rsidRPr="00A503E5">
        <w:rPr>
          <w:lang w:val="en-GB"/>
        </w:rPr>
        <w:t xml:space="preserve">ed by at least four major </w:t>
      </w:r>
      <w:r w:rsidR="007F5B96" w:rsidRPr="00A503E5">
        <w:rPr>
          <w:lang w:val="en-GB"/>
        </w:rPr>
        <w:t>phase</w:t>
      </w:r>
      <w:r w:rsidRPr="00A503E5">
        <w:rPr>
          <w:lang w:val="en-GB"/>
        </w:rPr>
        <w:t>s: (a) interpandemic, (b) alert, (c) pandemic and (d) transition [2</w:t>
      </w:r>
      <w:r w:rsidR="006724AF" w:rsidRPr="00A503E5">
        <w:rPr>
          <w:lang w:val="en-GB"/>
        </w:rPr>
        <w:t>5</w:t>
      </w:r>
      <w:r w:rsidRPr="00A503E5">
        <w:rPr>
          <w:lang w:val="en-GB"/>
        </w:rPr>
        <w:t xml:space="preserve">]. To each phase a risk management </w:t>
      </w:r>
      <w:r w:rsidR="009B63BD" w:rsidRPr="00A503E5">
        <w:rPr>
          <w:lang w:val="en-GB"/>
        </w:rPr>
        <w:t>task</w:t>
      </w:r>
      <w:r w:rsidRPr="00A503E5">
        <w:rPr>
          <w:lang w:val="en-GB"/>
        </w:rPr>
        <w:t xml:space="preserve"> can be ascribed</w:t>
      </w:r>
      <w:r w:rsidR="00584131" w:rsidRPr="00A503E5">
        <w:rPr>
          <w:lang w:val="en-GB"/>
        </w:rPr>
        <w:t xml:space="preserve"> (</w:t>
      </w:r>
      <w:proofErr w:type="gramStart"/>
      <w:r w:rsidR="00584131" w:rsidRPr="00A503E5">
        <w:rPr>
          <w:lang w:val="en-GB"/>
        </w:rPr>
        <w:t>e.g.</w:t>
      </w:r>
      <w:proofErr w:type="gramEnd"/>
      <w:r w:rsidRPr="00A503E5">
        <w:rPr>
          <w:lang w:val="en-GB"/>
        </w:rPr>
        <w:t xml:space="preserve"> preparedness, response, and recovery</w:t>
      </w:r>
      <w:r w:rsidR="00584131" w:rsidRPr="00A503E5">
        <w:rPr>
          <w:lang w:val="en-GB"/>
        </w:rPr>
        <w:t>)</w:t>
      </w:r>
      <w:r w:rsidRPr="00A503E5">
        <w:rPr>
          <w:lang w:val="en-GB"/>
        </w:rPr>
        <w:t xml:space="preserve">. The </w:t>
      </w:r>
      <w:r w:rsidRPr="00A503E5">
        <w:rPr>
          <w:lang w:val="en-GB"/>
        </w:rPr>
        <w:lastRenderedPageBreak/>
        <w:t>pandemic phase, which the world is currently going through, can be further divided in</w:t>
      </w:r>
      <w:r w:rsidR="007F5B96" w:rsidRPr="00A503E5">
        <w:rPr>
          <w:lang w:val="en-GB"/>
        </w:rPr>
        <w:t>to</w:t>
      </w:r>
      <w:r w:rsidRPr="00A503E5">
        <w:rPr>
          <w:lang w:val="en-GB"/>
        </w:rPr>
        <w:t xml:space="preserve"> three sub-</w:t>
      </w:r>
      <w:r w:rsidR="007F5B96" w:rsidRPr="00A503E5">
        <w:rPr>
          <w:lang w:val="en-GB"/>
        </w:rPr>
        <w:t>phases</w:t>
      </w:r>
      <w:r w:rsidRPr="00A503E5">
        <w:rPr>
          <w:lang w:val="en-GB"/>
        </w:rPr>
        <w:t>: acute, post</w:t>
      </w:r>
      <w:r w:rsidRPr="00A503E5">
        <w:t>-acute and transition [</w:t>
      </w:r>
      <w:r w:rsidR="00F60290" w:rsidRPr="00A503E5">
        <w:t>2</w:t>
      </w:r>
      <w:r w:rsidR="006724AF" w:rsidRPr="00A503E5">
        <w:t>6</w:t>
      </w:r>
      <w:r w:rsidRPr="00A503E5">
        <w:t>]. During the alert phase, the Italian Minist</w:t>
      </w:r>
      <w:r w:rsidR="00E10CDF" w:rsidRPr="00A503E5">
        <w:t>ry</w:t>
      </w:r>
      <w:r w:rsidRPr="00A503E5">
        <w:t xml:space="preserve"> of Health </w:t>
      </w:r>
      <w:r w:rsidR="007F5B96" w:rsidRPr="00A503E5">
        <w:t>drafted</w:t>
      </w:r>
      <w:r w:rsidRPr="00A503E5">
        <w:t xml:space="preserve"> a national task force and a scientific technical committee to coordinate the emergency interventions. Also, the Italian Government declared </w:t>
      </w:r>
      <w:r w:rsidR="007F5B96" w:rsidRPr="00A503E5">
        <w:t>a</w:t>
      </w:r>
      <w:r w:rsidRPr="00A503E5">
        <w:t xml:space="preserve"> state of emergency on 31</w:t>
      </w:r>
      <w:r w:rsidRPr="00A503E5">
        <w:rPr>
          <w:vertAlign w:val="superscript"/>
        </w:rPr>
        <w:t>st</w:t>
      </w:r>
      <w:r w:rsidRPr="00A503E5">
        <w:t xml:space="preserve"> January 2020 as an extraordinary measure to ensure public health against the forthcoming pandemic. The state of emergency has two important implications for the governance of the crisis. First, the government can bypass the Parliament in the definition of legislative interventions, approving the so-called ‘Decrees of the President of the Council of Ministers’ (DPCM). Second, the state of emergency introduced the possibility of derogation of existing procurement rules, facilitating the acquisition of P</w:t>
      </w:r>
      <w:r w:rsidR="007F5B96" w:rsidRPr="00A503E5">
        <w:t xml:space="preserve">ersonal Protective </w:t>
      </w:r>
      <w:r w:rsidRPr="00A503E5">
        <w:t>E</w:t>
      </w:r>
      <w:r w:rsidR="007F5B96" w:rsidRPr="00A503E5">
        <w:t>quipment</w:t>
      </w:r>
      <w:r w:rsidRPr="00A503E5">
        <w:t xml:space="preserve">, </w:t>
      </w:r>
      <w:proofErr w:type="gramStart"/>
      <w:r w:rsidRPr="00A503E5">
        <w:t>tests</w:t>
      </w:r>
      <w:proofErr w:type="gramEnd"/>
      <w:r w:rsidRPr="00A503E5">
        <w:t xml:space="preserve"> and ventilators [</w:t>
      </w:r>
      <w:r w:rsidR="00B76535" w:rsidRPr="00A503E5">
        <w:t>2</w:t>
      </w:r>
      <w:r w:rsidR="006724AF" w:rsidRPr="00A503E5">
        <w:t>2</w:t>
      </w:r>
      <w:r w:rsidRPr="00A503E5">
        <w:t>].</w:t>
      </w:r>
      <w:r w:rsidR="00E843B3">
        <w:t xml:space="preserve"> </w:t>
      </w:r>
      <w:r w:rsidRPr="00A503E5">
        <w:rPr>
          <w:lang w:val="en-GB"/>
        </w:rPr>
        <w:t>On 20</w:t>
      </w:r>
      <w:r w:rsidRPr="00A503E5">
        <w:rPr>
          <w:vertAlign w:val="superscript"/>
          <w:lang w:val="en-GB"/>
        </w:rPr>
        <w:t>th</w:t>
      </w:r>
      <w:r w:rsidRPr="00A503E5">
        <w:rPr>
          <w:lang w:val="en-GB"/>
        </w:rPr>
        <w:t xml:space="preserve"> February 2020 the first Italian COVID-19 positive patient was reported, </w:t>
      </w:r>
      <w:r w:rsidR="007F5B96" w:rsidRPr="00A503E5">
        <w:rPr>
          <w:lang w:val="en-GB"/>
        </w:rPr>
        <w:t>thus</w:t>
      </w:r>
      <w:r w:rsidRPr="00A503E5">
        <w:rPr>
          <w:lang w:val="en-GB"/>
        </w:rPr>
        <w:t xml:space="preserve"> t</w:t>
      </w:r>
      <w:r w:rsidR="00ED6D06" w:rsidRPr="00A503E5">
        <w:rPr>
          <w:lang w:val="en-GB"/>
        </w:rPr>
        <w:t>he acute phase began, and it lasted until 20</w:t>
      </w:r>
      <w:r w:rsidR="00ED6D06" w:rsidRPr="00A503E5">
        <w:rPr>
          <w:vertAlign w:val="superscript"/>
          <w:lang w:val="en-GB"/>
        </w:rPr>
        <w:t>th</w:t>
      </w:r>
      <w:r w:rsidR="00ED6D06" w:rsidRPr="00A503E5">
        <w:rPr>
          <w:lang w:val="en-GB"/>
        </w:rPr>
        <w:t xml:space="preserve"> March. The acute phase </w:t>
      </w:r>
      <w:r w:rsidR="00A44376" w:rsidRPr="00A503E5">
        <w:rPr>
          <w:lang w:val="en-GB"/>
        </w:rPr>
        <w:t>was</w:t>
      </w:r>
      <w:r w:rsidR="00ED6D06" w:rsidRPr="00A503E5">
        <w:rPr>
          <w:lang w:val="en-GB"/>
        </w:rPr>
        <w:t xml:space="preserve"> characterised by rapid growth of positive cases and insufficient contact tracing and surveillance measures</w:t>
      </w:r>
      <w:r w:rsidR="00F551B1" w:rsidRPr="00A503E5">
        <w:rPr>
          <w:lang w:val="en-GB"/>
        </w:rPr>
        <w:t xml:space="preserve"> [</w:t>
      </w:r>
      <w:r w:rsidR="00B76535" w:rsidRPr="00A503E5">
        <w:rPr>
          <w:lang w:val="en-GB"/>
        </w:rPr>
        <w:t>2</w:t>
      </w:r>
      <w:r w:rsidR="006724AF" w:rsidRPr="00A503E5">
        <w:rPr>
          <w:lang w:val="en-GB"/>
        </w:rPr>
        <w:t>6</w:t>
      </w:r>
      <w:r w:rsidR="00F551B1" w:rsidRPr="00A503E5">
        <w:rPr>
          <w:lang w:val="en-GB"/>
        </w:rPr>
        <w:t>]</w:t>
      </w:r>
      <w:r w:rsidR="00ED6D06" w:rsidRPr="00A503E5">
        <w:rPr>
          <w:lang w:val="en-GB"/>
        </w:rPr>
        <w:t>.</w:t>
      </w:r>
      <w:r w:rsidR="00F551B1" w:rsidRPr="00A503E5">
        <w:rPr>
          <w:lang w:val="en-GB"/>
        </w:rPr>
        <w:t xml:space="preserve"> The first significant national provision on healthcare </w:t>
      </w:r>
      <w:r w:rsidR="00A44376" w:rsidRPr="00A503E5">
        <w:rPr>
          <w:lang w:val="en-GB"/>
        </w:rPr>
        <w:t>facilities management</w:t>
      </w:r>
      <w:r w:rsidR="00F551B1" w:rsidRPr="00A503E5">
        <w:rPr>
          <w:lang w:val="en-GB"/>
        </w:rPr>
        <w:t xml:space="preserve"> is the Decree Law n.14 of 9</w:t>
      </w:r>
      <w:r w:rsidR="00F551B1" w:rsidRPr="00A503E5">
        <w:rPr>
          <w:vertAlign w:val="superscript"/>
          <w:lang w:val="en-GB"/>
        </w:rPr>
        <w:t>th</w:t>
      </w:r>
      <w:r w:rsidR="00F551B1" w:rsidRPr="00A503E5">
        <w:rPr>
          <w:lang w:val="en-GB"/>
        </w:rPr>
        <w:t xml:space="preserve"> March 2020. It </w:t>
      </w:r>
      <w:r w:rsidR="007F5B96" w:rsidRPr="00A503E5">
        <w:rPr>
          <w:lang w:val="en-GB"/>
        </w:rPr>
        <w:t>oversaw</w:t>
      </w:r>
      <w:r w:rsidR="00F551B1" w:rsidRPr="00A503E5">
        <w:rPr>
          <w:lang w:val="en-GB"/>
        </w:rPr>
        <w:t xml:space="preserve"> the recruitment of healthcare personnel</w:t>
      </w:r>
      <w:r w:rsidR="009B63BD" w:rsidRPr="00A503E5">
        <w:rPr>
          <w:lang w:val="en-GB"/>
        </w:rPr>
        <w:t xml:space="preserve"> and</w:t>
      </w:r>
      <w:r w:rsidR="00F551B1" w:rsidRPr="00A503E5">
        <w:rPr>
          <w:lang w:val="en-GB"/>
        </w:rPr>
        <w:t xml:space="preserve"> the introduction of the special units of continued assistance (USCA), </w:t>
      </w:r>
      <w:r w:rsidR="00584131" w:rsidRPr="00A503E5">
        <w:rPr>
          <w:lang w:val="en-GB"/>
        </w:rPr>
        <w:t xml:space="preserve">to be placed </w:t>
      </w:r>
      <w:r w:rsidR="00F551B1" w:rsidRPr="00A503E5">
        <w:rPr>
          <w:lang w:val="en-GB"/>
        </w:rPr>
        <w:t>at least 1 every 50</w:t>
      </w:r>
      <w:r w:rsidR="007F5B96" w:rsidRPr="00A503E5">
        <w:rPr>
          <w:lang w:val="en-GB"/>
        </w:rPr>
        <w:t>,</w:t>
      </w:r>
      <w:r w:rsidR="00F551B1" w:rsidRPr="00A503E5">
        <w:rPr>
          <w:lang w:val="en-GB"/>
        </w:rPr>
        <w:t>000 inhabitants</w:t>
      </w:r>
      <w:r w:rsidR="009B63BD" w:rsidRPr="00A503E5">
        <w:rPr>
          <w:lang w:val="en-GB"/>
        </w:rPr>
        <w:t xml:space="preserve">. USCA </w:t>
      </w:r>
      <w:proofErr w:type="gramStart"/>
      <w:r w:rsidR="009B63BD" w:rsidRPr="00A503E5">
        <w:rPr>
          <w:lang w:val="en-GB"/>
        </w:rPr>
        <w:t>are in charge of</w:t>
      </w:r>
      <w:proofErr w:type="gramEnd"/>
      <w:r w:rsidR="009B63BD" w:rsidRPr="00A503E5">
        <w:rPr>
          <w:lang w:val="en-GB"/>
        </w:rPr>
        <w:t xml:space="preserve"> managing</w:t>
      </w:r>
      <w:r w:rsidR="00F551B1" w:rsidRPr="00A503E5">
        <w:rPr>
          <w:lang w:val="en-GB"/>
        </w:rPr>
        <w:t xml:space="preserve"> COVID-19 patients</w:t>
      </w:r>
      <w:r w:rsidR="00584131" w:rsidRPr="00A503E5">
        <w:rPr>
          <w:lang w:val="en-GB"/>
        </w:rPr>
        <w:t xml:space="preserve"> </w:t>
      </w:r>
      <w:r w:rsidR="00F551B1" w:rsidRPr="00A503E5">
        <w:rPr>
          <w:lang w:val="en-GB"/>
        </w:rPr>
        <w:t xml:space="preserve">in home-isolation. </w:t>
      </w:r>
      <w:r w:rsidR="009B63BD" w:rsidRPr="00A503E5">
        <w:rPr>
          <w:lang w:val="en-GB"/>
        </w:rPr>
        <w:t>The Decree Law n.14</w:t>
      </w:r>
      <w:r w:rsidR="00F551B1" w:rsidRPr="00A503E5">
        <w:rPr>
          <w:lang w:val="en-GB"/>
        </w:rPr>
        <w:t xml:space="preserve"> </w:t>
      </w:r>
      <w:r w:rsidR="00A44376" w:rsidRPr="00A503E5">
        <w:rPr>
          <w:lang w:val="en-GB"/>
        </w:rPr>
        <w:t xml:space="preserve">has </w:t>
      </w:r>
      <w:r w:rsidR="00F551B1" w:rsidRPr="00A503E5">
        <w:rPr>
          <w:lang w:val="en-GB"/>
        </w:rPr>
        <w:t>also require</w:t>
      </w:r>
      <w:r w:rsidR="00A44376" w:rsidRPr="00A503E5">
        <w:rPr>
          <w:lang w:val="en-GB"/>
        </w:rPr>
        <w:t>d</w:t>
      </w:r>
      <w:r w:rsidR="00F551B1" w:rsidRPr="00A503E5">
        <w:rPr>
          <w:lang w:val="en-GB"/>
        </w:rPr>
        <w:t xml:space="preserve"> </w:t>
      </w:r>
      <w:r w:rsidR="00A44376" w:rsidRPr="00A503E5">
        <w:rPr>
          <w:lang w:val="en-GB"/>
        </w:rPr>
        <w:t>the</w:t>
      </w:r>
      <w:r w:rsidR="00F551B1" w:rsidRPr="00A503E5">
        <w:rPr>
          <w:lang w:val="en-GB"/>
        </w:rPr>
        <w:t xml:space="preserve"> div</w:t>
      </w:r>
      <w:r w:rsidR="00A44376" w:rsidRPr="00A503E5">
        <w:rPr>
          <w:lang w:val="en-GB"/>
        </w:rPr>
        <w:t>ision of</w:t>
      </w:r>
      <w:r w:rsidR="00F551B1" w:rsidRPr="00A503E5">
        <w:rPr>
          <w:lang w:val="en-GB"/>
        </w:rPr>
        <w:t xml:space="preserve"> the </w:t>
      </w:r>
      <w:r w:rsidR="00A44376" w:rsidRPr="00A503E5">
        <w:rPr>
          <w:lang w:val="en-GB"/>
        </w:rPr>
        <w:t>t</w:t>
      </w:r>
      <w:r w:rsidR="00F551B1" w:rsidRPr="00A503E5">
        <w:rPr>
          <w:lang w:val="en-GB"/>
        </w:rPr>
        <w:t>riage area</w:t>
      </w:r>
      <w:r w:rsidR="00A44376" w:rsidRPr="00A503E5">
        <w:rPr>
          <w:lang w:val="en-GB"/>
        </w:rPr>
        <w:t xml:space="preserve"> from the admission room in emergency departments, placing</w:t>
      </w:r>
      <w:r w:rsidR="00F551B1" w:rsidRPr="00A503E5">
        <w:rPr>
          <w:lang w:val="en-GB"/>
        </w:rPr>
        <w:t xml:space="preserve"> attention on </w:t>
      </w:r>
      <w:r w:rsidR="00A44376" w:rsidRPr="00A503E5">
        <w:rPr>
          <w:lang w:val="en-GB"/>
        </w:rPr>
        <w:t>hospital infrastructures for the first time. Finally, outpatient activities have been suspended as well as all the other activities considered as deferrable. Shortly thereafter, the Minister of Health provided guidelines about how to define deferrable and urgent activities.</w:t>
      </w:r>
      <w:r w:rsidR="00E843B3">
        <w:rPr>
          <w:lang w:val="en-GB"/>
        </w:rPr>
        <w:t xml:space="preserve"> </w:t>
      </w:r>
      <w:r w:rsidR="005B2D20" w:rsidRPr="00A503E5">
        <w:rPr>
          <w:lang w:val="en-GB"/>
        </w:rPr>
        <w:t>The post-acute phase lasted from</w:t>
      </w:r>
      <w:r w:rsidR="00025DE7" w:rsidRPr="00A503E5">
        <w:rPr>
          <w:lang w:val="en-GB"/>
        </w:rPr>
        <w:t xml:space="preserve"> </w:t>
      </w:r>
      <w:r w:rsidR="005B2D20" w:rsidRPr="00A503E5">
        <w:rPr>
          <w:lang w:val="en-GB"/>
        </w:rPr>
        <w:t>21</w:t>
      </w:r>
      <w:r w:rsidR="005B2D20" w:rsidRPr="00A503E5">
        <w:rPr>
          <w:vertAlign w:val="superscript"/>
          <w:lang w:val="en-GB"/>
        </w:rPr>
        <w:t>st</w:t>
      </w:r>
      <w:r w:rsidR="00025DE7" w:rsidRPr="00A503E5">
        <w:rPr>
          <w:lang w:val="en-GB"/>
        </w:rPr>
        <w:t xml:space="preserve"> March until 4</w:t>
      </w:r>
      <w:r w:rsidR="00025DE7" w:rsidRPr="00A503E5">
        <w:rPr>
          <w:vertAlign w:val="superscript"/>
          <w:lang w:val="en-GB"/>
        </w:rPr>
        <w:t>th</w:t>
      </w:r>
      <w:r w:rsidR="00025DE7" w:rsidRPr="00A503E5">
        <w:rPr>
          <w:lang w:val="en-GB"/>
        </w:rPr>
        <w:t xml:space="preserve"> May 2020, </w:t>
      </w:r>
      <w:r w:rsidR="00FE5FA6" w:rsidRPr="00A503E5">
        <w:rPr>
          <w:lang w:val="en-GB"/>
        </w:rPr>
        <w:t>during</w:t>
      </w:r>
      <w:r w:rsidR="005B2D20" w:rsidRPr="00A503E5">
        <w:rPr>
          <w:lang w:val="en-GB"/>
        </w:rPr>
        <w:t xml:space="preserve"> </w:t>
      </w:r>
      <w:r w:rsidR="00025DE7" w:rsidRPr="00A503E5">
        <w:rPr>
          <w:lang w:val="en-GB"/>
        </w:rPr>
        <w:t>the national lockdown</w:t>
      </w:r>
      <w:r w:rsidR="009B63BD" w:rsidRPr="00A503E5">
        <w:rPr>
          <w:lang w:val="en-GB"/>
        </w:rPr>
        <w:t xml:space="preserve"> [</w:t>
      </w:r>
      <w:r w:rsidR="00F60290" w:rsidRPr="00A503E5">
        <w:rPr>
          <w:lang w:val="en-GB"/>
        </w:rPr>
        <w:t>2</w:t>
      </w:r>
      <w:r w:rsidR="006724AF" w:rsidRPr="00A503E5">
        <w:rPr>
          <w:lang w:val="en-GB"/>
        </w:rPr>
        <w:t>6</w:t>
      </w:r>
      <w:r w:rsidR="009B63BD" w:rsidRPr="00A503E5">
        <w:rPr>
          <w:lang w:val="en-GB"/>
        </w:rPr>
        <w:t>]</w:t>
      </w:r>
      <w:r w:rsidR="005B2D20" w:rsidRPr="00A503E5">
        <w:rPr>
          <w:lang w:val="en-GB"/>
        </w:rPr>
        <w:t>. T</w:t>
      </w:r>
      <w:r w:rsidR="00025DE7" w:rsidRPr="00A503E5">
        <w:rPr>
          <w:lang w:val="en-GB"/>
        </w:rPr>
        <w:t xml:space="preserve">he surveillance system registered a flattening and then a decrease of reported COVID-19 cases, followed by a gradual reactivation of </w:t>
      </w:r>
      <w:r w:rsidR="005B2D20" w:rsidRPr="00A503E5">
        <w:rPr>
          <w:lang w:val="en-GB"/>
        </w:rPr>
        <w:t xml:space="preserve">social and </w:t>
      </w:r>
      <w:r w:rsidR="00025DE7" w:rsidRPr="00A503E5">
        <w:rPr>
          <w:lang w:val="en-GB"/>
        </w:rPr>
        <w:t>health services</w:t>
      </w:r>
      <w:r w:rsidR="00FE5FA6" w:rsidRPr="00A503E5">
        <w:rPr>
          <w:lang w:val="en-GB"/>
        </w:rPr>
        <w:t>, as non-residential care homes</w:t>
      </w:r>
      <w:r w:rsidR="00025DE7" w:rsidRPr="00A503E5">
        <w:rPr>
          <w:lang w:val="en-GB"/>
        </w:rPr>
        <w:t>.</w:t>
      </w:r>
      <w:r w:rsidR="00E843B3">
        <w:rPr>
          <w:lang w:val="en-GB"/>
        </w:rPr>
        <w:t xml:space="preserve"> </w:t>
      </w:r>
      <w:r w:rsidR="005B2D20" w:rsidRPr="00A503E5">
        <w:rPr>
          <w:lang w:val="en-GB"/>
        </w:rPr>
        <w:t xml:space="preserve">The epidemic transition started on </w:t>
      </w:r>
      <w:r w:rsidR="00584131" w:rsidRPr="00A503E5">
        <w:rPr>
          <w:lang w:val="en-GB"/>
        </w:rPr>
        <w:t>5</w:t>
      </w:r>
      <w:r w:rsidR="005B2D20" w:rsidRPr="00A503E5">
        <w:rPr>
          <w:vertAlign w:val="superscript"/>
          <w:lang w:val="en-GB"/>
        </w:rPr>
        <w:t>th</w:t>
      </w:r>
      <w:r w:rsidR="005B2D20" w:rsidRPr="00A503E5">
        <w:rPr>
          <w:lang w:val="en-GB"/>
        </w:rPr>
        <w:t xml:space="preserve"> May </w:t>
      </w:r>
      <w:proofErr w:type="gramStart"/>
      <w:r w:rsidR="005B2D20" w:rsidRPr="00A503E5">
        <w:rPr>
          <w:lang w:val="en-GB"/>
        </w:rPr>
        <w:t>2020</w:t>
      </w:r>
      <w:proofErr w:type="gramEnd"/>
      <w:r w:rsidR="005B2D20" w:rsidRPr="00A503E5">
        <w:rPr>
          <w:lang w:val="en-GB"/>
        </w:rPr>
        <w:t xml:space="preserve"> and it is still ongoing at the time of writin</w:t>
      </w:r>
      <w:r w:rsidR="00F60290" w:rsidRPr="00A503E5">
        <w:rPr>
          <w:lang w:val="en-GB"/>
        </w:rPr>
        <w:t>g</w:t>
      </w:r>
      <w:r w:rsidR="005B2D20" w:rsidRPr="00A503E5">
        <w:rPr>
          <w:lang w:val="en-GB"/>
        </w:rPr>
        <w:t>.</w:t>
      </w:r>
      <w:r w:rsidR="009B63BD" w:rsidRPr="00A503E5">
        <w:rPr>
          <w:lang w:val="en-GB"/>
        </w:rPr>
        <w:t xml:space="preserve"> </w:t>
      </w:r>
      <w:r w:rsidR="00AD64D3" w:rsidRPr="00A503E5">
        <w:rPr>
          <w:lang w:val="en-GB"/>
        </w:rPr>
        <w:t>The most significant national provision about healthcare facilities management is the Decree Law n. 34 of 19</w:t>
      </w:r>
      <w:r w:rsidR="00AD64D3" w:rsidRPr="00A503E5">
        <w:rPr>
          <w:vertAlign w:val="superscript"/>
          <w:lang w:val="en-GB"/>
        </w:rPr>
        <w:t>th</w:t>
      </w:r>
      <w:r w:rsidR="00AD64D3" w:rsidRPr="00A503E5">
        <w:rPr>
          <w:lang w:val="en-GB"/>
        </w:rPr>
        <w:t xml:space="preserve"> May 2020. </w:t>
      </w:r>
      <w:r w:rsidR="00FE5FA6" w:rsidRPr="00A503E5">
        <w:rPr>
          <w:lang w:val="en-GB"/>
        </w:rPr>
        <w:t>A</w:t>
      </w:r>
      <w:r w:rsidR="00AD64D3" w:rsidRPr="00A503E5">
        <w:rPr>
          <w:lang w:val="en-GB"/>
        </w:rPr>
        <w:t>rt</w:t>
      </w:r>
      <w:r w:rsidR="00FE5FA6" w:rsidRPr="00A503E5">
        <w:rPr>
          <w:lang w:val="en-GB"/>
        </w:rPr>
        <w:t>icle</w:t>
      </w:r>
      <w:r w:rsidR="00AD64D3" w:rsidRPr="00A503E5">
        <w:rPr>
          <w:lang w:val="en-GB"/>
        </w:rPr>
        <w:t xml:space="preserve"> 1 calls for enhancement and organisational plans for the territorial healthcare services. It establishes that </w:t>
      </w:r>
      <w:r w:rsidR="00FE5FA6" w:rsidRPr="00A503E5">
        <w:rPr>
          <w:lang w:val="en-GB"/>
        </w:rPr>
        <w:t>r</w:t>
      </w:r>
      <w:r w:rsidR="00AD64D3" w:rsidRPr="00A503E5">
        <w:rPr>
          <w:lang w:val="en-GB"/>
        </w:rPr>
        <w:t xml:space="preserve">egions </w:t>
      </w:r>
      <w:r w:rsidR="00635DB9" w:rsidRPr="00A503E5">
        <w:rPr>
          <w:lang w:val="en-GB"/>
        </w:rPr>
        <w:t>must</w:t>
      </w:r>
      <w:r w:rsidR="00AD64D3" w:rsidRPr="00A503E5">
        <w:rPr>
          <w:lang w:val="en-GB"/>
        </w:rPr>
        <w:t xml:space="preserve"> adopt specific measures for contact tracing</w:t>
      </w:r>
      <w:r w:rsidR="00635DB9" w:rsidRPr="00A503E5">
        <w:rPr>
          <w:lang w:val="en-GB"/>
        </w:rPr>
        <w:t>; t</w:t>
      </w:r>
      <w:r w:rsidR="009A4531" w:rsidRPr="00A503E5">
        <w:rPr>
          <w:lang w:val="en-GB"/>
        </w:rPr>
        <w:t xml:space="preserve">hey </w:t>
      </w:r>
      <w:r w:rsidR="00635DB9" w:rsidRPr="00A503E5">
        <w:rPr>
          <w:lang w:val="en-GB"/>
        </w:rPr>
        <w:t>should</w:t>
      </w:r>
      <w:r w:rsidR="009A4531" w:rsidRPr="00A503E5">
        <w:rPr>
          <w:lang w:val="en-GB"/>
        </w:rPr>
        <w:t xml:space="preserve"> start surveillance at residential care homes, while improving home care. </w:t>
      </w:r>
      <w:r w:rsidR="00635DB9" w:rsidRPr="00A503E5">
        <w:rPr>
          <w:lang w:val="en-GB"/>
        </w:rPr>
        <w:t>Also,</w:t>
      </w:r>
      <w:r w:rsidR="009A4531" w:rsidRPr="00A503E5">
        <w:rPr>
          <w:lang w:val="en-GB"/>
        </w:rPr>
        <w:t xml:space="preserve"> they can </w:t>
      </w:r>
      <w:r w:rsidR="00635DB9" w:rsidRPr="00A503E5">
        <w:rPr>
          <w:lang w:val="en-GB"/>
        </w:rPr>
        <w:t>lease</w:t>
      </w:r>
      <w:r w:rsidR="009A4531" w:rsidRPr="00A503E5">
        <w:rPr>
          <w:lang w:val="en-GB"/>
        </w:rPr>
        <w:t xml:space="preserve"> </w:t>
      </w:r>
      <w:r w:rsidR="00635DB9" w:rsidRPr="00A503E5">
        <w:rPr>
          <w:lang w:val="en-GB"/>
        </w:rPr>
        <w:t>hotel facilities to manage and treat asymptomatic patients.</w:t>
      </w:r>
      <w:r w:rsidR="00FE5FA6" w:rsidRPr="00A503E5">
        <w:rPr>
          <w:lang w:val="en-GB"/>
        </w:rPr>
        <w:t xml:space="preserve"> A</w:t>
      </w:r>
      <w:r w:rsidR="00635DB9" w:rsidRPr="00A503E5">
        <w:rPr>
          <w:lang w:val="en-GB"/>
        </w:rPr>
        <w:t>rt</w:t>
      </w:r>
      <w:r w:rsidR="00FE5FA6" w:rsidRPr="00A503E5">
        <w:rPr>
          <w:lang w:val="en-GB"/>
        </w:rPr>
        <w:t>icle</w:t>
      </w:r>
      <w:r w:rsidR="00635DB9" w:rsidRPr="00A503E5">
        <w:rPr>
          <w:lang w:val="en-GB"/>
        </w:rPr>
        <w:t xml:space="preserve"> 2 requires </w:t>
      </w:r>
      <w:r w:rsidR="00FE5FA6" w:rsidRPr="00A503E5">
        <w:rPr>
          <w:lang w:val="en-GB"/>
        </w:rPr>
        <w:t>r</w:t>
      </w:r>
      <w:r w:rsidR="00635DB9" w:rsidRPr="00A503E5">
        <w:rPr>
          <w:lang w:val="en-GB"/>
        </w:rPr>
        <w:t xml:space="preserve">egions to adopt rearrangement plans </w:t>
      </w:r>
      <w:r w:rsidR="00FE5FA6" w:rsidRPr="00A503E5">
        <w:rPr>
          <w:lang w:val="en-GB"/>
        </w:rPr>
        <w:t>for</w:t>
      </w:r>
      <w:r w:rsidR="00635DB9" w:rsidRPr="00A503E5">
        <w:rPr>
          <w:lang w:val="en-GB"/>
        </w:rPr>
        <w:t xml:space="preserve"> hospital networks. The main goal is to increase the number of beds in intensive and semi-intensive care units (ICU)</w:t>
      </w:r>
      <w:r w:rsidR="00FE5FA6" w:rsidRPr="00A503E5">
        <w:rPr>
          <w:lang w:val="en-GB"/>
        </w:rPr>
        <w:t>.</w:t>
      </w:r>
      <w:r w:rsidR="00635DB9" w:rsidRPr="00A503E5">
        <w:rPr>
          <w:lang w:val="en-GB"/>
        </w:rPr>
        <w:t xml:space="preserve"> </w:t>
      </w:r>
      <w:r w:rsidR="00FE5FA6" w:rsidRPr="00A503E5">
        <w:rPr>
          <w:lang w:val="en-GB"/>
        </w:rPr>
        <w:t>T</w:t>
      </w:r>
      <w:r w:rsidR="00635DB9" w:rsidRPr="00A503E5">
        <w:rPr>
          <w:lang w:val="en-GB"/>
        </w:rPr>
        <w:t xml:space="preserve">o do so </w:t>
      </w:r>
      <w:r w:rsidR="00FE5FA6" w:rsidRPr="00A503E5">
        <w:rPr>
          <w:lang w:val="en-GB"/>
        </w:rPr>
        <w:t>r</w:t>
      </w:r>
      <w:r w:rsidR="00635DB9" w:rsidRPr="00A503E5">
        <w:rPr>
          <w:lang w:val="en-GB"/>
        </w:rPr>
        <w:t xml:space="preserve">egions can also build temporary additional infrastructures. Also, dedicated pathways </w:t>
      </w:r>
      <w:r w:rsidR="0091048C" w:rsidRPr="00A503E5">
        <w:rPr>
          <w:lang w:val="en-GB"/>
        </w:rPr>
        <w:t xml:space="preserve">within healthcare facilities </w:t>
      </w:r>
      <w:r w:rsidR="00635DB9" w:rsidRPr="00A503E5">
        <w:rPr>
          <w:lang w:val="en-GB"/>
        </w:rPr>
        <w:t xml:space="preserve">and </w:t>
      </w:r>
      <w:r w:rsidR="0091048C" w:rsidRPr="00A503E5">
        <w:rPr>
          <w:lang w:val="en-GB"/>
        </w:rPr>
        <w:t xml:space="preserve">additional dedicated </w:t>
      </w:r>
      <w:r w:rsidR="00635DB9" w:rsidRPr="00A503E5">
        <w:rPr>
          <w:lang w:val="en-GB"/>
        </w:rPr>
        <w:t>means of transportation must be ensured for COVID-19 patients.</w:t>
      </w:r>
      <w:r w:rsidR="0091048C" w:rsidRPr="00A503E5">
        <w:rPr>
          <w:lang w:val="en-GB"/>
        </w:rPr>
        <w:t xml:space="preserve"> The Minister of Health has published guidelines to support the adoption of such a plan as well as a checklist to assess the preparedness of Regional Health Systems to face the pandemic during the winter. </w:t>
      </w:r>
      <w:r w:rsidR="00584131" w:rsidRPr="00A503E5">
        <w:rPr>
          <w:lang w:val="en-GB"/>
        </w:rPr>
        <w:t xml:space="preserve">Since November 2020 emergency interventions </w:t>
      </w:r>
      <w:r w:rsidR="007A1867" w:rsidRPr="00A503E5">
        <w:rPr>
          <w:lang w:val="en-GB"/>
        </w:rPr>
        <w:t>ha</w:t>
      </w:r>
      <w:r w:rsidR="00846511" w:rsidRPr="00A503E5">
        <w:rPr>
          <w:lang w:val="en-GB"/>
        </w:rPr>
        <w:t>ve</w:t>
      </w:r>
      <w:r w:rsidR="007A1867" w:rsidRPr="00A503E5">
        <w:rPr>
          <w:lang w:val="en-GB"/>
        </w:rPr>
        <w:t xml:space="preserve"> </w:t>
      </w:r>
      <w:r w:rsidR="00584131" w:rsidRPr="00A503E5">
        <w:rPr>
          <w:lang w:val="en-GB"/>
        </w:rPr>
        <w:t>depend</w:t>
      </w:r>
      <w:r w:rsidR="00FE5FA6" w:rsidRPr="00A503E5">
        <w:rPr>
          <w:lang w:val="en-GB"/>
        </w:rPr>
        <w:t xml:space="preserve">ed </w:t>
      </w:r>
      <w:r w:rsidR="00584131" w:rsidRPr="00A503E5">
        <w:rPr>
          <w:lang w:val="en-GB"/>
        </w:rPr>
        <w:t xml:space="preserve">on the risk assessed in each </w:t>
      </w:r>
      <w:r w:rsidR="00FE5FA6" w:rsidRPr="00A503E5">
        <w:rPr>
          <w:lang w:val="en-GB"/>
        </w:rPr>
        <w:t>r</w:t>
      </w:r>
      <w:r w:rsidR="00584131" w:rsidRPr="00A503E5">
        <w:rPr>
          <w:lang w:val="en-GB"/>
        </w:rPr>
        <w:t xml:space="preserve">egion, so that limitations and allowed activities can considerably vary across the </w:t>
      </w:r>
      <w:r w:rsidR="00FE5FA6" w:rsidRPr="00A503E5">
        <w:rPr>
          <w:lang w:val="en-GB"/>
        </w:rPr>
        <w:t>c</w:t>
      </w:r>
      <w:r w:rsidR="00584131" w:rsidRPr="00A503E5">
        <w:rPr>
          <w:lang w:val="en-GB"/>
        </w:rPr>
        <w:t xml:space="preserve">ountry. </w:t>
      </w:r>
      <w:r w:rsidR="0091048C" w:rsidRPr="00A503E5">
        <w:rPr>
          <w:lang w:val="en-GB"/>
        </w:rPr>
        <w:t xml:space="preserve">Figure 1 depicts a flowchart of most </w:t>
      </w:r>
      <w:r w:rsidR="00BF0BE5" w:rsidRPr="00A503E5">
        <w:rPr>
          <w:lang w:val="en-GB"/>
        </w:rPr>
        <w:t>important</w:t>
      </w:r>
      <w:r w:rsidR="0091048C" w:rsidRPr="00A503E5">
        <w:rPr>
          <w:lang w:val="en-GB"/>
        </w:rPr>
        <w:t xml:space="preserve"> governmental provisions and epidemiological data from </w:t>
      </w:r>
      <w:r w:rsidR="00BF0BE5" w:rsidRPr="00A503E5">
        <w:rPr>
          <w:lang w:val="en-GB"/>
        </w:rPr>
        <w:t>January</w:t>
      </w:r>
      <w:r w:rsidR="0091048C" w:rsidRPr="00A503E5">
        <w:rPr>
          <w:lang w:val="en-GB"/>
        </w:rPr>
        <w:t xml:space="preserve"> 202</w:t>
      </w:r>
      <w:r w:rsidR="007A1867" w:rsidRPr="00A503E5">
        <w:rPr>
          <w:lang w:val="en-GB"/>
        </w:rPr>
        <w:t>0</w:t>
      </w:r>
      <w:r w:rsidR="0091048C" w:rsidRPr="00A503E5">
        <w:rPr>
          <w:lang w:val="en-GB"/>
        </w:rPr>
        <w:t xml:space="preserve"> to </w:t>
      </w:r>
      <w:r w:rsidR="00BF0BE5" w:rsidRPr="00A503E5">
        <w:rPr>
          <w:lang w:val="en-GB"/>
        </w:rPr>
        <w:t>M</w:t>
      </w:r>
      <w:r w:rsidR="0091048C" w:rsidRPr="00A503E5">
        <w:rPr>
          <w:lang w:val="en-GB"/>
        </w:rPr>
        <w:t>arch 2021.</w:t>
      </w:r>
      <w:r w:rsidR="00584131" w:rsidRPr="00A503E5">
        <w:rPr>
          <w:lang w:val="en-GB"/>
        </w:rPr>
        <w:t xml:space="preserve"> </w:t>
      </w:r>
    </w:p>
    <w:p w14:paraId="1895DC7D" w14:textId="77777777" w:rsidR="00E843B3" w:rsidRPr="00E843B3" w:rsidRDefault="00E843B3" w:rsidP="00E843B3">
      <w:pPr>
        <w:rPr>
          <w:lang w:val="en-GB"/>
        </w:rPr>
      </w:pPr>
    </w:p>
    <w:p w14:paraId="483869F2" w14:textId="4886034B" w:rsidR="00EF7E9A" w:rsidRPr="00A503E5" w:rsidRDefault="00FD6357" w:rsidP="00635DB9">
      <w:pPr>
        <w:jc w:val="center"/>
        <w:rPr>
          <w:b/>
        </w:rPr>
      </w:pPr>
      <w:r w:rsidRPr="008536CB">
        <w:rPr>
          <w:noProof/>
        </w:rPr>
        <w:lastRenderedPageBreak/>
        <w:drawing>
          <wp:inline distT="0" distB="0" distL="0" distR="0" wp14:anchorId="33102967" wp14:editId="5BB03944">
            <wp:extent cx="2400300" cy="5052060"/>
            <wp:effectExtent l="0" t="0" r="0" b="0"/>
            <wp:docPr id="1" name="Picture 2" descr="Flowchar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Flowchart&#10;"/>
                    <pic:cNvPicPr>
                      <a:picLocks noChangeAspect="1" noChangeArrowheads="1"/>
                    </pic:cNvPicPr>
                  </pic:nvPicPr>
                  <pic:blipFill>
                    <a:blip r:embed="rId8">
                      <a:extLst>
                        <a:ext uri="{28A0092B-C50C-407E-A947-70E740481C1C}">
                          <a14:useLocalDpi xmlns:a14="http://schemas.microsoft.com/office/drawing/2010/main" val="0"/>
                        </a:ext>
                      </a:extLst>
                    </a:blip>
                    <a:srcRect l="6203" r="6340"/>
                    <a:stretch>
                      <a:fillRect/>
                    </a:stretch>
                  </pic:blipFill>
                  <pic:spPr bwMode="auto">
                    <a:xfrm>
                      <a:off x="0" y="0"/>
                      <a:ext cx="2400300" cy="5052060"/>
                    </a:xfrm>
                    <a:prstGeom prst="rect">
                      <a:avLst/>
                    </a:prstGeom>
                    <a:noFill/>
                    <a:ln>
                      <a:noFill/>
                    </a:ln>
                  </pic:spPr>
                </pic:pic>
              </a:graphicData>
            </a:graphic>
          </wp:inline>
        </w:drawing>
      </w:r>
    </w:p>
    <w:p w14:paraId="37454E25" w14:textId="77777777" w:rsidR="00635DB9" w:rsidRPr="00A503E5" w:rsidRDefault="00FE5FA6" w:rsidP="00FE5FA6">
      <w:pPr>
        <w:pStyle w:val="figurecaption"/>
        <w:jc w:val="both"/>
      </w:pPr>
      <w:r w:rsidRPr="00A503E5">
        <w:rPr>
          <w:b/>
        </w:rPr>
        <w:t xml:space="preserve">Fig. </w:t>
      </w:r>
      <w:r w:rsidRPr="00A503E5">
        <w:rPr>
          <w:b/>
        </w:rPr>
        <w:fldChar w:fldCharType="begin"/>
      </w:r>
      <w:r w:rsidRPr="00A503E5">
        <w:rPr>
          <w:b/>
        </w:rPr>
        <w:instrText xml:space="preserve"> SEQ "Figure" \* MERGEFORMAT </w:instrText>
      </w:r>
      <w:r w:rsidRPr="00A503E5">
        <w:rPr>
          <w:b/>
        </w:rPr>
        <w:fldChar w:fldCharType="separate"/>
      </w:r>
      <w:r w:rsidR="00BC6F4E">
        <w:rPr>
          <w:b/>
          <w:noProof/>
        </w:rPr>
        <w:t>1</w:t>
      </w:r>
      <w:r w:rsidRPr="00A503E5">
        <w:rPr>
          <w:b/>
        </w:rPr>
        <w:fldChar w:fldCharType="end"/>
      </w:r>
      <w:r w:rsidRPr="00A503E5">
        <w:rPr>
          <w:b/>
        </w:rPr>
        <w:t>.</w:t>
      </w:r>
      <w:r w:rsidRPr="00A503E5">
        <w:t xml:space="preserve"> F</w:t>
      </w:r>
      <w:r w:rsidR="00DF79EC" w:rsidRPr="00A503E5">
        <w:t>lowchart of the m</w:t>
      </w:r>
      <w:r w:rsidR="00EF7E9A" w:rsidRPr="00A503E5">
        <w:t xml:space="preserve">ain national provisions regarding healthcare </w:t>
      </w:r>
      <w:r w:rsidR="00584131" w:rsidRPr="00A503E5">
        <w:t xml:space="preserve">facilities </w:t>
      </w:r>
      <w:r w:rsidR="00EF7E9A" w:rsidRPr="00A503E5">
        <w:t>management from January 2020 to March 2021. Epidemiological data are retrieved from the website of the Italian Minister of Health</w:t>
      </w:r>
      <w:r w:rsidR="00635DB9" w:rsidRPr="00A503E5">
        <w:t>.</w:t>
      </w:r>
    </w:p>
    <w:p w14:paraId="78D3A420" w14:textId="77777777" w:rsidR="00635DB9" w:rsidRPr="00A503E5" w:rsidRDefault="00635DB9" w:rsidP="00635DB9"/>
    <w:p w14:paraId="6A4C52CA" w14:textId="77777777" w:rsidR="00411D88" w:rsidRPr="00A503E5" w:rsidRDefault="00411D88" w:rsidP="00411D88">
      <w:pPr>
        <w:pStyle w:val="heading2"/>
        <w:spacing w:before="0"/>
        <w:rPr>
          <w:lang w:val="en-GB"/>
        </w:rPr>
      </w:pPr>
      <w:r w:rsidRPr="00A503E5">
        <w:rPr>
          <w:lang w:val="en-GB"/>
        </w:rPr>
        <w:t>Regional response</w:t>
      </w:r>
      <w:r w:rsidR="00DF79EC" w:rsidRPr="00A503E5">
        <w:rPr>
          <w:lang w:val="en-GB"/>
        </w:rPr>
        <w:t>s</w:t>
      </w:r>
    </w:p>
    <w:p w14:paraId="0D10F045" w14:textId="77777777" w:rsidR="00E843B3" w:rsidRDefault="00846511" w:rsidP="00E843B3">
      <w:pPr>
        <w:pStyle w:val="p1a"/>
        <w:rPr>
          <w:lang w:val="en-GB"/>
        </w:rPr>
      </w:pPr>
      <w:r w:rsidRPr="00A503E5">
        <w:rPr>
          <w:lang w:val="en-GB"/>
        </w:rPr>
        <w:t xml:space="preserve">Within the broader national policy, each </w:t>
      </w:r>
      <w:r w:rsidR="00FE5FA6" w:rsidRPr="00A503E5">
        <w:rPr>
          <w:lang w:val="en-GB"/>
        </w:rPr>
        <w:t>r</w:t>
      </w:r>
      <w:r w:rsidRPr="00A503E5">
        <w:rPr>
          <w:lang w:val="en-GB"/>
        </w:rPr>
        <w:t xml:space="preserve">egion developed one or more response plans to enhance both hospital and territorial services. As reported in Table 1, the authors have selected six </w:t>
      </w:r>
      <w:r w:rsidR="00FE5FA6" w:rsidRPr="00A503E5">
        <w:rPr>
          <w:lang w:val="en-GB"/>
        </w:rPr>
        <w:t>r</w:t>
      </w:r>
      <w:r w:rsidRPr="00A503E5">
        <w:rPr>
          <w:lang w:val="en-GB"/>
        </w:rPr>
        <w:t xml:space="preserve">egions as a field of study to deepen the operational response in the context of healthcare facilities management. </w:t>
      </w:r>
      <w:r w:rsidR="00967B08" w:rsidRPr="00A503E5">
        <w:rPr>
          <w:lang w:val="en-GB"/>
        </w:rPr>
        <w:t xml:space="preserve">Veneto and Umbria have adopted integrated plans, while the remaining </w:t>
      </w:r>
      <w:r w:rsidR="00FE5FA6" w:rsidRPr="00A503E5">
        <w:rPr>
          <w:lang w:val="en-GB"/>
        </w:rPr>
        <w:t xml:space="preserve">regions </w:t>
      </w:r>
      <w:r w:rsidR="00967B08" w:rsidRPr="00A503E5">
        <w:rPr>
          <w:lang w:val="en-GB"/>
        </w:rPr>
        <w:t xml:space="preserve">adopted separated provisions. </w:t>
      </w:r>
    </w:p>
    <w:p w14:paraId="5DDE3539" w14:textId="77777777" w:rsidR="00967B08" w:rsidRPr="00A503E5" w:rsidRDefault="00967B08" w:rsidP="00E843B3">
      <w:pPr>
        <w:pStyle w:val="p1a"/>
        <w:rPr>
          <w:lang w:val="en-GB"/>
        </w:rPr>
      </w:pPr>
      <w:r w:rsidRPr="00A503E5">
        <w:rPr>
          <w:lang w:val="en-GB"/>
        </w:rPr>
        <w:lastRenderedPageBreak/>
        <w:t xml:space="preserve">Regarding the enhancement of the hospital network, the </w:t>
      </w:r>
      <w:r w:rsidR="00FE5FA6" w:rsidRPr="00A503E5">
        <w:rPr>
          <w:lang w:val="en-GB"/>
        </w:rPr>
        <w:t>r</w:t>
      </w:r>
      <w:r w:rsidRPr="00A503E5">
        <w:rPr>
          <w:lang w:val="en-GB"/>
        </w:rPr>
        <w:t>egions have followed ministerial guidelines and provided for common responses</w:t>
      </w:r>
      <w:r w:rsidR="00FE5FA6" w:rsidRPr="00A503E5">
        <w:rPr>
          <w:lang w:val="en-GB"/>
        </w:rPr>
        <w:t>,</w:t>
      </w:r>
      <w:r w:rsidRPr="00A503E5">
        <w:rPr>
          <w:lang w:val="en-GB"/>
        </w:rPr>
        <w:t xml:space="preserve"> </w:t>
      </w:r>
      <w:r w:rsidR="00FE5FA6" w:rsidRPr="00A503E5">
        <w:rPr>
          <w:lang w:val="en-GB"/>
        </w:rPr>
        <w:t xml:space="preserve">such </w:t>
      </w:r>
      <w:r w:rsidRPr="00A503E5">
        <w:rPr>
          <w:lang w:val="en-GB"/>
        </w:rPr>
        <w:t>as: identifying COVID-19 dedicated infrastructures; increasing the ICU bed number</w:t>
      </w:r>
      <w:r w:rsidR="00FE5FA6" w:rsidRPr="00A503E5">
        <w:rPr>
          <w:lang w:val="en-GB"/>
        </w:rPr>
        <w:t>s</w:t>
      </w:r>
      <w:r w:rsidRPr="00A503E5">
        <w:rPr>
          <w:lang w:val="en-GB"/>
        </w:rPr>
        <w:t>; reviewing the emergency and urgent care network (</w:t>
      </w:r>
      <w:proofErr w:type="gramStart"/>
      <w:r w:rsidRPr="00A503E5">
        <w:rPr>
          <w:lang w:val="en-GB"/>
        </w:rPr>
        <w:t>i.e.</w:t>
      </w:r>
      <w:proofErr w:type="gramEnd"/>
      <w:r w:rsidRPr="00A503E5">
        <w:rPr>
          <w:lang w:val="en-GB"/>
        </w:rPr>
        <w:t xml:space="preserve"> restructuring the emergency department and providing for additional means of transportation); increasing the workforce. </w:t>
      </w:r>
      <w:r w:rsidR="00B072DA" w:rsidRPr="00A503E5">
        <w:rPr>
          <w:lang w:val="en-GB"/>
        </w:rPr>
        <w:t xml:space="preserve">The northern </w:t>
      </w:r>
      <w:r w:rsidR="00FE5FA6" w:rsidRPr="00A503E5">
        <w:rPr>
          <w:lang w:val="en-GB"/>
        </w:rPr>
        <w:t>r</w:t>
      </w:r>
      <w:r w:rsidR="00B072DA" w:rsidRPr="00A503E5">
        <w:rPr>
          <w:lang w:val="en-GB"/>
        </w:rPr>
        <w:t>egions had started the rearrangement of their healthcare networks even before national regulat</w:t>
      </w:r>
      <w:r w:rsidR="00FE5FA6" w:rsidRPr="00A503E5">
        <w:rPr>
          <w:lang w:val="en-GB"/>
        </w:rPr>
        <w:t>ion</w:t>
      </w:r>
      <w:r w:rsidR="00B072DA" w:rsidRPr="00A503E5">
        <w:rPr>
          <w:lang w:val="en-GB"/>
        </w:rPr>
        <w:t xml:space="preserve">. During the continued pandemic they also provided for detailed documentation on how to renovate emergency departments and the ICU. The Lazio </w:t>
      </w:r>
      <w:r w:rsidR="00FE5FA6" w:rsidRPr="00A503E5">
        <w:rPr>
          <w:lang w:val="en-GB"/>
        </w:rPr>
        <w:t>r</w:t>
      </w:r>
      <w:r w:rsidR="00B072DA" w:rsidRPr="00A503E5">
        <w:rPr>
          <w:lang w:val="en-GB"/>
        </w:rPr>
        <w:t>egion has been providing, since January 2020, a wide set of guidelines and circulars on both patient and facilities management.</w:t>
      </w:r>
      <w:r w:rsidR="0070633E" w:rsidRPr="00A503E5">
        <w:rPr>
          <w:lang w:val="en-GB"/>
        </w:rPr>
        <w:t xml:space="preserve"> S</w:t>
      </w:r>
      <w:r w:rsidR="00B072DA" w:rsidRPr="00A503E5">
        <w:rPr>
          <w:lang w:val="en-GB"/>
        </w:rPr>
        <w:t xml:space="preserve">ome </w:t>
      </w:r>
      <w:r w:rsidR="00FE5FA6" w:rsidRPr="00A503E5">
        <w:rPr>
          <w:lang w:val="en-GB"/>
        </w:rPr>
        <w:t>r</w:t>
      </w:r>
      <w:r w:rsidR="00B072DA" w:rsidRPr="00A503E5">
        <w:rPr>
          <w:lang w:val="en-GB"/>
        </w:rPr>
        <w:t>egions (</w:t>
      </w:r>
      <w:proofErr w:type="gramStart"/>
      <w:r w:rsidR="00B072DA" w:rsidRPr="00A503E5">
        <w:rPr>
          <w:lang w:val="en-GB"/>
        </w:rPr>
        <w:t>i.e.</w:t>
      </w:r>
      <w:proofErr w:type="gramEnd"/>
      <w:r w:rsidR="00B072DA" w:rsidRPr="00A503E5">
        <w:rPr>
          <w:lang w:val="en-GB"/>
        </w:rPr>
        <w:t xml:space="preserve"> Puglia, Umbria, Lazio, </w:t>
      </w:r>
      <w:proofErr w:type="spellStart"/>
      <w:r w:rsidR="00B072DA" w:rsidRPr="00A503E5">
        <w:rPr>
          <w:lang w:val="en-GB"/>
        </w:rPr>
        <w:t>Lombardia</w:t>
      </w:r>
      <w:proofErr w:type="spellEnd"/>
      <w:r w:rsidR="00B072DA" w:rsidRPr="00A503E5">
        <w:rPr>
          <w:lang w:val="en-GB"/>
        </w:rPr>
        <w:t xml:space="preserve">) immediately involved private facilities to address the surge of demand. </w:t>
      </w:r>
      <w:r w:rsidRPr="00A503E5">
        <w:rPr>
          <w:lang w:val="en-GB"/>
        </w:rPr>
        <w:t>Table 2 reports a comparison of measures to enhance the hospital network according to the analysed plans.</w:t>
      </w:r>
      <w:r w:rsidR="002416F4" w:rsidRPr="00A503E5">
        <w:rPr>
          <w:lang w:val="en-GB"/>
        </w:rPr>
        <w:t xml:space="preserve"> In the table</w:t>
      </w:r>
      <w:r w:rsidR="00FE5FA6" w:rsidRPr="00A503E5">
        <w:rPr>
          <w:lang w:val="en-GB"/>
        </w:rPr>
        <w:t>,</w:t>
      </w:r>
      <w:r w:rsidR="002416F4" w:rsidRPr="00A503E5">
        <w:rPr>
          <w:lang w:val="en-GB"/>
        </w:rPr>
        <w:t xml:space="preserve"> Y stands for ‘adopted’.</w:t>
      </w:r>
    </w:p>
    <w:p w14:paraId="30ACA15A" w14:textId="77777777" w:rsidR="002416F4" w:rsidRPr="00A503E5" w:rsidRDefault="002416F4" w:rsidP="002416F4">
      <w:pPr>
        <w:pStyle w:val="tablecaption"/>
      </w:pPr>
      <w:r w:rsidRPr="00A503E5">
        <w:rPr>
          <w:b/>
        </w:rPr>
        <w:t xml:space="preserve">Table </w:t>
      </w:r>
      <w:r w:rsidRPr="00A503E5">
        <w:rPr>
          <w:b/>
        </w:rPr>
        <w:fldChar w:fldCharType="begin"/>
      </w:r>
      <w:r w:rsidRPr="00A503E5">
        <w:rPr>
          <w:b/>
        </w:rPr>
        <w:instrText xml:space="preserve"> SEQ "Table" \* MERGEFORMAT </w:instrText>
      </w:r>
      <w:r w:rsidRPr="00A503E5">
        <w:rPr>
          <w:b/>
        </w:rPr>
        <w:fldChar w:fldCharType="separate"/>
      </w:r>
      <w:r w:rsidR="00BC6F4E">
        <w:rPr>
          <w:b/>
          <w:noProof/>
        </w:rPr>
        <w:t>2</w:t>
      </w:r>
      <w:r w:rsidRPr="00A503E5">
        <w:rPr>
          <w:b/>
        </w:rPr>
        <w:fldChar w:fldCharType="end"/>
      </w:r>
      <w:r w:rsidRPr="00A503E5">
        <w:rPr>
          <w:b/>
        </w:rPr>
        <w:t>.</w:t>
      </w:r>
      <w:r w:rsidRPr="00A503E5">
        <w:t xml:space="preserve"> </w:t>
      </w:r>
      <w:r w:rsidR="00733D90" w:rsidRPr="00A503E5">
        <w:t>Comparison</w:t>
      </w:r>
      <w:r w:rsidRPr="00A503E5">
        <w:t xml:space="preserve"> of </w:t>
      </w:r>
      <w:r w:rsidR="00733D90" w:rsidRPr="00A503E5">
        <w:t xml:space="preserve">hospital-related measures adopted by the </w:t>
      </w:r>
      <w:r w:rsidRPr="00A503E5">
        <w:t xml:space="preserve">selected </w:t>
      </w:r>
      <w:r w:rsidR="007B5EEE" w:rsidRPr="00A503E5">
        <w:t>r</w:t>
      </w:r>
      <w:r w:rsidRPr="00A503E5">
        <w:t>egion</w:t>
      </w:r>
      <w:r w:rsidR="00733D90" w:rsidRPr="00A503E5">
        <w:t>s</w:t>
      </w:r>
      <w:r w:rsidRPr="00A503E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16"/>
        <w:gridCol w:w="701"/>
        <w:gridCol w:w="710"/>
        <w:gridCol w:w="698"/>
        <w:gridCol w:w="671"/>
        <w:gridCol w:w="865"/>
      </w:tblGrid>
      <w:tr w:rsidR="00A503E5" w:rsidRPr="00A503E5" w14:paraId="553C56C2" w14:textId="77777777" w:rsidTr="00A503E5">
        <w:tc>
          <w:tcPr>
            <w:tcW w:w="2547" w:type="dxa"/>
            <w:shd w:val="clear" w:color="auto" w:fill="auto"/>
          </w:tcPr>
          <w:p w14:paraId="69B6C4C5" w14:textId="77777777" w:rsidR="00967B08" w:rsidRPr="00A503E5" w:rsidRDefault="002416F4" w:rsidP="00A503E5">
            <w:pPr>
              <w:spacing w:line="240" w:lineRule="auto"/>
              <w:ind w:firstLine="0"/>
              <w:rPr>
                <w:sz w:val="18"/>
                <w:szCs w:val="18"/>
                <w:lang w:val="en-GB"/>
              </w:rPr>
            </w:pPr>
            <w:r w:rsidRPr="00A503E5">
              <w:rPr>
                <w:sz w:val="18"/>
                <w:szCs w:val="18"/>
                <w:lang w:val="en-GB"/>
              </w:rPr>
              <w:t>Measures</w:t>
            </w:r>
          </w:p>
        </w:tc>
        <w:tc>
          <w:tcPr>
            <w:tcW w:w="716" w:type="dxa"/>
            <w:shd w:val="clear" w:color="auto" w:fill="auto"/>
          </w:tcPr>
          <w:p w14:paraId="23A7B9EC" w14:textId="77777777" w:rsidR="00967B08" w:rsidRPr="00A503E5" w:rsidRDefault="002416F4" w:rsidP="00A503E5">
            <w:pPr>
              <w:spacing w:line="240" w:lineRule="auto"/>
              <w:ind w:firstLine="0"/>
              <w:rPr>
                <w:sz w:val="18"/>
                <w:szCs w:val="18"/>
                <w:lang w:val="en-GB"/>
              </w:rPr>
            </w:pPr>
            <w:r w:rsidRPr="00A503E5">
              <w:rPr>
                <w:sz w:val="18"/>
                <w:szCs w:val="18"/>
                <w:lang w:val="en-GB"/>
              </w:rPr>
              <w:t>Puglia</w:t>
            </w:r>
          </w:p>
        </w:tc>
        <w:tc>
          <w:tcPr>
            <w:tcW w:w="701" w:type="dxa"/>
            <w:shd w:val="clear" w:color="auto" w:fill="auto"/>
          </w:tcPr>
          <w:p w14:paraId="74944BFA" w14:textId="77777777" w:rsidR="00967B08" w:rsidRPr="00A503E5" w:rsidRDefault="002416F4" w:rsidP="00A503E5">
            <w:pPr>
              <w:spacing w:line="240" w:lineRule="auto"/>
              <w:ind w:firstLine="0"/>
              <w:rPr>
                <w:sz w:val="18"/>
                <w:szCs w:val="18"/>
                <w:lang w:val="en-GB"/>
              </w:rPr>
            </w:pPr>
            <w:r w:rsidRPr="00A503E5">
              <w:rPr>
                <w:sz w:val="18"/>
                <w:szCs w:val="18"/>
                <w:lang w:val="en-GB"/>
              </w:rPr>
              <w:t>Campania</w:t>
            </w:r>
          </w:p>
        </w:tc>
        <w:tc>
          <w:tcPr>
            <w:tcW w:w="710" w:type="dxa"/>
            <w:shd w:val="clear" w:color="auto" w:fill="auto"/>
          </w:tcPr>
          <w:p w14:paraId="7833AD54" w14:textId="77777777" w:rsidR="00967B08" w:rsidRPr="00A503E5" w:rsidRDefault="002416F4" w:rsidP="00A503E5">
            <w:pPr>
              <w:spacing w:line="240" w:lineRule="auto"/>
              <w:ind w:firstLine="0"/>
              <w:rPr>
                <w:sz w:val="18"/>
                <w:szCs w:val="18"/>
                <w:lang w:val="en-GB"/>
              </w:rPr>
            </w:pPr>
            <w:r w:rsidRPr="00A503E5">
              <w:rPr>
                <w:sz w:val="18"/>
                <w:szCs w:val="18"/>
                <w:lang w:val="en-GB"/>
              </w:rPr>
              <w:t>Lazio</w:t>
            </w:r>
          </w:p>
        </w:tc>
        <w:tc>
          <w:tcPr>
            <w:tcW w:w="0" w:type="auto"/>
            <w:shd w:val="clear" w:color="auto" w:fill="auto"/>
          </w:tcPr>
          <w:p w14:paraId="718D64ED" w14:textId="77777777" w:rsidR="00967B08" w:rsidRPr="00A503E5" w:rsidRDefault="002416F4" w:rsidP="00A503E5">
            <w:pPr>
              <w:spacing w:line="240" w:lineRule="auto"/>
              <w:ind w:firstLine="0"/>
              <w:rPr>
                <w:sz w:val="18"/>
                <w:szCs w:val="18"/>
                <w:lang w:val="en-GB"/>
              </w:rPr>
            </w:pPr>
            <w:r w:rsidRPr="00A503E5">
              <w:rPr>
                <w:sz w:val="18"/>
                <w:szCs w:val="18"/>
                <w:lang w:val="en-GB"/>
              </w:rPr>
              <w:t>Umbria</w:t>
            </w:r>
          </w:p>
        </w:tc>
        <w:tc>
          <w:tcPr>
            <w:tcW w:w="671" w:type="dxa"/>
            <w:shd w:val="clear" w:color="auto" w:fill="auto"/>
          </w:tcPr>
          <w:p w14:paraId="5865CA36" w14:textId="77777777" w:rsidR="00967B08" w:rsidRPr="00A503E5" w:rsidRDefault="002416F4" w:rsidP="00A503E5">
            <w:pPr>
              <w:spacing w:line="240" w:lineRule="auto"/>
              <w:ind w:firstLine="0"/>
              <w:rPr>
                <w:sz w:val="18"/>
                <w:szCs w:val="18"/>
                <w:lang w:val="en-GB"/>
              </w:rPr>
            </w:pPr>
            <w:r w:rsidRPr="00A503E5">
              <w:rPr>
                <w:sz w:val="18"/>
                <w:szCs w:val="18"/>
                <w:lang w:val="en-GB"/>
              </w:rPr>
              <w:t>Veneto</w:t>
            </w:r>
          </w:p>
        </w:tc>
        <w:tc>
          <w:tcPr>
            <w:tcW w:w="865" w:type="dxa"/>
            <w:shd w:val="clear" w:color="auto" w:fill="auto"/>
          </w:tcPr>
          <w:p w14:paraId="540B6C08" w14:textId="77777777" w:rsidR="00967B08" w:rsidRPr="00A503E5" w:rsidRDefault="002416F4" w:rsidP="00A503E5">
            <w:pPr>
              <w:spacing w:line="240" w:lineRule="auto"/>
              <w:ind w:firstLine="0"/>
              <w:rPr>
                <w:sz w:val="18"/>
                <w:szCs w:val="18"/>
                <w:lang w:val="en-GB"/>
              </w:rPr>
            </w:pPr>
            <w:proofErr w:type="spellStart"/>
            <w:r w:rsidRPr="00A503E5">
              <w:rPr>
                <w:sz w:val="18"/>
                <w:szCs w:val="18"/>
                <w:lang w:val="en-GB"/>
              </w:rPr>
              <w:t>Lombardia</w:t>
            </w:r>
            <w:proofErr w:type="spellEnd"/>
          </w:p>
        </w:tc>
      </w:tr>
      <w:tr w:rsidR="00A503E5" w:rsidRPr="00A503E5" w14:paraId="24312926" w14:textId="77777777" w:rsidTr="00A503E5">
        <w:trPr>
          <w:trHeight w:val="460"/>
        </w:trPr>
        <w:tc>
          <w:tcPr>
            <w:tcW w:w="2547" w:type="dxa"/>
            <w:shd w:val="clear" w:color="auto" w:fill="auto"/>
          </w:tcPr>
          <w:p w14:paraId="06D920E1" w14:textId="77777777" w:rsidR="002416F4" w:rsidRPr="00A503E5" w:rsidRDefault="002416F4" w:rsidP="00A503E5">
            <w:pPr>
              <w:spacing w:line="240" w:lineRule="auto"/>
              <w:ind w:firstLine="0"/>
              <w:rPr>
                <w:sz w:val="18"/>
                <w:szCs w:val="18"/>
                <w:lang w:val="en-GB"/>
              </w:rPr>
            </w:pPr>
            <w:r w:rsidRPr="00A503E5">
              <w:rPr>
                <w:sz w:val="18"/>
                <w:szCs w:val="18"/>
                <w:lang w:val="en-GB"/>
              </w:rPr>
              <w:t>COVID-19 dedicated hospitals</w:t>
            </w:r>
          </w:p>
        </w:tc>
        <w:tc>
          <w:tcPr>
            <w:tcW w:w="716" w:type="dxa"/>
            <w:shd w:val="clear" w:color="auto" w:fill="auto"/>
          </w:tcPr>
          <w:p w14:paraId="52CF0764"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01" w:type="dxa"/>
            <w:shd w:val="clear" w:color="auto" w:fill="auto"/>
          </w:tcPr>
          <w:p w14:paraId="6B5B753F"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10" w:type="dxa"/>
            <w:shd w:val="clear" w:color="auto" w:fill="auto"/>
          </w:tcPr>
          <w:p w14:paraId="2EADDDA3"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0" w:type="auto"/>
            <w:shd w:val="clear" w:color="auto" w:fill="auto"/>
          </w:tcPr>
          <w:p w14:paraId="5F1C717B"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671" w:type="dxa"/>
            <w:shd w:val="clear" w:color="auto" w:fill="auto"/>
          </w:tcPr>
          <w:p w14:paraId="613A6F85"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865" w:type="dxa"/>
            <w:shd w:val="clear" w:color="auto" w:fill="auto"/>
          </w:tcPr>
          <w:p w14:paraId="19D53A7A"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r>
      <w:tr w:rsidR="00A503E5" w:rsidRPr="00A503E5" w14:paraId="76C2FB72" w14:textId="77777777" w:rsidTr="00A503E5">
        <w:trPr>
          <w:trHeight w:val="460"/>
        </w:trPr>
        <w:tc>
          <w:tcPr>
            <w:tcW w:w="2547" w:type="dxa"/>
            <w:shd w:val="clear" w:color="auto" w:fill="auto"/>
          </w:tcPr>
          <w:p w14:paraId="0D044D95" w14:textId="77777777" w:rsidR="002416F4" w:rsidRPr="00A503E5" w:rsidRDefault="002416F4" w:rsidP="00A503E5">
            <w:pPr>
              <w:spacing w:line="240" w:lineRule="auto"/>
              <w:ind w:firstLine="0"/>
              <w:rPr>
                <w:sz w:val="18"/>
                <w:szCs w:val="18"/>
                <w:lang w:val="en-GB"/>
              </w:rPr>
            </w:pPr>
            <w:r w:rsidRPr="00A503E5">
              <w:rPr>
                <w:sz w:val="18"/>
                <w:szCs w:val="18"/>
                <w:lang w:val="en-GB"/>
              </w:rPr>
              <w:t>Increase of ICU beds</w:t>
            </w:r>
          </w:p>
        </w:tc>
        <w:tc>
          <w:tcPr>
            <w:tcW w:w="716" w:type="dxa"/>
            <w:shd w:val="clear" w:color="auto" w:fill="auto"/>
          </w:tcPr>
          <w:p w14:paraId="7920F822"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01" w:type="dxa"/>
            <w:shd w:val="clear" w:color="auto" w:fill="auto"/>
          </w:tcPr>
          <w:p w14:paraId="00DC3A99"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10" w:type="dxa"/>
            <w:shd w:val="clear" w:color="auto" w:fill="auto"/>
          </w:tcPr>
          <w:p w14:paraId="1BC0B801"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0" w:type="auto"/>
            <w:shd w:val="clear" w:color="auto" w:fill="auto"/>
          </w:tcPr>
          <w:p w14:paraId="4B5FCF96"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671" w:type="dxa"/>
            <w:shd w:val="clear" w:color="auto" w:fill="auto"/>
          </w:tcPr>
          <w:p w14:paraId="35AB8EF0"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865" w:type="dxa"/>
            <w:shd w:val="clear" w:color="auto" w:fill="auto"/>
          </w:tcPr>
          <w:p w14:paraId="11975C77"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r>
      <w:tr w:rsidR="00A503E5" w:rsidRPr="00A503E5" w14:paraId="2BB52C10" w14:textId="77777777" w:rsidTr="00A503E5">
        <w:trPr>
          <w:trHeight w:val="460"/>
        </w:trPr>
        <w:tc>
          <w:tcPr>
            <w:tcW w:w="2547" w:type="dxa"/>
            <w:shd w:val="clear" w:color="auto" w:fill="auto"/>
          </w:tcPr>
          <w:p w14:paraId="313549CA" w14:textId="77777777" w:rsidR="002416F4" w:rsidRPr="00A503E5" w:rsidRDefault="002416F4" w:rsidP="00A503E5">
            <w:pPr>
              <w:spacing w:line="240" w:lineRule="auto"/>
              <w:ind w:firstLine="0"/>
              <w:rPr>
                <w:sz w:val="18"/>
                <w:szCs w:val="18"/>
                <w:lang w:val="en-GB"/>
              </w:rPr>
            </w:pPr>
            <w:r w:rsidRPr="00A503E5">
              <w:rPr>
                <w:sz w:val="18"/>
                <w:szCs w:val="18"/>
                <w:lang w:val="en-GB"/>
              </w:rPr>
              <w:t>Renovation of Emergency Department</w:t>
            </w:r>
            <w:r w:rsidR="007B5EEE" w:rsidRPr="00A503E5">
              <w:rPr>
                <w:sz w:val="18"/>
                <w:szCs w:val="18"/>
                <w:lang w:val="en-GB"/>
              </w:rPr>
              <w:t>s</w:t>
            </w:r>
          </w:p>
        </w:tc>
        <w:tc>
          <w:tcPr>
            <w:tcW w:w="716" w:type="dxa"/>
            <w:shd w:val="clear" w:color="auto" w:fill="auto"/>
          </w:tcPr>
          <w:p w14:paraId="645C8A25"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01" w:type="dxa"/>
            <w:shd w:val="clear" w:color="auto" w:fill="auto"/>
          </w:tcPr>
          <w:p w14:paraId="4D2C9D62"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710" w:type="dxa"/>
            <w:shd w:val="clear" w:color="auto" w:fill="auto"/>
          </w:tcPr>
          <w:p w14:paraId="439EA0AD"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0" w:type="auto"/>
            <w:shd w:val="clear" w:color="auto" w:fill="auto"/>
          </w:tcPr>
          <w:p w14:paraId="3786F227"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671" w:type="dxa"/>
            <w:shd w:val="clear" w:color="auto" w:fill="auto"/>
          </w:tcPr>
          <w:p w14:paraId="4F048BD2"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865" w:type="dxa"/>
            <w:shd w:val="clear" w:color="auto" w:fill="auto"/>
          </w:tcPr>
          <w:p w14:paraId="7C74E654"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r>
      <w:tr w:rsidR="00A503E5" w:rsidRPr="00A503E5" w14:paraId="5AD02B25" w14:textId="77777777" w:rsidTr="00A503E5">
        <w:trPr>
          <w:trHeight w:val="460"/>
        </w:trPr>
        <w:tc>
          <w:tcPr>
            <w:tcW w:w="2547" w:type="dxa"/>
            <w:shd w:val="clear" w:color="auto" w:fill="auto"/>
          </w:tcPr>
          <w:p w14:paraId="60682BEA" w14:textId="77777777" w:rsidR="002416F4" w:rsidRPr="00A503E5" w:rsidRDefault="002416F4" w:rsidP="00A503E5">
            <w:pPr>
              <w:spacing w:line="240" w:lineRule="auto"/>
              <w:ind w:firstLine="0"/>
              <w:rPr>
                <w:sz w:val="18"/>
                <w:szCs w:val="18"/>
                <w:lang w:val="en-GB"/>
              </w:rPr>
            </w:pPr>
            <w:r w:rsidRPr="00A503E5">
              <w:rPr>
                <w:sz w:val="18"/>
                <w:szCs w:val="18"/>
                <w:lang w:val="en-GB"/>
              </w:rPr>
              <w:t>Additional means of transportation</w:t>
            </w:r>
          </w:p>
        </w:tc>
        <w:tc>
          <w:tcPr>
            <w:tcW w:w="716" w:type="dxa"/>
            <w:shd w:val="clear" w:color="auto" w:fill="auto"/>
          </w:tcPr>
          <w:p w14:paraId="1769A280"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01" w:type="dxa"/>
            <w:shd w:val="clear" w:color="auto" w:fill="auto"/>
          </w:tcPr>
          <w:p w14:paraId="4A8BD0F5"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710" w:type="dxa"/>
            <w:shd w:val="clear" w:color="auto" w:fill="auto"/>
          </w:tcPr>
          <w:p w14:paraId="70DC1347"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0" w:type="auto"/>
            <w:shd w:val="clear" w:color="auto" w:fill="auto"/>
          </w:tcPr>
          <w:p w14:paraId="45DC878C"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671" w:type="dxa"/>
            <w:shd w:val="clear" w:color="auto" w:fill="auto"/>
          </w:tcPr>
          <w:p w14:paraId="3848F055"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865" w:type="dxa"/>
            <w:shd w:val="clear" w:color="auto" w:fill="auto"/>
          </w:tcPr>
          <w:p w14:paraId="6138CAFD"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r>
      <w:tr w:rsidR="00A503E5" w:rsidRPr="00A503E5" w14:paraId="1B5CB04A" w14:textId="77777777" w:rsidTr="00A503E5">
        <w:trPr>
          <w:trHeight w:val="460"/>
        </w:trPr>
        <w:tc>
          <w:tcPr>
            <w:tcW w:w="2547" w:type="dxa"/>
            <w:shd w:val="clear" w:color="auto" w:fill="auto"/>
          </w:tcPr>
          <w:p w14:paraId="7F13FF1B" w14:textId="77777777" w:rsidR="002416F4" w:rsidRPr="00A503E5" w:rsidRDefault="002416F4" w:rsidP="00A503E5">
            <w:pPr>
              <w:spacing w:line="240" w:lineRule="auto"/>
              <w:ind w:firstLine="0"/>
              <w:rPr>
                <w:sz w:val="18"/>
                <w:szCs w:val="18"/>
                <w:lang w:val="en-GB"/>
              </w:rPr>
            </w:pPr>
            <w:r w:rsidRPr="00A503E5">
              <w:rPr>
                <w:sz w:val="18"/>
                <w:szCs w:val="18"/>
                <w:lang w:val="en-GB"/>
              </w:rPr>
              <w:t>Additional long-term care beds</w:t>
            </w:r>
          </w:p>
        </w:tc>
        <w:tc>
          <w:tcPr>
            <w:tcW w:w="716" w:type="dxa"/>
            <w:shd w:val="clear" w:color="auto" w:fill="auto"/>
          </w:tcPr>
          <w:p w14:paraId="3D2EB8C1"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01" w:type="dxa"/>
            <w:shd w:val="clear" w:color="auto" w:fill="auto"/>
          </w:tcPr>
          <w:p w14:paraId="44728706"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710" w:type="dxa"/>
            <w:shd w:val="clear" w:color="auto" w:fill="auto"/>
          </w:tcPr>
          <w:p w14:paraId="78B2D2E2"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0" w:type="auto"/>
            <w:shd w:val="clear" w:color="auto" w:fill="auto"/>
          </w:tcPr>
          <w:p w14:paraId="7F5122E8"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671" w:type="dxa"/>
            <w:shd w:val="clear" w:color="auto" w:fill="auto"/>
          </w:tcPr>
          <w:p w14:paraId="66B51364"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865" w:type="dxa"/>
            <w:shd w:val="clear" w:color="auto" w:fill="auto"/>
          </w:tcPr>
          <w:p w14:paraId="4BB5DFEF"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r>
      <w:tr w:rsidR="00A503E5" w:rsidRPr="00A503E5" w14:paraId="20A8D744" w14:textId="77777777" w:rsidTr="00A503E5">
        <w:trPr>
          <w:trHeight w:val="460"/>
        </w:trPr>
        <w:tc>
          <w:tcPr>
            <w:tcW w:w="2547" w:type="dxa"/>
            <w:shd w:val="clear" w:color="auto" w:fill="auto"/>
          </w:tcPr>
          <w:p w14:paraId="4DE3BFE7" w14:textId="77777777" w:rsidR="002416F4" w:rsidRPr="00A503E5" w:rsidRDefault="002416F4" w:rsidP="00A503E5">
            <w:pPr>
              <w:spacing w:line="240" w:lineRule="auto"/>
              <w:ind w:firstLine="0"/>
              <w:rPr>
                <w:sz w:val="18"/>
                <w:szCs w:val="18"/>
                <w:lang w:val="en-GB"/>
              </w:rPr>
            </w:pPr>
            <w:r w:rsidRPr="00A503E5">
              <w:rPr>
                <w:sz w:val="18"/>
                <w:szCs w:val="18"/>
                <w:lang w:val="en-GB"/>
              </w:rPr>
              <w:t>Temporary field hospital</w:t>
            </w:r>
            <w:r w:rsidR="00733D90" w:rsidRPr="00A503E5">
              <w:rPr>
                <w:sz w:val="18"/>
                <w:szCs w:val="18"/>
                <w:lang w:val="en-GB"/>
              </w:rPr>
              <w:t>s</w:t>
            </w:r>
          </w:p>
        </w:tc>
        <w:tc>
          <w:tcPr>
            <w:tcW w:w="716" w:type="dxa"/>
            <w:shd w:val="clear" w:color="auto" w:fill="auto"/>
          </w:tcPr>
          <w:p w14:paraId="3545E386"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701" w:type="dxa"/>
            <w:shd w:val="clear" w:color="auto" w:fill="auto"/>
          </w:tcPr>
          <w:p w14:paraId="55366704"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10" w:type="dxa"/>
            <w:shd w:val="clear" w:color="auto" w:fill="auto"/>
          </w:tcPr>
          <w:p w14:paraId="231AEE67"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0" w:type="auto"/>
            <w:shd w:val="clear" w:color="auto" w:fill="auto"/>
          </w:tcPr>
          <w:p w14:paraId="5B38B91D"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671" w:type="dxa"/>
            <w:shd w:val="clear" w:color="auto" w:fill="auto"/>
          </w:tcPr>
          <w:p w14:paraId="2A226341"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865" w:type="dxa"/>
            <w:shd w:val="clear" w:color="auto" w:fill="auto"/>
          </w:tcPr>
          <w:p w14:paraId="044686AA"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r>
      <w:tr w:rsidR="00A503E5" w:rsidRPr="00A503E5" w14:paraId="638F7E16" w14:textId="77777777" w:rsidTr="00A503E5">
        <w:trPr>
          <w:trHeight w:val="460"/>
        </w:trPr>
        <w:tc>
          <w:tcPr>
            <w:tcW w:w="2547" w:type="dxa"/>
            <w:shd w:val="clear" w:color="auto" w:fill="auto"/>
          </w:tcPr>
          <w:p w14:paraId="08570554" w14:textId="77777777" w:rsidR="002416F4" w:rsidRPr="00A503E5" w:rsidRDefault="002416F4" w:rsidP="00A503E5">
            <w:pPr>
              <w:spacing w:line="240" w:lineRule="auto"/>
              <w:ind w:firstLine="0"/>
              <w:rPr>
                <w:sz w:val="18"/>
                <w:szCs w:val="18"/>
                <w:lang w:val="en-GB"/>
              </w:rPr>
            </w:pPr>
            <w:r w:rsidRPr="00A503E5">
              <w:rPr>
                <w:sz w:val="18"/>
                <w:szCs w:val="18"/>
                <w:lang w:val="en-GB"/>
              </w:rPr>
              <w:t>Engagement of private hospitals</w:t>
            </w:r>
          </w:p>
        </w:tc>
        <w:tc>
          <w:tcPr>
            <w:tcW w:w="716" w:type="dxa"/>
            <w:shd w:val="clear" w:color="auto" w:fill="auto"/>
          </w:tcPr>
          <w:p w14:paraId="0D740EC8"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01" w:type="dxa"/>
            <w:shd w:val="clear" w:color="auto" w:fill="auto"/>
          </w:tcPr>
          <w:p w14:paraId="3867C907"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710" w:type="dxa"/>
            <w:shd w:val="clear" w:color="auto" w:fill="auto"/>
          </w:tcPr>
          <w:p w14:paraId="0097D821" w14:textId="77777777" w:rsidR="002416F4" w:rsidRPr="00A503E5" w:rsidRDefault="00733D90" w:rsidP="00A503E5">
            <w:pPr>
              <w:spacing w:line="240" w:lineRule="auto"/>
              <w:ind w:firstLine="0"/>
              <w:rPr>
                <w:sz w:val="18"/>
                <w:szCs w:val="18"/>
                <w:lang w:val="en-GB"/>
              </w:rPr>
            </w:pPr>
            <w:r w:rsidRPr="00A503E5">
              <w:rPr>
                <w:sz w:val="18"/>
                <w:szCs w:val="18"/>
                <w:lang w:val="en-GB"/>
              </w:rPr>
              <w:t>Y</w:t>
            </w:r>
          </w:p>
        </w:tc>
        <w:tc>
          <w:tcPr>
            <w:tcW w:w="0" w:type="auto"/>
            <w:shd w:val="clear" w:color="auto" w:fill="auto"/>
          </w:tcPr>
          <w:p w14:paraId="5C4B2182"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671" w:type="dxa"/>
            <w:shd w:val="clear" w:color="auto" w:fill="auto"/>
          </w:tcPr>
          <w:p w14:paraId="495168EB"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865" w:type="dxa"/>
            <w:shd w:val="clear" w:color="auto" w:fill="auto"/>
          </w:tcPr>
          <w:p w14:paraId="5332EBDE"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r>
      <w:tr w:rsidR="00A503E5" w:rsidRPr="00A503E5" w14:paraId="00132A35" w14:textId="77777777" w:rsidTr="00A503E5">
        <w:trPr>
          <w:trHeight w:val="460"/>
        </w:trPr>
        <w:tc>
          <w:tcPr>
            <w:tcW w:w="2547" w:type="dxa"/>
            <w:shd w:val="clear" w:color="auto" w:fill="auto"/>
          </w:tcPr>
          <w:p w14:paraId="12E4F50D" w14:textId="77777777" w:rsidR="002416F4" w:rsidRPr="00A503E5" w:rsidRDefault="002416F4" w:rsidP="00A503E5">
            <w:pPr>
              <w:spacing w:line="240" w:lineRule="auto"/>
              <w:ind w:firstLine="0"/>
              <w:rPr>
                <w:sz w:val="18"/>
                <w:szCs w:val="18"/>
                <w:lang w:val="en-GB"/>
              </w:rPr>
            </w:pPr>
            <w:r w:rsidRPr="00A503E5">
              <w:rPr>
                <w:sz w:val="18"/>
                <w:szCs w:val="18"/>
                <w:lang w:val="en-GB"/>
              </w:rPr>
              <w:t>Engagement of private facilities (other than hospitals)</w:t>
            </w:r>
          </w:p>
        </w:tc>
        <w:tc>
          <w:tcPr>
            <w:tcW w:w="716" w:type="dxa"/>
            <w:shd w:val="clear" w:color="auto" w:fill="auto"/>
          </w:tcPr>
          <w:p w14:paraId="7499AC24"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701" w:type="dxa"/>
            <w:shd w:val="clear" w:color="auto" w:fill="auto"/>
          </w:tcPr>
          <w:p w14:paraId="466DD8AA" w14:textId="77777777" w:rsidR="002416F4" w:rsidRPr="00A503E5" w:rsidRDefault="002416F4" w:rsidP="00A503E5">
            <w:pPr>
              <w:spacing w:line="240" w:lineRule="auto"/>
              <w:ind w:firstLine="0"/>
              <w:rPr>
                <w:sz w:val="18"/>
                <w:szCs w:val="18"/>
                <w:lang w:val="en-GB"/>
              </w:rPr>
            </w:pPr>
            <w:r w:rsidRPr="00A503E5">
              <w:rPr>
                <w:sz w:val="18"/>
                <w:szCs w:val="18"/>
                <w:lang w:val="en-GB"/>
              </w:rPr>
              <w:t>a</w:t>
            </w:r>
          </w:p>
        </w:tc>
        <w:tc>
          <w:tcPr>
            <w:tcW w:w="710" w:type="dxa"/>
            <w:shd w:val="clear" w:color="auto" w:fill="auto"/>
          </w:tcPr>
          <w:p w14:paraId="7F1DC7B2" w14:textId="77777777" w:rsidR="002416F4" w:rsidRPr="00A503E5" w:rsidRDefault="002416F4" w:rsidP="00A503E5">
            <w:pPr>
              <w:spacing w:line="240" w:lineRule="auto"/>
              <w:ind w:firstLine="0"/>
              <w:rPr>
                <w:sz w:val="18"/>
                <w:szCs w:val="18"/>
                <w:lang w:val="en-GB"/>
              </w:rPr>
            </w:pPr>
            <w:r w:rsidRPr="00A503E5">
              <w:rPr>
                <w:sz w:val="18"/>
                <w:szCs w:val="18"/>
                <w:lang w:val="en-GB"/>
              </w:rPr>
              <w:t>a</w:t>
            </w:r>
          </w:p>
        </w:tc>
        <w:tc>
          <w:tcPr>
            <w:tcW w:w="0" w:type="auto"/>
            <w:shd w:val="clear" w:color="auto" w:fill="auto"/>
          </w:tcPr>
          <w:p w14:paraId="348304FB" w14:textId="77777777" w:rsidR="002416F4" w:rsidRPr="00A503E5" w:rsidRDefault="002416F4" w:rsidP="00A503E5">
            <w:pPr>
              <w:spacing w:line="240" w:lineRule="auto"/>
              <w:ind w:firstLine="0"/>
              <w:rPr>
                <w:sz w:val="18"/>
                <w:szCs w:val="18"/>
                <w:lang w:val="en-GB"/>
              </w:rPr>
            </w:pPr>
            <w:r w:rsidRPr="00A503E5">
              <w:rPr>
                <w:sz w:val="18"/>
                <w:szCs w:val="18"/>
                <w:lang w:val="en-GB"/>
              </w:rPr>
              <w:t>Y</w:t>
            </w:r>
          </w:p>
        </w:tc>
        <w:tc>
          <w:tcPr>
            <w:tcW w:w="671" w:type="dxa"/>
            <w:shd w:val="clear" w:color="auto" w:fill="auto"/>
          </w:tcPr>
          <w:p w14:paraId="2162DAD7" w14:textId="77777777" w:rsidR="002416F4" w:rsidRPr="00A503E5" w:rsidRDefault="002416F4" w:rsidP="00A503E5">
            <w:pPr>
              <w:spacing w:line="240" w:lineRule="auto"/>
              <w:ind w:firstLine="0"/>
              <w:rPr>
                <w:sz w:val="18"/>
                <w:szCs w:val="18"/>
                <w:lang w:val="en-GB"/>
              </w:rPr>
            </w:pPr>
            <w:r w:rsidRPr="00A503E5">
              <w:rPr>
                <w:sz w:val="18"/>
                <w:szCs w:val="18"/>
                <w:lang w:val="en-GB"/>
              </w:rPr>
              <w:t>-</w:t>
            </w:r>
          </w:p>
        </w:tc>
        <w:tc>
          <w:tcPr>
            <w:tcW w:w="865" w:type="dxa"/>
            <w:shd w:val="clear" w:color="auto" w:fill="auto"/>
          </w:tcPr>
          <w:p w14:paraId="687232C9" w14:textId="77777777" w:rsidR="002416F4" w:rsidRPr="00A503E5" w:rsidRDefault="002416F4" w:rsidP="00A503E5">
            <w:pPr>
              <w:spacing w:line="240" w:lineRule="auto"/>
              <w:ind w:firstLine="0"/>
              <w:rPr>
                <w:sz w:val="18"/>
                <w:szCs w:val="18"/>
                <w:lang w:val="en-GB"/>
              </w:rPr>
            </w:pPr>
            <w:r w:rsidRPr="00A503E5">
              <w:rPr>
                <w:sz w:val="18"/>
                <w:szCs w:val="18"/>
                <w:lang w:val="en-GB"/>
              </w:rPr>
              <w:t>a</w:t>
            </w:r>
          </w:p>
        </w:tc>
      </w:tr>
    </w:tbl>
    <w:p w14:paraId="7A46D6EB" w14:textId="77777777" w:rsidR="00967B08" w:rsidRPr="00A503E5" w:rsidRDefault="002416F4" w:rsidP="002416F4">
      <w:pPr>
        <w:rPr>
          <w:lang w:val="en-GB"/>
        </w:rPr>
      </w:pPr>
      <w:r w:rsidRPr="00A503E5">
        <w:rPr>
          <w:vertAlign w:val="superscript"/>
          <w:lang w:val="en-GB"/>
        </w:rPr>
        <w:t xml:space="preserve">a </w:t>
      </w:r>
      <w:r w:rsidRPr="00A503E5">
        <w:rPr>
          <w:lang w:val="en-GB"/>
        </w:rPr>
        <w:t xml:space="preserve">hotels and care homes have been involved </w:t>
      </w:r>
      <w:r w:rsidR="00B072DA" w:rsidRPr="00A503E5">
        <w:rPr>
          <w:lang w:val="en-GB"/>
        </w:rPr>
        <w:t xml:space="preserve">by means of further provisions </w:t>
      </w:r>
      <w:r w:rsidRPr="00A503E5">
        <w:rPr>
          <w:lang w:val="en-GB"/>
        </w:rPr>
        <w:t xml:space="preserve">to assist and manage asymptomatic and discharged COVID-19 patients. </w:t>
      </w:r>
    </w:p>
    <w:p w14:paraId="0AAFE0E6" w14:textId="77777777" w:rsidR="00733D90" w:rsidRPr="00A503E5" w:rsidRDefault="00733D90" w:rsidP="002416F4">
      <w:pPr>
        <w:rPr>
          <w:lang w:val="en-GB"/>
        </w:rPr>
      </w:pPr>
    </w:p>
    <w:p w14:paraId="18538B7C" w14:textId="77777777" w:rsidR="0070633E" w:rsidRPr="00A503E5" w:rsidRDefault="0070633E" w:rsidP="00535A29">
      <w:r w:rsidRPr="00A503E5">
        <w:t xml:space="preserve">Territorial services management can </w:t>
      </w:r>
      <w:r w:rsidRPr="00A503E5">
        <w:rPr>
          <w:lang w:val="en-GB"/>
        </w:rPr>
        <w:t xml:space="preserve">greatly differ from one </w:t>
      </w:r>
      <w:r w:rsidR="007B5EEE" w:rsidRPr="00A503E5">
        <w:rPr>
          <w:lang w:val="en-GB"/>
        </w:rPr>
        <w:t>r</w:t>
      </w:r>
      <w:r w:rsidRPr="00A503E5">
        <w:rPr>
          <w:lang w:val="en-GB"/>
        </w:rPr>
        <w:t>egion to another as the</w:t>
      </w:r>
      <w:r w:rsidR="007B5EEE" w:rsidRPr="00A503E5">
        <w:rPr>
          <w:lang w:val="en-GB"/>
        </w:rPr>
        <w:t>se services</w:t>
      </w:r>
      <w:r w:rsidRPr="00A503E5">
        <w:rPr>
          <w:lang w:val="en-GB"/>
        </w:rPr>
        <w:t xml:space="preserve"> belong to Local Health Units. </w:t>
      </w:r>
      <w:r w:rsidR="00535A29" w:rsidRPr="00A503E5">
        <w:rPr>
          <w:lang w:val="en-GB"/>
        </w:rPr>
        <w:t xml:space="preserve">Moreover, they have secondary impacts on healthcare facilities as they generally focus on organisational measures more than infrastructural ones. </w:t>
      </w:r>
      <w:r w:rsidRPr="00A503E5">
        <w:rPr>
          <w:lang w:val="en-GB"/>
        </w:rPr>
        <w:t>However, from the analysed plans (Table 1) it is possible to</w:t>
      </w:r>
      <w:r w:rsidRPr="00A503E5">
        <w:t xml:space="preserve"> outline some common measures and policies</w:t>
      </w:r>
      <w:r w:rsidR="007B5EEE" w:rsidRPr="00A503E5">
        <w:t>, such</w:t>
      </w:r>
      <w:r w:rsidR="00535A29" w:rsidRPr="00A503E5">
        <w:t xml:space="preserve"> as</w:t>
      </w:r>
      <w:r w:rsidRPr="00A503E5">
        <w:t>:</w:t>
      </w:r>
      <w:r w:rsidR="00535A29" w:rsidRPr="00A503E5">
        <w:t xml:space="preserve"> </w:t>
      </w:r>
      <w:r w:rsidR="007B5EEE" w:rsidRPr="00A503E5">
        <w:t xml:space="preserve">the </w:t>
      </w:r>
      <w:r w:rsidR="00535A29" w:rsidRPr="00A503E5">
        <w:t>establishment of c</w:t>
      </w:r>
      <w:r w:rsidRPr="00A503E5">
        <w:t>ontact tracing and surveillance</w:t>
      </w:r>
      <w:r w:rsidR="00535A29" w:rsidRPr="00A503E5">
        <w:t xml:space="preserve"> systems; </w:t>
      </w:r>
      <w:r w:rsidR="007B5EEE" w:rsidRPr="00A503E5">
        <w:t xml:space="preserve">the </w:t>
      </w:r>
      <w:r w:rsidR="00535A29" w:rsidRPr="00A503E5">
        <w:t xml:space="preserve">introduction of the Special Units of Continued Assistance (USCA); </w:t>
      </w:r>
      <w:r w:rsidR="007B5EEE" w:rsidRPr="00A503E5">
        <w:t xml:space="preserve">the </w:t>
      </w:r>
      <w:r w:rsidR="00535A29" w:rsidRPr="00A503E5">
        <w:t xml:space="preserve">enhancement of integrated home assistance; coordination and information management (e.g. activating territorial operating centers); increasing workforce for primary care; additional measures (e.g. </w:t>
      </w:r>
      <w:r w:rsidR="007B5EEE" w:rsidRPr="00A503E5">
        <w:t xml:space="preserve">the </w:t>
      </w:r>
      <w:r w:rsidR="00535A29" w:rsidRPr="00A503E5">
        <w:t xml:space="preserve">control of private facilities offering long-term </w:t>
      </w:r>
      <w:r w:rsidR="00535A29" w:rsidRPr="00A503E5">
        <w:lastRenderedPageBreak/>
        <w:t xml:space="preserve">care services). </w:t>
      </w:r>
      <w:r w:rsidR="00BE2567" w:rsidRPr="00A503E5">
        <w:t>T</w:t>
      </w:r>
      <w:proofErr w:type="spellStart"/>
      <w:r w:rsidR="00BE2567" w:rsidRPr="00A503E5">
        <w:rPr>
          <w:lang w:val="en-GB"/>
        </w:rPr>
        <w:t>erritorial</w:t>
      </w:r>
      <w:proofErr w:type="spellEnd"/>
      <w:r w:rsidR="00BE2567" w:rsidRPr="00A503E5">
        <w:rPr>
          <w:lang w:val="en-GB"/>
        </w:rPr>
        <w:t xml:space="preserve"> medicine, particularly epidemiologic service</w:t>
      </w:r>
      <w:r w:rsidR="002C6E63" w:rsidRPr="00A503E5">
        <w:rPr>
          <w:lang w:val="en-GB"/>
        </w:rPr>
        <w:t>s</w:t>
      </w:r>
      <w:r w:rsidR="00BE2567" w:rsidRPr="00A503E5">
        <w:rPr>
          <w:lang w:val="en-GB"/>
        </w:rPr>
        <w:t xml:space="preserve"> which belong to departments of prevention, has been reinforced all over the </w:t>
      </w:r>
      <w:r w:rsidR="000D6041" w:rsidRPr="00A503E5">
        <w:rPr>
          <w:lang w:val="en-GB"/>
        </w:rPr>
        <w:t>c</w:t>
      </w:r>
      <w:r w:rsidR="00BE2567" w:rsidRPr="00A503E5">
        <w:rPr>
          <w:lang w:val="en-GB"/>
        </w:rPr>
        <w:t>ountry.</w:t>
      </w:r>
    </w:p>
    <w:p w14:paraId="581AC2CD" w14:textId="77777777" w:rsidR="00B76535" w:rsidRPr="00A503E5" w:rsidRDefault="00B76535" w:rsidP="00B76535">
      <w:pPr>
        <w:pStyle w:val="heading1"/>
        <w:rPr>
          <w:lang w:val="en-GB"/>
        </w:rPr>
      </w:pPr>
      <w:r w:rsidRPr="00A503E5">
        <w:rPr>
          <w:lang w:val="en-GB"/>
        </w:rPr>
        <w:t xml:space="preserve">Discussion </w:t>
      </w:r>
    </w:p>
    <w:p w14:paraId="15B01981" w14:textId="77777777" w:rsidR="002D6A84" w:rsidRPr="00A503E5" w:rsidRDefault="00443F69" w:rsidP="00443F69">
      <w:pPr>
        <w:rPr>
          <w:lang w:val="en-GB" w:eastAsia="de-DE" w:bidi="en-US"/>
        </w:rPr>
      </w:pPr>
      <w:r w:rsidRPr="00A503E5">
        <w:rPr>
          <w:lang w:val="en-GB" w:eastAsia="de-DE" w:bidi="en-US"/>
        </w:rPr>
        <w:t xml:space="preserve">Past pandemic leveraged changes into the BE, on both building and urban scale. The </w:t>
      </w:r>
      <w:proofErr w:type="gramStart"/>
      <w:r w:rsidRPr="00A503E5">
        <w:rPr>
          <w:lang w:val="en-GB" w:eastAsia="de-DE" w:bidi="en-US"/>
        </w:rPr>
        <w:t>BE</w:t>
      </w:r>
      <w:proofErr w:type="gramEnd"/>
      <w:r w:rsidRPr="00A503E5">
        <w:rPr>
          <w:lang w:val="en-GB" w:eastAsia="de-DE" w:bidi="en-US"/>
        </w:rPr>
        <w:t xml:space="preserve"> has an important role to play in supporting public health and reducing the risk of infections, indeed [5]. Solutions and strategies to move towards more sustainable and resilience buildings and cities are needed. </w:t>
      </w:r>
      <w:proofErr w:type="gramStart"/>
      <w:r w:rsidRPr="00A503E5">
        <w:rPr>
          <w:lang w:val="en-GB"/>
        </w:rPr>
        <w:t>In particular, there</w:t>
      </w:r>
      <w:proofErr w:type="gramEnd"/>
      <w:r w:rsidRPr="00A503E5">
        <w:rPr>
          <w:lang w:val="en-GB"/>
        </w:rPr>
        <w:t xml:space="preserve"> is a drive for improving multidisciplinary programmes to develop a new design for the hospital of the near future [17].</w:t>
      </w:r>
      <w:r w:rsidR="00B67D20">
        <w:rPr>
          <w:lang w:val="en-GB"/>
        </w:rPr>
        <w:t xml:space="preserve"> </w:t>
      </w:r>
      <w:r w:rsidR="002D6A84" w:rsidRPr="00A503E5">
        <w:rPr>
          <w:lang w:val="en-GB" w:eastAsia="de-DE" w:bidi="en-US"/>
        </w:rPr>
        <w:t xml:space="preserve">Within this background, this paper provides for the analysis of central and regional government provisions to rearrange healthcare facilities in Italy due to the ongoing pandemic. </w:t>
      </w:r>
      <w:r w:rsidR="00B76535" w:rsidRPr="00A503E5">
        <w:rPr>
          <w:lang w:val="en-GB" w:eastAsia="de-DE" w:bidi="en-US"/>
        </w:rPr>
        <w:t xml:space="preserve">COVID-19 </w:t>
      </w:r>
      <w:r w:rsidR="007F5AF4" w:rsidRPr="00A503E5">
        <w:rPr>
          <w:lang w:val="en-GB" w:eastAsia="de-DE" w:bidi="en-US"/>
        </w:rPr>
        <w:t>requires</w:t>
      </w:r>
      <w:r w:rsidR="00B76535" w:rsidRPr="00A503E5">
        <w:rPr>
          <w:lang w:val="en-GB" w:eastAsia="de-DE" w:bidi="en-US"/>
        </w:rPr>
        <w:t xml:space="preserve"> healthcare systems to have all essential preparedness measures in place to deal with the pandemic, while continuing to provide essential services.</w:t>
      </w:r>
      <w:r w:rsidR="0070633E" w:rsidRPr="00A503E5">
        <w:rPr>
          <w:lang w:val="en-GB" w:eastAsia="de-DE" w:bidi="en-US"/>
        </w:rPr>
        <w:t xml:space="preserve"> </w:t>
      </w:r>
      <w:r w:rsidR="002D6A84" w:rsidRPr="00A503E5">
        <w:rPr>
          <w:lang w:val="en-GB" w:eastAsia="de-DE" w:bidi="en-US"/>
        </w:rPr>
        <w:t>From the results exposed above it is possible to deduce that:</w:t>
      </w:r>
    </w:p>
    <w:p w14:paraId="1FCF13FA" w14:textId="77777777" w:rsidR="002D6A84" w:rsidRPr="00A503E5" w:rsidRDefault="002D6A84" w:rsidP="00B67D20">
      <w:pPr>
        <w:pStyle w:val="ListParagraph"/>
        <w:numPr>
          <w:ilvl w:val="0"/>
          <w:numId w:val="24"/>
        </w:numPr>
        <w:ind w:left="142" w:hanging="142"/>
        <w:rPr>
          <w:lang w:val="en-GB"/>
        </w:rPr>
      </w:pPr>
      <w:r w:rsidRPr="00A503E5">
        <w:rPr>
          <w:lang w:val="en-GB" w:eastAsia="de-DE" w:bidi="en-US"/>
        </w:rPr>
        <w:t>i</w:t>
      </w:r>
      <w:r w:rsidR="0070633E" w:rsidRPr="00A503E5">
        <w:rPr>
          <w:lang w:val="en-GB" w:eastAsia="de-DE" w:bidi="en-US"/>
        </w:rPr>
        <w:t>n Italy, h</w:t>
      </w:r>
      <w:r w:rsidR="00B072DA" w:rsidRPr="00A503E5">
        <w:rPr>
          <w:lang w:val="en-GB" w:eastAsia="de-DE" w:bidi="en-US"/>
        </w:rPr>
        <w:t>ospital care and territorial services have been reorgan</w:t>
      </w:r>
      <w:r w:rsidR="007F5AF4" w:rsidRPr="00A503E5">
        <w:rPr>
          <w:lang w:val="en-GB" w:eastAsia="de-DE" w:bidi="en-US"/>
        </w:rPr>
        <w:t>is</w:t>
      </w:r>
      <w:r w:rsidR="00B072DA" w:rsidRPr="00A503E5">
        <w:rPr>
          <w:lang w:val="en-GB" w:eastAsia="de-DE" w:bidi="en-US"/>
        </w:rPr>
        <w:t xml:space="preserve">ed by adopting specific regional plans. </w:t>
      </w:r>
    </w:p>
    <w:p w14:paraId="663E1471" w14:textId="77777777" w:rsidR="002D6A84" w:rsidRPr="00A503E5" w:rsidRDefault="002D6A84" w:rsidP="00B67D20">
      <w:pPr>
        <w:pStyle w:val="ListParagraph"/>
        <w:numPr>
          <w:ilvl w:val="0"/>
          <w:numId w:val="24"/>
        </w:numPr>
        <w:ind w:left="142" w:hanging="142"/>
        <w:rPr>
          <w:lang w:val="en-GB"/>
        </w:rPr>
      </w:pPr>
      <w:r w:rsidRPr="00A503E5">
        <w:rPr>
          <w:lang w:val="en-GB" w:eastAsia="de-DE" w:bidi="en-US"/>
        </w:rPr>
        <w:t>t</w:t>
      </w:r>
      <w:r w:rsidR="0070633E" w:rsidRPr="00A503E5">
        <w:rPr>
          <w:lang w:val="en-GB" w:eastAsia="de-DE" w:bidi="en-US"/>
        </w:rPr>
        <w:t>he changes on hospital infrastructure have been extensive. For example, t</w:t>
      </w:r>
      <w:r w:rsidR="00B072DA" w:rsidRPr="00A503E5">
        <w:rPr>
          <w:lang w:val="en-GB"/>
        </w:rPr>
        <w:t>o increase the ICU bed number</w:t>
      </w:r>
      <w:r w:rsidR="007F5AF4" w:rsidRPr="00A503E5">
        <w:rPr>
          <w:lang w:val="en-GB"/>
        </w:rPr>
        <w:t>s,</w:t>
      </w:r>
      <w:r w:rsidR="00B072DA" w:rsidRPr="00A503E5">
        <w:rPr>
          <w:lang w:val="en-GB"/>
        </w:rPr>
        <w:t xml:space="preserve"> </w:t>
      </w:r>
      <w:r w:rsidR="007F5AF4" w:rsidRPr="00A503E5">
        <w:rPr>
          <w:lang w:val="en-GB"/>
        </w:rPr>
        <w:t>r</w:t>
      </w:r>
      <w:r w:rsidR="00B072DA" w:rsidRPr="00A503E5">
        <w:rPr>
          <w:lang w:val="en-GB"/>
        </w:rPr>
        <w:t xml:space="preserve">egions have restructured existing </w:t>
      </w:r>
      <w:r w:rsidR="0070633E" w:rsidRPr="00A503E5">
        <w:rPr>
          <w:lang w:val="en-GB"/>
        </w:rPr>
        <w:t>assets</w:t>
      </w:r>
      <w:r w:rsidR="00B072DA" w:rsidRPr="00A503E5">
        <w:rPr>
          <w:lang w:val="en-GB"/>
        </w:rPr>
        <w:t>, built temporary field hospital</w:t>
      </w:r>
      <w:r w:rsidR="007F5AF4" w:rsidRPr="00A503E5">
        <w:rPr>
          <w:lang w:val="en-GB"/>
        </w:rPr>
        <w:t>s</w:t>
      </w:r>
      <w:r w:rsidR="00B072DA" w:rsidRPr="00A503E5">
        <w:rPr>
          <w:lang w:val="en-GB"/>
        </w:rPr>
        <w:t xml:space="preserve">, restored unused portions of their </w:t>
      </w:r>
      <w:r w:rsidR="0070633E" w:rsidRPr="00A503E5">
        <w:rPr>
          <w:lang w:val="en-GB"/>
        </w:rPr>
        <w:t>facilities</w:t>
      </w:r>
      <w:r w:rsidR="00B072DA" w:rsidRPr="00A503E5">
        <w:rPr>
          <w:lang w:val="en-GB"/>
        </w:rPr>
        <w:t xml:space="preserve">. </w:t>
      </w:r>
    </w:p>
    <w:p w14:paraId="76A31CD9" w14:textId="77777777" w:rsidR="00443F69" w:rsidRPr="00A503E5" w:rsidRDefault="002D6A84" w:rsidP="00B67D20">
      <w:pPr>
        <w:pStyle w:val="ListParagraph"/>
        <w:numPr>
          <w:ilvl w:val="0"/>
          <w:numId w:val="24"/>
        </w:numPr>
        <w:ind w:left="142" w:hanging="142"/>
        <w:rPr>
          <w:lang w:val="en-GB"/>
        </w:rPr>
      </w:pPr>
      <w:r w:rsidRPr="00A503E5">
        <w:rPr>
          <w:lang w:val="en-GB"/>
        </w:rPr>
        <w:t>t</w:t>
      </w:r>
      <w:r w:rsidR="00BE2567" w:rsidRPr="00A503E5">
        <w:rPr>
          <w:lang w:val="en-GB"/>
        </w:rPr>
        <w:t xml:space="preserve">he necessity </w:t>
      </w:r>
      <w:r w:rsidR="007F5AF4" w:rsidRPr="00A503E5">
        <w:rPr>
          <w:lang w:val="en-GB"/>
        </w:rPr>
        <w:t>to separate</w:t>
      </w:r>
      <w:r w:rsidR="00BE2567" w:rsidRPr="00A503E5">
        <w:rPr>
          <w:lang w:val="en-GB"/>
        </w:rPr>
        <w:t xml:space="preserve"> COVID-19 patients to reduce the risk of nosocomial transmission led to COVID-19 dedicated hub</w:t>
      </w:r>
      <w:r w:rsidR="007F5AF4" w:rsidRPr="00A503E5">
        <w:rPr>
          <w:lang w:val="en-GB"/>
        </w:rPr>
        <w:t>s</w:t>
      </w:r>
      <w:r w:rsidR="00BE2567" w:rsidRPr="00A503E5">
        <w:rPr>
          <w:lang w:val="en-GB"/>
        </w:rPr>
        <w:t xml:space="preserve"> or at least dedicated units. </w:t>
      </w:r>
      <w:r w:rsidR="007F5AF4" w:rsidRPr="00A503E5">
        <w:rPr>
          <w:lang w:val="en-GB"/>
        </w:rPr>
        <w:t>Either way</w:t>
      </w:r>
      <w:r w:rsidR="00BE2567" w:rsidRPr="00A503E5">
        <w:rPr>
          <w:lang w:val="en-GB"/>
        </w:rPr>
        <w:t xml:space="preserve">, renovation interventions were required to control and prevent infections. Both technological features, spatial layout and organisational requirements have been reviewed in </w:t>
      </w:r>
      <w:r w:rsidR="007F5AF4" w:rsidRPr="00A503E5">
        <w:rPr>
          <w:lang w:val="en-GB"/>
        </w:rPr>
        <w:t xml:space="preserve">the </w:t>
      </w:r>
      <w:r w:rsidR="00BE2567" w:rsidRPr="00A503E5">
        <w:rPr>
          <w:lang w:val="en-GB"/>
        </w:rPr>
        <w:t xml:space="preserve">face of the pandemic. </w:t>
      </w:r>
    </w:p>
    <w:p w14:paraId="6A969CF4" w14:textId="77777777" w:rsidR="00411D88" w:rsidRPr="00A503E5" w:rsidRDefault="003F01ED" w:rsidP="00B67D20">
      <w:pPr>
        <w:pStyle w:val="heading1"/>
        <w:ind w:left="142" w:hanging="142"/>
        <w:rPr>
          <w:lang w:val="en-GB"/>
        </w:rPr>
      </w:pPr>
      <w:r w:rsidRPr="00A503E5">
        <w:rPr>
          <w:lang w:val="en-GB"/>
        </w:rPr>
        <w:t>Conclusion</w:t>
      </w:r>
    </w:p>
    <w:p w14:paraId="2F101AAD" w14:textId="77777777" w:rsidR="00121139" w:rsidRPr="00A503E5" w:rsidRDefault="00BE2567" w:rsidP="00121139">
      <w:pPr>
        <w:rPr>
          <w:lang w:val="en-GB"/>
        </w:rPr>
      </w:pPr>
      <w:r w:rsidRPr="00A503E5">
        <w:rPr>
          <w:lang w:val="en-GB"/>
        </w:rPr>
        <w:t xml:space="preserve">There is the need </w:t>
      </w:r>
      <w:r w:rsidR="007F5AF4" w:rsidRPr="00A503E5">
        <w:rPr>
          <w:lang w:val="en-GB"/>
        </w:rPr>
        <w:t xml:space="preserve">to enhance </w:t>
      </w:r>
      <w:r w:rsidRPr="00A503E5">
        <w:rPr>
          <w:lang w:val="en-GB"/>
        </w:rPr>
        <w:t>the preparedness of the national health system to cope with epidemic</w:t>
      </w:r>
      <w:r w:rsidR="00367374" w:rsidRPr="00A503E5">
        <w:rPr>
          <w:lang w:val="en-GB"/>
        </w:rPr>
        <w:t>s</w:t>
      </w:r>
      <w:r w:rsidRPr="00A503E5">
        <w:rPr>
          <w:lang w:val="en-GB"/>
        </w:rPr>
        <w:t xml:space="preserve"> which have a predictable recurrence of 10 years. </w:t>
      </w:r>
      <w:r w:rsidR="002D6A84" w:rsidRPr="00A503E5">
        <w:rPr>
          <w:lang w:val="en-GB"/>
        </w:rPr>
        <w:t>In this sense, a</w:t>
      </w:r>
      <w:r w:rsidR="00C87706" w:rsidRPr="00A503E5">
        <w:rPr>
          <w:lang w:val="en-GB"/>
        </w:rPr>
        <w:t xml:space="preserve"> tool to assess healthcare infrastructures </w:t>
      </w:r>
      <w:r w:rsidR="002D6A84" w:rsidRPr="00A503E5">
        <w:rPr>
          <w:lang w:val="en-GB"/>
        </w:rPr>
        <w:t xml:space="preserve">can help hospital managers </w:t>
      </w:r>
      <w:r w:rsidR="00C87706" w:rsidRPr="00A503E5">
        <w:rPr>
          <w:lang w:val="en-GB"/>
        </w:rPr>
        <w:t>make their asset more resilient and sustainable.</w:t>
      </w:r>
      <w:r w:rsidR="002D6A84" w:rsidRPr="00A503E5">
        <w:rPr>
          <w:lang w:val="en-GB"/>
        </w:rPr>
        <w:t xml:space="preserve"> </w:t>
      </w:r>
      <w:r w:rsidR="00443F69" w:rsidRPr="00A503E5">
        <w:rPr>
          <w:lang w:val="en-GB"/>
        </w:rPr>
        <w:t>This paper reports</w:t>
      </w:r>
      <w:r w:rsidR="002D6A84" w:rsidRPr="00A503E5">
        <w:rPr>
          <w:lang w:val="en-GB"/>
        </w:rPr>
        <w:t xml:space="preserve"> the preliminary results of a research aimed at proposing a novel model for the hospital of the future.</w:t>
      </w:r>
      <w:r w:rsidR="00C87706" w:rsidRPr="00A503E5">
        <w:t xml:space="preserve"> </w:t>
      </w:r>
      <w:r w:rsidR="00C87706" w:rsidRPr="00A503E5">
        <w:rPr>
          <w:lang w:val="en-GB"/>
        </w:rPr>
        <w:t>The research has originality values as it tries to address extremely timely needs, and it has relevant practical implications regarding the need of multidisciplinary actions to define novel models for post-COVD-19 hospitals.</w:t>
      </w:r>
      <w:r w:rsidR="00443F69" w:rsidRPr="00A503E5">
        <w:rPr>
          <w:lang w:val="en-GB"/>
        </w:rPr>
        <w:t xml:space="preserve"> </w:t>
      </w:r>
      <w:r w:rsidR="00C87706" w:rsidRPr="00A503E5">
        <w:rPr>
          <w:lang w:val="en-GB"/>
        </w:rPr>
        <w:t>The research will benefit (</w:t>
      </w:r>
      <w:proofErr w:type="spellStart"/>
      <w:r w:rsidR="00C87706" w:rsidRPr="00A503E5">
        <w:rPr>
          <w:lang w:val="en-GB"/>
        </w:rPr>
        <w:t>i</w:t>
      </w:r>
      <w:proofErr w:type="spellEnd"/>
      <w:r w:rsidR="00C87706" w:rsidRPr="00A503E5">
        <w:rPr>
          <w:lang w:val="en-GB"/>
        </w:rPr>
        <w:t xml:space="preserve">) healthcare systems, providing </w:t>
      </w:r>
      <w:proofErr w:type="gramStart"/>
      <w:r w:rsidR="00C87706" w:rsidRPr="00A503E5">
        <w:rPr>
          <w:lang w:val="en-GB"/>
        </w:rPr>
        <w:t>advices</w:t>
      </w:r>
      <w:proofErr w:type="gramEnd"/>
      <w:r w:rsidR="00C87706" w:rsidRPr="00A503E5">
        <w:rPr>
          <w:lang w:val="en-GB"/>
        </w:rPr>
        <w:t xml:space="preserve"> for additional infrastructural capacities; (ii) healthcare workers, shaping safer work environments; (iii) patient’s lives, modelling more resilient infrastructures to future epidemics which will enable the continuity of essential services. </w:t>
      </w:r>
      <w:r w:rsidR="002D6A84" w:rsidRPr="00A503E5">
        <w:rPr>
          <w:lang w:val="en-GB"/>
        </w:rPr>
        <w:t xml:space="preserve">The research is currently limited to the Italian context. </w:t>
      </w:r>
      <w:r w:rsidRPr="00A503E5">
        <w:rPr>
          <w:lang w:val="en-GB"/>
        </w:rPr>
        <w:t>Future developments of this research will regard</w:t>
      </w:r>
      <w:r w:rsidR="00121139" w:rsidRPr="00A503E5">
        <w:rPr>
          <w:lang w:val="en-GB"/>
        </w:rPr>
        <w:t xml:space="preserve"> the acquisition of further data to determine</w:t>
      </w:r>
      <w:r w:rsidR="007F5AF4" w:rsidRPr="00A503E5">
        <w:rPr>
          <w:lang w:val="en-GB"/>
        </w:rPr>
        <w:t xml:space="preserve"> how we will use and manage hospitals in the future. </w:t>
      </w:r>
      <w:r w:rsidR="00121139" w:rsidRPr="00A503E5">
        <w:rPr>
          <w:lang w:val="en-GB"/>
        </w:rPr>
        <w:t xml:space="preserve"> </w:t>
      </w:r>
      <w:r w:rsidR="00A4522A" w:rsidRPr="00A503E5">
        <w:rPr>
          <w:lang w:val="en-GB"/>
        </w:rPr>
        <w:t>The main goal is to understand if architectural and technological changes will be needed to cope with future functional requirements of hospital</w:t>
      </w:r>
      <w:r w:rsidR="002C6E63" w:rsidRPr="00A503E5">
        <w:rPr>
          <w:lang w:val="en-GB"/>
        </w:rPr>
        <w:t>s</w:t>
      </w:r>
      <w:r w:rsidR="00A4522A" w:rsidRPr="00A503E5">
        <w:rPr>
          <w:lang w:val="en-GB"/>
        </w:rPr>
        <w:t xml:space="preserve">. </w:t>
      </w:r>
      <w:r w:rsidR="00121139" w:rsidRPr="00A503E5">
        <w:rPr>
          <w:lang w:val="en-GB"/>
        </w:rPr>
        <w:t xml:space="preserve">To do so, real experiences will be gathered by means of </w:t>
      </w:r>
      <w:r w:rsidR="00367374" w:rsidRPr="00A503E5">
        <w:rPr>
          <w:lang w:val="en-GB"/>
        </w:rPr>
        <w:t xml:space="preserve">field </w:t>
      </w:r>
      <w:r w:rsidR="00121139" w:rsidRPr="00A503E5">
        <w:rPr>
          <w:lang w:val="en-GB"/>
        </w:rPr>
        <w:t xml:space="preserve">surveys and semi-structured interviews </w:t>
      </w:r>
      <w:r w:rsidR="007F5AF4" w:rsidRPr="00A503E5">
        <w:rPr>
          <w:lang w:val="en-GB"/>
        </w:rPr>
        <w:t>with</w:t>
      </w:r>
      <w:r w:rsidR="00121139" w:rsidRPr="00A503E5">
        <w:rPr>
          <w:lang w:val="en-GB"/>
        </w:rPr>
        <w:t xml:space="preserve"> </w:t>
      </w:r>
      <w:r w:rsidR="00121139" w:rsidRPr="00A503E5">
        <w:rPr>
          <w:lang w:val="en-GB"/>
        </w:rPr>
        <w:lastRenderedPageBreak/>
        <w:t xml:space="preserve">healthcare professionals, hospital managers, and hospital facility managers involved in the pandemic management. </w:t>
      </w:r>
      <w:r w:rsidR="007F5AF4" w:rsidRPr="00A503E5">
        <w:rPr>
          <w:lang w:val="en-GB"/>
        </w:rPr>
        <w:t>Reflecting upon</w:t>
      </w:r>
      <w:r w:rsidR="00121139" w:rsidRPr="00A503E5">
        <w:rPr>
          <w:lang w:val="en-GB"/>
        </w:rPr>
        <w:t xml:space="preserve"> the Italian experience and analysing corresponding international approaches and policies will help identify the layout and engineering components of a prepared hospital in the case of epidemic. An evaluation framework can then be developed based on these components. </w:t>
      </w:r>
    </w:p>
    <w:p w14:paraId="17DC371E" w14:textId="77777777" w:rsidR="005B6A28" w:rsidRPr="00A503E5" w:rsidRDefault="009B2539" w:rsidP="005B6A28">
      <w:pPr>
        <w:pStyle w:val="heading1"/>
        <w:numPr>
          <w:ilvl w:val="0"/>
          <w:numId w:val="0"/>
        </w:numPr>
        <w:ind w:left="567" w:hanging="567"/>
      </w:pPr>
      <w:r w:rsidRPr="00A503E5">
        <w:t>References</w:t>
      </w:r>
    </w:p>
    <w:p w14:paraId="763B2C52" w14:textId="77777777" w:rsidR="00B94A61" w:rsidRPr="00A503E5" w:rsidRDefault="00B94A61" w:rsidP="00B67D20">
      <w:pPr>
        <w:pStyle w:val="referenceitem"/>
        <w:rPr>
          <w:sz w:val="20"/>
        </w:rPr>
      </w:pPr>
      <w:proofErr w:type="spellStart"/>
      <w:r w:rsidRPr="00A503E5">
        <w:t>Sanfelici</w:t>
      </w:r>
      <w:proofErr w:type="spellEnd"/>
      <w:r w:rsidRPr="00A503E5">
        <w:t xml:space="preserve"> M.: The Italian Response to the COVID-19 Crisis: Lessons Learned and Future Direction in Social Development. The International Journal of Community and Social Development 2(2) 191–210 (2020). DOI: 10.1177/2516602620936037.</w:t>
      </w:r>
    </w:p>
    <w:p w14:paraId="57204F5B" w14:textId="77777777" w:rsidR="00B94A61" w:rsidRPr="00A503E5" w:rsidRDefault="00B94A61" w:rsidP="00B67D20">
      <w:pPr>
        <w:pStyle w:val="referenceitem"/>
        <w:rPr>
          <w:sz w:val="20"/>
        </w:rPr>
      </w:pPr>
      <w:r w:rsidRPr="00A503E5">
        <w:t xml:space="preserve">Dietz L., </w:t>
      </w:r>
      <w:proofErr w:type="spellStart"/>
      <w:r w:rsidRPr="00A503E5">
        <w:t>Horve</w:t>
      </w:r>
      <w:proofErr w:type="spellEnd"/>
      <w:r w:rsidRPr="00A503E5">
        <w:t xml:space="preserve"> P. F., Coil D. A., </w:t>
      </w:r>
      <w:proofErr w:type="spellStart"/>
      <w:r w:rsidRPr="00A503E5">
        <w:t>Frezt</w:t>
      </w:r>
      <w:proofErr w:type="spellEnd"/>
      <w:r w:rsidRPr="00A503E5">
        <w:t xml:space="preserve"> M., Eisen J. </w:t>
      </w:r>
      <w:proofErr w:type="spellStart"/>
      <w:proofErr w:type="gramStart"/>
      <w:r w:rsidRPr="00A503E5">
        <w:t>A.,Van</w:t>
      </w:r>
      <w:proofErr w:type="spellEnd"/>
      <w:proofErr w:type="gramEnd"/>
      <w:r w:rsidRPr="00A503E5">
        <w:t xml:space="preserve"> Den </w:t>
      </w:r>
      <w:proofErr w:type="spellStart"/>
      <w:r w:rsidRPr="00A503E5">
        <w:t>Wymelenberg</w:t>
      </w:r>
      <w:proofErr w:type="spellEnd"/>
      <w:r w:rsidRPr="00A503E5">
        <w:t xml:space="preserve"> K.: Novel Coronavirus (COVID-19) Pandemic: Built Environment Considerations To Reduce Transmission. </w:t>
      </w:r>
      <w:proofErr w:type="spellStart"/>
      <w:r w:rsidRPr="00A503E5">
        <w:t>mSystems</w:t>
      </w:r>
      <w:proofErr w:type="spellEnd"/>
      <w:r w:rsidRPr="00A503E5">
        <w:t xml:space="preserve"> </w:t>
      </w:r>
      <w:proofErr w:type="gramStart"/>
      <w:r w:rsidRPr="00A503E5">
        <w:t>5:e</w:t>
      </w:r>
      <w:proofErr w:type="gramEnd"/>
      <w:r w:rsidRPr="00A503E5">
        <w:t>00245-20 (2020). https://doi.org/10.1128/mSystems.00245-20.</w:t>
      </w:r>
    </w:p>
    <w:p w14:paraId="0D9142C8" w14:textId="77777777" w:rsidR="00B94A61" w:rsidRPr="00A503E5" w:rsidRDefault="00B94A61" w:rsidP="00B67D20">
      <w:pPr>
        <w:pStyle w:val="referenceitem"/>
        <w:rPr>
          <w:sz w:val="20"/>
        </w:rPr>
      </w:pPr>
      <w:proofErr w:type="spellStart"/>
      <w:r w:rsidRPr="00A503E5">
        <w:t>Bereitschaf</w:t>
      </w:r>
      <w:proofErr w:type="spellEnd"/>
      <w:r w:rsidRPr="00A503E5">
        <w:t xml:space="preserve"> B., </w:t>
      </w:r>
      <w:proofErr w:type="spellStart"/>
      <w:r w:rsidRPr="00A503E5">
        <w:t>Scheller</w:t>
      </w:r>
      <w:proofErr w:type="spellEnd"/>
      <w:r w:rsidRPr="00A503E5">
        <w:t xml:space="preserve"> </w:t>
      </w:r>
      <w:proofErr w:type="spellStart"/>
      <w:proofErr w:type="gramStart"/>
      <w:r w:rsidRPr="00A503E5">
        <w:t>D.:How</w:t>
      </w:r>
      <w:proofErr w:type="spellEnd"/>
      <w:proofErr w:type="gramEnd"/>
      <w:r w:rsidRPr="00A503E5">
        <w:t xml:space="preserve"> Might the COVID-19 Pandemic Affect 21st Century Urban Design, Planning, and Development? Urban Science 4, 0056 (2020</w:t>
      </w:r>
      <w:proofErr w:type="gramStart"/>
      <w:r w:rsidRPr="00A503E5">
        <w:t>).doi</w:t>
      </w:r>
      <w:proofErr w:type="gramEnd"/>
      <w:r w:rsidRPr="00A503E5">
        <w:t>:10.3390/urbansci4040056</w:t>
      </w:r>
      <w:r w:rsidR="00967B08" w:rsidRPr="00A503E5">
        <w:t>.</w:t>
      </w:r>
    </w:p>
    <w:p w14:paraId="18BBBBA4" w14:textId="77777777" w:rsidR="00B94A61" w:rsidRPr="00A503E5" w:rsidRDefault="00B94A61" w:rsidP="00B67D20">
      <w:pPr>
        <w:pStyle w:val="referenceitem"/>
        <w:rPr>
          <w:sz w:val="20"/>
        </w:rPr>
      </w:pPr>
      <w:r w:rsidRPr="00A503E5">
        <w:t>Keenan J. M.: COVID, resilience, and the built environment. Environment Systems and Decisions 40, 216–221 (2020). https://doi.org/10.1007/s10669-020-09773-0.</w:t>
      </w:r>
    </w:p>
    <w:p w14:paraId="751A32E7" w14:textId="77777777" w:rsidR="00B94A61" w:rsidRPr="00A503E5" w:rsidRDefault="00B94A61" w:rsidP="00B67D20">
      <w:pPr>
        <w:pStyle w:val="referenceitem"/>
        <w:rPr>
          <w:sz w:val="20"/>
        </w:rPr>
      </w:pPr>
      <w:r w:rsidRPr="00A503E5">
        <w:t>Pinheiro M, Luís N.:</w:t>
      </w:r>
      <w:r w:rsidR="009B7952" w:rsidRPr="00A503E5">
        <w:t xml:space="preserve"> </w:t>
      </w:r>
      <w:r w:rsidRPr="00A503E5">
        <w:t>COVID-19 Could Leverage a Sustainable Built Environment. Sustainability 12, 5863 (2020). doi:10.3390/su12145863.</w:t>
      </w:r>
    </w:p>
    <w:p w14:paraId="091FCE31" w14:textId="77777777" w:rsidR="00B94A61" w:rsidRPr="00A503E5" w:rsidRDefault="00B94A61" w:rsidP="00B67D20">
      <w:pPr>
        <w:pStyle w:val="referenceitem"/>
        <w:rPr>
          <w:sz w:val="20"/>
        </w:rPr>
      </w:pPr>
      <w:proofErr w:type="spellStart"/>
      <w:r w:rsidRPr="00A503E5">
        <w:t>Kelman</w:t>
      </w:r>
      <w:proofErr w:type="spellEnd"/>
      <w:r w:rsidRPr="00A503E5">
        <w:t xml:space="preserve"> I.: Linking disaster risk reduction, climate change, and the sustainable development goals. Disaster Prevention and Management, 26(3) 254-258 (2017). </w:t>
      </w:r>
      <w:proofErr w:type="spellStart"/>
      <w:r w:rsidRPr="00A503E5">
        <w:t>doi</w:t>
      </w:r>
      <w:proofErr w:type="spellEnd"/>
      <w:r w:rsidRPr="00A503E5">
        <w:t>: 10.1108/DPM-02-2017-0043.</w:t>
      </w:r>
    </w:p>
    <w:p w14:paraId="2435F476" w14:textId="77777777" w:rsidR="00B94A61" w:rsidRPr="00A503E5" w:rsidRDefault="00B94A61" w:rsidP="00B67D20">
      <w:pPr>
        <w:pStyle w:val="referenceitem"/>
        <w:rPr>
          <w:sz w:val="20"/>
        </w:rPr>
      </w:pPr>
      <w:proofErr w:type="spellStart"/>
      <w:r w:rsidRPr="00A503E5">
        <w:t>Aitsi-Selmi</w:t>
      </w:r>
      <w:proofErr w:type="spellEnd"/>
      <w:r w:rsidRPr="00A503E5">
        <w:t xml:space="preserve"> A., Murray </w:t>
      </w:r>
      <w:proofErr w:type="spellStart"/>
      <w:proofErr w:type="gramStart"/>
      <w:r w:rsidRPr="00A503E5">
        <w:t>V.:Protecting</w:t>
      </w:r>
      <w:proofErr w:type="spellEnd"/>
      <w:proofErr w:type="gramEnd"/>
      <w:r w:rsidRPr="00A503E5">
        <w:t xml:space="preserve"> the health and well-being of populations from disasters: health and health care in The Sendai Framework for Disaster Risk Reduction 2015-2030. </w:t>
      </w:r>
      <w:proofErr w:type="spellStart"/>
      <w:r w:rsidRPr="00A503E5">
        <w:t>Prehosp</w:t>
      </w:r>
      <w:proofErr w:type="spellEnd"/>
      <w:r w:rsidRPr="00A503E5">
        <w:t xml:space="preserve"> Disaster Med 31(1) 74-78 (2016). doi:10.1017/S1049023X15005531.</w:t>
      </w:r>
    </w:p>
    <w:p w14:paraId="44F0115B" w14:textId="77777777" w:rsidR="00B94A61" w:rsidRPr="00A503E5" w:rsidRDefault="00B94A61" w:rsidP="00B67D20">
      <w:pPr>
        <w:pStyle w:val="referenceitem"/>
      </w:pPr>
      <w:proofErr w:type="spellStart"/>
      <w:r w:rsidRPr="00A503E5">
        <w:t>Djalante</w:t>
      </w:r>
      <w:proofErr w:type="spellEnd"/>
      <w:r w:rsidRPr="00A503E5">
        <w:t xml:space="preserve"> R., Shaw R., </w:t>
      </w:r>
      <w:proofErr w:type="spellStart"/>
      <w:r w:rsidRPr="00A503E5">
        <w:t>DeWit</w:t>
      </w:r>
      <w:proofErr w:type="spellEnd"/>
      <w:r w:rsidRPr="00A503E5">
        <w:t xml:space="preserve"> </w:t>
      </w:r>
      <w:proofErr w:type="spellStart"/>
      <w:proofErr w:type="gramStart"/>
      <w:r w:rsidRPr="00A503E5">
        <w:t>A.:Building</w:t>
      </w:r>
      <w:proofErr w:type="spellEnd"/>
      <w:proofErr w:type="gramEnd"/>
      <w:r w:rsidRPr="00A503E5">
        <w:t xml:space="preserve"> resilience against biological hazards and pandemics: COVID-19 and its implications for the Sendai Framework. Progress in Disaster Science 6, 100080 (2020). </w:t>
      </w:r>
      <w:hyperlink r:id="rId9" w:history="1">
        <w:r w:rsidRPr="00A503E5">
          <w:rPr>
            <w:rStyle w:val="Hyperlink"/>
            <w:szCs w:val="18"/>
          </w:rPr>
          <w:t>http://dx.doi.org/10.1016/j.pdisas.2020.100080</w:t>
        </w:r>
      </w:hyperlink>
      <w:r w:rsidRPr="00A503E5">
        <w:t>.</w:t>
      </w:r>
    </w:p>
    <w:p w14:paraId="48D6BCA1" w14:textId="77777777" w:rsidR="00B94A61" w:rsidRPr="00A503E5" w:rsidRDefault="00B94A61" w:rsidP="00B67D20">
      <w:pPr>
        <w:pStyle w:val="referenceitem"/>
      </w:pPr>
      <w:proofErr w:type="spellStart"/>
      <w:r w:rsidRPr="00A503E5">
        <w:t>DeWit</w:t>
      </w:r>
      <w:proofErr w:type="spellEnd"/>
      <w:r w:rsidRPr="00A503E5">
        <w:t xml:space="preserve"> A., Shaw R., </w:t>
      </w:r>
      <w:proofErr w:type="spellStart"/>
      <w:r w:rsidRPr="00A503E5">
        <w:t>Djalante</w:t>
      </w:r>
      <w:proofErr w:type="spellEnd"/>
      <w:r w:rsidRPr="00A503E5">
        <w:t xml:space="preserve"> </w:t>
      </w:r>
      <w:proofErr w:type="spellStart"/>
      <w:proofErr w:type="gramStart"/>
      <w:r w:rsidRPr="00A503E5">
        <w:t>R.:An</w:t>
      </w:r>
      <w:proofErr w:type="spellEnd"/>
      <w:proofErr w:type="gramEnd"/>
      <w:r w:rsidRPr="00A503E5">
        <w:t xml:space="preserve"> integrated approach to sustainable development, National Resilience, and COVID-19 responses: The case of Japan. International Journal of Disaster Risk Reduction 51, 101808 (2020). </w:t>
      </w:r>
      <w:hyperlink r:id="rId10" w:history="1">
        <w:r w:rsidRPr="00A503E5">
          <w:rPr>
            <w:rStyle w:val="Hyperlink"/>
            <w:szCs w:val="18"/>
          </w:rPr>
          <w:t>https://doi.org/10.1016/j.ijdrr.2020.101808</w:t>
        </w:r>
      </w:hyperlink>
      <w:r w:rsidRPr="00A503E5">
        <w:t>.</w:t>
      </w:r>
    </w:p>
    <w:p w14:paraId="710F4DE4" w14:textId="77777777" w:rsidR="003F01ED" w:rsidRPr="00A503E5" w:rsidRDefault="003F01ED" w:rsidP="00B67D20">
      <w:pPr>
        <w:pStyle w:val="referenceitem"/>
      </w:pPr>
      <w:proofErr w:type="spellStart"/>
      <w:r w:rsidRPr="00A503E5">
        <w:t>Capolongo</w:t>
      </w:r>
      <w:proofErr w:type="spellEnd"/>
      <w:r w:rsidRPr="00A503E5">
        <w:t xml:space="preserve"> S., Rebecchi A., </w:t>
      </w:r>
      <w:proofErr w:type="spellStart"/>
      <w:r w:rsidRPr="00A503E5">
        <w:t>Buffoli</w:t>
      </w:r>
      <w:proofErr w:type="spellEnd"/>
      <w:r w:rsidRPr="00A503E5">
        <w:t xml:space="preserve"> M., </w:t>
      </w:r>
      <w:proofErr w:type="spellStart"/>
      <w:r w:rsidRPr="00A503E5">
        <w:t>Appolloni</w:t>
      </w:r>
      <w:proofErr w:type="spellEnd"/>
      <w:r w:rsidRPr="00A503E5">
        <w:t xml:space="preserve"> L., Signorelli C., </w:t>
      </w:r>
      <w:proofErr w:type="spellStart"/>
      <w:r w:rsidRPr="00A503E5">
        <w:t>Fara</w:t>
      </w:r>
      <w:proofErr w:type="spellEnd"/>
      <w:r w:rsidRPr="00A503E5">
        <w:t xml:space="preserve"> G.M., D'Alessandro D.: COVID-19 and Cities: from Urban Health strategies to the pandemic challenge. A Decalogue of Public Health opportunities. Acta Biomed. 91(2):13-22 (2020). doi:10.23750/</w:t>
      </w:r>
      <w:proofErr w:type="gramStart"/>
      <w:r w:rsidRPr="00A503E5">
        <w:t>abm.v</w:t>
      </w:r>
      <w:proofErr w:type="gramEnd"/>
      <w:r w:rsidRPr="00A503E5">
        <w:t>91i2.9615.</w:t>
      </w:r>
    </w:p>
    <w:p w14:paraId="732C291F" w14:textId="77777777" w:rsidR="003F01ED" w:rsidRPr="00A503E5" w:rsidRDefault="003F01ED" w:rsidP="00B67D20">
      <w:pPr>
        <w:pStyle w:val="referenceitem"/>
      </w:pPr>
      <w:r w:rsidRPr="00A503E5">
        <w:rPr>
          <w:lang w:val="it-IT"/>
        </w:rPr>
        <w:t xml:space="preserve">D'Alessandro D., Gola M., Appolloni L., Dettori M., Fara G.M., Rebecchi A., Settimo G., Capolongo S.: COVID-19 and Living space challenge. </w:t>
      </w:r>
      <w:r w:rsidRPr="00A503E5">
        <w:t>Well-being and Public Health recommendations for a healthy, safe, and sustainable housing. Acta Biomed. 91(9-S):61-75 (2020). doi:10.23750/</w:t>
      </w:r>
      <w:proofErr w:type="gramStart"/>
      <w:r w:rsidRPr="00A503E5">
        <w:t>abm.v</w:t>
      </w:r>
      <w:proofErr w:type="gramEnd"/>
      <w:r w:rsidRPr="00A503E5">
        <w:t>91i9-S.10115.</w:t>
      </w:r>
    </w:p>
    <w:p w14:paraId="00328FDD" w14:textId="77777777" w:rsidR="00B94A61" w:rsidRPr="00A503E5" w:rsidRDefault="00B94A61" w:rsidP="00B67D20">
      <w:pPr>
        <w:pStyle w:val="referenceitem"/>
      </w:pPr>
      <w:r w:rsidRPr="00A503E5">
        <w:t xml:space="preserve">World Health Organization, </w:t>
      </w:r>
      <w:r w:rsidR="00B76535" w:rsidRPr="00A503E5">
        <w:t>Suite of health service capacity assessments in the context of the COVID-19 pandemic, interim guidance, 2 November 2020</w:t>
      </w:r>
      <w:r w:rsidRPr="00A503E5">
        <w:t xml:space="preserve">, </w:t>
      </w:r>
      <w:r w:rsidR="00B76535" w:rsidRPr="00A503E5">
        <w:t> </w:t>
      </w:r>
      <w:hyperlink r:id="rId11" w:history="1">
        <w:r w:rsidR="00B76535" w:rsidRPr="00A503E5">
          <w:t>https://apps.who.int/iris/handle/10665/336278</w:t>
        </w:r>
      </w:hyperlink>
      <w:r w:rsidRPr="00A503E5">
        <w:t>, last accessed 2020/03/20.</w:t>
      </w:r>
    </w:p>
    <w:p w14:paraId="2EC5BFAB" w14:textId="77777777" w:rsidR="00B94A61" w:rsidRPr="00A503E5" w:rsidRDefault="00B94A61" w:rsidP="00B67D20">
      <w:pPr>
        <w:pStyle w:val="referenceitem"/>
      </w:pPr>
      <w:r w:rsidRPr="00A503E5">
        <w:t xml:space="preserve">Flynn S. E.: Higher Ground: The Sophisticated Healthcare Response of the </w:t>
      </w:r>
      <w:proofErr w:type="spellStart"/>
      <w:r w:rsidRPr="00A503E5">
        <w:t>SouthEast</w:t>
      </w:r>
      <w:proofErr w:type="spellEnd"/>
      <w:r w:rsidRPr="00A503E5">
        <w:t xml:space="preserve"> Texas Regional Advisory Council to Hurricane Harvey. Northeastern University Global Resilience Institute, Boston, MA (2018).</w:t>
      </w:r>
    </w:p>
    <w:p w14:paraId="7356C74E" w14:textId="77777777" w:rsidR="00B94A61" w:rsidRPr="00A503E5" w:rsidRDefault="00B94A61" w:rsidP="00B67D20">
      <w:pPr>
        <w:pStyle w:val="referenceitem"/>
      </w:pPr>
      <w:r w:rsidRPr="00A503E5">
        <w:lastRenderedPageBreak/>
        <w:t xml:space="preserve">World Health Organization &amp; Pan American Health Organization: Hospital safety index: guide for evaluators. 2nd ed. </w:t>
      </w:r>
      <w:r w:rsidR="00F551B1" w:rsidRPr="00A503E5">
        <w:t>WHO</w:t>
      </w:r>
      <w:r w:rsidRPr="00A503E5">
        <w:t>, Switzerland (2015). https://apps.who.int/iris/handle/10665/258966.</w:t>
      </w:r>
    </w:p>
    <w:p w14:paraId="6328EECC" w14:textId="77777777" w:rsidR="00B94A61" w:rsidRPr="00A503E5" w:rsidRDefault="00B94A61" w:rsidP="00B67D20">
      <w:pPr>
        <w:pStyle w:val="referenceitem"/>
      </w:pPr>
      <w:r w:rsidRPr="00A503E5">
        <w:t xml:space="preserve">Smith M., </w:t>
      </w:r>
      <w:proofErr w:type="spellStart"/>
      <w:r w:rsidRPr="00A503E5">
        <w:t>Feied</w:t>
      </w:r>
      <w:proofErr w:type="spellEnd"/>
      <w:r w:rsidRPr="00A503E5">
        <w:t xml:space="preserve"> C., </w:t>
      </w:r>
      <w:proofErr w:type="spellStart"/>
      <w:r w:rsidRPr="00A503E5">
        <w:t>Pietrzak</w:t>
      </w:r>
      <w:proofErr w:type="spellEnd"/>
      <w:r w:rsidRPr="00A503E5">
        <w:t xml:space="preserve"> M.P., Pickard J., Hawkins </w:t>
      </w:r>
      <w:proofErr w:type="gramStart"/>
      <w:r w:rsidRPr="00A503E5">
        <w:t>R.</w:t>
      </w:r>
      <w:proofErr w:type="gramEnd"/>
      <w:r w:rsidRPr="00A503E5">
        <w:t xml:space="preserve"> and Vincent D: Project ER One Technical Reports, Phase I &amp; II. ER One Institute, Washington, DC (2003).</w:t>
      </w:r>
    </w:p>
    <w:p w14:paraId="345E04DE" w14:textId="77777777" w:rsidR="00B94A61" w:rsidRPr="00A503E5" w:rsidRDefault="00B94A61" w:rsidP="00B67D20">
      <w:pPr>
        <w:pStyle w:val="referenceitem"/>
      </w:pPr>
      <w:proofErr w:type="spellStart"/>
      <w:r w:rsidRPr="00A503E5">
        <w:t>Verheul</w:t>
      </w:r>
      <w:proofErr w:type="spellEnd"/>
      <w:r w:rsidRPr="00A503E5">
        <w:t xml:space="preserve"> M., </w:t>
      </w:r>
      <w:proofErr w:type="spellStart"/>
      <w:r w:rsidRPr="00A503E5">
        <w:t>Dückers</w:t>
      </w:r>
      <w:proofErr w:type="spellEnd"/>
      <w:r w:rsidRPr="00A503E5">
        <w:t xml:space="preserve"> M.: Defining and Operationalizing Disaster Preparedness in Hospitals: A Systematic Literature Review. </w:t>
      </w:r>
      <w:proofErr w:type="spellStart"/>
      <w:r w:rsidRPr="00A503E5">
        <w:t>Prehosp</w:t>
      </w:r>
      <w:proofErr w:type="spellEnd"/>
      <w:r w:rsidRPr="00A503E5">
        <w:t>. Disaster. Med. 35(1) 61-68 (2020). https://doi.org/10.1017/S1049023X19005181.</w:t>
      </w:r>
    </w:p>
    <w:p w14:paraId="15ED7CB0" w14:textId="77777777" w:rsidR="00B94A61" w:rsidRPr="00A503E5" w:rsidRDefault="00B94A61" w:rsidP="00B67D20">
      <w:pPr>
        <w:pStyle w:val="referenceitem"/>
      </w:pPr>
      <w:proofErr w:type="spellStart"/>
      <w:r w:rsidRPr="00A503E5">
        <w:t>Capolongo</w:t>
      </w:r>
      <w:proofErr w:type="spellEnd"/>
      <w:r w:rsidRPr="00A503E5">
        <w:t xml:space="preserve"> S</w:t>
      </w:r>
      <w:r w:rsidR="000A32F7" w:rsidRPr="00A503E5">
        <w:t>.</w:t>
      </w:r>
      <w:r w:rsidRPr="00A503E5">
        <w:t>, Gola M</w:t>
      </w:r>
      <w:r w:rsidR="000A32F7" w:rsidRPr="00A503E5">
        <w:t>.</w:t>
      </w:r>
      <w:r w:rsidRPr="00A503E5">
        <w:t>, Brambilla A</w:t>
      </w:r>
      <w:r w:rsidR="000A32F7" w:rsidRPr="00A503E5">
        <w:t>.</w:t>
      </w:r>
      <w:r w:rsidRPr="00A503E5">
        <w:t xml:space="preserve">, </w:t>
      </w:r>
      <w:proofErr w:type="spellStart"/>
      <w:r w:rsidRPr="00A503E5">
        <w:t>Morganti</w:t>
      </w:r>
      <w:proofErr w:type="spellEnd"/>
      <w:r w:rsidRPr="00A503E5">
        <w:t xml:space="preserve"> A</w:t>
      </w:r>
      <w:r w:rsidR="000A32F7" w:rsidRPr="00A503E5">
        <w:t>.</w:t>
      </w:r>
      <w:r w:rsidRPr="00A503E5">
        <w:t xml:space="preserve">, </w:t>
      </w:r>
      <w:proofErr w:type="spellStart"/>
      <w:r w:rsidRPr="00A503E5">
        <w:t>Mosca</w:t>
      </w:r>
      <w:proofErr w:type="spellEnd"/>
      <w:r w:rsidRPr="00A503E5">
        <w:t xml:space="preserve"> E</w:t>
      </w:r>
      <w:r w:rsidR="000A32F7" w:rsidRPr="00A503E5">
        <w:t>.</w:t>
      </w:r>
      <w:r w:rsidRPr="00A503E5">
        <w:t>I</w:t>
      </w:r>
      <w:r w:rsidR="000A32F7" w:rsidRPr="00A503E5">
        <w:t>.</w:t>
      </w:r>
      <w:r w:rsidRPr="00A503E5">
        <w:t xml:space="preserve">, </w:t>
      </w:r>
      <w:proofErr w:type="spellStart"/>
      <w:r w:rsidRPr="00A503E5">
        <w:t>Barach</w:t>
      </w:r>
      <w:proofErr w:type="spellEnd"/>
      <w:r w:rsidRPr="00A503E5">
        <w:t xml:space="preserve"> P.: COVID-19 and Healthcare Facilities: a Decalogue of Design Strategies for Resilient Hospitals. Acta Bio Med. 91 (9-S) 50-60 (2020). </w:t>
      </w:r>
      <w:proofErr w:type="spellStart"/>
      <w:proofErr w:type="gramStart"/>
      <w:r w:rsidRPr="00A503E5">
        <w:t>DOI:https</w:t>
      </w:r>
      <w:proofErr w:type="spellEnd"/>
      <w:r w:rsidRPr="00A503E5">
        <w:t>://doi.org/10.23750/abm.v91i9-S.10117</w:t>
      </w:r>
      <w:proofErr w:type="gramEnd"/>
      <w:r w:rsidRPr="00A503E5">
        <w:t>.</w:t>
      </w:r>
    </w:p>
    <w:p w14:paraId="52D51CB7" w14:textId="77777777" w:rsidR="000A32F7" w:rsidRPr="00A503E5" w:rsidRDefault="000A32F7" w:rsidP="00B67D20">
      <w:pPr>
        <w:pStyle w:val="referenceitem"/>
      </w:pPr>
      <w:proofErr w:type="spellStart"/>
      <w:r w:rsidRPr="00A503E5">
        <w:t>Armocida</w:t>
      </w:r>
      <w:proofErr w:type="spellEnd"/>
      <w:r w:rsidRPr="00A503E5">
        <w:t xml:space="preserve"> B., </w:t>
      </w:r>
      <w:proofErr w:type="spellStart"/>
      <w:r w:rsidRPr="00A503E5">
        <w:t>Formenti</w:t>
      </w:r>
      <w:proofErr w:type="spellEnd"/>
      <w:r w:rsidRPr="00A503E5">
        <w:t xml:space="preserve"> B., </w:t>
      </w:r>
      <w:proofErr w:type="spellStart"/>
      <w:r w:rsidRPr="00A503E5">
        <w:t>Ussai</w:t>
      </w:r>
      <w:proofErr w:type="spellEnd"/>
      <w:r w:rsidRPr="00A503E5">
        <w:t xml:space="preserve"> S., Palestra F., Missoni E.: The Italian health system and the COVID-19 challenge. Lancet Public Health. 5(5</w:t>
      </w:r>
      <w:proofErr w:type="gramStart"/>
      <w:r w:rsidRPr="00A503E5">
        <w:t>):e</w:t>
      </w:r>
      <w:proofErr w:type="gramEnd"/>
      <w:r w:rsidRPr="00A503E5">
        <w:t xml:space="preserve">253 (2020). </w:t>
      </w:r>
      <w:proofErr w:type="spellStart"/>
      <w:r w:rsidRPr="00A503E5">
        <w:t>doi</w:t>
      </w:r>
      <w:proofErr w:type="spellEnd"/>
      <w:r w:rsidRPr="00A503E5">
        <w:t>: 10.1016/S2468-2667(20)30074-8.</w:t>
      </w:r>
    </w:p>
    <w:p w14:paraId="54BB7BD6" w14:textId="77777777" w:rsidR="005B6A28" w:rsidRPr="00A503E5" w:rsidRDefault="000A32F7" w:rsidP="00B67D20">
      <w:pPr>
        <w:pStyle w:val="referenceitem"/>
      </w:pPr>
      <w:r w:rsidRPr="00A503E5">
        <w:t xml:space="preserve">Report on screening activities, </w:t>
      </w:r>
      <w:hyperlink r:id="rId12" w:history="1">
        <w:r w:rsidRPr="00A503E5">
          <w:t>https://www.osservatorionazionalescreening.it/content/rapporto-ripartenza-screening-maggio-2020</w:t>
        </w:r>
      </w:hyperlink>
      <w:r w:rsidRPr="00A503E5">
        <w:t>, last accessed 2021/03/20.</w:t>
      </w:r>
    </w:p>
    <w:p w14:paraId="378A950A" w14:textId="77777777" w:rsidR="00B04CC0" w:rsidRPr="00A503E5" w:rsidRDefault="00B04CC0" w:rsidP="00B67D20">
      <w:pPr>
        <w:pStyle w:val="referenceitem"/>
      </w:pPr>
      <w:proofErr w:type="spellStart"/>
      <w:r w:rsidRPr="00A503E5">
        <w:t>Torbica</w:t>
      </w:r>
      <w:proofErr w:type="spellEnd"/>
      <w:r w:rsidRPr="00A503E5">
        <w:t xml:space="preserve"> A., </w:t>
      </w:r>
      <w:proofErr w:type="spellStart"/>
      <w:r w:rsidRPr="00A503E5">
        <w:t>Fattore</w:t>
      </w:r>
      <w:proofErr w:type="spellEnd"/>
      <w:r w:rsidRPr="00A503E5">
        <w:t xml:space="preserve"> G.: The “Essential Levels of Care” in Italy: when being explicit serves the devolution of powers. Eur J Health Econ 6, 46–52 (2005). https://doi.org/10.1007/s10198-005-0318-x.</w:t>
      </w:r>
    </w:p>
    <w:p w14:paraId="5A84615F" w14:textId="77777777" w:rsidR="00A86160" w:rsidRPr="00A503E5" w:rsidRDefault="00B04CC0" w:rsidP="00B67D20">
      <w:pPr>
        <w:pStyle w:val="referenceitem"/>
      </w:pPr>
      <w:proofErr w:type="spellStart"/>
      <w:r w:rsidRPr="00A503E5">
        <w:t>Ferré</w:t>
      </w:r>
      <w:proofErr w:type="spellEnd"/>
      <w:r w:rsidRPr="00A503E5">
        <w:t xml:space="preserve"> F, de </w:t>
      </w:r>
      <w:proofErr w:type="spellStart"/>
      <w:r w:rsidRPr="00A503E5">
        <w:t>Belvis</w:t>
      </w:r>
      <w:proofErr w:type="spellEnd"/>
      <w:r w:rsidRPr="00A503E5">
        <w:t xml:space="preserve"> AG, Valerio L, </w:t>
      </w:r>
      <w:proofErr w:type="spellStart"/>
      <w:r w:rsidRPr="00A503E5">
        <w:t>Longhi</w:t>
      </w:r>
      <w:proofErr w:type="spellEnd"/>
      <w:r w:rsidRPr="00A503E5">
        <w:t xml:space="preserve"> S, </w:t>
      </w:r>
      <w:proofErr w:type="spellStart"/>
      <w:r w:rsidRPr="00A503E5">
        <w:t>Lazzari</w:t>
      </w:r>
      <w:proofErr w:type="spellEnd"/>
      <w:r w:rsidRPr="00A503E5">
        <w:t xml:space="preserve"> A, </w:t>
      </w:r>
      <w:proofErr w:type="spellStart"/>
      <w:r w:rsidRPr="00A503E5">
        <w:t>Fattore</w:t>
      </w:r>
      <w:proofErr w:type="spellEnd"/>
      <w:r w:rsidRPr="00A503E5">
        <w:t xml:space="preserve"> G, Ricciardi W, </w:t>
      </w:r>
      <w:proofErr w:type="spellStart"/>
      <w:r w:rsidRPr="00A503E5">
        <w:t>Maresso</w:t>
      </w:r>
      <w:proofErr w:type="spellEnd"/>
      <w:r w:rsidRPr="00A503E5">
        <w:t xml:space="preserve"> A.: Italy: Health System Review. Health Systems in Transition, 16(4):1–168 (2014).</w:t>
      </w:r>
    </w:p>
    <w:p w14:paraId="239850F5" w14:textId="77777777" w:rsidR="002B400D" w:rsidRPr="00A503E5" w:rsidRDefault="002B400D" w:rsidP="00B67D20">
      <w:pPr>
        <w:pStyle w:val="referenceitem"/>
      </w:pPr>
      <w:r w:rsidRPr="00A503E5">
        <w:rPr>
          <w:lang w:val="it-IT"/>
        </w:rPr>
        <w:t xml:space="preserve">Bosa I., Castelli A., Castelli M., Ciani O., Compagni A., Galizzi M.M., Garofano M., Ghislandi S., Giannoni M., Marini G., Vainieri M.: Response to COVID-19: was Italy (un)prepared? </w:t>
      </w:r>
      <w:r w:rsidRPr="00A503E5">
        <w:t xml:space="preserve">Health Econ Policy Law. 5:1-13 (2021). </w:t>
      </w:r>
      <w:proofErr w:type="spellStart"/>
      <w:r w:rsidRPr="00A503E5">
        <w:t>doi</w:t>
      </w:r>
      <w:proofErr w:type="spellEnd"/>
      <w:r w:rsidRPr="00A503E5">
        <w:t>: 10.1017/S1744133121000141.</w:t>
      </w:r>
    </w:p>
    <w:p w14:paraId="25667982" w14:textId="77777777" w:rsidR="00195493" w:rsidRPr="00A503E5" w:rsidRDefault="00195493" w:rsidP="00B67D20">
      <w:pPr>
        <w:pStyle w:val="referenceitem"/>
      </w:pPr>
      <w:r w:rsidRPr="00A503E5">
        <w:t xml:space="preserve">Official Gazette of the Italian Republic, </w:t>
      </w:r>
      <w:hyperlink r:id="rId13" w:history="1">
        <w:r w:rsidRPr="00A503E5">
          <w:t>https://www.gazzettaufficiale.it/dettaglioArea/12</w:t>
        </w:r>
      </w:hyperlink>
      <w:r w:rsidRPr="00A503E5">
        <w:t>, last accessed 2021/03/25.</w:t>
      </w:r>
    </w:p>
    <w:p w14:paraId="67503409" w14:textId="77777777" w:rsidR="00195493" w:rsidRPr="00A503E5" w:rsidRDefault="00195493" w:rsidP="00B67D20">
      <w:pPr>
        <w:pStyle w:val="referenceitem"/>
      </w:pPr>
      <w:r w:rsidRPr="00A503E5">
        <w:t xml:space="preserve">National Agency for Health Regional Services, </w:t>
      </w:r>
      <w:hyperlink r:id="rId14" w:history="1">
        <w:r w:rsidRPr="00A503E5">
          <w:t>https://www.agenas.gov.it/covid19/web/index.php?r=site%2Findex,last</w:t>
        </w:r>
      </w:hyperlink>
      <w:r w:rsidRPr="00A503E5">
        <w:t xml:space="preserve"> accessed 2021/03/25.</w:t>
      </w:r>
    </w:p>
    <w:p w14:paraId="0AE925DF" w14:textId="77777777" w:rsidR="00F551B1" w:rsidRPr="00A503E5" w:rsidRDefault="00F551B1" w:rsidP="00B67D20">
      <w:pPr>
        <w:pStyle w:val="referenceitem"/>
      </w:pPr>
      <w:r w:rsidRPr="00A503E5">
        <w:t>World Health Organization: Pandemic Influenza Risk Management. A WHO guide to inform &amp; harmonize national &amp; international pandemic preparedness and response. WHO, Geneva, Switzerland (2017</w:t>
      </w:r>
      <w:proofErr w:type="gramStart"/>
      <w:r w:rsidRPr="00A503E5">
        <w:t>).</w:t>
      </w:r>
      <w:proofErr w:type="gramEnd"/>
      <w:r w:rsidRPr="00A503E5">
        <w:t xml:space="preserve"> </w:t>
      </w:r>
      <w:hyperlink r:id="rId15" w:history="1">
        <w:r w:rsidRPr="00A503E5">
          <w:rPr>
            <w:rStyle w:val="Hyperlink"/>
          </w:rPr>
          <w:t>http://www.who.int/influenza/preparedness/pandemic/influenza_risk_management/en/</w:t>
        </w:r>
      </w:hyperlink>
      <w:r w:rsidRPr="00A503E5">
        <w:t>.</w:t>
      </w:r>
    </w:p>
    <w:p w14:paraId="2D5EA55E" w14:textId="77777777" w:rsidR="00F5401D" w:rsidRPr="00E843B3" w:rsidRDefault="00F551B1" w:rsidP="00E843B3">
      <w:pPr>
        <w:pStyle w:val="referenceitem"/>
      </w:pPr>
      <w:proofErr w:type="spellStart"/>
      <w:r w:rsidRPr="00A503E5">
        <w:t>Ministero</w:t>
      </w:r>
      <w:proofErr w:type="spellEnd"/>
      <w:r w:rsidRPr="00A503E5">
        <w:t xml:space="preserve"> </w:t>
      </w:r>
      <w:proofErr w:type="spellStart"/>
      <w:r w:rsidRPr="00A503E5">
        <w:t>della</w:t>
      </w:r>
      <w:proofErr w:type="spellEnd"/>
      <w:r w:rsidRPr="00A503E5">
        <w:t xml:space="preserve"> Salute - </w:t>
      </w:r>
      <w:proofErr w:type="spellStart"/>
      <w:r w:rsidRPr="00A503E5">
        <w:t>Istituto</w:t>
      </w:r>
      <w:proofErr w:type="spellEnd"/>
      <w:r w:rsidRPr="00A503E5">
        <w:t xml:space="preserve"> </w:t>
      </w:r>
      <w:proofErr w:type="spellStart"/>
      <w:r w:rsidRPr="00A503E5">
        <w:t>Superiore</w:t>
      </w:r>
      <w:proofErr w:type="spellEnd"/>
      <w:r w:rsidRPr="00A503E5">
        <w:t xml:space="preserve"> di </w:t>
      </w:r>
      <w:proofErr w:type="spellStart"/>
      <w:r w:rsidRPr="00A503E5">
        <w:t>Sanità</w:t>
      </w:r>
      <w:proofErr w:type="spellEnd"/>
      <w:r w:rsidRPr="00A503E5">
        <w:t xml:space="preserve">: Prevention and response to COVID-19: evolution of strategy and planning in the transition phase for the autumn-winter season. </w:t>
      </w:r>
      <w:proofErr w:type="spellStart"/>
      <w:r w:rsidRPr="00A503E5">
        <w:t>Ministero</w:t>
      </w:r>
      <w:proofErr w:type="spellEnd"/>
      <w:r w:rsidRPr="00A503E5">
        <w:t xml:space="preserve"> </w:t>
      </w:r>
      <w:proofErr w:type="spellStart"/>
      <w:r w:rsidRPr="00A503E5">
        <w:t>della</w:t>
      </w:r>
      <w:proofErr w:type="spellEnd"/>
      <w:r w:rsidRPr="00A503E5">
        <w:t xml:space="preserve"> Salute, </w:t>
      </w:r>
      <w:proofErr w:type="spellStart"/>
      <w:r w:rsidRPr="00A503E5">
        <w:t>Istituto</w:t>
      </w:r>
      <w:proofErr w:type="spellEnd"/>
      <w:r w:rsidRPr="00A503E5">
        <w:t xml:space="preserve"> </w:t>
      </w:r>
      <w:proofErr w:type="spellStart"/>
      <w:r w:rsidRPr="00A503E5">
        <w:t>Superiore</w:t>
      </w:r>
      <w:proofErr w:type="spellEnd"/>
      <w:r w:rsidRPr="00A503E5">
        <w:t xml:space="preserve"> di </w:t>
      </w:r>
      <w:proofErr w:type="spellStart"/>
      <w:r w:rsidRPr="00A503E5">
        <w:t>Sanità</w:t>
      </w:r>
      <w:proofErr w:type="spellEnd"/>
      <w:r w:rsidRPr="00A503E5">
        <w:t>, Rome, Italy (2020).</w:t>
      </w:r>
    </w:p>
    <w:p w14:paraId="22FADA52" w14:textId="77777777" w:rsidR="00F5401D" w:rsidRPr="00A503E5" w:rsidRDefault="00F5401D" w:rsidP="00A503E5">
      <w:pPr>
        <w:pStyle w:val="referenceitem"/>
        <w:numPr>
          <w:ilvl w:val="0"/>
          <w:numId w:val="0"/>
        </w:numPr>
        <w:rPr>
          <w:sz w:val="20"/>
          <w:lang w:val="it-IT"/>
        </w:rPr>
      </w:pPr>
    </w:p>
    <w:sectPr w:rsidR="00F5401D" w:rsidRPr="00A503E5" w:rsidSect="00630926">
      <w:headerReference w:type="even" r:id="rId16"/>
      <w:headerReference w:type="default" r:id="rId17"/>
      <w:pgSz w:w="11906" w:h="16838" w:code="9"/>
      <w:pgMar w:top="2948" w:right="2494" w:bottom="2948" w:left="2494" w:header="2381" w:footer="2324" w:gutter="0"/>
      <w:cols w:space="227"/>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A86C" w14:textId="77777777" w:rsidR="00813272" w:rsidRDefault="00813272">
      <w:r>
        <w:separator/>
      </w:r>
    </w:p>
  </w:endnote>
  <w:endnote w:type="continuationSeparator" w:id="0">
    <w:p w14:paraId="124BE749" w14:textId="77777777" w:rsidR="00813272" w:rsidRDefault="00813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64718" w14:textId="77777777" w:rsidR="00813272" w:rsidRDefault="00813272" w:rsidP="009F7FCE">
      <w:pPr>
        <w:ind w:firstLine="0"/>
      </w:pPr>
      <w:r>
        <w:separator/>
      </w:r>
    </w:p>
  </w:footnote>
  <w:footnote w:type="continuationSeparator" w:id="0">
    <w:p w14:paraId="2BD8667F" w14:textId="77777777" w:rsidR="00813272" w:rsidRDefault="00813272" w:rsidP="009F7FCE">
      <w:pPr>
        <w:ind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5FEB3" w14:textId="77777777" w:rsidR="009B2539" w:rsidRDefault="009B2539" w:rsidP="00F321B4">
    <w:pPr>
      <w:pStyle w:val="Header"/>
    </w:pPr>
    <w:r>
      <w:fldChar w:fldCharType="begin"/>
    </w:r>
    <w:r>
      <w:instrText>PAGE   \* MERGEFORMAT</w:instrText>
    </w:r>
    <w:r>
      <w:fldChar w:fldCharType="separate"/>
    </w:r>
    <w:r w:rsidR="00DC2CA9">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4DF9" w14:textId="77777777" w:rsidR="002D48C5" w:rsidRDefault="002D48C5" w:rsidP="002D48C5">
    <w:pPr>
      <w:pStyle w:val="Header"/>
      <w:jc w:val="right"/>
    </w:pPr>
    <w:r>
      <w:fldChar w:fldCharType="begin"/>
    </w:r>
    <w:r>
      <w:instrText>PAGE   \* MERGEFORMAT</w:instrText>
    </w:r>
    <w:r>
      <w:fldChar w:fldCharType="separate"/>
    </w:r>
    <w:r w:rsidR="001A02F0">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C2671"/>
    <w:multiLevelType w:val="multilevel"/>
    <w:tmpl w:val="D5827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62525C"/>
    <w:multiLevelType w:val="hybridMultilevel"/>
    <w:tmpl w:val="FCBEB164"/>
    <w:lvl w:ilvl="0" w:tplc="E4063CA6">
      <w:start w:val="1"/>
      <w:numFmt w:val="bullet"/>
      <w:lvlText w:val="-"/>
      <w:lvlJc w:val="left"/>
      <w:pPr>
        <w:ind w:left="587" w:hanging="360"/>
      </w:pPr>
      <w:rPr>
        <w:rFonts w:ascii="Times New Roman" w:eastAsia="Times New Roman" w:hAnsi="Times New Roman" w:cs="Times New Roman"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 w15:restartNumberingAfterBreak="0">
    <w:nsid w:val="19B745AD"/>
    <w:multiLevelType w:val="hybridMultilevel"/>
    <w:tmpl w:val="98EC3258"/>
    <w:lvl w:ilvl="0" w:tplc="042E9CEC">
      <w:start w:val="1"/>
      <w:numFmt w:val="bullet"/>
      <w:lvlText w:val=""/>
      <w:lvlJc w:val="left"/>
      <w:pPr>
        <w:ind w:left="587" w:hanging="360"/>
      </w:pPr>
      <w:rPr>
        <w:rFonts w:ascii="Symbol" w:eastAsia="Times New Roman" w:hAnsi="Symbol" w:cs="Times New Roman"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3" w15:restartNumberingAfterBreak="0">
    <w:nsid w:val="1F3978F2"/>
    <w:multiLevelType w:val="multilevel"/>
    <w:tmpl w:val="68F61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397F84"/>
    <w:multiLevelType w:val="multilevel"/>
    <w:tmpl w:val="5BB6E8EC"/>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5" w15:restartNumberingAfterBreak="0">
    <w:nsid w:val="314D24B4"/>
    <w:multiLevelType w:val="hybridMultilevel"/>
    <w:tmpl w:val="56544108"/>
    <w:lvl w:ilvl="0" w:tplc="1682C454">
      <w:start w:val="1"/>
      <w:numFmt w:val="bullet"/>
      <w:lvlText w:val=""/>
      <w:lvlJc w:val="left"/>
      <w:pPr>
        <w:ind w:left="947" w:hanging="360"/>
      </w:pPr>
      <w:rPr>
        <w:rFonts w:ascii="Symbol" w:eastAsia="Times New Roman" w:hAnsi="Symbol" w:cs="Times New Roman"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6" w15:restartNumberingAfterBreak="0">
    <w:nsid w:val="39A07115"/>
    <w:multiLevelType w:val="hybridMultilevel"/>
    <w:tmpl w:val="D8FA98EE"/>
    <w:lvl w:ilvl="0" w:tplc="167E6298">
      <w:start w:val="1"/>
      <w:numFmt w:val="bullet"/>
      <w:lvlText w:val=""/>
      <w:lvlJc w:val="left"/>
      <w:pPr>
        <w:ind w:left="587" w:hanging="360"/>
      </w:pPr>
      <w:rPr>
        <w:rFonts w:ascii="Symbol" w:eastAsia="Times New Roman" w:hAnsi="Symbol" w:cs="Times New Roman"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7" w15:restartNumberingAfterBreak="0">
    <w:nsid w:val="3CB77C97"/>
    <w:multiLevelType w:val="hybridMultilevel"/>
    <w:tmpl w:val="FBCC61D8"/>
    <w:lvl w:ilvl="0" w:tplc="F4FC0750">
      <w:numFmt w:val="bullet"/>
      <w:lvlText w:val="-"/>
      <w:lvlJc w:val="left"/>
      <w:pPr>
        <w:ind w:left="587" w:hanging="360"/>
      </w:pPr>
      <w:rPr>
        <w:rFonts w:ascii="Times New Roman" w:eastAsia="Times New Roman" w:hAnsi="Times New Roman" w:cs="Times New Roman" w:hint="default"/>
        <w:color w:val="000000"/>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8" w15:restartNumberingAfterBreak="0">
    <w:nsid w:val="6F404C9F"/>
    <w:multiLevelType w:val="multilevel"/>
    <w:tmpl w:val="412EFA90"/>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9" w15:restartNumberingAfterBreak="0">
    <w:nsid w:val="754B0BD4"/>
    <w:multiLevelType w:val="hybridMultilevel"/>
    <w:tmpl w:val="CA3CFDF0"/>
    <w:lvl w:ilvl="0" w:tplc="DBA843AE">
      <w:numFmt w:val="bullet"/>
      <w:lvlText w:val=""/>
      <w:lvlJc w:val="left"/>
      <w:pPr>
        <w:ind w:left="587" w:hanging="360"/>
      </w:pPr>
      <w:rPr>
        <w:rFonts w:ascii="Symbol" w:eastAsia="Times New Roman" w:hAnsi="Symbol" w:cs="Times New Roman"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0" w15:restartNumberingAfterBreak="0">
    <w:nsid w:val="7738779A"/>
    <w:multiLevelType w:val="multilevel"/>
    <w:tmpl w:val="070CB246"/>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B274BC8"/>
    <w:multiLevelType w:val="multilevel"/>
    <w:tmpl w:val="D3480CD4"/>
    <w:styleLink w:val="arabnumitem"/>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227"/>
        </w:tabs>
        <w:ind w:left="454" w:hanging="227"/>
      </w:pPr>
      <w:rPr>
        <w:rFonts w:hint="default"/>
      </w:rPr>
    </w:lvl>
    <w:lvl w:ilvl="2">
      <w:start w:val="1"/>
      <w:numFmt w:val="decimal"/>
      <w:lvlText w:val="(%3)"/>
      <w:lvlJc w:val="left"/>
      <w:pPr>
        <w:tabs>
          <w:tab w:val="num" w:pos="454"/>
        </w:tabs>
        <w:ind w:left="794" w:hanging="340"/>
      </w:pPr>
      <w:rPr>
        <w:rFonts w:hint="default"/>
      </w:rPr>
    </w:lvl>
    <w:lvl w:ilvl="3">
      <w:start w:val="1"/>
      <w:numFmt w:val="lowerRoman"/>
      <w:lvlText w:val="%4."/>
      <w:lvlJc w:val="left"/>
      <w:pPr>
        <w:tabs>
          <w:tab w:val="num" w:pos="794"/>
        </w:tabs>
        <w:ind w:left="1077" w:hanging="283"/>
      </w:pPr>
      <w:rPr>
        <w:rFonts w:hint="default"/>
      </w:rPr>
    </w:lvl>
    <w:lvl w:ilvl="4">
      <w:start w:val="1"/>
      <w:numFmt w:val="lowerLetter"/>
      <w:lvlText w:val="(%5)"/>
      <w:lvlJc w:val="left"/>
      <w:pPr>
        <w:tabs>
          <w:tab w:val="num" w:pos="1077"/>
        </w:tabs>
        <w:ind w:left="1360" w:hanging="283"/>
      </w:pPr>
      <w:rPr>
        <w:rFonts w:hint="default"/>
      </w:rPr>
    </w:lvl>
    <w:lvl w:ilvl="5">
      <w:start w:val="1"/>
      <w:numFmt w:val="upperLetter"/>
      <w:lvlText w:val="%6."/>
      <w:lvlJc w:val="left"/>
      <w:pPr>
        <w:tabs>
          <w:tab w:val="num" w:pos="1360"/>
        </w:tabs>
        <w:ind w:left="1700" w:hanging="340"/>
      </w:pPr>
      <w:rPr>
        <w:rFonts w:hint="default"/>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9521C8"/>
    <w:multiLevelType w:val="multilevel"/>
    <w:tmpl w:val="A3F20E90"/>
    <w:styleLink w:val="referencelist"/>
    <w:lvl w:ilvl="0">
      <w:start w:val="1"/>
      <w:numFmt w:val="decimal"/>
      <w:pStyle w:val="referenceitem"/>
      <w:lvlText w:val="%1."/>
      <w:lvlJc w:val="right"/>
      <w:pPr>
        <w:tabs>
          <w:tab w:val="num" w:pos="341"/>
        </w:tabs>
        <w:ind w:left="341"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4"/>
  </w:num>
  <w:num w:numId="2">
    <w:abstractNumId w:val="4"/>
  </w:num>
  <w:num w:numId="3">
    <w:abstractNumId w:val="8"/>
  </w:num>
  <w:num w:numId="4">
    <w:abstractNumId w:val="8"/>
  </w:num>
  <w:num w:numId="5">
    <w:abstractNumId w:val="11"/>
  </w:num>
  <w:num w:numId="6">
    <w:abstractNumId w:val="11"/>
  </w:num>
  <w:num w:numId="7">
    <w:abstractNumId w:val="10"/>
  </w:num>
  <w:num w:numId="8">
    <w:abstractNumId w:val="12"/>
  </w:num>
  <w:num w:numId="9">
    <w:abstractNumId w:val="12"/>
  </w:num>
  <w:num w:numId="10">
    <w:abstractNumId w:val="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2"/>
  </w:num>
  <w:num w:numId="14">
    <w:abstractNumId w:val="0"/>
  </w:num>
  <w:num w:numId="15">
    <w:abstractNumId w:val="9"/>
  </w:num>
  <w:num w:numId="16">
    <w:abstractNumId w:val="12"/>
  </w:num>
  <w:num w:numId="17">
    <w:abstractNumId w:val="12"/>
  </w:num>
  <w:num w:numId="18">
    <w:abstractNumId w:val="12"/>
  </w:num>
  <w:num w:numId="19">
    <w:abstractNumId w:val="2"/>
  </w:num>
  <w:num w:numId="20">
    <w:abstractNumId w:val="5"/>
  </w:num>
  <w:num w:numId="21">
    <w:abstractNumId w:val="6"/>
  </w:num>
  <w:num w:numId="22">
    <w:abstractNumId w:val="10"/>
    <w:lvlOverride w:ilvl="0">
      <w:startOverride w:val="1"/>
    </w:lvlOverride>
  </w:num>
  <w:num w:numId="23">
    <w:abstractNumId w:val="1"/>
  </w:num>
  <w:num w:numId="2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27"/>
  <w:autoHyphenation/>
  <w:hyphenationZone w:val="400"/>
  <w:doNotHyphenateCaps/>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FCE"/>
    <w:rsid w:val="0000338A"/>
    <w:rsid w:val="00025DE7"/>
    <w:rsid w:val="00073A44"/>
    <w:rsid w:val="00076FAB"/>
    <w:rsid w:val="000A04F1"/>
    <w:rsid w:val="000A2A2F"/>
    <w:rsid w:val="000A32F7"/>
    <w:rsid w:val="000B4670"/>
    <w:rsid w:val="000B7E7F"/>
    <w:rsid w:val="000D6041"/>
    <w:rsid w:val="00121139"/>
    <w:rsid w:val="00130F92"/>
    <w:rsid w:val="00152AEC"/>
    <w:rsid w:val="0017399F"/>
    <w:rsid w:val="001767F8"/>
    <w:rsid w:val="00195493"/>
    <w:rsid w:val="001A02F0"/>
    <w:rsid w:val="001A02F6"/>
    <w:rsid w:val="001A03A9"/>
    <w:rsid w:val="001F1531"/>
    <w:rsid w:val="002125F7"/>
    <w:rsid w:val="00221055"/>
    <w:rsid w:val="00223A72"/>
    <w:rsid w:val="002272A6"/>
    <w:rsid w:val="002346F5"/>
    <w:rsid w:val="002414CF"/>
    <w:rsid w:val="002416F4"/>
    <w:rsid w:val="0024261D"/>
    <w:rsid w:val="00275B5E"/>
    <w:rsid w:val="002A2C0F"/>
    <w:rsid w:val="002B400D"/>
    <w:rsid w:val="002C6E63"/>
    <w:rsid w:val="002D0EE1"/>
    <w:rsid w:val="002D2333"/>
    <w:rsid w:val="002D48C5"/>
    <w:rsid w:val="002D6A84"/>
    <w:rsid w:val="002D6D76"/>
    <w:rsid w:val="002E1C3A"/>
    <w:rsid w:val="00310A16"/>
    <w:rsid w:val="0032522D"/>
    <w:rsid w:val="00367374"/>
    <w:rsid w:val="003A01A0"/>
    <w:rsid w:val="003A6910"/>
    <w:rsid w:val="003B614D"/>
    <w:rsid w:val="003E1F1B"/>
    <w:rsid w:val="003F01ED"/>
    <w:rsid w:val="003F4C96"/>
    <w:rsid w:val="00404345"/>
    <w:rsid w:val="00411C09"/>
    <w:rsid w:val="00411D88"/>
    <w:rsid w:val="004351BC"/>
    <w:rsid w:val="00441DEE"/>
    <w:rsid w:val="00443F69"/>
    <w:rsid w:val="0049288A"/>
    <w:rsid w:val="004D1819"/>
    <w:rsid w:val="004D4B67"/>
    <w:rsid w:val="004F258D"/>
    <w:rsid w:val="005249E8"/>
    <w:rsid w:val="00535A29"/>
    <w:rsid w:val="005565BA"/>
    <w:rsid w:val="00565755"/>
    <w:rsid w:val="00584131"/>
    <w:rsid w:val="005A755F"/>
    <w:rsid w:val="005B0440"/>
    <w:rsid w:val="005B2D20"/>
    <w:rsid w:val="005B5A43"/>
    <w:rsid w:val="005B6A28"/>
    <w:rsid w:val="005D6F75"/>
    <w:rsid w:val="005F2117"/>
    <w:rsid w:val="006032DF"/>
    <w:rsid w:val="00603C84"/>
    <w:rsid w:val="0061100E"/>
    <w:rsid w:val="00617197"/>
    <w:rsid w:val="00630926"/>
    <w:rsid w:val="00635DB9"/>
    <w:rsid w:val="00650BBC"/>
    <w:rsid w:val="006608DD"/>
    <w:rsid w:val="00664843"/>
    <w:rsid w:val="006724AF"/>
    <w:rsid w:val="00674743"/>
    <w:rsid w:val="00681AF0"/>
    <w:rsid w:val="006A59F8"/>
    <w:rsid w:val="006B1DD2"/>
    <w:rsid w:val="006B3C0F"/>
    <w:rsid w:val="006D1DD2"/>
    <w:rsid w:val="00702EC7"/>
    <w:rsid w:val="0070633E"/>
    <w:rsid w:val="00733D90"/>
    <w:rsid w:val="0073786C"/>
    <w:rsid w:val="00753D0D"/>
    <w:rsid w:val="00773747"/>
    <w:rsid w:val="007A1867"/>
    <w:rsid w:val="007A76F2"/>
    <w:rsid w:val="007B5EEE"/>
    <w:rsid w:val="007C3248"/>
    <w:rsid w:val="007E4707"/>
    <w:rsid w:val="007E529E"/>
    <w:rsid w:val="007F52F5"/>
    <w:rsid w:val="007F5AF4"/>
    <w:rsid w:val="007F5B96"/>
    <w:rsid w:val="00813272"/>
    <w:rsid w:val="00825C83"/>
    <w:rsid w:val="00832613"/>
    <w:rsid w:val="00846511"/>
    <w:rsid w:val="00867BA7"/>
    <w:rsid w:val="00881C1F"/>
    <w:rsid w:val="0088288B"/>
    <w:rsid w:val="00894FD5"/>
    <w:rsid w:val="008B0A76"/>
    <w:rsid w:val="008E3246"/>
    <w:rsid w:val="008F2545"/>
    <w:rsid w:val="008F2D4C"/>
    <w:rsid w:val="0090531E"/>
    <w:rsid w:val="0091048C"/>
    <w:rsid w:val="00950F02"/>
    <w:rsid w:val="00952347"/>
    <w:rsid w:val="00963382"/>
    <w:rsid w:val="00967B08"/>
    <w:rsid w:val="009767F3"/>
    <w:rsid w:val="00984F77"/>
    <w:rsid w:val="009930E4"/>
    <w:rsid w:val="009A4531"/>
    <w:rsid w:val="009A4D00"/>
    <w:rsid w:val="009B2539"/>
    <w:rsid w:val="009B63BD"/>
    <w:rsid w:val="009B7952"/>
    <w:rsid w:val="009C50A4"/>
    <w:rsid w:val="009D661C"/>
    <w:rsid w:val="009F7FCE"/>
    <w:rsid w:val="00A041EE"/>
    <w:rsid w:val="00A21192"/>
    <w:rsid w:val="00A44376"/>
    <w:rsid w:val="00A4522A"/>
    <w:rsid w:val="00A503E5"/>
    <w:rsid w:val="00A77C77"/>
    <w:rsid w:val="00A86160"/>
    <w:rsid w:val="00AD3907"/>
    <w:rsid w:val="00AD64D3"/>
    <w:rsid w:val="00AE1A0A"/>
    <w:rsid w:val="00AE4832"/>
    <w:rsid w:val="00B04CC0"/>
    <w:rsid w:val="00B072DA"/>
    <w:rsid w:val="00B23481"/>
    <w:rsid w:val="00B27E87"/>
    <w:rsid w:val="00B462FE"/>
    <w:rsid w:val="00B67D20"/>
    <w:rsid w:val="00B76535"/>
    <w:rsid w:val="00B91E8F"/>
    <w:rsid w:val="00B94A61"/>
    <w:rsid w:val="00BB7D7E"/>
    <w:rsid w:val="00BC03F9"/>
    <w:rsid w:val="00BC6F4E"/>
    <w:rsid w:val="00BE2567"/>
    <w:rsid w:val="00BF0BE5"/>
    <w:rsid w:val="00C077EC"/>
    <w:rsid w:val="00C43188"/>
    <w:rsid w:val="00C4677F"/>
    <w:rsid w:val="00C47B08"/>
    <w:rsid w:val="00C75466"/>
    <w:rsid w:val="00C87706"/>
    <w:rsid w:val="00CA7ABD"/>
    <w:rsid w:val="00CB2BFE"/>
    <w:rsid w:val="00CF3E65"/>
    <w:rsid w:val="00D402B4"/>
    <w:rsid w:val="00D675C7"/>
    <w:rsid w:val="00DC2CA9"/>
    <w:rsid w:val="00DD6489"/>
    <w:rsid w:val="00DF79EC"/>
    <w:rsid w:val="00E10CDF"/>
    <w:rsid w:val="00E10F14"/>
    <w:rsid w:val="00E265BE"/>
    <w:rsid w:val="00E3282D"/>
    <w:rsid w:val="00E603C7"/>
    <w:rsid w:val="00E72238"/>
    <w:rsid w:val="00E74CE1"/>
    <w:rsid w:val="00E843B3"/>
    <w:rsid w:val="00EA35AC"/>
    <w:rsid w:val="00ED6421"/>
    <w:rsid w:val="00ED6D06"/>
    <w:rsid w:val="00EE3923"/>
    <w:rsid w:val="00EE3F7C"/>
    <w:rsid w:val="00EF616D"/>
    <w:rsid w:val="00EF6FA0"/>
    <w:rsid w:val="00EF7E9A"/>
    <w:rsid w:val="00F13055"/>
    <w:rsid w:val="00F321B4"/>
    <w:rsid w:val="00F5341C"/>
    <w:rsid w:val="00F5401D"/>
    <w:rsid w:val="00F551B1"/>
    <w:rsid w:val="00F5682C"/>
    <w:rsid w:val="00F60290"/>
    <w:rsid w:val="00F6090E"/>
    <w:rsid w:val="00F91F97"/>
    <w:rsid w:val="00FA3F7D"/>
    <w:rsid w:val="00FD30FA"/>
    <w:rsid w:val="00FD6357"/>
    <w:rsid w:val="00FD7E56"/>
    <w:rsid w:val="00FE5FA6"/>
    <w:rsid w:val="00FF7D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F71928E"/>
  <w15:docId w15:val="{066D93D7-4D91-4551-86CE-BA11F993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semiHidden="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lsdException w:name="Intense Reference" w:semiHidden="1"/>
    <w:lsdException w:name="Book Title" w:semiHidden="1"/>
    <w:lsdException w:name="Bibliography" w:semiHidden="1"/>
    <w:lsdException w:name="TOC Heading"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7667"/>
    <w:pPr>
      <w:overflowPunct w:val="0"/>
      <w:autoSpaceDE w:val="0"/>
      <w:autoSpaceDN w:val="0"/>
      <w:adjustRightInd w:val="0"/>
      <w:spacing w:line="240" w:lineRule="atLeast"/>
      <w:ind w:firstLine="227"/>
      <w:jc w:val="both"/>
      <w:textAlignment w:val="baseline"/>
    </w:pPr>
    <w:rPr>
      <w:lang w:val="en-US" w:eastAsia="en-US"/>
    </w:rPr>
  </w:style>
  <w:style w:type="paragraph" w:styleId="Heading10">
    <w:name w:val="heading 1"/>
    <w:basedOn w:val="Normal"/>
    <w:next w:val="p1a"/>
    <w:semiHidden/>
    <w:unhideWhenUsed/>
    <w:qFormat/>
    <w:pPr>
      <w:keepNext/>
      <w:keepLines/>
      <w:suppressAutoHyphens/>
      <w:spacing w:before="360" w:after="240" w:line="300" w:lineRule="atLeast"/>
      <w:ind w:left="567" w:hanging="567"/>
      <w:jc w:val="left"/>
      <w:outlineLvl w:val="0"/>
    </w:pPr>
    <w:rPr>
      <w:b/>
      <w:sz w:val="24"/>
    </w:rPr>
  </w:style>
  <w:style w:type="paragraph" w:styleId="Heading20">
    <w:name w:val="heading 2"/>
    <w:basedOn w:val="Normal"/>
    <w:next w:val="p1a"/>
    <w:semiHidden/>
    <w:unhideWhenUsed/>
    <w:qFormat/>
    <w:pPr>
      <w:keepNext/>
      <w:keepLines/>
      <w:suppressAutoHyphens/>
      <w:spacing w:before="360" w:after="160"/>
      <w:ind w:left="567" w:hanging="567"/>
      <w:jc w:val="left"/>
      <w:outlineLvl w:val="1"/>
    </w:pPr>
    <w:rPr>
      <w:b/>
    </w:rPr>
  </w:style>
  <w:style w:type="paragraph" w:styleId="Heading3">
    <w:name w:val="heading 3"/>
    <w:basedOn w:val="Normal"/>
    <w:next w:val="Normal"/>
    <w:qFormat/>
    <w:pPr>
      <w:spacing w:before="360"/>
      <w:ind w:firstLine="0"/>
      <w:outlineLvl w:val="2"/>
    </w:pPr>
  </w:style>
  <w:style w:type="paragraph" w:styleId="Heading4">
    <w:name w:val="heading 4"/>
    <w:basedOn w:val="Normal"/>
    <w:next w:val="Normal"/>
    <w:qFormat/>
    <w:pPr>
      <w:spacing w:before="240"/>
      <w:ind w:firstLine="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pPr>
      <w:spacing w:before="600" w:after="360" w:line="220" w:lineRule="atLeast"/>
      <w:ind w:left="567" w:right="567"/>
      <w:contextualSpacing/>
    </w:pPr>
    <w:rPr>
      <w:sz w:val="18"/>
    </w:rPr>
  </w:style>
  <w:style w:type="paragraph" w:customStyle="1" w:styleId="address">
    <w:name w:val="address"/>
    <w:basedOn w:val="Normal"/>
    <w:pPr>
      <w:spacing w:after="200" w:line="220" w:lineRule="atLeast"/>
      <w:ind w:firstLine="0"/>
      <w:contextualSpacing/>
      <w:jc w:val="center"/>
    </w:pPr>
    <w:rPr>
      <w:sz w:val="18"/>
    </w:rPr>
  </w:style>
  <w:style w:type="numbering" w:customStyle="1" w:styleId="arabnumitem">
    <w:name w:val="arabnumitem"/>
    <w:basedOn w:val="NoList"/>
    <w:pPr>
      <w:numPr>
        <w:numId w:val="5"/>
      </w:numPr>
    </w:pPr>
  </w:style>
  <w:style w:type="paragraph" w:customStyle="1" w:styleId="author">
    <w:name w:val="author"/>
    <w:basedOn w:val="Normal"/>
    <w:next w:val="address"/>
    <w:pPr>
      <w:spacing w:after="200" w:line="220" w:lineRule="atLeast"/>
      <w:ind w:firstLine="0"/>
      <w:jc w:val="center"/>
    </w:pPr>
  </w:style>
  <w:style w:type="paragraph" w:customStyle="1" w:styleId="bulletitem">
    <w:name w:val="bulletitem"/>
    <w:basedOn w:val="Normal"/>
    <w:pPr>
      <w:numPr>
        <w:numId w:val="1"/>
      </w:numPr>
      <w:spacing w:before="160" w:after="160"/>
      <w:contextualSpacing/>
    </w:pPr>
  </w:style>
  <w:style w:type="paragraph" w:customStyle="1" w:styleId="dashitem">
    <w:name w:val="dashitem"/>
    <w:basedOn w:val="Normal"/>
    <w:pPr>
      <w:numPr>
        <w:numId w:val="3"/>
      </w:numPr>
      <w:spacing w:before="160" w:after="160"/>
      <w:contextualSpacing/>
    </w:pPr>
  </w:style>
  <w:style w:type="character" w:customStyle="1" w:styleId="e-mail">
    <w:name w:val="e-mail"/>
    <w:rPr>
      <w:rFonts w:ascii="Courier" w:hAnsi="Courier"/>
      <w:noProof/>
    </w:rPr>
  </w:style>
  <w:style w:type="paragraph" w:customStyle="1" w:styleId="equation">
    <w:name w:val="equation"/>
    <w:basedOn w:val="Normal"/>
    <w:next w:val="Normal"/>
    <w:pPr>
      <w:tabs>
        <w:tab w:val="center" w:pos="3289"/>
        <w:tab w:val="right" w:pos="6917"/>
      </w:tabs>
      <w:spacing w:before="160" w:after="160"/>
      <w:ind w:firstLine="0"/>
    </w:pPr>
  </w:style>
  <w:style w:type="paragraph" w:customStyle="1" w:styleId="figurecaption">
    <w:name w:val="figurecaption"/>
    <w:basedOn w:val="Normal"/>
    <w:next w:val="Normal"/>
    <w:pPr>
      <w:keepNext/>
      <w:keepLines/>
      <w:spacing w:before="120" w:after="240" w:line="220" w:lineRule="atLeast"/>
      <w:ind w:firstLine="0"/>
      <w:jc w:val="center"/>
    </w:pPr>
    <w:rPr>
      <w:sz w:val="18"/>
    </w:rPr>
  </w:style>
  <w:style w:type="character" w:styleId="FootnoteReference">
    <w:name w:val="footnote reference"/>
    <w:semiHidden/>
    <w:unhideWhenUsed/>
    <w:rPr>
      <w:position w:val="0"/>
      <w:vertAlign w:val="superscript"/>
    </w:rPr>
  </w:style>
  <w:style w:type="paragraph" w:styleId="Footer">
    <w:name w:val="footer"/>
    <w:basedOn w:val="Normal"/>
    <w:semiHidden/>
    <w:unhideWhenUsed/>
  </w:style>
  <w:style w:type="paragraph" w:customStyle="1" w:styleId="heading1">
    <w:name w:val="heading1"/>
    <w:basedOn w:val="Normal"/>
    <w:next w:val="p1a"/>
    <w:qFormat/>
    <w:pPr>
      <w:keepNext/>
      <w:keepLines/>
      <w:numPr>
        <w:numId w:val="7"/>
      </w:numPr>
      <w:suppressAutoHyphens/>
      <w:spacing w:before="360" w:after="240" w:line="300" w:lineRule="atLeast"/>
      <w:ind w:right="567"/>
      <w:jc w:val="left"/>
      <w:outlineLvl w:val="0"/>
    </w:pPr>
    <w:rPr>
      <w:b/>
      <w:sz w:val="24"/>
    </w:rPr>
  </w:style>
  <w:style w:type="paragraph" w:customStyle="1" w:styleId="heading2">
    <w:name w:val="heading2"/>
    <w:basedOn w:val="Normal"/>
    <w:next w:val="p1a"/>
    <w:qFormat/>
    <w:pPr>
      <w:keepNext/>
      <w:keepLines/>
      <w:numPr>
        <w:ilvl w:val="1"/>
        <w:numId w:val="7"/>
      </w:numPr>
      <w:suppressAutoHyphens/>
      <w:spacing w:before="360" w:after="160"/>
      <w:ind w:right="567"/>
      <w:jc w:val="left"/>
      <w:outlineLvl w:val="1"/>
    </w:pPr>
    <w:rPr>
      <w:b/>
    </w:rPr>
  </w:style>
  <w:style w:type="character" w:customStyle="1" w:styleId="heading30">
    <w:name w:val="heading3"/>
    <w:rPr>
      <w:b/>
    </w:rPr>
  </w:style>
  <w:style w:type="character" w:customStyle="1" w:styleId="heading40">
    <w:name w:val="heading4"/>
    <w:rPr>
      <w:i/>
    </w:rPr>
  </w:style>
  <w:style w:type="numbering" w:customStyle="1" w:styleId="headings">
    <w:name w:val="headings"/>
    <w:basedOn w:val="arabnumitem"/>
    <w:pPr>
      <w:numPr>
        <w:numId w:val="7"/>
      </w:numPr>
    </w:pPr>
  </w:style>
  <w:style w:type="character" w:styleId="Hyperlink">
    <w:name w:val="Hyperlink"/>
    <w:unhideWhenUsed/>
    <w:rPr>
      <w:color w:val="auto"/>
      <w:u w:val="none"/>
    </w:rPr>
  </w:style>
  <w:style w:type="paragraph" w:customStyle="1" w:styleId="image">
    <w:name w:val="image"/>
    <w:basedOn w:val="Normal"/>
    <w:next w:val="Normal"/>
    <w:pPr>
      <w:spacing w:before="240" w:after="120"/>
      <w:ind w:firstLine="0"/>
      <w:jc w:val="center"/>
    </w:pPr>
  </w:style>
  <w:style w:type="numbering" w:customStyle="1" w:styleId="itemization1">
    <w:name w:val="itemization1"/>
    <w:basedOn w:val="NoList"/>
    <w:pPr>
      <w:numPr>
        <w:numId w:val="1"/>
      </w:numPr>
    </w:pPr>
  </w:style>
  <w:style w:type="numbering" w:customStyle="1" w:styleId="itemization2">
    <w:name w:val="itemization2"/>
    <w:basedOn w:val="NoList"/>
    <w:pPr>
      <w:numPr>
        <w:numId w:val="3"/>
      </w:numPr>
    </w:pPr>
  </w:style>
  <w:style w:type="paragraph" w:customStyle="1" w:styleId="keywords">
    <w:name w:val="keywords"/>
    <w:basedOn w:val="abstract"/>
    <w:next w:val="heading1"/>
    <w:pPr>
      <w:spacing w:before="220"/>
      <w:ind w:firstLine="0"/>
      <w:contextualSpacing w:val="0"/>
      <w:jc w:val="left"/>
    </w:pPr>
  </w:style>
  <w:style w:type="paragraph" w:styleId="Header">
    <w:name w:val="header"/>
    <w:basedOn w:val="Normal"/>
    <w:semiHidden/>
    <w:unhideWhenUsed/>
    <w:pPr>
      <w:tabs>
        <w:tab w:val="center" w:pos="4536"/>
        <w:tab w:val="right" w:pos="9072"/>
      </w:tabs>
      <w:ind w:firstLine="0"/>
    </w:pPr>
    <w:rPr>
      <w:sz w:val="18"/>
      <w:szCs w:val="18"/>
    </w:rPr>
  </w:style>
  <w:style w:type="paragraph" w:customStyle="1" w:styleId="numitem">
    <w:name w:val="numitem"/>
    <w:basedOn w:val="Normal"/>
    <w:pPr>
      <w:numPr>
        <w:numId w:val="5"/>
      </w:numPr>
      <w:spacing w:before="160" w:after="160"/>
      <w:contextualSpacing/>
    </w:pPr>
  </w:style>
  <w:style w:type="paragraph" w:customStyle="1" w:styleId="p1a">
    <w:name w:val="p1a"/>
    <w:basedOn w:val="Normal"/>
    <w:next w:val="Normal"/>
    <w:pPr>
      <w:ind w:firstLine="0"/>
    </w:pPr>
  </w:style>
  <w:style w:type="paragraph" w:customStyle="1" w:styleId="programcode">
    <w:name w:val="programcode"/>
    <w:basedOn w:val="Normal"/>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Normal"/>
    <w:pPr>
      <w:numPr>
        <w:numId w:val="8"/>
      </w:numPr>
      <w:spacing w:line="220" w:lineRule="atLeast"/>
    </w:pPr>
    <w:rPr>
      <w:sz w:val="18"/>
    </w:rPr>
  </w:style>
  <w:style w:type="numbering" w:customStyle="1" w:styleId="referencelist">
    <w:name w:val="referencelist"/>
    <w:basedOn w:val="NoList"/>
    <w:semiHidden/>
    <w:pPr>
      <w:numPr>
        <w:numId w:val="8"/>
      </w:numPr>
    </w:pPr>
  </w:style>
  <w:style w:type="paragraph" w:customStyle="1" w:styleId="runninghead-left">
    <w:name w:val="running head - left"/>
    <w:basedOn w:val="Normal"/>
    <w:pPr>
      <w:ind w:firstLine="0"/>
      <w:jc w:val="left"/>
    </w:pPr>
    <w:rPr>
      <w:sz w:val="18"/>
      <w:szCs w:val="18"/>
    </w:rPr>
  </w:style>
  <w:style w:type="paragraph" w:customStyle="1" w:styleId="runninghead-right">
    <w:name w:val="running head - right"/>
    <w:basedOn w:val="Normal"/>
    <w:pPr>
      <w:ind w:firstLine="0"/>
      <w:jc w:val="right"/>
    </w:pPr>
    <w:rPr>
      <w:bCs/>
      <w:sz w:val="18"/>
      <w:szCs w:val="18"/>
    </w:rPr>
  </w:style>
  <w:style w:type="character" w:styleId="PageNumber">
    <w:name w:val="page number"/>
    <w:semiHidden/>
    <w:unhideWhenUsed/>
    <w:rPr>
      <w:sz w:val="18"/>
    </w:rPr>
  </w:style>
  <w:style w:type="paragraph" w:customStyle="1" w:styleId="papertitle">
    <w:name w:val="papertitle"/>
    <w:basedOn w:val="Normal"/>
    <w:next w:val="author"/>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pPr>
      <w:spacing w:before="120" w:line="280" w:lineRule="atLeast"/>
    </w:pPr>
    <w:rPr>
      <w:sz w:val="24"/>
    </w:rPr>
  </w:style>
  <w:style w:type="paragraph" w:customStyle="1" w:styleId="tablecaption">
    <w:name w:val="tablecaption"/>
    <w:basedOn w:val="Normal"/>
    <w:next w:val="Normal"/>
    <w:pPr>
      <w:keepNext/>
      <w:keepLines/>
      <w:spacing w:before="240" w:after="120" w:line="220" w:lineRule="atLeast"/>
      <w:ind w:firstLine="0"/>
      <w:jc w:val="center"/>
    </w:pPr>
    <w:rPr>
      <w:sz w:val="18"/>
    </w:rPr>
  </w:style>
  <w:style w:type="character" w:customStyle="1" w:styleId="url">
    <w:name w:val="url"/>
    <w:rPr>
      <w:rFonts w:ascii="Courier" w:hAnsi="Courier"/>
      <w:noProof/>
    </w:rPr>
  </w:style>
  <w:style w:type="character" w:customStyle="1" w:styleId="ORCID">
    <w:name w:val="ORCID"/>
    <w:rPr>
      <w:noProof/>
      <w:position w:val="0"/>
      <w:vertAlign w:val="superscript"/>
    </w:rPr>
  </w:style>
  <w:style w:type="paragraph" w:styleId="FootnoteText">
    <w:name w:val="footnote text"/>
    <w:basedOn w:val="Normal"/>
    <w:semiHidden/>
    <w:pPr>
      <w:spacing w:line="220" w:lineRule="atLeast"/>
      <w:ind w:left="227" w:hanging="227"/>
    </w:pPr>
    <w:rPr>
      <w:sz w:val="18"/>
    </w:rPr>
  </w:style>
  <w:style w:type="paragraph" w:customStyle="1" w:styleId="ReferenceLine">
    <w:name w:val="ReferenceLine"/>
    <w:basedOn w:val="p1a"/>
    <w:semiHidden/>
    <w:unhideWhenUsed/>
    <w:pPr>
      <w:spacing w:line="200" w:lineRule="exact"/>
    </w:pPr>
    <w:rPr>
      <w:sz w:val="16"/>
    </w:rPr>
  </w:style>
  <w:style w:type="paragraph" w:styleId="NormalWeb">
    <w:name w:val="Normal (Web)"/>
    <w:basedOn w:val="Normal"/>
    <w:uiPriority w:val="99"/>
    <w:semiHidden/>
    <w:unhideWhenUsed/>
    <w:rsid w:val="00B94A61"/>
    <w:pPr>
      <w:overflowPunct/>
      <w:autoSpaceDE/>
      <w:autoSpaceDN/>
      <w:adjustRightInd/>
      <w:spacing w:before="100" w:beforeAutospacing="1" w:after="100" w:afterAutospacing="1" w:line="240" w:lineRule="auto"/>
      <w:ind w:firstLine="0"/>
      <w:jc w:val="left"/>
      <w:textAlignment w:val="auto"/>
    </w:pPr>
    <w:rPr>
      <w:sz w:val="24"/>
      <w:szCs w:val="24"/>
    </w:rPr>
  </w:style>
  <w:style w:type="paragraph" w:customStyle="1" w:styleId="Default">
    <w:name w:val="Default"/>
    <w:rsid w:val="000A32F7"/>
    <w:pPr>
      <w:autoSpaceDE w:val="0"/>
      <w:autoSpaceDN w:val="0"/>
      <w:adjustRightInd w:val="0"/>
    </w:pPr>
    <w:rPr>
      <w:color w:val="000000"/>
      <w:sz w:val="24"/>
      <w:szCs w:val="24"/>
      <w:lang w:val="en-US" w:eastAsia="en-US"/>
    </w:rPr>
  </w:style>
  <w:style w:type="character" w:styleId="UnresolvedMention">
    <w:name w:val="Unresolved Mention"/>
    <w:uiPriority w:val="99"/>
    <w:semiHidden/>
    <w:unhideWhenUsed/>
    <w:rsid w:val="000A32F7"/>
    <w:rPr>
      <w:color w:val="605E5C"/>
      <w:shd w:val="clear" w:color="auto" w:fill="E1DFDD"/>
    </w:rPr>
  </w:style>
  <w:style w:type="table" w:styleId="TableGrid">
    <w:name w:val="Table Grid"/>
    <w:basedOn w:val="TableNormal"/>
    <w:rsid w:val="009C5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9C50A4"/>
    <w:pPr>
      <w:ind w:left="720"/>
      <w:contextualSpacing/>
    </w:pPr>
  </w:style>
  <w:style w:type="paragraph" w:styleId="Caption">
    <w:name w:val="caption"/>
    <w:basedOn w:val="Normal"/>
    <w:next w:val="Normal"/>
    <w:unhideWhenUsed/>
    <w:rsid w:val="00EF7E9A"/>
    <w:pPr>
      <w:spacing w:after="200" w:line="240" w:lineRule="auto"/>
    </w:pPr>
    <w:rPr>
      <w:i/>
      <w:iCs/>
      <w:color w:val="1F497D"/>
      <w:sz w:val="18"/>
      <w:szCs w:val="18"/>
    </w:rPr>
  </w:style>
  <w:style w:type="paragraph" w:styleId="Revision">
    <w:name w:val="Revision"/>
    <w:hidden/>
    <w:semiHidden/>
    <w:rsid w:val="00630926"/>
    <w:rPr>
      <w:lang w:val="en-US" w:eastAsia="en-US"/>
    </w:rPr>
  </w:style>
  <w:style w:type="character" w:styleId="LineNumber">
    <w:name w:val="line number"/>
    <w:basedOn w:val="DefaultParagraphFont"/>
    <w:semiHidden/>
    <w:unhideWhenUsed/>
    <w:rsid w:val="00630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14101">
      <w:bodyDiv w:val="1"/>
      <w:marLeft w:val="0"/>
      <w:marRight w:val="0"/>
      <w:marTop w:val="0"/>
      <w:marBottom w:val="0"/>
      <w:divBdr>
        <w:top w:val="none" w:sz="0" w:space="0" w:color="auto"/>
        <w:left w:val="none" w:sz="0" w:space="0" w:color="auto"/>
        <w:bottom w:val="none" w:sz="0" w:space="0" w:color="auto"/>
        <w:right w:val="none" w:sz="0" w:space="0" w:color="auto"/>
      </w:divBdr>
    </w:div>
    <w:div w:id="607932193">
      <w:bodyDiv w:val="1"/>
      <w:marLeft w:val="0"/>
      <w:marRight w:val="0"/>
      <w:marTop w:val="0"/>
      <w:marBottom w:val="0"/>
      <w:divBdr>
        <w:top w:val="none" w:sz="0" w:space="0" w:color="auto"/>
        <w:left w:val="none" w:sz="0" w:space="0" w:color="auto"/>
        <w:bottom w:val="none" w:sz="0" w:space="0" w:color="auto"/>
        <w:right w:val="none" w:sz="0" w:space="0" w:color="auto"/>
      </w:divBdr>
    </w:div>
    <w:div w:id="612397600">
      <w:bodyDiv w:val="1"/>
      <w:marLeft w:val="0"/>
      <w:marRight w:val="0"/>
      <w:marTop w:val="0"/>
      <w:marBottom w:val="0"/>
      <w:divBdr>
        <w:top w:val="none" w:sz="0" w:space="0" w:color="auto"/>
        <w:left w:val="none" w:sz="0" w:space="0" w:color="auto"/>
        <w:bottom w:val="none" w:sz="0" w:space="0" w:color="auto"/>
        <w:right w:val="none" w:sz="0" w:space="0" w:color="auto"/>
      </w:divBdr>
    </w:div>
    <w:div w:id="662779091">
      <w:bodyDiv w:val="1"/>
      <w:marLeft w:val="0"/>
      <w:marRight w:val="0"/>
      <w:marTop w:val="0"/>
      <w:marBottom w:val="0"/>
      <w:divBdr>
        <w:top w:val="none" w:sz="0" w:space="0" w:color="auto"/>
        <w:left w:val="none" w:sz="0" w:space="0" w:color="auto"/>
        <w:bottom w:val="none" w:sz="0" w:space="0" w:color="auto"/>
        <w:right w:val="none" w:sz="0" w:space="0" w:color="auto"/>
      </w:divBdr>
    </w:div>
    <w:div w:id="1023701443">
      <w:bodyDiv w:val="1"/>
      <w:marLeft w:val="0"/>
      <w:marRight w:val="0"/>
      <w:marTop w:val="0"/>
      <w:marBottom w:val="0"/>
      <w:divBdr>
        <w:top w:val="none" w:sz="0" w:space="0" w:color="auto"/>
        <w:left w:val="none" w:sz="0" w:space="0" w:color="auto"/>
        <w:bottom w:val="none" w:sz="0" w:space="0" w:color="auto"/>
        <w:right w:val="none" w:sz="0" w:space="0" w:color="auto"/>
      </w:divBdr>
    </w:div>
    <w:div w:id="2030259620">
      <w:bodyDiv w:val="1"/>
      <w:marLeft w:val="0"/>
      <w:marRight w:val="0"/>
      <w:marTop w:val="0"/>
      <w:marBottom w:val="0"/>
      <w:divBdr>
        <w:top w:val="none" w:sz="0" w:space="0" w:color="auto"/>
        <w:left w:val="none" w:sz="0" w:space="0" w:color="auto"/>
        <w:bottom w:val="none" w:sz="0" w:space="0" w:color="auto"/>
        <w:right w:val="none" w:sz="0" w:space="0" w:color="auto"/>
      </w:divBdr>
    </w:div>
    <w:div w:id="2119791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azzettaufficiale.it/dettaglioArea/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sservatorionazionalescreening.it/content/rapporto-ripartenza-screening-maggio-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who.int/iris/handle/10665/336278" TargetMode="External"/><Relationship Id="rId5" Type="http://schemas.openxmlformats.org/officeDocument/2006/relationships/webSettings" Target="webSettings.xml"/><Relationship Id="rId15" Type="http://schemas.openxmlformats.org/officeDocument/2006/relationships/hyperlink" Target="http://www.who.int/influenza/preparedness/pandemic/influenza_risk_management/en/" TargetMode="External"/><Relationship Id="rId10" Type="http://schemas.openxmlformats.org/officeDocument/2006/relationships/hyperlink" Target="https://doi.org/10.1016/j.ijdrr.2020.10180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x.doi.org/10.1016/j.pdisas.2020.100080" TargetMode="External"/><Relationship Id="rId14" Type="http://schemas.openxmlformats.org/officeDocument/2006/relationships/hyperlink" Target="https://www.agenas.gov.it/covid19/web/index.php?r=site%2Findex,la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DD343-594C-422B-86ED-57983E865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4049</Words>
  <Characters>24679</Characters>
  <Application>Microsoft Office Word</Application>
  <DocSecurity>0</DocSecurity>
  <Lines>205</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dataspect IT-Services, Neckargemuend, Germany</Company>
  <LinksUpToDate>false</LinksUpToDate>
  <CharactersWithSpaces>28671</CharactersWithSpaces>
  <SharedDoc>false</SharedDoc>
  <HLinks>
    <vt:vector size="42" baseType="variant">
      <vt:variant>
        <vt:i4>6684732</vt:i4>
      </vt:variant>
      <vt:variant>
        <vt:i4>27</vt:i4>
      </vt:variant>
      <vt:variant>
        <vt:i4>0</vt:i4>
      </vt:variant>
      <vt:variant>
        <vt:i4>5</vt:i4>
      </vt:variant>
      <vt:variant>
        <vt:lpwstr>http://www.who.int/influenza/preparedness/pandemic/influenza_risk_management/en/</vt:lpwstr>
      </vt:variant>
      <vt:variant>
        <vt:lpwstr/>
      </vt:variant>
      <vt:variant>
        <vt:i4>2883686</vt:i4>
      </vt:variant>
      <vt:variant>
        <vt:i4>24</vt:i4>
      </vt:variant>
      <vt:variant>
        <vt:i4>0</vt:i4>
      </vt:variant>
      <vt:variant>
        <vt:i4>5</vt:i4>
      </vt:variant>
      <vt:variant>
        <vt:lpwstr>https://www.agenas.gov.it/covid19/web/index.php?r=site%2Findex,last</vt:lpwstr>
      </vt:variant>
      <vt:variant>
        <vt:lpwstr/>
      </vt:variant>
      <vt:variant>
        <vt:i4>4587594</vt:i4>
      </vt:variant>
      <vt:variant>
        <vt:i4>21</vt:i4>
      </vt:variant>
      <vt:variant>
        <vt:i4>0</vt:i4>
      </vt:variant>
      <vt:variant>
        <vt:i4>5</vt:i4>
      </vt:variant>
      <vt:variant>
        <vt:lpwstr>https://www.gazzettaufficiale.it/dettaglioArea/12</vt:lpwstr>
      </vt:variant>
      <vt:variant>
        <vt:lpwstr/>
      </vt:variant>
      <vt:variant>
        <vt:i4>3211301</vt:i4>
      </vt:variant>
      <vt:variant>
        <vt:i4>18</vt:i4>
      </vt:variant>
      <vt:variant>
        <vt:i4>0</vt:i4>
      </vt:variant>
      <vt:variant>
        <vt:i4>5</vt:i4>
      </vt:variant>
      <vt:variant>
        <vt:lpwstr>https://www.osservatorionazionalescreening.it/content/rapporto-ripartenza-screening-maggio-2020</vt:lpwstr>
      </vt:variant>
      <vt:variant>
        <vt:lpwstr/>
      </vt:variant>
      <vt:variant>
        <vt:i4>5767188</vt:i4>
      </vt:variant>
      <vt:variant>
        <vt:i4>15</vt:i4>
      </vt:variant>
      <vt:variant>
        <vt:i4>0</vt:i4>
      </vt:variant>
      <vt:variant>
        <vt:i4>5</vt:i4>
      </vt:variant>
      <vt:variant>
        <vt:lpwstr>https://apps.who.int/iris/handle/10665/336278</vt:lpwstr>
      </vt:variant>
      <vt:variant>
        <vt:lpwstr/>
      </vt:variant>
      <vt:variant>
        <vt:i4>3801199</vt:i4>
      </vt:variant>
      <vt:variant>
        <vt:i4>12</vt:i4>
      </vt:variant>
      <vt:variant>
        <vt:i4>0</vt:i4>
      </vt:variant>
      <vt:variant>
        <vt:i4>5</vt:i4>
      </vt:variant>
      <vt:variant>
        <vt:lpwstr>https://doi.org/10.1016/j.ijdrr.2020.101808</vt:lpwstr>
      </vt:variant>
      <vt:variant>
        <vt:lpwstr/>
      </vt:variant>
      <vt:variant>
        <vt:i4>3539048</vt:i4>
      </vt:variant>
      <vt:variant>
        <vt:i4>9</vt:i4>
      </vt:variant>
      <vt:variant>
        <vt:i4>0</vt:i4>
      </vt:variant>
      <vt:variant>
        <vt:i4>5</vt:i4>
      </vt:variant>
      <vt:variant>
        <vt:lpwstr>http://dx.doi.org/10.1016/j.pdisas.2020.100080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Richter</dc:creator>
  <cp:keywords/>
  <dc:description>Formats and macros for Springer Lecture Notes</dc:description>
  <cp:lastModifiedBy>Blanshard, Lisa</cp:lastModifiedBy>
  <cp:revision>2</cp:revision>
  <cp:lastPrinted>2021-06-18T09:07:00Z</cp:lastPrinted>
  <dcterms:created xsi:type="dcterms:W3CDTF">2021-11-01T10:50:00Z</dcterms:created>
  <dcterms:modified xsi:type="dcterms:W3CDTF">2021-11-01T10:50:00Z</dcterms:modified>
</cp:coreProperties>
</file>