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16BA6" w14:textId="1F294327" w:rsidR="00353700" w:rsidRPr="00EA2099" w:rsidRDefault="00096E19" w:rsidP="00EA2099">
      <w:pPr>
        <w:pStyle w:val="Title"/>
      </w:pPr>
      <w:r w:rsidRPr="00EA2099">
        <w:t>Dietary acrylamide and physical performance tests: a cross-sectional analysis</w:t>
      </w:r>
    </w:p>
    <w:p w14:paraId="206D9FDC" w14:textId="77777777" w:rsidR="00353700" w:rsidRPr="002045EC" w:rsidRDefault="00353700" w:rsidP="00353700">
      <w:pPr>
        <w:spacing w:after="0" w:line="480" w:lineRule="auto"/>
        <w:jc w:val="both"/>
        <w:rPr>
          <w:rFonts w:ascii="Times New Roman" w:hAnsi="Times New Roman" w:cs="Times New Roman"/>
          <w:sz w:val="24"/>
          <w:szCs w:val="24"/>
          <w:lang w:val="en-US"/>
        </w:rPr>
      </w:pPr>
    </w:p>
    <w:p w14:paraId="037B8E1C" w14:textId="0ED7A377" w:rsidR="00353700" w:rsidRPr="002045EC" w:rsidRDefault="00353700" w:rsidP="00353700">
      <w:pPr>
        <w:spacing w:after="0" w:line="480" w:lineRule="auto"/>
        <w:jc w:val="both"/>
        <w:rPr>
          <w:rFonts w:ascii="Times New Roman" w:hAnsi="Times New Roman" w:cs="Times New Roman"/>
          <w:sz w:val="24"/>
          <w:szCs w:val="24"/>
          <w:vertAlign w:val="superscript"/>
        </w:rPr>
      </w:pPr>
      <w:r w:rsidRPr="002045EC">
        <w:rPr>
          <w:rFonts w:ascii="Times New Roman" w:hAnsi="Times New Roman" w:cs="Times New Roman"/>
          <w:sz w:val="24"/>
          <w:szCs w:val="24"/>
        </w:rPr>
        <w:t>Nicola Veronese</w:t>
      </w:r>
      <w:r w:rsidR="00D905C7" w:rsidRPr="002045EC">
        <w:rPr>
          <w:rFonts w:ascii="Times New Roman" w:hAnsi="Times New Roman" w:cs="Times New Roman"/>
          <w:sz w:val="24"/>
          <w:szCs w:val="24"/>
          <w:vertAlign w:val="superscript"/>
        </w:rPr>
        <w:t>1</w:t>
      </w:r>
      <w:r w:rsidRPr="002045EC">
        <w:rPr>
          <w:rFonts w:ascii="Times New Roman" w:hAnsi="Times New Roman" w:cs="Times New Roman"/>
          <w:sz w:val="24"/>
          <w:szCs w:val="24"/>
        </w:rPr>
        <w:t>, Ligia J. Dominguez</w:t>
      </w:r>
      <w:r w:rsidR="00D905C7" w:rsidRPr="002045EC">
        <w:rPr>
          <w:rFonts w:ascii="Times New Roman" w:hAnsi="Times New Roman" w:cs="Times New Roman"/>
          <w:sz w:val="24"/>
          <w:szCs w:val="24"/>
          <w:vertAlign w:val="superscript"/>
        </w:rPr>
        <w:t>1</w:t>
      </w:r>
      <w:r w:rsidRPr="002045EC">
        <w:rPr>
          <w:rFonts w:ascii="Times New Roman" w:hAnsi="Times New Roman" w:cs="Times New Roman"/>
          <w:sz w:val="24"/>
          <w:szCs w:val="24"/>
        </w:rPr>
        <w:t>,</w:t>
      </w:r>
      <w:r w:rsidR="002168AA" w:rsidRPr="002045EC">
        <w:rPr>
          <w:rFonts w:ascii="Times New Roman" w:hAnsi="Times New Roman" w:cs="Times New Roman"/>
          <w:sz w:val="24"/>
          <w:szCs w:val="24"/>
        </w:rPr>
        <w:t xml:space="preserve"> Saverio Ragusa</w:t>
      </w:r>
      <w:r w:rsidR="00D905C7" w:rsidRPr="002045EC">
        <w:rPr>
          <w:rFonts w:ascii="Times New Roman" w:hAnsi="Times New Roman" w:cs="Times New Roman"/>
          <w:sz w:val="24"/>
          <w:szCs w:val="24"/>
          <w:vertAlign w:val="superscript"/>
        </w:rPr>
        <w:t>1</w:t>
      </w:r>
      <w:r w:rsidR="002168AA" w:rsidRPr="002045EC">
        <w:rPr>
          <w:rFonts w:ascii="Times New Roman" w:hAnsi="Times New Roman" w:cs="Times New Roman"/>
          <w:sz w:val="24"/>
          <w:szCs w:val="24"/>
        </w:rPr>
        <w:t>, Luisa Solimando</w:t>
      </w:r>
      <w:r w:rsidR="00D905C7" w:rsidRPr="002045EC">
        <w:rPr>
          <w:rFonts w:ascii="Times New Roman" w:hAnsi="Times New Roman" w:cs="Times New Roman"/>
          <w:sz w:val="24"/>
          <w:szCs w:val="24"/>
          <w:vertAlign w:val="superscript"/>
        </w:rPr>
        <w:t>1</w:t>
      </w:r>
      <w:r w:rsidR="002168AA" w:rsidRPr="002045EC">
        <w:rPr>
          <w:rFonts w:ascii="Times New Roman" w:hAnsi="Times New Roman" w:cs="Times New Roman"/>
          <w:sz w:val="24"/>
          <w:szCs w:val="24"/>
        </w:rPr>
        <w:t>,</w:t>
      </w:r>
      <w:r w:rsidRPr="002045EC">
        <w:rPr>
          <w:rFonts w:ascii="Times New Roman" w:hAnsi="Times New Roman" w:cs="Times New Roman"/>
          <w:sz w:val="24"/>
          <w:szCs w:val="24"/>
        </w:rPr>
        <w:t xml:space="preserve"> Lee Smith</w:t>
      </w:r>
      <w:r w:rsidR="00E52C38" w:rsidRPr="002045EC">
        <w:rPr>
          <w:rFonts w:ascii="Times New Roman" w:hAnsi="Times New Roman" w:cs="Times New Roman"/>
          <w:sz w:val="24"/>
          <w:szCs w:val="24"/>
          <w:vertAlign w:val="superscript"/>
        </w:rPr>
        <w:t>2</w:t>
      </w:r>
      <w:r w:rsidRPr="002045EC">
        <w:rPr>
          <w:rFonts w:ascii="Times New Roman" w:hAnsi="Times New Roman" w:cs="Times New Roman"/>
          <w:sz w:val="24"/>
          <w:szCs w:val="24"/>
        </w:rPr>
        <w:t>, Francesco Bolzetta</w:t>
      </w:r>
      <w:r w:rsidR="00E86B05" w:rsidRPr="002045EC">
        <w:rPr>
          <w:rFonts w:ascii="Times New Roman" w:hAnsi="Times New Roman" w:cs="Times New Roman"/>
          <w:sz w:val="24"/>
          <w:szCs w:val="24"/>
          <w:vertAlign w:val="superscript"/>
        </w:rPr>
        <w:t>3</w:t>
      </w:r>
      <w:r w:rsidRPr="002045EC">
        <w:rPr>
          <w:rFonts w:ascii="Times New Roman" w:hAnsi="Times New Roman" w:cs="Times New Roman"/>
          <w:sz w:val="24"/>
          <w:szCs w:val="24"/>
        </w:rPr>
        <w:t>, Stefania Maggi</w:t>
      </w:r>
      <w:r w:rsidR="00E86B05" w:rsidRPr="002045EC">
        <w:rPr>
          <w:rFonts w:ascii="Times New Roman" w:hAnsi="Times New Roman" w:cs="Times New Roman"/>
          <w:sz w:val="24"/>
          <w:szCs w:val="24"/>
          <w:vertAlign w:val="superscript"/>
        </w:rPr>
        <w:t>4</w:t>
      </w:r>
      <w:r w:rsidRPr="002045EC">
        <w:rPr>
          <w:rFonts w:ascii="Times New Roman" w:hAnsi="Times New Roman" w:cs="Times New Roman"/>
          <w:sz w:val="24"/>
          <w:szCs w:val="24"/>
        </w:rPr>
        <w:t>, Mario Barbagallo</w:t>
      </w:r>
      <w:r w:rsidR="00D905C7" w:rsidRPr="002045EC">
        <w:rPr>
          <w:rFonts w:ascii="Times New Roman" w:hAnsi="Times New Roman" w:cs="Times New Roman"/>
          <w:sz w:val="24"/>
          <w:szCs w:val="24"/>
          <w:vertAlign w:val="superscript"/>
        </w:rPr>
        <w:t>1</w:t>
      </w:r>
    </w:p>
    <w:p w14:paraId="439AB71D" w14:textId="216FB22C" w:rsidR="00D905C7" w:rsidRPr="002045EC" w:rsidRDefault="00D905C7" w:rsidP="00353700">
      <w:pPr>
        <w:spacing w:after="0" w:line="480" w:lineRule="auto"/>
        <w:jc w:val="both"/>
        <w:rPr>
          <w:rFonts w:ascii="Times New Roman" w:hAnsi="Times New Roman" w:cs="Times New Roman"/>
          <w:sz w:val="24"/>
          <w:szCs w:val="24"/>
        </w:rPr>
      </w:pPr>
    </w:p>
    <w:p w14:paraId="55130545" w14:textId="78F258A0" w:rsidR="00D905C7" w:rsidRPr="002045EC" w:rsidRDefault="00D905C7" w:rsidP="00353700">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sz w:val="24"/>
          <w:szCs w:val="24"/>
          <w:vertAlign w:val="superscript"/>
          <w:lang w:val="en-US"/>
        </w:rPr>
        <w:t>1</w:t>
      </w:r>
      <w:r w:rsidRPr="002045EC">
        <w:rPr>
          <w:rFonts w:ascii="Times New Roman" w:hAnsi="Times New Roman" w:cs="Times New Roman"/>
          <w:sz w:val="24"/>
          <w:szCs w:val="24"/>
          <w:lang w:val="en-US"/>
        </w:rPr>
        <w:t xml:space="preserve"> Geriatric Unit, Department of Internal Medicine and Geriatrics, University of Palermo, Palermo, </w:t>
      </w:r>
      <w:proofErr w:type="gramStart"/>
      <w:r w:rsidRPr="002045EC">
        <w:rPr>
          <w:rFonts w:ascii="Times New Roman" w:hAnsi="Times New Roman" w:cs="Times New Roman"/>
          <w:sz w:val="24"/>
          <w:szCs w:val="24"/>
          <w:lang w:val="en-US"/>
        </w:rPr>
        <w:t>Italy;</w:t>
      </w:r>
      <w:proofErr w:type="gramEnd"/>
    </w:p>
    <w:p w14:paraId="043EDFE6" w14:textId="09510639" w:rsidR="00E52C38" w:rsidRPr="002045EC" w:rsidRDefault="00E52C38" w:rsidP="00353700">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sz w:val="24"/>
          <w:szCs w:val="24"/>
          <w:vertAlign w:val="superscript"/>
          <w:lang w:val="en-US"/>
        </w:rPr>
        <w:t>2</w:t>
      </w:r>
      <w:r w:rsidRPr="002045EC">
        <w:rPr>
          <w:rFonts w:ascii="Times New Roman" w:hAnsi="Times New Roman" w:cs="Times New Roman"/>
          <w:sz w:val="24"/>
          <w:szCs w:val="24"/>
          <w:lang w:val="en-US"/>
        </w:rPr>
        <w:t xml:space="preserve"> The Cambridge Centre for Sport and Exercise Sciences, Anglia Ruskin University, Cambridge, </w:t>
      </w:r>
      <w:proofErr w:type="gramStart"/>
      <w:r w:rsidRPr="002045EC">
        <w:rPr>
          <w:rFonts w:ascii="Times New Roman" w:hAnsi="Times New Roman" w:cs="Times New Roman"/>
          <w:sz w:val="24"/>
          <w:szCs w:val="24"/>
          <w:lang w:val="en-US"/>
        </w:rPr>
        <w:t>UK;</w:t>
      </w:r>
      <w:proofErr w:type="gramEnd"/>
    </w:p>
    <w:p w14:paraId="04686658" w14:textId="69D6B4D5" w:rsidR="00E86B05" w:rsidRPr="002045EC" w:rsidRDefault="00E86B05" w:rsidP="00353700">
      <w:pPr>
        <w:spacing w:after="0" w:line="480" w:lineRule="auto"/>
        <w:jc w:val="both"/>
        <w:rPr>
          <w:rFonts w:ascii="Times New Roman" w:hAnsi="Times New Roman" w:cs="Times New Roman"/>
          <w:sz w:val="24"/>
          <w:szCs w:val="24"/>
        </w:rPr>
      </w:pPr>
      <w:r w:rsidRPr="002045EC">
        <w:rPr>
          <w:rFonts w:ascii="Times New Roman" w:hAnsi="Times New Roman" w:cs="Times New Roman"/>
          <w:sz w:val="24"/>
          <w:szCs w:val="24"/>
          <w:vertAlign w:val="superscript"/>
        </w:rPr>
        <w:t>3</w:t>
      </w:r>
      <w:r w:rsidRPr="002045EC">
        <w:rPr>
          <w:rFonts w:ascii="Times New Roman" w:hAnsi="Times New Roman" w:cs="Times New Roman"/>
          <w:sz w:val="24"/>
          <w:szCs w:val="24"/>
        </w:rPr>
        <w:t xml:space="preserve"> Azienda Unità Locale Socio Sanitaria 3 “Serenissima”, Department of Internal Medicine, Geriatrics Section, Venice, Italy; </w:t>
      </w:r>
    </w:p>
    <w:p w14:paraId="6CE44264" w14:textId="35963902" w:rsidR="001E7936" w:rsidRPr="002045EC" w:rsidRDefault="001E7936" w:rsidP="00353700">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sz w:val="24"/>
          <w:szCs w:val="24"/>
          <w:vertAlign w:val="superscript"/>
          <w:lang w:val="en-US"/>
        </w:rPr>
        <w:t>4</w:t>
      </w:r>
      <w:r w:rsidRPr="002045EC">
        <w:rPr>
          <w:rFonts w:ascii="Times New Roman" w:hAnsi="Times New Roman" w:cs="Times New Roman"/>
          <w:sz w:val="24"/>
          <w:szCs w:val="24"/>
          <w:lang w:val="en-US"/>
        </w:rPr>
        <w:t xml:space="preserve"> Aging Branch, Neuroscience Institute, National Research Council, Padua, Italy. </w:t>
      </w:r>
    </w:p>
    <w:p w14:paraId="5F15D040" w14:textId="62E30EE0" w:rsidR="001E7936" w:rsidRPr="002045EC" w:rsidRDefault="001E7936" w:rsidP="00353700">
      <w:pPr>
        <w:spacing w:after="0" w:line="480" w:lineRule="auto"/>
        <w:jc w:val="both"/>
        <w:rPr>
          <w:rFonts w:ascii="Times New Roman" w:hAnsi="Times New Roman" w:cs="Times New Roman"/>
          <w:sz w:val="24"/>
          <w:szCs w:val="24"/>
          <w:lang w:val="en-US"/>
        </w:rPr>
      </w:pPr>
    </w:p>
    <w:p w14:paraId="40FCAB57" w14:textId="5157210B" w:rsidR="00F50523" w:rsidRPr="002045EC" w:rsidRDefault="00096E19" w:rsidP="00F50523">
      <w:pPr>
        <w:spacing w:after="0" w:line="480" w:lineRule="auto"/>
        <w:jc w:val="both"/>
        <w:rPr>
          <w:rFonts w:ascii="Times New Roman" w:hAnsi="Times New Roman" w:cs="Times New Roman"/>
          <w:bCs/>
          <w:sz w:val="24"/>
          <w:szCs w:val="24"/>
          <w:lang w:val="en-US"/>
        </w:rPr>
      </w:pPr>
      <w:r w:rsidRPr="002045EC">
        <w:rPr>
          <w:rFonts w:ascii="Times New Roman" w:hAnsi="Times New Roman" w:cs="Times New Roman"/>
          <w:b/>
          <w:bCs/>
          <w:sz w:val="24"/>
          <w:szCs w:val="24"/>
          <w:vertAlign w:val="superscript"/>
          <w:lang w:val="en-US"/>
        </w:rPr>
        <w:t>*</w:t>
      </w:r>
      <w:r w:rsidR="00F50523" w:rsidRPr="002045EC">
        <w:rPr>
          <w:rFonts w:ascii="Times New Roman" w:hAnsi="Times New Roman" w:cs="Times New Roman"/>
          <w:b/>
          <w:bCs/>
          <w:sz w:val="24"/>
          <w:szCs w:val="24"/>
          <w:lang w:val="en-US"/>
        </w:rPr>
        <w:t xml:space="preserve">Corresponding author: </w:t>
      </w:r>
      <w:r w:rsidR="00F50523" w:rsidRPr="002045EC">
        <w:rPr>
          <w:rFonts w:ascii="Times New Roman" w:hAnsi="Times New Roman" w:cs="Times New Roman"/>
          <w:bCs/>
          <w:sz w:val="24"/>
          <w:szCs w:val="24"/>
          <w:lang w:val="en-US"/>
        </w:rPr>
        <w:t xml:space="preserve">Email: </w:t>
      </w:r>
      <w:hyperlink r:id="rId6" w:history="1">
        <w:r w:rsidR="00F50523" w:rsidRPr="002045EC">
          <w:rPr>
            <w:rStyle w:val="Hyperlink"/>
            <w:rFonts w:ascii="Times New Roman" w:hAnsi="Times New Roman" w:cs="Times New Roman"/>
            <w:bCs/>
            <w:sz w:val="24"/>
            <w:szCs w:val="24"/>
            <w:lang w:val="en-US"/>
          </w:rPr>
          <w:t>nicola.veronese@unipa.it</w:t>
        </w:r>
      </w:hyperlink>
      <w:r w:rsidR="00F50523" w:rsidRPr="002045EC">
        <w:rPr>
          <w:rFonts w:ascii="Times New Roman" w:hAnsi="Times New Roman" w:cs="Times New Roman"/>
          <w:bCs/>
          <w:sz w:val="24"/>
          <w:szCs w:val="24"/>
          <w:lang w:val="en-US"/>
        </w:rPr>
        <w:t xml:space="preserve"> </w:t>
      </w:r>
      <w:r w:rsidR="00400B12" w:rsidRPr="002045EC">
        <w:rPr>
          <w:rFonts w:ascii="Times New Roman" w:hAnsi="Times New Roman" w:cs="Times New Roman"/>
          <w:bCs/>
          <w:sz w:val="24"/>
          <w:szCs w:val="24"/>
          <w:lang w:val="en-US"/>
        </w:rPr>
        <w:t xml:space="preserve">(NV). </w:t>
      </w:r>
    </w:p>
    <w:p w14:paraId="3BBE893B" w14:textId="77777777" w:rsidR="001E7936" w:rsidRPr="002045EC" w:rsidRDefault="001E7936" w:rsidP="00353700">
      <w:pPr>
        <w:spacing w:after="0" w:line="480" w:lineRule="auto"/>
        <w:jc w:val="both"/>
        <w:rPr>
          <w:rFonts w:ascii="Times New Roman" w:hAnsi="Times New Roman" w:cs="Times New Roman"/>
          <w:sz w:val="24"/>
          <w:szCs w:val="24"/>
          <w:lang w:val="en-US"/>
        </w:rPr>
      </w:pPr>
    </w:p>
    <w:p w14:paraId="597C68B2" w14:textId="77777777" w:rsidR="00E86B05" w:rsidRPr="002045EC" w:rsidRDefault="00E86B05" w:rsidP="00353700">
      <w:pPr>
        <w:spacing w:after="0" w:line="480" w:lineRule="auto"/>
        <w:jc w:val="both"/>
        <w:rPr>
          <w:rFonts w:ascii="Times New Roman" w:hAnsi="Times New Roman" w:cs="Times New Roman"/>
          <w:sz w:val="24"/>
          <w:szCs w:val="24"/>
          <w:lang w:val="en-US"/>
        </w:rPr>
      </w:pPr>
    </w:p>
    <w:p w14:paraId="2CD6C2BF" w14:textId="77777777" w:rsidR="00D905C7" w:rsidRPr="002045EC" w:rsidRDefault="00D905C7" w:rsidP="00353700">
      <w:pPr>
        <w:spacing w:after="0" w:line="480" w:lineRule="auto"/>
        <w:jc w:val="both"/>
        <w:rPr>
          <w:rFonts w:ascii="Times New Roman" w:hAnsi="Times New Roman" w:cs="Times New Roman"/>
          <w:sz w:val="24"/>
          <w:szCs w:val="24"/>
          <w:lang w:val="en-US"/>
        </w:rPr>
      </w:pPr>
    </w:p>
    <w:p w14:paraId="513AE600" w14:textId="77777777" w:rsidR="00353700" w:rsidRPr="002045EC" w:rsidRDefault="00353700">
      <w:pP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71DD31AC" w14:textId="28B1163E" w:rsidR="00353700" w:rsidRPr="00EA2099" w:rsidRDefault="00A80EDF" w:rsidP="00EA2099">
      <w:pPr>
        <w:pStyle w:val="Heading1"/>
      </w:pPr>
      <w:r w:rsidRPr="00EA2099">
        <w:lastRenderedPageBreak/>
        <w:t>Abstract</w:t>
      </w:r>
    </w:p>
    <w:p w14:paraId="2CF6F08D" w14:textId="5A11D107" w:rsidR="001A074F" w:rsidRPr="002045EC" w:rsidRDefault="0078190C" w:rsidP="0078190C">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b/>
          <w:bCs/>
          <w:sz w:val="24"/>
          <w:szCs w:val="24"/>
          <w:lang w:val="en-US"/>
        </w:rPr>
        <w:t xml:space="preserve">Background: </w:t>
      </w:r>
      <w:r w:rsidR="00357615" w:rsidRPr="002045EC">
        <w:rPr>
          <w:rFonts w:ascii="Times New Roman" w:hAnsi="Times New Roman" w:cs="Times New Roman"/>
          <w:sz w:val="24"/>
          <w:szCs w:val="24"/>
          <w:lang w:val="en-US"/>
        </w:rPr>
        <w:t>Dietary acrylamide is found in certain foods, such as deep frying, baking and roasting, and is associated with higher inflammatory and oxidative stress parameters</w:t>
      </w:r>
      <w:r w:rsidR="001A074F" w:rsidRPr="002045EC">
        <w:rPr>
          <w:rFonts w:ascii="Times New Roman" w:eastAsia="Times New Roman" w:hAnsi="Times New Roman" w:cs="Times New Roman"/>
          <w:color w:val="000000"/>
          <w:sz w:val="24"/>
          <w:szCs w:val="24"/>
          <w:shd w:val="clear" w:color="auto" w:fill="FFFFFF"/>
          <w:lang w:val="en-US"/>
        </w:rPr>
        <w:t xml:space="preserve">. The association between dietary acrylamide and physical performance </w:t>
      </w:r>
      <w:r w:rsidR="005D2A19" w:rsidRPr="002045EC">
        <w:rPr>
          <w:rFonts w:ascii="Times New Roman" w:eastAsia="Times New Roman" w:hAnsi="Times New Roman" w:cs="Times New Roman"/>
          <w:color w:val="000000"/>
          <w:sz w:val="24"/>
          <w:szCs w:val="24"/>
          <w:shd w:val="clear" w:color="auto" w:fill="FFFFFF"/>
          <w:lang w:val="en-US"/>
        </w:rPr>
        <w:t>has</w:t>
      </w:r>
      <w:r w:rsidR="001A074F" w:rsidRPr="002045EC">
        <w:rPr>
          <w:rFonts w:ascii="Times New Roman" w:eastAsia="Times New Roman" w:hAnsi="Times New Roman" w:cs="Times New Roman"/>
          <w:color w:val="000000"/>
          <w:sz w:val="24"/>
          <w:szCs w:val="24"/>
          <w:shd w:val="clear" w:color="auto" w:fill="FFFFFF"/>
          <w:lang w:val="en-US"/>
        </w:rPr>
        <w:t xml:space="preserve"> not yet</w:t>
      </w:r>
      <w:r w:rsidR="005D2A19" w:rsidRPr="002045EC">
        <w:rPr>
          <w:rFonts w:ascii="Times New Roman" w:eastAsia="Times New Roman" w:hAnsi="Times New Roman" w:cs="Times New Roman"/>
          <w:color w:val="000000"/>
          <w:sz w:val="24"/>
          <w:szCs w:val="24"/>
          <w:shd w:val="clear" w:color="auto" w:fill="FFFFFF"/>
          <w:lang w:val="en-US"/>
        </w:rPr>
        <w:t xml:space="preserve"> been</w:t>
      </w:r>
      <w:r w:rsidR="001A074F" w:rsidRPr="002045EC">
        <w:rPr>
          <w:rFonts w:ascii="Times New Roman" w:eastAsia="Times New Roman" w:hAnsi="Times New Roman" w:cs="Times New Roman"/>
          <w:color w:val="000000"/>
          <w:sz w:val="24"/>
          <w:szCs w:val="24"/>
          <w:shd w:val="clear" w:color="auto" w:fill="FFFFFF"/>
          <w:lang w:val="en-US"/>
        </w:rPr>
        <w:t xml:space="preserve"> explored. </w:t>
      </w:r>
      <w:r w:rsidR="00DA7D3C" w:rsidRPr="002045EC">
        <w:rPr>
          <w:rFonts w:ascii="Times New Roman" w:eastAsia="Times New Roman" w:hAnsi="Times New Roman" w:cs="Times New Roman"/>
          <w:color w:val="000000"/>
          <w:sz w:val="24"/>
          <w:szCs w:val="24"/>
          <w:shd w:val="clear" w:color="auto" w:fill="FFFFFF"/>
          <w:lang w:val="en-US"/>
        </w:rPr>
        <w:t>T</w:t>
      </w:r>
      <w:r w:rsidR="001A074F" w:rsidRPr="002045EC">
        <w:rPr>
          <w:rFonts w:ascii="Times New Roman" w:eastAsia="Times New Roman" w:hAnsi="Times New Roman" w:cs="Times New Roman"/>
          <w:color w:val="000000"/>
          <w:sz w:val="24"/>
          <w:szCs w:val="24"/>
          <w:shd w:val="clear" w:color="auto" w:fill="FFFFFF"/>
          <w:lang w:val="en-US"/>
        </w:rPr>
        <w:t>he aim of the study was to investigate the relationship between dietary acrylamide intake and physical performance tests in a large cohort of North American individuals affected by knee osteoarthritis or at high risk for this condition</w:t>
      </w:r>
      <w:r w:rsidR="001A074F" w:rsidRPr="002045EC">
        <w:rPr>
          <w:rFonts w:ascii="Times New Roman" w:hAnsi="Times New Roman" w:cs="Times New Roman"/>
          <w:sz w:val="24"/>
          <w:szCs w:val="24"/>
          <w:lang w:val="en-US"/>
        </w:rPr>
        <w:t xml:space="preserve">. </w:t>
      </w:r>
    </w:p>
    <w:p w14:paraId="293E16A7" w14:textId="4F3A2DD8" w:rsidR="0078190C" w:rsidRPr="002045EC" w:rsidRDefault="0078190C" w:rsidP="0078190C">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b/>
          <w:bCs/>
          <w:sz w:val="24"/>
          <w:szCs w:val="24"/>
          <w:lang w:val="en-US"/>
        </w:rPr>
        <w:t xml:space="preserve">Methods: </w:t>
      </w:r>
      <w:r w:rsidR="006B78E2" w:rsidRPr="002045EC">
        <w:rPr>
          <w:rFonts w:ascii="Times New Roman" w:eastAsia="Times New Roman" w:hAnsi="Times New Roman" w:cs="Times New Roman"/>
          <w:sz w:val="24"/>
          <w:szCs w:val="24"/>
          <w:lang w:val="en-US" w:eastAsia="ar-SA"/>
        </w:rPr>
        <w:t>Dietary acrylamide intake was obtained through a food frequency questionnaire and reported in quartiles and as</w:t>
      </w:r>
      <w:r w:rsidR="007C66E2" w:rsidRPr="002045EC">
        <w:rPr>
          <w:rFonts w:ascii="Times New Roman" w:eastAsia="Times New Roman" w:hAnsi="Times New Roman" w:cs="Times New Roman"/>
          <w:sz w:val="24"/>
          <w:szCs w:val="24"/>
          <w:lang w:val="en-US" w:eastAsia="ar-SA"/>
        </w:rPr>
        <w:t xml:space="preserve"> an</w:t>
      </w:r>
      <w:r w:rsidR="006B78E2" w:rsidRPr="002045EC">
        <w:rPr>
          <w:rFonts w:ascii="Times New Roman" w:eastAsia="Times New Roman" w:hAnsi="Times New Roman" w:cs="Times New Roman"/>
          <w:sz w:val="24"/>
          <w:szCs w:val="24"/>
          <w:lang w:val="en-US" w:eastAsia="ar-SA"/>
        </w:rPr>
        <w:t xml:space="preserve"> increase in deciles. </w:t>
      </w:r>
      <w:r w:rsidR="0089358B" w:rsidRPr="002045EC">
        <w:rPr>
          <w:rFonts w:ascii="Times New Roman" w:eastAsia="Times New Roman" w:hAnsi="Times New Roman" w:cs="Times New Roman"/>
          <w:sz w:val="24"/>
          <w:szCs w:val="24"/>
          <w:lang w:val="en-US" w:eastAsia="ar-SA"/>
        </w:rPr>
        <w:t xml:space="preserve">Physical performance was explored using the 20-meter usual pace test, the 400-meter walking distance, and the chair stands time. </w:t>
      </w:r>
      <w:r w:rsidR="0047219F" w:rsidRPr="002045EC">
        <w:rPr>
          <w:rFonts w:ascii="Times New Roman" w:eastAsia="Times New Roman" w:hAnsi="Times New Roman" w:cs="Times New Roman"/>
          <w:sz w:val="24"/>
          <w:szCs w:val="24"/>
          <w:lang w:val="en-US" w:eastAsia="ar-SA"/>
        </w:rPr>
        <w:t xml:space="preserve">The association between dietary acrylamide and physical performance tests was explored using linear regression analysis, adjusted for potential confounders. </w:t>
      </w:r>
    </w:p>
    <w:p w14:paraId="0CE8CF4E" w14:textId="710C5C42" w:rsidR="0078190C" w:rsidRPr="002045EC" w:rsidRDefault="0078190C" w:rsidP="0078190C">
      <w:pPr>
        <w:spacing w:after="0" w:line="480" w:lineRule="auto"/>
        <w:jc w:val="both"/>
        <w:rPr>
          <w:rFonts w:ascii="Times New Roman" w:hAnsi="Times New Roman" w:cs="Times New Roman"/>
          <w:sz w:val="24"/>
          <w:szCs w:val="24"/>
          <w:lang w:val="en-US"/>
        </w:rPr>
      </w:pPr>
      <w:r w:rsidRPr="002045EC">
        <w:rPr>
          <w:rFonts w:ascii="Times New Roman" w:hAnsi="Times New Roman" w:cs="Times New Roman"/>
          <w:b/>
          <w:bCs/>
          <w:sz w:val="24"/>
          <w:szCs w:val="24"/>
          <w:lang w:val="en-US"/>
        </w:rPr>
        <w:t xml:space="preserve">Results: </w:t>
      </w:r>
      <w:r w:rsidR="00293140" w:rsidRPr="002045EC">
        <w:rPr>
          <w:rFonts w:ascii="Times New Roman" w:eastAsia="Calibri" w:hAnsi="Times New Roman" w:cs="Times New Roman"/>
          <w:sz w:val="24"/>
          <w:szCs w:val="24"/>
          <w:lang w:val="en-US"/>
        </w:rPr>
        <w:t>4,436 participants (2,578 women, mean age: 61.3) were enrolled. People in the highest quartile of dietary acrylamide reported significant</w:t>
      </w:r>
      <w:r w:rsidR="005D2A19" w:rsidRPr="002045EC">
        <w:rPr>
          <w:rFonts w:ascii="Times New Roman" w:eastAsia="Calibri" w:hAnsi="Times New Roman" w:cs="Times New Roman"/>
          <w:sz w:val="24"/>
          <w:szCs w:val="24"/>
          <w:lang w:val="en-US"/>
        </w:rPr>
        <w:t>ly</w:t>
      </w:r>
      <w:r w:rsidR="00293140" w:rsidRPr="002045EC">
        <w:rPr>
          <w:rFonts w:ascii="Times New Roman" w:eastAsia="Calibri" w:hAnsi="Times New Roman" w:cs="Times New Roman"/>
          <w:sz w:val="24"/>
          <w:szCs w:val="24"/>
          <w:lang w:val="en-US"/>
        </w:rPr>
        <w:t xml:space="preserve"> longer 20-meter walking (15.53±3.32 vs. 15.15±2.91 s), 400-meter </w:t>
      </w:r>
      <w:r w:rsidR="005D2A19" w:rsidRPr="002045EC">
        <w:rPr>
          <w:rFonts w:ascii="Times New Roman" w:eastAsia="Calibri" w:hAnsi="Times New Roman" w:cs="Times New Roman"/>
          <w:sz w:val="24"/>
          <w:szCs w:val="24"/>
          <w:lang w:val="en-US"/>
        </w:rPr>
        <w:t xml:space="preserve">walking </w:t>
      </w:r>
      <w:r w:rsidR="00293140" w:rsidRPr="002045EC">
        <w:rPr>
          <w:rFonts w:ascii="Times New Roman" w:eastAsia="Calibri" w:hAnsi="Times New Roman" w:cs="Times New Roman"/>
          <w:sz w:val="24"/>
          <w:szCs w:val="24"/>
          <w:lang w:val="en-US"/>
        </w:rPr>
        <w:t>(312±54 vs. 305±58 s) and chair stand</w:t>
      </w:r>
      <w:r w:rsidR="005D2A19" w:rsidRPr="002045EC">
        <w:rPr>
          <w:rFonts w:ascii="Times New Roman" w:eastAsia="Calibri" w:hAnsi="Times New Roman" w:cs="Times New Roman"/>
          <w:sz w:val="24"/>
          <w:szCs w:val="24"/>
          <w:lang w:val="en-US"/>
        </w:rPr>
        <w:t>s</w:t>
      </w:r>
      <w:r w:rsidR="00293140" w:rsidRPr="002045EC">
        <w:rPr>
          <w:rFonts w:ascii="Times New Roman" w:eastAsia="Calibri" w:hAnsi="Times New Roman" w:cs="Times New Roman"/>
          <w:sz w:val="24"/>
          <w:szCs w:val="24"/>
          <w:lang w:val="en-US"/>
        </w:rPr>
        <w:t xml:space="preserve"> (11.36±4.08 vs. 10.67±3.50 s) time</w:t>
      </w:r>
      <w:r w:rsidR="00657F0D" w:rsidRPr="002045EC">
        <w:rPr>
          <w:rFonts w:ascii="Times New Roman" w:eastAsia="Calibri" w:hAnsi="Times New Roman" w:cs="Times New Roman"/>
          <w:sz w:val="24"/>
          <w:szCs w:val="24"/>
          <w:lang w:val="en-US"/>
        </w:rPr>
        <w:t>s</w:t>
      </w:r>
      <w:r w:rsidR="00293140" w:rsidRPr="002045EC">
        <w:rPr>
          <w:rFonts w:ascii="Times New Roman" w:eastAsia="Calibri" w:hAnsi="Times New Roman" w:cs="Times New Roman"/>
          <w:sz w:val="24"/>
          <w:szCs w:val="24"/>
          <w:lang w:val="en-US"/>
        </w:rPr>
        <w:t xml:space="preserve"> than their counterparts in Q1. In</w:t>
      </w:r>
      <w:r w:rsidR="003A4B9E" w:rsidRPr="002045EC">
        <w:rPr>
          <w:rFonts w:ascii="Times New Roman" w:eastAsia="Calibri" w:hAnsi="Times New Roman" w:cs="Times New Roman"/>
          <w:sz w:val="24"/>
          <w:szCs w:val="24"/>
          <w:lang w:val="en-US"/>
        </w:rPr>
        <w:t xml:space="preserve"> adjusted</w:t>
      </w:r>
      <w:r w:rsidR="00293140" w:rsidRPr="002045EC">
        <w:rPr>
          <w:rFonts w:ascii="Times New Roman" w:eastAsia="Calibri" w:hAnsi="Times New Roman" w:cs="Times New Roman"/>
          <w:sz w:val="24"/>
          <w:szCs w:val="24"/>
          <w:lang w:val="en-US"/>
        </w:rPr>
        <w:t xml:space="preserve"> linear regression analyses, </w:t>
      </w:r>
      <w:r w:rsidR="003A4B9E" w:rsidRPr="002045EC">
        <w:rPr>
          <w:rFonts w:ascii="Times New Roman" w:eastAsia="Calibri" w:hAnsi="Times New Roman" w:cs="Times New Roman"/>
          <w:sz w:val="24"/>
          <w:szCs w:val="24"/>
          <w:lang w:val="en-US"/>
        </w:rPr>
        <w:t>each increase in one decile in dietary acrylamide was associated with a longer time in walking for 20 meters (beta=0.032; 95%CI: 0.016-0.048; p=0.04), 400 meters (beta=0.048; 95%CI: 0.033-0.063; p=0.002) and chair stands (beta=0.016; 95%CI: 0.005-0.037; p=0.04) times</w:t>
      </w:r>
      <w:r w:rsidR="00293140" w:rsidRPr="002045EC">
        <w:rPr>
          <w:rFonts w:ascii="Times New Roman" w:eastAsia="Calibri" w:hAnsi="Times New Roman" w:cs="Times New Roman"/>
          <w:sz w:val="24"/>
          <w:szCs w:val="24"/>
          <w:lang w:val="en-US"/>
        </w:rPr>
        <w:t xml:space="preserve">. </w:t>
      </w:r>
    </w:p>
    <w:p w14:paraId="06901F97" w14:textId="3D57A4DD" w:rsidR="0078190C" w:rsidRPr="002045EC" w:rsidRDefault="0078190C" w:rsidP="0078190C">
      <w:pPr>
        <w:spacing w:after="0" w:line="480" w:lineRule="auto"/>
        <w:jc w:val="both"/>
        <w:rPr>
          <w:rFonts w:ascii="Times New Roman" w:eastAsia="Calibri" w:hAnsi="Times New Roman" w:cs="Times New Roman"/>
          <w:sz w:val="24"/>
          <w:szCs w:val="24"/>
          <w:lang w:val="en-US"/>
        </w:rPr>
      </w:pPr>
      <w:r w:rsidRPr="002045EC">
        <w:rPr>
          <w:rFonts w:ascii="Times New Roman" w:hAnsi="Times New Roman" w:cs="Times New Roman"/>
          <w:b/>
          <w:bCs/>
          <w:sz w:val="24"/>
          <w:szCs w:val="24"/>
          <w:lang w:val="en-US"/>
        </w:rPr>
        <w:t xml:space="preserve">Conclusion: </w:t>
      </w:r>
      <w:r w:rsidR="00A30212" w:rsidRPr="002045EC">
        <w:rPr>
          <w:rFonts w:ascii="Times New Roman" w:eastAsia="Calibri" w:hAnsi="Times New Roman" w:cs="Times New Roman"/>
          <w:sz w:val="24"/>
          <w:szCs w:val="24"/>
          <w:lang w:val="en-US"/>
        </w:rPr>
        <w:t xml:space="preserve">Higher dietary acrylamide intake was significantly associated with poor physical performance, also after accounting for potential confounders, suggesting a role for this food contaminant as a possible risk factor for sarcopenia. </w:t>
      </w:r>
    </w:p>
    <w:p w14:paraId="665C889A" w14:textId="06F15F61" w:rsidR="00C44946" w:rsidRPr="002045EC" w:rsidRDefault="00C44946" w:rsidP="0078190C">
      <w:pPr>
        <w:spacing w:after="0" w:line="480" w:lineRule="auto"/>
        <w:jc w:val="both"/>
        <w:rPr>
          <w:rFonts w:ascii="Times New Roman" w:eastAsia="Calibri" w:hAnsi="Times New Roman" w:cs="Times New Roman"/>
          <w:sz w:val="24"/>
          <w:szCs w:val="24"/>
          <w:lang w:val="en-US"/>
        </w:rPr>
      </w:pPr>
    </w:p>
    <w:p w14:paraId="74E4C122" w14:textId="3CFA9B16" w:rsidR="00C44946" w:rsidRPr="002045EC" w:rsidRDefault="00C44946" w:rsidP="0078190C">
      <w:pPr>
        <w:spacing w:after="0" w:line="480" w:lineRule="auto"/>
        <w:jc w:val="both"/>
        <w:rPr>
          <w:rFonts w:ascii="Times New Roman" w:hAnsi="Times New Roman" w:cs="Times New Roman"/>
          <w:b/>
          <w:bCs/>
          <w:sz w:val="24"/>
          <w:szCs w:val="24"/>
          <w:lang w:val="en-US"/>
        </w:rPr>
      </w:pPr>
      <w:r w:rsidRPr="002045EC">
        <w:rPr>
          <w:rFonts w:ascii="Times New Roman" w:eastAsia="Calibri" w:hAnsi="Times New Roman" w:cs="Times New Roman"/>
          <w:b/>
          <w:bCs/>
          <w:sz w:val="24"/>
          <w:szCs w:val="24"/>
          <w:lang w:val="en-US"/>
        </w:rPr>
        <w:t>Keywords</w:t>
      </w:r>
      <w:r w:rsidRPr="002045EC">
        <w:rPr>
          <w:rFonts w:ascii="Times New Roman" w:eastAsia="Calibri" w:hAnsi="Times New Roman" w:cs="Times New Roman"/>
          <w:sz w:val="24"/>
          <w:szCs w:val="24"/>
          <w:lang w:val="en-US"/>
        </w:rPr>
        <w:t xml:space="preserve">: acrylamide; physical performance; sarcopenia; osteoarthritis initiative. </w:t>
      </w:r>
    </w:p>
    <w:p w14:paraId="7B3D66E8" w14:textId="77777777" w:rsidR="00353700" w:rsidRPr="002045EC" w:rsidRDefault="00353700" w:rsidP="0078190C">
      <w:pPr>
        <w:spacing w:after="0" w:line="480" w:lineRule="auto"/>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6FBCEDEE" w14:textId="0EEC4083" w:rsidR="00353700" w:rsidRPr="002045EC" w:rsidRDefault="00A80EDF" w:rsidP="00EA2099">
      <w:pPr>
        <w:pStyle w:val="Heading1"/>
      </w:pPr>
      <w:r w:rsidRPr="002045EC">
        <w:lastRenderedPageBreak/>
        <w:t>Introduction</w:t>
      </w:r>
    </w:p>
    <w:p w14:paraId="5BE62DEB" w14:textId="40338A88" w:rsidR="00964BC6" w:rsidRPr="002045EC" w:rsidRDefault="00964BC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bookmarkStart w:id="0" w:name="_Hlk30176017"/>
      <w:r w:rsidRPr="002045EC">
        <w:rPr>
          <w:rFonts w:ascii="Times New Roman" w:eastAsia="Times New Roman" w:hAnsi="Times New Roman" w:cs="Times New Roman"/>
          <w:color w:val="000000"/>
          <w:sz w:val="24"/>
          <w:szCs w:val="24"/>
          <w:shd w:val="clear" w:color="auto" w:fill="FFFFFF"/>
          <w:lang w:val="en-US"/>
        </w:rPr>
        <w:t xml:space="preserve">Acrylamide </w:t>
      </w:r>
      <w:bookmarkEnd w:id="0"/>
      <w:r w:rsidRPr="002045EC">
        <w:rPr>
          <w:rFonts w:ascii="Times New Roman" w:eastAsia="Times New Roman" w:hAnsi="Times New Roman" w:cs="Times New Roman"/>
          <w:color w:val="000000"/>
          <w:sz w:val="24"/>
          <w:szCs w:val="24"/>
          <w:shd w:val="clear" w:color="auto" w:fill="FFFFFF"/>
          <w:lang w:val="en-US"/>
        </w:rPr>
        <w:t>is a vinyl monomer principally derived from chemical industries to produce polymers for water treatment, oil drilling, paper making and mineral processing</w:t>
      </w:r>
      <w:r w:rsidR="00042A23"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fldChar w:fldCharType="begin"/>
      </w:r>
      <w:r w:rsidR="00B96106"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&lt;EndNote&gt;&lt;Cite&gt;&lt;Author&gt;Stadler&lt;/Author&gt;&lt;Year&gt;2002&lt;/Year&gt;&lt;RecNum&gt;8360&lt;/RecNum&gt;&lt;DisplayText&gt;[1]&lt;/DisplayText&gt;&lt;record&gt;&lt;rec-number&gt;8360&lt;/rec-number&gt;&lt;foreign-keys&gt;&lt;key app="EN" db-id="t2wadffz0tdfane25rb50ezte9zwtdwpseft"&gt;8360&lt;/key&gt;&lt;/foreign-keys&gt;&lt;ref-type name="Journal Article"&gt;17&lt;/ref-type&gt;&lt;contributors&gt;&lt;authors&gt;&lt;author&gt;Stadler, Richard H&lt;/author&gt;&lt;author&gt;Blank, Imre&lt;/author&gt;&lt;author&gt;Varga, Natalia&lt;/author&gt;&lt;author&gt;Robert, Fabien&lt;/author&gt;&lt;author&gt;Hau, Jörg&lt;/author&gt;&lt;author&gt;Guy, Philippe A&lt;/author&gt;&lt;author&gt;Robert, Marie-Claude&lt;/author&gt;&lt;author&gt;Riediker, Sonja&lt;/author&gt;&lt;/authors&gt;&lt;/contributors&gt;&lt;titles&gt;&lt;title&gt;Food chemistry: acrylamide from Maillard reaction products&lt;/title&gt;&lt;secondary-title&gt;Nature&lt;/secondary-title&gt;&lt;/titles&gt;&lt;periodical&gt;&lt;full-title&gt;Nature&lt;/full-title&gt;&lt;/periodical&gt;&lt;pages&gt;449&lt;/pages&gt;&lt;volume&gt;419&lt;/volume&gt;&lt;number&gt;6906&lt;/number&gt;&lt;dates&gt;&lt;year&gt;2002&lt;/year&gt;&lt;/dates&gt;&lt;isbn&gt;1476-4687&lt;/isbn&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B96106" w:rsidRPr="002045EC">
        <w:rPr>
          <w:rFonts w:ascii="Times New Roman" w:eastAsia="Times New Roman" w:hAnsi="Times New Roman" w:cs="Times New Roman"/>
          <w:noProof/>
          <w:color w:val="000000"/>
          <w:sz w:val="24"/>
          <w:szCs w:val="24"/>
          <w:shd w:val="clear" w:color="auto" w:fill="FFFFFF"/>
          <w:lang w:val="en-US"/>
        </w:rPr>
        <w:t>[1]</w:t>
      </w:r>
      <w:r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Pr="002045EC">
        <w:rPr>
          <w:rFonts w:ascii="Times New Roman" w:eastAsia="Times New Roman" w:hAnsi="Times New Roman" w:cs="Times New Roman"/>
          <w:color w:val="000000"/>
          <w:sz w:val="24"/>
          <w:szCs w:val="24"/>
          <w:shd w:val="clear" w:color="auto" w:fill="FFFFFF"/>
          <w:lang w:val="en-US"/>
        </w:rPr>
        <w:t xml:space="preserve"> Acrylamide was firstly evaluated by the International Agency for Research on Cancer and identified as potentially  carcinogenic to humans</w:t>
      </w:r>
      <w:r w:rsidR="00042A23"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fldChar w:fldCharType="begin"/>
      </w:r>
      <w:r w:rsidR="00B96106"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&lt;EndNote&gt;&lt;Cite&gt;&lt;Author&gt;Tornquist&lt;/Author&gt;&lt;Year&gt;2002&lt;/Year&gt;&lt;RecNum&gt;8343&lt;/RecNum&gt;&lt;DisplayText&gt;[2]&lt;/DisplayText&gt;&lt;record&gt;&lt;rec-number&gt;8343&lt;/rec-number&gt;&lt;foreign-keys&gt;&lt;key app="EN" db-id="t2wadffz0tdfane25rb50ezte9zwtdwpseft"&gt;8343&lt;/key&gt;&lt;/foreign-keys&gt;&lt;ref-type name="Journal Article"&gt;17&lt;/ref-type&gt;&lt;contributors&gt;&lt;authors&gt;&lt;author&gt;Tornquist, M&lt;/author&gt;&lt;/authors&gt;&lt;/contributors&gt;&lt;titles&gt;&lt;title&gt;A cooking carcinogen&lt;/title&gt;&lt;secondary-title&gt;Chemical Research in Toxicology&lt;/secondary-title&gt;&lt;/titles&gt;&lt;periodical&gt;&lt;full-title&gt;Chemical Research in Toxicology&lt;/full-title&gt;&lt;/periodical&gt;&lt;pages&gt;517-522&lt;/pages&gt;&lt;volume&gt;13&lt;/volume&gt;&lt;dates&gt;&lt;year&gt;2002&lt;/year&gt;&lt;/dates&gt;&lt;urls&gt;&lt;/urls&gt;&lt;/record&gt;&lt;/Cite&gt;&lt;/EndNote&gt;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B96106" w:rsidRPr="002045EC">
        <w:rPr>
          <w:rFonts w:ascii="Times New Roman" w:eastAsia="Times New Roman" w:hAnsi="Times New Roman" w:cs="Times New Roman"/>
          <w:noProof/>
          <w:color w:val="000000"/>
          <w:sz w:val="24"/>
          <w:szCs w:val="24"/>
          <w:shd w:val="clear" w:color="auto" w:fill="FFFFFF"/>
          <w:lang w:val="en-US"/>
        </w:rPr>
        <w:t>[2]</w:t>
      </w:r>
      <w:r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Pr="002045EC">
        <w:rPr>
          <w:rFonts w:ascii="Times New Roman" w:eastAsia="Times New Roman" w:hAnsi="Times New Roman" w:cs="Times New Roman"/>
          <w:color w:val="000000"/>
          <w:sz w:val="24"/>
          <w:szCs w:val="24"/>
          <w:shd w:val="clear" w:color="auto" w:fill="FFFFFF"/>
          <w:lang w:val="en-US"/>
        </w:rPr>
        <w:t xml:space="preserve"> As a food component, acrylamide can be formed during thermal processing of carbohydrate-rich foods, especially deep-frying, oven-baking, and roasting </w:t>
      </w:r>
      <w:r w:rsidRPr="002045EC">
        <w:rPr>
          <w:rFonts w:ascii="Times New Roman" w:eastAsia="Times New Roman" w:hAnsi="Times New Roman" w:cs="Times New Roman"/>
          <w:color w:val="000000"/>
          <w:sz w:val="24"/>
          <w:szCs w:val="24"/>
          <w:shd w:val="clear" w:color="auto" w:fill="FFFFFF"/>
          <w:lang w:val="en-US"/>
        </w:rPr>
        <w:fldChar w:fldCharType="begin"/>
      </w:r>
      <w:r w:rsidR="00B96106"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&lt;EndNote&gt;&lt;Cite&gt;&lt;Author&gt;Sun&lt;/Author&gt;&lt;Year&gt;2018&lt;/Year&gt;&lt;RecNum&gt;8342&lt;/RecNum&gt;&lt;DisplayText&gt;[2,3]&lt;/DisplayText&gt;&lt;record&gt;&lt;rec-number&gt;8342&lt;/rec-number&gt;&lt;foreign-keys&gt;&lt;key app="EN" db-id="t2wadffz0tdfane25rb50ezte9zwtdwpseft"&gt;8342&lt;/key&gt;&lt;/foreign-keys&gt;&lt;ref-type name="Journal Article"&gt;17&lt;/ref-type&gt;&lt;contributors&gt;&lt;authors&gt;&lt;author&gt;Sun, Guohua&lt;/author&gt;&lt;author&gt;Qu, Shuxian&lt;/author&gt;&lt;author&gt;Wang, Siyi&lt;/author&gt;&lt;author&gt;Shao, Ying&lt;/author&gt;&lt;author&gt;Sun, Jingsong&lt;/author&gt;&lt;/authors&gt;&lt;/contributors&gt;&lt;titles&gt;&lt;title&gt;Taurine attenuates acrylamide-induced axonal and myelinated damage through the Akt/GSK3β-dependent pathway&lt;/title&gt;&lt;secondary-title&gt;International journal of immunopathology and pharmacology&lt;/secondary-title&gt;&lt;/titles&gt;&lt;periodical&gt;&lt;full-title&gt;International journal of immunopathology and pharmacology&lt;/full-title&gt;&lt;/periodical&gt;&lt;pages&gt;2058738418805322&lt;/pages&gt;&lt;volume&gt;32&lt;/volume&gt;&lt;dates&gt;&lt;year&gt;2018&lt;/year&gt;&lt;/dates&gt;&lt;isbn&gt;2058-7384&lt;/isbn&gt;&lt;urls&gt;&lt;/urls&gt;&lt;/record&gt;&lt;/Cite&gt;&lt;Cite&gt;&lt;Author&gt;Tornquist&lt;/Author&gt;&lt;Year&gt;2002&lt;/Year&gt;&lt;RecNum&gt;8343&lt;/RecNum&gt;&lt;record&gt;&lt;rec-number&gt;8343&lt;/rec-number&gt;&lt;foreign-keys&gt;&lt;key app="EN" db-id="t2wadffz0tdfane25rb50ezte9zwtdwpseft"&gt;8343&lt;/key&gt;&lt;/foreign-keys&gt;&lt;ref-type name="Journal Article"&gt;17&lt;/ref-type&gt;&lt;contributors&gt;&lt;authors&gt;&lt;author&gt;Tornquist, M&lt;/author&gt;&lt;/authors&gt;&lt;/contributors&gt;&lt;titles&gt;&lt;title&gt;A cooking carcinogen&lt;/title&gt;&lt;secondary-title&gt;Chemical Research in Toxicology&lt;/secondary-title&gt;&lt;/titles&gt;&lt;periodical&gt;&lt;full-title&gt;Chemical Research in Toxicology&lt;/full-title&gt;&lt;/periodical&gt;&lt;pages&gt;517-522&lt;/pages&gt;&lt;volume&gt;13&lt;/volume&gt;&lt;dates&gt;&lt;year&gt;2002&lt;/year&gt;&lt;/dates&gt;&lt;urls&gt;&lt;/urls&gt;&lt;/record&gt;&lt;/Cite&gt;&lt;/EndNote&gt;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B96106" w:rsidRPr="002045EC">
        <w:rPr>
          <w:rFonts w:ascii="Times New Roman" w:eastAsia="Times New Roman" w:hAnsi="Times New Roman" w:cs="Times New Roman"/>
          <w:noProof/>
          <w:color w:val="000000"/>
          <w:sz w:val="24"/>
          <w:szCs w:val="24"/>
          <w:shd w:val="clear" w:color="auto" w:fill="FFFFFF"/>
          <w:lang w:val="en-US"/>
        </w:rPr>
        <w:t>[2,3]</w:t>
      </w:r>
      <w:r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t xml:space="preserve"> </w:t>
      </w:r>
    </w:p>
    <w:p w14:paraId="287C7381" w14:textId="77777777" w:rsidR="00964BC6" w:rsidRPr="002045EC" w:rsidRDefault="00964BC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p>
    <w:p w14:paraId="009386E9" w14:textId="3CE8479F" w:rsidR="003E1FCA" w:rsidRPr="002045EC" w:rsidRDefault="00964BC6" w:rsidP="002C6FEC">
      <w:pPr>
        <w:suppressAutoHyphens/>
        <w:spacing w:after="0" w:line="480" w:lineRule="auto"/>
        <w:jc w:val="both"/>
        <w:rPr>
          <w:rFonts w:ascii="Times New Roman" w:eastAsia="Times New Roman" w:hAnsi="Times New Roman" w:cs="Times New Roman"/>
          <w:sz w:val="24"/>
          <w:szCs w:val="24"/>
          <w:lang w:val="en-US" w:eastAsia="ar-SA"/>
        </w:rPr>
      </w:pPr>
      <w:r w:rsidRPr="002045EC">
        <w:rPr>
          <w:rFonts w:ascii="Times New Roman" w:eastAsia="Times New Roman" w:hAnsi="Times New Roman" w:cs="Times New Roman"/>
          <w:color w:val="000000"/>
          <w:sz w:val="24"/>
          <w:szCs w:val="24"/>
          <w:shd w:val="clear" w:color="auto" w:fill="FFFFFF"/>
          <w:lang w:val="en-US"/>
        </w:rPr>
        <w:t>The amount of acrylamide in cooked foods is determined by cooking temperature and time and the quantity of reducing sugar and asparagine in raw foods</w:t>
      </w:r>
      <w:r w:rsidR="00042A23"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fldChar w:fldCharType="begin"/>
      </w:r>
      <w:r w:rsidR="00B96106"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&lt;EndNote&gt;&lt;Cite&gt;&lt;Author&gt;Elmore&lt;/Author&gt;&lt;Year&gt;2005&lt;/Year&gt;&lt;RecNum&gt;8344&lt;/RecNum&gt;&lt;DisplayText&gt;[4]&lt;/DisplayText&gt;&lt;record&gt;&lt;rec-number&gt;8344&lt;/rec-number&gt;&lt;foreign-keys&gt;&lt;key app="EN" db-id="t2wadffz0tdfane25rb50ezte9zwtdwpseft"&gt;8344&lt;/key&gt;&lt;/foreign-keys&gt;&lt;ref-type name="Book Section"&gt;5&lt;/ref-type&gt;&lt;contributors&gt;&lt;authors&gt;&lt;author&gt;Elmore, J Stephen&lt;/author&gt;&lt;author&gt;Koutsidis, Georgios&lt;/author&gt;&lt;author&gt;Dodson, Andrew T&lt;/author&gt;&lt;author&gt;Mottram, Donald S&lt;/author&gt;&lt;author&gt;Wedzicha, Bronislaw L&lt;/author&gt;&lt;/authors&gt;&lt;/contributors&gt;&lt;titles&gt;&lt;title&gt;The effect of cooking on acrylamide and its precursors in potato, wheat and rye&lt;/title&gt;&lt;secondary-title&gt;Chemistry and safety of acrylamide in food&lt;/secondary-title&gt;&lt;/titles&gt;&lt;pages&gt;255-269&lt;/pages&gt;&lt;dates&gt;&lt;year&gt;2005&lt;/year&gt;&lt;/dates&gt;&lt;publisher&gt;Springer&lt;/publisher&gt;&lt;urls&gt;&lt;/urls&gt;&lt;/record&gt;&lt;/Cite&gt;&lt;/EndNote&gt;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B96106" w:rsidRPr="002045EC">
        <w:rPr>
          <w:rFonts w:ascii="Times New Roman" w:eastAsia="Times New Roman" w:hAnsi="Times New Roman" w:cs="Times New Roman"/>
          <w:noProof/>
          <w:color w:val="000000"/>
          <w:sz w:val="24"/>
          <w:szCs w:val="24"/>
          <w:shd w:val="clear" w:color="auto" w:fill="FFFFFF"/>
          <w:lang w:val="en-US"/>
        </w:rPr>
        <w:t>[4]</w:t>
      </w:r>
      <w:r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Pr="002045EC">
        <w:rPr>
          <w:rFonts w:ascii="Times New Roman" w:eastAsia="Times New Roman" w:hAnsi="Times New Roman" w:cs="Times New Roman"/>
          <w:color w:val="000000"/>
          <w:sz w:val="24"/>
          <w:szCs w:val="24"/>
          <w:shd w:val="clear" w:color="auto" w:fill="FFFFFF"/>
          <w:lang w:val="en-US"/>
        </w:rPr>
        <w:t xml:space="preserve"> The World Health Organization (WHO) attempted to evaluate the average exposure to acrylamide in foods, however this is difficult to measure with traditional instruments available in nutritional research </w:t>
      </w:r>
      <w:r w:rsidRPr="002045EC">
        <w:rPr>
          <w:rFonts w:ascii="Times New Roman" w:eastAsia="Times New Roman" w:hAnsi="Times New Roman" w:cs="Times New Roman"/>
          <w:color w:val="000000"/>
          <w:sz w:val="24"/>
          <w:szCs w:val="24"/>
          <w:shd w:val="clear" w:color="auto" w:fill="FFFFFF"/>
          <w:lang w:val="en-US"/>
        </w:rPr>
        <w:fldChar w:fldCharType="begin"/>
      </w:r>
      <w:r w:rsidR="00B96106"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&lt;EndNote&gt;&lt;Cite&gt;&lt;Author&gt;Törnqvist&lt;/Author&gt;&lt;Year&gt;2005&lt;/Year&gt;&lt;RecNum&gt;8345&lt;/RecNum&gt;&lt;DisplayText&gt;[5]&lt;/DisplayText&gt;&lt;record&gt;&lt;rec-number&gt;8345&lt;/rec-number&gt;&lt;foreign-keys&gt;&lt;key app="EN" db-id="t2wadffz0tdfane25rb50ezte9zwtdwpseft"&gt;8345&lt;/key&gt;&lt;/foreign-keys&gt;&lt;ref-type name="Book Section"&gt;5&lt;/ref-type&gt;&lt;contributors&gt;&lt;authors&gt;&lt;author&gt;Törnqvist, Margareta&lt;/author&gt;&lt;/authors&gt;&lt;/contributors&gt;&lt;titles&gt;&lt;title&gt;Acrylamide in food: The discovery and its implications&lt;/title&gt;&lt;secondary-title&gt;Chemistry and safety of acrylamide in food&lt;/secondary-title&gt;&lt;/titles&gt;&lt;pages&gt;1-19&lt;/pages&gt;&lt;dates&gt;&lt;year&gt;2005&lt;/year&gt;&lt;/dates&gt;&lt;publisher&gt;Springer&lt;/publisher&gt;&lt;urls&gt;&lt;/urls&gt;&lt;/record&gt;&lt;/Cite&gt;&lt;/EndNote&gt;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B96106" w:rsidRPr="002045EC">
        <w:rPr>
          <w:rFonts w:ascii="Times New Roman" w:eastAsia="Times New Roman" w:hAnsi="Times New Roman" w:cs="Times New Roman"/>
          <w:noProof/>
          <w:color w:val="000000"/>
          <w:sz w:val="24"/>
          <w:szCs w:val="24"/>
          <w:shd w:val="clear" w:color="auto" w:fill="FFFFFF"/>
          <w:lang w:val="en-US"/>
        </w:rPr>
        <w:t>[5]</w:t>
      </w:r>
      <w:r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Pr="002045EC">
        <w:rPr>
          <w:rFonts w:ascii="Times New Roman" w:eastAsia="Times New Roman" w:hAnsi="Times New Roman" w:cs="Times New Roman"/>
          <w:color w:val="000000"/>
          <w:sz w:val="24"/>
          <w:szCs w:val="24"/>
          <w:shd w:val="clear" w:color="auto" w:fill="FFFFFF"/>
          <w:lang w:val="en-US"/>
        </w:rPr>
        <w:t xml:space="preserve"> </w:t>
      </w:r>
      <w:r w:rsidR="003E1FCA" w:rsidRPr="002045EC">
        <w:rPr>
          <w:rFonts w:ascii="Times New Roman" w:eastAsia="Times New Roman" w:hAnsi="Times New Roman" w:cs="Times New Roman"/>
          <w:sz w:val="24"/>
          <w:szCs w:val="24"/>
          <w:lang w:val="en-US" w:eastAsia="ar-SA"/>
        </w:rPr>
        <w:t xml:space="preserve">Acrylamide is </w:t>
      </w:r>
      <w:r w:rsidR="00933495" w:rsidRPr="002045EC">
        <w:rPr>
          <w:rFonts w:ascii="Times New Roman" w:eastAsia="Times New Roman" w:hAnsi="Times New Roman" w:cs="Times New Roman"/>
          <w:sz w:val="24"/>
          <w:szCs w:val="24"/>
          <w:lang w:val="en-US" w:eastAsia="ar-SA"/>
        </w:rPr>
        <w:t>included</w:t>
      </w:r>
      <w:r w:rsidR="003E1FCA" w:rsidRPr="002045EC">
        <w:rPr>
          <w:rFonts w:ascii="Times New Roman" w:eastAsia="Times New Roman" w:hAnsi="Times New Roman" w:cs="Times New Roman"/>
          <w:sz w:val="24"/>
          <w:szCs w:val="24"/>
          <w:lang w:val="en-US" w:eastAsia="ar-SA"/>
        </w:rPr>
        <w:t xml:space="preserve"> </w:t>
      </w:r>
      <w:r w:rsidR="00933495" w:rsidRPr="002045EC">
        <w:rPr>
          <w:rFonts w:ascii="Times New Roman" w:eastAsia="Times New Roman" w:hAnsi="Times New Roman" w:cs="Times New Roman"/>
          <w:sz w:val="24"/>
          <w:szCs w:val="24"/>
          <w:lang w:val="en-US" w:eastAsia="ar-SA"/>
        </w:rPr>
        <w:t xml:space="preserve">by the International Agency for Research on Cancer </w:t>
      </w:r>
      <w:r w:rsidR="003E1FCA" w:rsidRPr="002045EC">
        <w:rPr>
          <w:rFonts w:ascii="Times New Roman" w:eastAsia="Times New Roman" w:hAnsi="Times New Roman" w:cs="Times New Roman"/>
          <w:sz w:val="24"/>
          <w:szCs w:val="24"/>
          <w:lang w:val="en-US" w:eastAsia="ar-SA"/>
        </w:rPr>
        <w:t xml:space="preserve">into the group 2A, </w:t>
      </w:r>
      <w:r w:rsidR="00933495" w:rsidRPr="002045EC">
        <w:rPr>
          <w:rFonts w:ascii="Times New Roman" w:eastAsia="Times New Roman" w:hAnsi="Times New Roman" w:cs="Times New Roman"/>
          <w:sz w:val="24"/>
          <w:szCs w:val="24"/>
          <w:lang w:val="en-US" w:eastAsia="ar-SA"/>
        </w:rPr>
        <w:t xml:space="preserve">i.e., a </w:t>
      </w:r>
      <w:r w:rsidR="003E1FCA" w:rsidRPr="002045EC">
        <w:rPr>
          <w:rFonts w:ascii="Times New Roman" w:eastAsia="Times New Roman" w:hAnsi="Times New Roman" w:cs="Times New Roman"/>
          <w:sz w:val="24"/>
          <w:szCs w:val="24"/>
          <w:lang w:val="en-US" w:eastAsia="ar-SA"/>
        </w:rPr>
        <w:t xml:space="preserve">probable human carcinogenic </w:t>
      </w:r>
      <w:r w:rsidR="00EE2A24" w:rsidRPr="002045EC">
        <w:rPr>
          <w:rFonts w:ascii="Times New Roman" w:eastAsia="Times New Roman" w:hAnsi="Times New Roman" w:cs="Times New Roman"/>
          <w:sz w:val="24"/>
          <w:szCs w:val="24"/>
          <w:lang w:val="en-US" w:eastAsia="ar-SA"/>
        </w:rPr>
        <w:fldChar w:fldCharType="begin"/>
      </w:r>
      <w:r w:rsidR="00EE2A24" w:rsidRPr="002045EC">
        <w:rPr>
          <w:rFonts w:ascii="Times New Roman" w:eastAsia="Times New Roman" w:hAnsi="Times New Roman" w:cs="Times New Roman"/>
          <w:sz w:val="24"/>
          <w:szCs w:val="24"/>
          <w:lang w:val="en-US" w:eastAsia="ar-SA"/>
        </w:rPr>
        <w:instrText xml:space="preserve"> ADDIN EN.CITE &lt;EndNote&gt;&lt;Cite&gt;&lt;Author&gt;Organization&lt;/Author&gt;&lt;Year&gt;2019&lt;/Year&gt;&lt;RecNum&gt;349&lt;/RecNum&gt;&lt;DisplayText&gt;[6]&lt;/DisplayText&gt;&lt;record&gt;&lt;rec-number&gt;349&lt;/rec-number&gt;&lt;foreign-keys&gt;&lt;key app="EN" db-id="septzepf8fe2f2ead9cxf2vww2vpfr5wdzez" timestamp="1632410746"&gt;349&lt;/key&gt;&lt;/foreign-keys&gt;&lt;ref-type name="Journal Article"&gt;17&lt;/ref-type&gt;&lt;contributors&gt;&lt;authors&gt;&lt;author&gt;World Health Organization&lt;/author&gt;&lt;/authors&gt;&lt;/contributors&gt;&lt;titles&gt;&lt;title&gt;International agency for research on cancer&lt;/title&gt;&lt;/titles&gt;&lt;dates&gt;&lt;year&gt;2019&lt;/year&gt;&lt;/dates&gt;&lt;urls&gt;&lt;/urls&gt;&lt;/record&gt;&lt;/Cite&gt;&lt;/EndNote&gt;</w:instrText>
      </w:r>
      <w:r w:rsidR="00EE2A24" w:rsidRPr="002045EC">
        <w:rPr>
          <w:rFonts w:ascii="Times New Roman" w:eastAsia="Times New Roman" w:hAnsi="Times New Roman" w:cs="Times New Roman"/>
          <w:sz w:val="24"/>
          <w:szCs w:val="24"/>
          <w:lang w:val="en-US" w:eastAsia="ar-SA"/>
        </w:rPr>
        <w:fldChar w:fldCharType="separate"/>
      </w:r>
      <w:r w:rsidR="00EE2A24" w:rsidRPr="002045EC">
        <w:rPr>
          <w:rFonts w:ascii="Times New Roman" w:eastAsia="Times New Roman" w:hAnsi="Times New Roman" w:cs="Times New Roman"/>
          <w:noProof/>
          <w:sz w:val="24"/>
          <w:szCs w:val="24"/>
          <w:lang w:val="en-US" w:eastAsia="ar-SA"/>
        </w:rPr>
        <w:t>[6]</w:t>
      </w:r>
      <w:r w:rsidR="00EE2A24" w:rsidRPr="002045EC">
        <w:rPr>
          <w:rFonts w:ascii="Times New Roman" w:eastAsia="Times New Roman" w:hAnsi="Times New Roman" w:cs="Times New Roman"/>
          <w:sz w:val="24"/>
          <w:szCs w:val="24"/>
          <w:lang w:val="en-US" w:eastAsia="ar-SA"/>
        </w:rPr>
        <w:fldChar w:fldCharType="end"/>
      </w:r>
      <w:r w:rsidR="003E1FCA" w:rsidRPr="002045EC">
        <w:rPr>
          <w:rFonts w:ascii="Times New Roman" w:eastAsia="Times New Roman" w:hAnsi="Times New Roman" w:cs="Times New Roman"/>
          <w:sz w:val="24"/>
          <w:szCs w:val="24"/>
          <w:lang w:val="en-US" w:eastAsia="ar-SA"/>
        </w:rPr>
        <w:t xml:space="preserve">. </w:t>
      </w:r>
      <w:r w:rsidR="002C6FEC" w:rsidRPr="002045EC">
        <w:rPr>
          <w:rFonts w:ascii="Times New Roman" w:eastAsia="Times New Roman" w:hAnsi="Times New Roman" w:cs="Times New Roman"/>
          <w:sz w:val="24"/>
          <w:szCs w:val="24"/>
          <w:lang w:val="en-US" w:eastAsia="ar-SA"/>
        </w:rPr>
        <w:t xml:space="preserve">From a metabolic point of view, acrylamide can be metabolized </w:t>
      </w:r>
      <w:r w:rsidR="00933495" w:rsidRPr="002045EC">
        <w:rPr>
          <w:rFonts w:ascii="Times New Roman" w:eastAsia="Times New Roman" w:hAnsi="Times New Roman" w:cs="Times New Roman"/>
          <w:sz w:val="24"/>
          <w:szCs w:val="24"/>
          <w:lang w:val="en-US" w:eastAsia="ar-SA"/>
        </w:rPr>
        <w:t>using</w:t>
      </w:r>
      <w:r w:rsidR="002C6FEC" w:rsidRPr="002045EC">
        <w:rPr>
          <w:rFonts w:ascii="Times New Roman" w:eastAsia="Times New Roman" w:hAnsi="Times New Roman" w:cs="Times New Roman"/>
          <w:sz w:val="24"/>
          <w:szCs w:val="24"/>
          <w:lang w:val="en-US" w:eastAsia="ar-SA"/>
        </w:rPr>
        <w:t xml:space="preserve"> two major pathways. The first </w:t>
      </w:r>
      <w:r w:rsidR="00933495" w:rsidRPr="002045EC">
        <w:rPr>
          <w:rFonts w:ascii="Times New Roman" w:eastAsia="Times New Roman" w:hAnsi="Times New Roman" w:cs="Times New Roman"/>
          <w:sz w:val="24"/>
          <w:szCs w:val="24"/>
          <w:lang w:val="en-US" w:eastAsia="ar-SA"/>
        </w:rPr>
        <w:t>one</w:t>
      </w:r>
      <w:r w:rsidR="002C6FEC" w:rsidRPr="002045EC">
        <w:rPr>
          <w:rFonts w:ascii="Times New Roman" w:eastAsia="Times New Roman" w:hAnsi="Times New Roman" w:cs="Times New Roman"/>
          <w:sz w:val="24"/>
          <w:szCs w:val="24"/>
          <w:lang w:val="en-US" w:eastAsia="ar-SA"/>
        </w:rPr>
        <w:t xml:space="preserve"> is the</w:t>
      </w:r>
      <w:r w:rsidR="00933495" w:rsidRPr="002045EC">
        <w:rPr>
          <w:rFonts w:ascii="Times New Roman" w:eastAsia="Times New Roman" w:hAnsi="Times New Roman" w:cs="Times New Roman"/>
          <w:sz w:val="24"/>
          <w:szCs w:val="24"/>
          <w:lang w:val="en-US" w:eastAsia="ar-SA"/>
        </w:rPr>
        <w:t xml:space="preserve"> pathway involving</w:t>
      </w:r>
      <w:r w:rsidR="002C6FEC" w:rsidRPr="002045EC">
        <w:rPr>
          <w:rFonts w:ascii="Times New Roman" w:eastAsia="Times New Roman" w:hAnsi="Times New Roman" w:cs="Times New Roman"/>
          <w:sz w:val="24"/>
          <w:szCs w:val="24"/>
          <w:lang w:val="en-US" w:eastAsia="ar-SA"/>
        </w:rPr>
        <w:t xml:space="preserve"> cytochrome P450 2E1 (CYP2E1)-mediated phase</w:t>
      </w:r>
      <w:r w:rsidR="00933495" w:rsidRPr="002045EC">
        <w:rPr>
          <w:rFonts w:ascii="Times New Roman" w:eastAsia="Times New Roman" w:hAnsi="Times New Roman" w:cs="Times New Roman"/>
          <w:sz w:val="24"/>
          <w:szCs w:val="24"/>
          <w:lang w:val="en-US" w:eastAsia="ar-SA"/>
        </w:rPr>
        <w:t>:</w:t>
      </w:r>
      <w:r w:rsidR="002C6FEC" w:rsidRPr="002045EC">
        <w:rPr>
          <w:rFonts w:ascii="Times New Roman" w:eastAsia="Times New Roman" w:hAnsi="Times New Roman" w:cs="Times New Roman"/>
          <w:sz w:val="24"/>
          <w:szCs w:val="24"/>
          <w:lang w:val="en-US" w:eastAsia="ar-SA"/>
        </w:rPr>
        <w:t xml:space="preserve"> </w:t>
      </w:r>
      <w:r w:rsidR="00933495" w:rsidRPr="002045EC">
        <w:rPr>
          <w:rFonts w:ascii="Times New Roman" w:eastAsia="Times New Roman" w:hAnsi="Times New Roman" w:cs="Times New Roman"/>
          <w:sz w:val="24"/>
          <w:szCs w:val="24"/>
          <w:lang w:val="en-US" w:eastAsia="ar-SA"/>
        </w:rPr>
        <w:t>through this way the</w:t>
      </w:r>
      <w:r w:rsidR="002C6FEC" w:rsidRPr="002045EC">
        <w:rPr>
          <w:rFonts w:ascii="Times New Roman" w:eastAsia="Times New Roman" w:hAnsi="Times New Roman" w:cs="Times New Roman"/>
          <w:sz w:val="24"/>
          <w:szCs w:val="24"/>
          <w:lang w:val="en-US" w:eastAsia="ar-SA"/>
        </w:rPr>
        <w:t xml:space="preserve"> oxidative metabolite </w:t>
      </w:r>
      <w:proofErr w:type="spellStart"/>
      <w:r w:rsidR="002C6FEC" w:rsidRPr="002045EC">
        <w:rPr>
          <w:rFonts w:ascii="Times New Roman" w:eastAsia="Times New Roman" w:hAnsi="Times New Roman" w:cs="Times New Roman"/>
          <w:sz w:val="24"/>
          <w:szCs w:val="24"/>
          <w:lang w:val="en-US" w:eastAsia="ar-SA"/>
        </w:rPr>
        <w:t>glycidamide</w:t>
      </w:r>
      <w:proofErr w:type="spellEnd"/>
      <w:r w:rsidR="002C6FEC" w:rsidRPr="002045EC">
        <w:rPr>
          <w:rFonts w:ascii="Times New Roman" w:eastAsia="Times New Roman" w:hAnsi="Times New Roman" w:cs="Times New Roman"/>
          <w:sz w:val="24"/>
          <w:szCs w:val="24"/>
          <w:lang w:val="en-US" w:eastAsia="ar-SA"/>
        </w:rPr>
        <w:t xml:space="preserve"> is </w:t>
      </w:r>
      <w:r w:rsidR="00933495" w:rsidRPr="002045EC">
        <w:rPr>
          <w:rFonts w:ascii="Times New Roman" w:eastAsia="Times New Roman" w:hAnsi="Times New Roman" w:cs="Times New Roman"/>
          <w:sz w:val="24"/>
          <w:szCs w:val="24"/>
          <w:lang w:val="en-US" w:eastAsia="ar-SA"/>
        </w:rPr>
        <w:t xml:space="preserve">consequently </w:t>
      </w:r>
      <w:r w:rsidR="002C6FEC" w:rsidRPr="002045EC">
        <w:rPr>
          <w:rFonts w:ascii="Times New Roman" w:eastAsia="Times New Roman" w:hAnsi="Times New Roman" w:cs="Times New Roman"/>
          <w:sz w:val="24"/>
          <w:szCs w:val="24"/>
          <w:lang w:val="en-US" w:eastAsia="ar-SA"/>
        </w:rPr>
        <w:t xml:space="preserve">formed. </w:t>
      </w:r>
      <w:proofErr w:type="spellStart"/>
      <w:r w:rsidR="00933495" w:rsidRPr="002045EC">
        <w:rPr>
          <w:rFonts w:ascii="Times New Roman" w:eastAsia="Times New Roman" w:hAnsi="Times New Roman" w:cs="Times New Roman"/>
          <w:sz w:val="24"/>
          <w:szCs w:val="24"/>
          <w:lang w:val="en-US" w:eastAsia="ar-SA"/>
        </w:rPr>
        <w:t>Glycidamide</w:t>
      </w:r>
      <w:proofErr w:type="spellEnd"/>
      <w:r w:rsidR="00933495" w:rsidRPr="002045EC">
        <w:rPr>
          <w:rFonts w:ascii="Times New Roman" w:eastAsia="Times New Roman" w:hAnsi="Times New Roman" w:cs="Times New Roman"/>
          <w:sz w:val="24"/>
          <w:szCs w:val="24"/>
          <w:lang w:val="en-US" w:eastAsia="ar-SA"/>
        </w:rPr>
        <w:t xml:space="preserve"> </w:t>
      </w:r>
      <w:r w:rsidR="002C6FEC" w:rsidRPr="002045EC">
        <w:rPr>
          <w:rFonts w:ascii="Times New Roman" w:eastAsia="Times New Roman" w:hAnsi="Times New Roman" w:cs="Times New Roman"/>
          <w:sz w:val="24"/>
          <w:szCs w:val="24"/>
          <w:lang w:val="en-US" w:eastAsia="ar-SA"/>
        </w:rPr>
        <w:t xml:space="preserve">can react with DNA to </w:t>
      </w:r>
      <w:r w:rsidR="00933495" w:rsidRPr="002045EC">
        <w:rPr>
          <w:rFonts w:ascii="Times New Roman" w:eastAsia="Times New Roman" w:hAnsi="Times New Roman" w:cs="Times New Roman"/>
          <w:sz w:val="24"/>
          <w:szCs w:val="24"/>
          <w:lang w:val="en-US" w:eastAsia="ar-SA"/>
        </w:rPr>
        <w:t>create</w:t>
      </w:r>
      <w:r w:rsidR="002C6FEC" w:rsidRPr="002045EC">
        <w:rPr>
          <w:rFonts w:ascii="Times New Roman" w:eastAsia="Times New Roman" w:hAnsi="Times New Roman" w:cs="Times New Roman"/>
          <w:sz w:val="24"/>
          <w:szCs w:val="24"/>
          <w:lang w:val="en-US" w:eastAsia="ar-SA"/>
        </w:rPr>
        <w:t xml:space="preserve"> DNA adducts. The second pathway of </w:t>
      </w:r>
      <w:r w:rsidR="00933495" w:rsidRPr="002045EC">
        <w:rPr>
          <w:rFonts w:ascii="Times New Roman" w:eastAsia="Times New Roman" w:hAnsi="Times New Roman" w:cs="Times New Roman"/>
          <w:sz w:val="24"/>
          <w:szCs w:val="24"/>
          <w:lang w:val="en-US" w:eastAsia="ar-SA"/>
        </w:rPr>
        <w:t>acrylamide</w:t>
      </w:r>
      <w:r w:rsidR="002C6FEC" w:rsidRPr="002045EC">
        <w:rPr>
          <w:rFonts w:ascii="Times New Roman" w:eastAsia="Times New Roman" w:hAnsi="Times New Roman" w:cs="Times New Roman"/>
          <w:sz w:val="24"/>
          <w:szCs w:val="24"/>
          <w:lang w:val="en-US" w:eastAsia="ar-SA"/>
        </w:rPr>
        <w:t xml:space="preserve"> metabolism is the direct conjugation with reduced glutathione (GSH). Acrylamide and </w:t>
      </w:r>
      <w:proofErr w:type="spellStart"/>
      <w:r w:rsidR="00933495" w:rsidRPr="002045EC">
        <w:rPr>
          <w:rFonts w:ascii="Times New Roman" w:eastAsia="Times New Roman" w:hAnsi="Times New Roman" w:cs="Times New Roman"/>
          <w:sz w:val="24"/>
          <w:szCs w:val="24"/>
          <w:lang w:val="en-US" w:eastAsia="ar-SA"/>
        </w:rPr>
        <w:t>glycidamide</w:t>
      </w:r>
      <w:proofErr w:type="spellEnd"/>
      <w:r w:rsidR="00933495" w:rsidRPr="002045EC">
        <w:rPr>
          <w:rFonts w:ascii="Times New Roman" w:eastAsia="Times New Roman" w:hAnsi="Times New Roman" w:cs="Times New Roman"/>
          <w:sz w:val="24"/>
          <w:szCs w:val="24"/>
          <w:lang w:val="en-US" w:eastAsia="ar-SA"/>
        </w:rPr>
        <w:t xml:space="preserve"> </w:t>
      </w:r>
      <w:r w:rsidR="002C6FEC" w:rsidRPr="002045EC">
        <w:rPr>
          <w:rFonts w:ascii="Times New Roman" w:eastAsia="Times New Roman" w:hAnsi="Times New Roman" w:cs="Times New Roman"/>
          <w:sz w:val="24"/>
          <w:szCs w:val="24"/>
          <w:lang w:val="en-US" w:eastAsia="ar-SA"/>
        </w:rPr>
        <w:t xml:space="preserve">are also able to </w:t>
      </w:r>
      <w:r w:rsidR="00933495" w:rsidRPr="002045EC">
        <w:rPr>
          <w:rFonts w:ascii="Times New Roman" w:eastAsia="Times New Roman" w:hAnsi="Times New Roman" w:cs="Times New Roman"/>
          <w:sz w:val="24"/>
          <w:szCs w:val="24"/>
          <w:lang w:val="en-US" w:eastAsia="ar-SA"/>
        </w:rPr>
        <w:t>be associated with albumin or other plasma proteins</w:t>
      </w:r>
      <w:r w:rsidR="002C6FEC" w:rsidRPr="002045EC">
        <w:rPr>
          <w:rFonts w:ascii="Times New Roman" w:eastAsia="Times New Roman" w:hAnsi="Times New Roman" w:cs="Times New Roman"/>
          <w:sz w:val="24"/>
          <w:szCs w:val="24"/>
          <w:lang w:val="en-US" w:eastAsia="ar-SA"/>
        </w:rPr>
        <w:t xml:space="preserve">. Both </w:t>
      </w:r>
      <w:r w:rsidR="00933495" w:rsidRPr="002045EC">
        <w:rPr>
          <w:rFonts w:ascii="Times New Roman" w:eastAsia="Times New Roman" w:hAnsi="Times New Roman" w:cs="Times New Roman"/>
          <w:sz w:val="24"/>
          <w:szCs w:val="24"/>
          <w:lang w:val="en-US" w:eastAsia="ar-SA"/>
        </w:rPr>
        <w:t xml:space="preserve">acrylamide and </w:t>
      </w:r>
      <w:proofErr w:type="spellStart"/>
      <w:r w:rsidR="00933495" w:rsidRPr="002045EC">
        <w:rPr>
          <w:rFonts w:ascii="Times New Roman" w:eastAsia="Times New Roman" w:hAnsi="Times New Roman" w:cs="Times New Roman"/>
          <w:sz w:val="24"/>
          <w:szCs w:val="24"/>
          <w:lang w:val="en-US" w:eastAsia="ar-SA"/>
        </w:rPr>
        <w:t>glycidamide</w:t>
      </w:r>
      <w:proofErr w:type="spellEnd"/>
      <w:r w:rsidR="00933495" w:rsidRPr="002045EC">
        <w:rPr>
          <w:rFonts w:ascii="Times New Roman" w:eastAsia="Times New Roman" w:hAnsi="Times New Roman" w:cs="Times New Roman"/>
          <w:sz w:val="24"/>
          <w:szCs w:val="24"/>
          <w:lang w:val="en-US" w:eastAsia="ar-SA"/>
        </w:rPr>
        <w:t xml:space="preserve"> </w:t>
      </w:r>
      <w:r w:rsidR="002C6FEC" w:rsidRPr="002045EC">
        <w:rPr>
          <w:rFonts w:ascii="Times New Roman" w:eastAsia="Times New Roman" w:hAnsi="Times New Roman" w:cs="Times New Roman"/>
          <w:sz w:val="24"/>
          <w:szCs w:val="24"/>
          <w:lang w:val="en-US" w:eastAsia="ar-SA"/>
        </w:rPr>
        <w:t xml:space="preserve">can react with the N-terminal valine residues of Hemoglobin to form Hb adducts of </w:t>
      </w:r>
      <w:r w:rsidR="00933495" w:rsidRPr="002045EC">
        <w:rPr>
          <w:rFonts w:ascii="Times New Roman" w:eastAsia="Times New Roman" w:hAnsi="Times New Roman" w:cs="Times New Roman"/>
          <w:sz w:val="24"/>
          <w:szCs w:val="24"/>
          <w:lang w:val="en-US" w:eastAsia="ar-SA"/>
        </w:rPr>
        <w:t xml:space="preserve">acrylamide, that </w:t>
      </w:r>
      <w:r w:rsidR="002C6FEC" w:rsidRPr="002045EC">
        <w:rPr>
          <w:rFonts w:ascii="Times New Roman" w:eastAsia="Times New Roman" w:hAnsi="Times New Roman" w:cs="Times New Roman"/>
          <w:sz w:val="24"/>
          <w:szCs w:val="24"/>
          <w:lang w:val="en-US" w:eastAsia="ar-SA"/>
        </w:rPr>
        <w:t xml:space="preserve">are widely used as biomarkers for </w:t>
      </w:r>
      <w:r w:rsidR="00933495" w:rsidRPr="002045EC">
        <w:rPr>
          <w:rFonts w:ascii="Times New Roman" w:eastAsia="Times New Roman" w:hAnsi="Times New Roman" w:cs="Times New Roman"/>
          <w:sz w:val="24"/>
          <w:szCs w:val="24"/>
          <w:lang w:val="en-US" w:eastAsia="ar-SA"/>
        </w:rPr>
        <w:t>acrylamide</w:t>
      </w:r>
      <w:r w:rsidR="002C6FEC" w:rsidRPr="002045EC">
        <w:rPr>
          <w:rFonts w:ascii="Times New Roman" w:eastAsia="Times New Roman" w:hAnsi="Times New Roman" w:cs="Times New Roman"/>
          <w:sz w:val="24"/>
          <w:szCs w:val="24"/>
          <w:lang w:val="en-US" w:eastAsia="ar-SA"/>
        </w:rPr>
        <w:t xml:space="preserve"> exposure </w:t>
      </w:r>
      <w:r w:rsidR="002C6FEC" w:rsidRPr="002045EC">
        <w:rPr>
          <w:rFonts w:ascii="Times New Roman" w:eastAsia="Times New Roman" w:hAnsi="Times New Roman" w:cs="Times New Roman"/>
          <w:sz w:val="24"/>
          <w:szCs w:val="24"/>
          <w:lang w:val="en-US" w:eastAsia="ar-SA"/>
        </w:rPr>
        <w:fldChar w:fldCharType="begin"/>
      </w:r>
      <w:r w:rsidR="002C6FEC" w:rsidRPr="002045EC">
        <w:rPr>
          <w:rFonts w:ascii="Times New Roman" w:eastAsia="Times New Roman" w:hAnsi="Times New Roman" w:cs="Times New Roman"/>
          <w:sz w:val="24"/>
          <w:szCs w:val="24"/>
          <w:lang w:val="en-US" w:eastAsia="ar-SA"/>
        </w:rPr>
        <w:instrText xml:space="preserve"> ADDIN EN.CITE &lt;EndNote&gt;&lt;Cite&gt;&lt;Author&gt;Li&lt;/Author&gt;&lt;Year&gt;2016&lt;/Year&gt;&lt;RecNum&gt;350&lt;/RecNum&gt;&lt;DisplayText&gt;[7]&lt;/DisplayText&gt;&lt;record&gt;&lt;rec-number&gt;350&lt;/rec-number&gt;&lt;foreign-keys&gt;&lt;key app="EN" db-id="septzepf8fe2f2ead9cxf2vww2vpfr5wdzez" timestamp="1632412953"&gt;350&lt;/key&gt;&lt;/foreign-keys&gt;&lt;ref-type name="Journal Article"&gt;17&lt;/ref-type&gt;&lt;contributors&gt;&lt;authors&gt;&lt;author&gt;Li, Daotong&lt;/author&gt;&lt;author&gt;Wang, Pengpu&lt;/author&gt;&lt;author&gt;Liu, Yanbing&lt;/author&gt;&lt;author&gt;Hu, Xiaosong&lt;/author&gt;&lt;author&gt;Chen, Fang&lt;/author&gt;&lt;/authors&gt;&lt;/contributors&gt;&lt;titles&gt;&lt;title&gt;Metabolism of acrylamide: interindividual and interspecies differences as well as the application as biomarkers&lt;/title&gt;&lt;secondary-title&gt;Current drug metabolism&lt;/secondary-title&gt;&lt;/titles&gt;&lt;periodical&gt;&lt;full-title&gt;Current drug metabolism&lt;/full-title&gt;&lt;/periodical&gt;&lt;pages&gt;317-326&lt;/pages&gt;&lt;volume&gt;17&lt;/volume&gt;&lt;number&gt;4&lt;/number&gt;&lt;dates&gt;&lt;year&gt;2016&lt;/year&gt;&lt;/dates&gt;&lt;isbn&gt;1389-2002&lt;/isbn&gt;&lt;urls&gt;&lt;/urls&gt;&lt;/record&gt;&lt;/Cite&gt;&lt;/EndNote&gt;</w:instrText>
      </w:r>
      <w:r w:rsidR="002C6FEC" w:rsidRPr="002045EC">
        <w:rPr>
          <w:rFonts w:ascii="Times New Roman" w:eastAsia="Times New Roman" w:hAnsi="Times New Roman" w:cs="Times New Roman"/>
          <w:sz w:val="24"/>
          <w:szCs w:val="24"/>
          <w:lang w:val="en-US" w:eastAsia="ar-SA"/>
        </w:rPr>
        <w:fldChar w:fldCharType="separate"/>
      </w:r>
      <w:r w:rsidR="002C6FEC" w:rsidRPr="002045EC">
        <w:rPr>
          <w:rFonts w:ascii="Times New Roman" w:eastAsia="Times New Roman" w:hAnsi="Times New Roman" w:cs="Times New Roman"/>
          <w:noProof/>
          <w:sz w:val="24"/>
          <w:szCs w:val="24"/>
          <w:lang w:val="en-US" w:eastAsia="ar-SA"/>
        </w:rPr>
        <w:t>[7]</w:t>
      </w:r>
      <w:r w:rsidR="002C6FEC" w:rsidRPr="002045EC">
        <w:rPr>
          <w:rFonts w:ascii="Times New Roman" w:eastAsia="Times New Roman" w:hAnsi="Times New Roman" w:cs="Times New Roman"/>
          <w:sz w:val="24"/>
          <w:szCs w:val="24"/>
          <w:lang w:val="en-US" w:eastAsia="ar-SA"/>
        </w:rPr>
        <w:fldChar w:fldCharType="end"/>
      </w:r>
      <w:r w:rsidR="002C6FEC" w:rsidRPr="002045EC">
        <w:rPr>
          <w:rFonts w:ascii="Times New Roman" w:eastAsia="Times New Roman" w:hAnsi="Times New Roman" w:cs="Times New Roman"/>
          <w:sz w:val="24"/>
          <w:szCs w:val="24"/>
          <w:lang w:val="en-US" w:eastAsia="ar-SA"/>
        </w:rPr>
        <w:t xml:space="preserve">. </w:t>
      </w:r>
    </w:p>
    <w:p w14:paraId="305319B7" w14:textId="77777777" w:rsidR="00964BC6" w:rsidRPr="002045EC" w:rsidRDefault="00964BC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p>
    <w:p w14:paraId="7F0E57CB" w14:textId="71EA361F" w:rsidR="00964BC6" w:rsidRPr="002045EC" w:rsidRDefault="005032D4"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r w:rsidRPr="002045EC">
        <w:rPr>
          <w:rFonts w:ascii="Times New Roman" w:eastAsia="Times New Roman" w:hAnsi="Times New Roman" w:cs="Times New Roman"/>
          <w:color w:val="000000"/>
          <w:sz w:val="24"/>
          <w:szCs w:val="24"/>
          <w:shd w:val="clear" w:color="auto" w:fill="FFFFFF"/>
          <w:lang w:val="en-US"/>
        </w:rPr>
        <w:t>Recent literature has suggested that a</w:t>
      </w:r>
      <w:r w:rsidR="00964BC6" w:rsidRPr="002045EC">
        <w:rPr>
          <w:rFonts w:ascii="Times New Roman" w:eastAsia="Times New Roman" w:hAnsi="Times New Roman" w:cs="Times New Roman"/>
          <w:color w:val="000000"/>
          <w:sz w:val="24"/>
          <w:szCs w:val="24"/>
          <w:shd w:val="clear" w:color="auto" w:fill="FFFFFF"/>
          <w:lang w:val="en-US"/>
        </w:rPr>
        <w:t xml:space="preserve">crylamide exposure </w:t>
      </w:r>
      <w:r w:rsidRPr="002045EC">
        <w:rPr>
          <w:rFonts w:ascii="Times New Roman" w:eastAsia="Times New Roman" w:hAnsi="Times New Roman" w:cs="Times New Roman"/>
          <w:color w:val="000000"/>
          <w:sz w:val="24"/>
          <w:szCs w:val="24"/>
          <w:shd w:val="clear" w:color="auto" w:fill="FFFFFF"/>
          <w:lang w:val="en-US"/>
        </w:rPr>
        <w:t>might lead</w:t>
      </w:r>
      <w:r w:rsidR="00964BC6" w:rsidRPr="002045EC">
        <w:rPr>
          <w:rFonts w:ascii="Times New Roman" w:eastAsia="Times New Roman" w:hAnsi="Times New Roman" w:cs="Times New Roman"/>
          <w:color w:val="000000"/>
          <w:sz w:val="24"/>
          <w:szCs w:val="24"/>
          <w:shd w:val="clear" w:color="auto" w:fill="FFFFFF"/>
          <w:lang w:val="en-US"/>
        </w:rPr>
        <w:t xml:space="preserve"> to</w:t>
      </w:r>
      <w:r w:rsidR="00AB4A74" w:rsidRPr="002045EC">
        <w:rPr>
          <w:rFonts w:ascii="Times New Roman" w:eastAsia="Times New Roman" w:hAnsi="Times New Roman" w:cs="Times New Roman"/>
          <w:color w:val="000000"/>
          <w:sz w:val="24"/>
          <w:szCs w:val="24"/>
          <w:shd w:val="clear" w:color="auto" w:fill="FFFFFF"/>
          <w:lang w:val="en-US"/>
        </w:rPr>
        <w:t xml:space="preserve"> an increased risk of</w:t>
      </w:r>
      <w:r w:rsidR="00964BC6" w:rsidRPr="002045EC">
        <w:rPr>
          <w:rFonts w:ascii="Times New Roman" w:eastAsia="Times New Roman" w:hAnsi="Times New Roman" w:cs="Times New Roman"/>
          <w:color w:val="000000"/>
          <w:sz w:val="24"/>
          <w:szCs w:val="24"/>
          <w:shd w:val="clear" w:color="auto" w:fill="FFFFFF"/>
          <w:lang w:val="en-US"/>
        </w:rPr>
        <w:t xml:space="preserve"> oxidative stress as shown by a significant increase in reactive oxygen species (ROS) and malondialdehyde (MDA) levels and glutathione (GSH) reduction. Inflammatory response was observed based on dose-dependent levels of pro-inflammatory cytokines tumor necrosis factor-α (TNF-α) and interleukin 6 </w:t>
      </w:r>
      <w:r w:rsidR="00964BC6" w:rsidRPr="002045EC">
        <w:rPr>
          <w:rFonts w:ascii="Times New Roman" w:eastAsia="Times New Roman" w:hAnsi="Times New Roman" w:cs="Times New Roman"/>
          <w:color w:val="000000"/>
          <w:sz w:val="24"/>
          <w:szCs w:val="24"/>
          <w:shd w:val="clear" w:color="auto" w:fill="FFFFFF"/>
          <w:lang w:val="en-US"/>
        </w:rPr>
        <w:lastRenderedPageBreak/>
        <w:t xml:space="preserve">(IL-6) </w:t>
      </w:r>
      <w:r w:rsidR="00964BC6"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&lt;EndNote&gt;&lt;Cite&gt;&lt;Author&gt;Pan&lt;/Author&gt;&lt;Year&gt;2018&lt;/Year&gt;&lt;RecNum&gt;8346&lt;/RecNum&gt;&lt;DisplayText&gt;[8]&lt;/DisplayText&gt;&lt;record&gt;&lt;rec-number&gt;8346&lt;/rec-number&gt;&lt;foreign-keys&gt;&lt;key app="EN" db-id="t2wadffz0tdfane25rb50ezte9zwtdwpseft"&gt;8346&lt;/key&gt;&lt;/foreign-keys&gt;&lt;ref-type name="Journal Article"&gt;17&lt;/ref-type&gt;&lt;contributors&gt;&lt;authors&gt;&lt;author&gt;Pan, Xiaoqi&lt;/author&gt;&lt;author&gt;Wu, Xu&lt;/author&gt;&lt;author&gt;Yan, Dandan&lt;/author&gt;&lt;author&gt;Peng, Cheng&lt;/author&gt;&lt;author&gt;Rao, Chaolong&lt;/author&gt;&lt;author&gt;Yan, Hong&lt;/author&gt;&lt;/authors&gt;&lt;/contributors&gt;&lt;titles&gt;&lt;title&gt;Acrylamide-induced oxidative stress and inflammatory response are alleviated by N-acetylcysteine in PC12 cells: Involvement of the crosstalk between Nrf2 and NF-κB pathways regulated by MAPKs&lt;/title&gt;&lt;secondary-title&gt;Toxicology letters&lt;/secondary-title&gt;&lt;/titles&gt;&lt;periodical&gt;&lt;full-title&gt;Toxicology letters&lt;/full-title&gt;&lt;/periodical&gt;&lt;pages&gt;55-64&lt;/pages&gt;&lt;volume&gt;288&lt;/volume&gt;&lt;dates&gt;&lt;year&gt;2018&lt;/year&gt;&lt;/dates&gt;&lt;isbn&gt;0378-4274&lt;/isbn&gt;&lt;urls&gt;&lt;/urls&gt;&lt;/record&gt;&lt;/Cite&gt;&lt;/EndNote&gt;</w:instrText>
      </w:r>
      <w:r w:rsidR="00964BC6"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[8]</w:t>
      </w:r>
      <w:r w:rsidR="00964BC6"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00964BC6" w:rsidRPr="002045EC">
        <w:rPr>
          <w:rFonts w:ascii="Times New Roman" w:eastAsia="Times New Roman" w:hAnsi="Times New Roman" w:cs="Times New Roman"/>
          <w:color w:val="000000"/>
          <w:sz w:val="24"/>
          <w:szCs w:val="24"/>
          <w:shd w:val="clear" w:color="auto" w:fill="FFFFFF"/>
          <w:lang w:val="en-US"/>
        </w:rPr>
        <w:t xml:space="preserve">  In addition, </w:t>
      </w:r>
      <w:r w:rsidRPr="002045EC">
        <w:rPr>
          <w:rFonts w:ascii="Times New Roman" w:eastAsia="Times New Roman" w:hAnsi="Times New Roman" w:cs="Times New Roman"/>
          <w:color w:val="000000"/>
          <w:sz w:val="24"/>
          <w:szCs w:val="24"/>
          <w:shd w:val="clear" w:color="auto" w:fill="FFFFFF"/>
          <w:lang w:val="en-US"/>
        </w:rPr>
        <w:t xml:space="preserve">acrylamide </w:t>
      </w:r>
      <w:r w:rsidR="00964BC6" w:rsidRPr="002045EC">
        <w:rPr>
          <w:rFonts w:ascii="Times New Roman" w:eastAsia="Times New Roman" w:hAnsi="Times New Roman" w:cs="Times New Roman"/>
          <w:color w:val="000000"/>
          <w:sz w:val="24"/>
          <w:szCs w:val="24"/>
          <w:shd w:val="clear" w:color="auto" w:fill="FFFFFF"/>
          <w:lang w:val="en-US"/>
        </w:rPr>
        <w:t>activated nuclear transcription factor E2-related factor 2 (Nrf2) and nuclear factor-</w:t>
      </w:r>
      <w:proofErr w:type="spellStart"/>
      <w:r w:rsidR="00964BC6" w:rsidRPr="002045EC">
        <w:rPr>
          <w:rFonts w:ascii="Times New Roman" w:eastAsia="Times New Roman" w:hAnsi="Times New Roman" w:cs="Times New Roman"/>
          <w:color w:val="000000"/>
          <w:sz w:val="24"/>
          <w:szCs w:val="24"/>
          <w:shd w:val="clear" w:color="auto" w:fill="FFFFFF"/>
          <w:lang w:val="en-US"/>
        </w:rPr>
        <w:t>κB</w:t>
      </w:r>
      <w:proofErr w:type="spellEnd"/>
      <w:r w:rsidR="00964BC6" w:rsidRPr="002045EC">
        <w:rPr>
          <w:rFonts w:ascii="Times New Roman" w:eastAsia="Times New Roman" w:hAnsi="Times New Roman" w:cs="Times New Roman"/>
          <w:color w:val="000000"/>
          <w:sz w:val="24"/>
          <w:szCs w:val="24"/>
          <w:shd w:val="clear" w:color="auto" w:fill="FFFFFF"/>
          <w:lang w:val="en-US"/>
        </w:rPr>
        <w:t xml:space="preserve"> (NF-</w:t>
      </w:r>
      <w:proofErr w:type="spellStart"/>
      <w:r w:rsidR="00964BC6" w:rsidRPr="002045EC">
        <w:rPr>
          <w:rFonts w:ascii="Times New Roman" w:eastAsia="Times New Roman" w:hAnsi="Times New Roman" w:cs="Times New Roman"/>
          <w:color w:val="000000"/>
          <w:sz w:val="24"/>
          <w:szCs w:val="24"/>
          <w:shd w:val="clear" w:color="auto" w:fill="FFFFFF"/>
          <w:lang w:val="en-US"/>
        </w:rPr>
        <w:t>κB</w:t>
      </w:r>
      <w:proofErr w:type="spellEnd"/>
      <w:r w:rsidR="00964BC6" w:rsidRPr="002045EC">
        <w:rPr>
          <w:rFonts w:ascii="Times New Roman" w:eastAsia="Times New Roman" w:hAnsi="Times New Roman" w:cs="Times New Roman"/>
          <w:color w:val="000000"/>
          <w:sz w:val="24"/>
          <w:szCs w:val="24"/>
          <w:shd w:val="clear" w:color="auto" w:fill="FFFFFF"/>
          <w:lang w:val="en-US"/>
        </w:rPr>
        <w:t>) signaling pathways were also observed</w:t>
      </w:r>
      <w:r w:rsidR="00042A23" w:rsidRPr="002045EC">
        <w:rPr>
          <w:rFonts w:ascii="Times New Roman" w:eastAsia="Times New Roman" w:hAnsi="Times New Roman" w:cs="Times New Roman"/>
          <w:color w:val="000000"/>
          <w:sz w:val="24"/>
          <w:szCs w:val="24"/>
          <w:shd w:val="clear" w:color="auto" w:fill="FFFFFF"/>
          <w:lang w:val="en-US"/>
        </w:rPr>
        <w:t xml:space="preserve"> </w:t>
      </w:r>
      <w:r w:rsidR="00964BC6"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&lt;EndNote&gt;&lt;Cite&gt;&lt;Author&gt;Pan&lt;/Author&gt;&lt;Year&gt;2018&lt;/Year&gt;&lt;RecNum&gt;8346&lt;/RecNum&gt;&lt;DisplayText&gt;[8]&lt;/DisplayText&gt;&lt;record&gt;&lt;rec-number&gt;8346&lt;/rec-number&gt;&lt;foreign-keys&gt;&lt;key app="EN" db-id="t2wadffz0tdfane25rb50ezte9zwtdwpseft"&gt;8346&lt;/key&gt;&lt;/foreign-keys&gt;&lt;ref-type name="Journal Article"&gt;17&lt;/ref-type&gt;&lt;contributors&gt;&lt;authors&gt;&lt;author&gt;Pan, Xiaoqi&lt;/author&gt;&lt;author&gt;Wu, Xu&lt;/author&gt;&lt;author&gt;Yan, Dandan&lt;/author&gt;&lt;author&gt;Peng, Cheng&lt;/author&gt;&lt;author&gt;Rao, Chaolong&lt;/author&gt;&lt;author&gt;Yan, Hong&lt;/author&gt;&lt;/authors&gt;&lt;/contributors&gt;&lt;titles&gt;&lt;title&gt;Acrylamide-induced oxidative stress and inflammatory response are alleviated by N-acetylcysteine in PC12 cells: Involvement of the crosstalk between Nrf2 and NF-κB pathways regulated by MAPKs&lt;/title&gt;&lt;secondary-title&gt;Toxicology letters&lt;/secondary-title&gt;&lt;/titles&gt;&lt;periodical&gt;&lt;full-title&gt;Toxicology letters&lt;/full-title&gt;&lt;/periodical&gt;&lt;pages&gt;55-64&lt;/pages&gt;&lt;volume&gt;288&lt;/volume&gt;&lt;dates&gt;&lt;year&gt;2018&lt;/year&gt;&lt;/dates&gt;&lt;isbn&gt;0378-4274&lt;/isbn&gt;&lt;urls&gt;&lt;/urls&gt;&lt;/record&gt;&lt;/Cite&gt;&lt;/EndNote&gt;</w:instrText>
      </w:r>
      <w:r w:rsidR="00964BC6"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[8]</w:t>
      </w:r>
      <w:r w:rsidR="00964BC6"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00964BC6" w:rsidRPr="002045EC">
        <w:rPr>
          <w:rFonts w:ascii="Times New Roman" w:eastAsia="Times New Roman" w:hAnsi="Times New Roman" w:cs="Times New Roman"/>
          <w:color w:val="000000"/>
          <w:sz w:val="24"/>
          <w:szCs w:val="24"/>
          <w:shd w:val="clear" w:color="auto" w:fill="FFFFFF"/>
          <w:lang w:val="en-US"/>
        </w:rPr>
        <w:t xml:space="preserve"> Moreover, </w:t>
      </w:r>
      <w:r w:rsidR="00432699" w:rsidRPr="002045EC">
        <w:rPr>
          <w:rFonts w:ascii="Times New Roman" w:eastAsia="Times New Roman" w:hAnsi="Times New Roman" w:cs="Times New Roman"/>
          <w:color w:val="000000"/>
          <w:sz w:val="24"/>
          <w:szCs w:val="24"/>
          <w:shd w:val="clear" w:color="auto" w:fill="FFFFFF"/>
          <w:lang w:val="en-US"/>
        </w:rPr>
        <w:t>analogs</w:t>
      </w:r>
      <w:r w:rsidR="00964BC6" w:rsidRPr="002045EC">
        <w:rPr>
          <w:rFonts w:ascii="Times New Roman" w:eastAsia="Times New Roman" w:hAnsi="Times New Roman" w:cs="Times New Roman"/>
          <w:color w:val="000000"/>
          <w:sz w:val="24"/>
          <w:szCs w:val="24"/>
          <w:shd w:val="clear" w:color="auto" w:fill="FFFFFF"/>
          <w:lang w:val="en-US"/>
        </w:rPr>
        <w:t xml:space="preserve"> effects on inflammation parameters were reported in another study </w:t>
      </w:r>
      <w:r w:rsidR="00964BC6"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&lt;EndNote&gt;&lt;Cite&gt;&lt;Author&gt;Acaroz&lt;/Author&gt;&lt;Year&gt;2018&lt;/Year&gt;&lt;RecNum&gt;8347&lt;/RecNum&gt;&lt;DisplayText&gt;[9]&lt;/DisplayText&gt;&lt;record&gt;&lt;rec-number&gt;8347&lt;/rec-number&gt;&lt;foreign-keys&gt;&lt;key app="EN" db-id="t2wadffz0tdfane25rb50ezte9zwtdwpseft"&gt;8347&lt;/key&gt;&lt;/foreign-keys&gt;&lt;ref-type name="Journal Article"&gt;17&lt;/ref-type&gt;&lt;contributors&gt;&lt;authors&gt;&lt;author&gt;Acaroz, Ulas&lt;/author&gt;&lt;author&gt;Ince, Sinan&lt;/author&gt;&lt;author&gt;Arslan-Acaroz, Damla&lt;/author&gt;&lt;author&gt;Gurler, Zeki&lt;/author&gt;&lt;author&gt;Kucukkurt, Ismail&lt;/author&gt;&lt;author&gt;Demirel, Hasan Hüseyin&lt;/author&gt;&lt;author&gt;Arslan, Halil Ozancan&lt;/author&gt;&lt;author&gt;Varol, Nuray&lt;/author&gt;&lt;author&gt;Zhu, Kui&lt;/author&gt;&lt;/authors&gt;&lt;/contributors&gt;&lt;titles&gt;&lt;title&gt;The ameliorative effects of boron against acrylamide-induced oxidative stress, inflammatory response, and metabolic changes in rats&lt;/title&gt;&lt;secondary-title&gt;Food and chemical toxicology&lt;/secondary-title&gt;&lt;/titles&gt;&lt;periodical&gt;&lt;full-title&gt;Food and chemical toxicology&lt;/full-title&gt;&lt;/periodical&gt;&lt;pages&gt;745-752&lt;/pages&gt;&lt;volume&gt;118&lt;/volume&gt;&lt;dates&gt;&lt;year&gt;2018&lt;/year&gt;&lt;/dates&gt;&lt;isbn&gt;0278-6915&lt;/isbn&gt;&lt;urls&gt;&lt;/urls&gt;&lt;/record&gt;&lt;/Cite&gt;&lt;/EndNote&gt;</w:instrText>
      </w:r>
      <w:r w:rsidR="00964BC6"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[9]</w:t>
      </w:r>
      <w:r w:rsidR="00964BC6"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00964BC6" w:rsidRPr="002045EC">
        <w:rPr>
          <w:rFonts w:ascii="Times New Roman" w:eastAsia="Times New Roman" w:hAnsi="Times New Roman" w:cs="Times New Roman"/>
          <w:color w:val="000000"/>
          <w:sz w:val="24"/>
          <w:szCs w:val="24"/>
          <w:shd w:val="clear" w:color="auto" w:fill="FFFFFF"/>
          <w:lang w:val="en-US"/>
        </w:rPr>
        <w:t xml:space="preserve"> </w:t>
      </w:r>
    </w:p>
    <w:p w14:paraId="644B108A" w14:textId="06A7965E" w:rsidR="00964BC6" w:rsidRPr="002045EC" w:rsidRDefault="00964BC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p>
    <w:p w14:paraId="66405B54" w14:textId="40E445D7" w:rsidR="00133A7B" w:rsidRPr="002045EC" w:rsidRDefault="00133A7B"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r w:rsidRPr="002045EC">
        <w:rPr>
          <w:rFonts w:ascii="Times New Roman" w:eastAsia="Times New Roman" w:hAnsi="Times New Roman" w:cs="Times New Roman"/>
          <w:color w:val="000000"/>
          <w:sz w:val="24"/>
          <w:szCs w:val="24"/>
          <w:shd w:val="clear" w:color="auto" w:fill="FFFFFF"/>
          <w:lang w:val="en-US"/>
        </w:rPr>
        <w:t>At the same time, there is increasing attention to inflammation and oxidative stress as potential risk factors for poor physical performance</w:t>
      </w:r>
      <w:r w:rsidR="00AB4A74" w:rsidRPr="002045EC">
        <w:rPr>
          <w:rFonts w:ascii="Times New Roman" w:eastAsia="Times New Roman" w:hAnsi="Times New Roman" w:cs="Times New Roman"/>
          <w:color w:val="000000"/>
          <w:sz w:val="24"/>
          <w:szCs w:val="24"/>
          <w:shd w:val="clear" w:color="auto" w:fill="FFFFFF"/>
          <w:lang w:val="en-US"/>
        </w:rPr>
        <w:t xml:space="preserve"> and its consequences</w:t>
      </w:r>
      <w:r w:rsidRPr="002045EC">
        <w:rPr>
          <w:rFonts w:ascii="Times New Roman" w:eastAsia="Times New Roman" w:hAnsi="Times New Roman" w:cs="Times New Roman"/>
          <w:color w:val="000000"/>
          <w:sz w:val="24"/>
          <w:szCs w:val="24"/>
          <w:shd w:val="clear" w:color="auto" w:fill="FFFFFF"/>
          <w:lang w:val="en-US"/>
        </w:rPr>
        <w:t>. It is reported that people with sarcopenia, for example, had significantly higher serum levels of both inflammatory</w:t>
      </w:r>
      <w:r w:rsidR="006B286E" w:rsidRPr="002045EC">
        <w:rPr>
          <w:rFonts w:ascii="Times New Roman" w:eastAsia="Times New Roman" w:hAnsi="Times New Roman" w:cs="Times New Roman"/>
          <w:color w:val="000000"/>
          <w:sz w:val="24"/>
          <w:szCs w:val="24"/>
          <w:shd w:val="clear" w:color="auto" w:fill="FFFFFF"/>
          <w:lang w:val="en-US"/>
        </w:rPr>
        <w:t xml:space="preserve"> </w:t>
      </w:r>
      <w:r w:rsidR="006B286E"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&lt;EndNote&gt;&lt;Cite&gt;&lt;Author&gt;Bano&lt;/Author&gt;&lt;Year&gt;2017&lt;/Year&gt;&lt;RecNum&gt;8613&lt;/RecNum&gt;&lt;DisplayText&gt;[10]&lt;/DisplayText&gt;&lt;record&gt;&lt;rec-number&gt;8613&lt;/rec-number&gt;&lt;foreign-keys&gt;&lt;key app="EN" db-id="drpew5wfywra50esazbxawda2f59zaves90z" timestamp="1604758077"&gt;8613&lt;/key&gt;&lt;/foreign-keys&gt;&lt;ref-type name="Journal Article"&gt;17&lt;/ref-type&gt;&lt;contributors&gt;&lt;authors&gt;&lt;author&gt;Bano, Giulia&lt;/author&gt;&lt;author&gt;Trevisan, Caterina&lt;/author&gt;&lt;author&gt;Carraro, Sara&lt;/author&gt;&lt;author&gt;Solmi, Marco&lt;/author&gt;&lt;author&gt;Luchini, Claudio&lt;/author&gt;&lt;author&gt;Stubbs, Brendon&lt;/author&gt;&lt;author&gt;Manzato, Enzo&lt;/author&gt;&lt;author&gt;Sergi, Giuseppe&lt;/author&gt;&lt;author&gt;Veronese, Nicola&lt;/author&gt;&lt;/authors&gt;&lt;/contributors&gt;&lt;titles&gt;&lt;title&gt;Inflammation and sarcopenia: a systematic review and meta-analysis&lt;/title&gt;&lt;secondary-title&gt;Maturitas&lt;/secondary-title&gt;&lt;/titles&gt;&lt;periodical&gt;&lt;full-title&gt;Maturitas&lt;/full-title&gt;&lt;/periodical&gt;&lt;pages&gt;10-15&lt;/pages&gt;&lt;volume&gt;96&lt;/volume&gt;&lt;dates&gt;&lt;year&gt;2017&lt;/year&gt;&lt;/dates&gt;&lt;isbn&gt;0378-5122&lt;/isbn&gt;&lt;urls&gt;&lt;/urls&gt;&lt;/record&gt;&lt;/Cite&gt;&lt;/EndNote&gt;</w:instrText>
      </w:r>
      <w:r w:rsidR="006B286E"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[10]</w:t>
      </w:r>
      <w:r w:rsidR="006B286E" w:rsidRPr="002045EC">
        <w:rPr>
          <w:rFonts w:ascii="Times New Roman" w:eastAsia="Times New Roman" w:hAnsi="Times New Roman" w:cs="Times New Roman"/>
          <w:color w:val="000000"/>
          <w:sz w:val="24"/>
          <w:szCs w:val="24"/>
          <w:shd w:val="clear" w:color="auto" w:fill="FFFFFF"/>
          <w:lang w:val="en-US"/>
        </w:rPr>
        <w:fldChar w:fldCharType="end"/>
      </w:r>
      <w:r w:rsidRPr="002045EC">
        <w:rPr>
          <w:rFonts w:ascii="Times New Roman" w:eastAsia="Times New Roman" w:hAnsi="Times New Roman" w:cs="Times New Roman"/>
          <w:color w:val="000000"/>
          <w:sz w:val="24"/>
          <w:szCs w:val="24"/>
          <w:shd w:val="clear" w:color="auto" w:fill="FFFFFF"/>
          <w:lang w:val="en-US"/>
        </w:rPr>
        <w:t xml:space="preserve"> and oxidative stress</w:t>
      </w:r>
      <w:r w:rsidR="006B286E"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t>markers</w:t>
      </w:r>
      <w:r w:rsidR="00042A23" w:rsidRPr="002045EC">
        <w:rPr>
          <w:rFonts w:ascii="Times New Roman" w:eastAsia="Times New Roman" w:hAnsi="Times New Roman" w:cs="Times New Roman"/>
          <w:color w:val="000000"/>
          <w:sz w:val="24"/>
          <w:szCs w:val="24"/>
          <w:shd w:val="clear" w:color="auto" w:fill="FFFFFF"/>
          <w:lang w:val="en-US"/>
        </w:rPr>
        <w:t xml:space="preserve"> </w:t>
      </w:r>
      <w:r w:rsidR="00692952"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&lt;EndNote&gt;&lt;Cite&gt;&lt;Author&gt;Bellanti&lt;/Author&gt;&lt;Year&gt;2018&lt;/Year&gt;&lt;RecNum&gt;10476&lt;/RecNum&gt;&lt;DisplayText&gt;[11]&lt;/DisplayText&gt;&lt;record&gt;&lt;rec-number&gt;10476&lt;/rec-number&gt;&lt;foreign-keys&gt;&lt;key app="EN" db-id="drpew5wfywra50esazbxawda2f59zaves90z" timestamp="1622825064"&gt;10476&lt;/key&gt;&lt;/foreign-keys&gt;&lt;ref-type name="Journal Article"&gt;17&lt;/ref-type&gt;&lt;contributors&gt;&lt;authors&gt;&lt;author&gt;Bellanti, Francesco&lt;/author&gt;&lt;author&gt;Romano, Antonino D&lt;/author&gt;&lt;author&gt;Buglio, Aurelio Lo&lt;/author&gt;&lt;author&gt;Castriotta, Valeria&lt;/author&gt;&lt;author&gt;Guglielmi, Giuseppe&lt;/author&gt;&lt;author&gt;Greco, Antonio&lt;/author&gt;&lt;author&gt;Serviddio, Gaetano&lt;/author&gt;&lt;author&gt;Vendemiale, Gianluigi&lt;/author&gt;&lt;/authors&gt;&lt;/contributors&gt;&lt;titles&gt;&lt;title&gt;Oxidative stress is increased in sarcopenia and associated with cardiovascular disease risk in sarcopenic obesity&lt;/title&gt;&lt;secondary-title&gt;Maturitas&lt;/secondary-title&gt;&lt;/titles&gt;&lt;periodical&gt;&lt;full-title&gt;Maturitas&lt;/full-title&gt;&lt;/periodical&gt;&lt;pages&gt;6-12&lt;/pages&gt;&lt;volume&gt;109&lt;/volume&gt;&lt;dates&gt;&lt;year&gt;2018&lt;/year&gt;&lt;/dates&gt;&lt;isbn&gt;0378-5122&lt;/isbn&gt;&lt;urls&gt;&lt;/urls&gt;&lt;/record&gt;&lt;/Cite&gt;&lt;/EndNote&gt;</w:instrText>
      </w:r>
      <w:r w:rsidR="00692952"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[11]</w:t>
      </w:r>
      <w:r w:rsidR="00692952"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00692952" w:rsidRPr="002045EC">
        <w:rPr>
          <w:rFonts w:ascii="Times New Roman" w:eastAsia="Times New Roman" w:hAnsi="Times New Roman" w:cs="Times New Roman"/>
          <w:color w:val="000000"/>
          <w:sz w:val="24"/>
          <w:szCs w:val="24"/>
          <w:shd w:val="clear" w:color="auto" w:fill="FFFFFF"/>
          <w:lang w:val="en-US"/>
        </w:rPr>
        <w:t xml:space="preserve"> Similarly, frailty, a typical condition of older person</w:t>
      </w:r>
      <w:r w:rsidR="00AB4A74" w:rsidRPr="002045EC">
        <w:rPr>
          <w:rFonts w:ascii="Times New Roman" w:eastAsia="Times New Roman" w:hAnsi="Times New Roman" w:cs="Times New Roman"/>
          <w:color w:val="000000"/>
          <w:sz w:val="24"/>
          <w:szCs w:val="24"/>
          <w:shd w:val="clear" w:color="auto" w:fill="FFFFFF"/>
          <w:lang w:val="en-US"/>
        </w:rPr>
        <w:t>s</w:t>
      </w:r>
      <w:r w:rsidR="00692952" w:rsidRPr="002045EC">
        <w:rPr>
          <w:rFonts w:ascii="Times New Roman" w:eastAsia="Times New Roman" w:hAnsi="Times New Roman" w:cs="Times New Roman"/>
          <w:color w:val="000000"/>
          <w:sz w:val="24"/>
          <w:szCs w:val="24"/>
          <w:shd w:val="clear" w:color="auto" w:fill="FFFFFF"/>
          <w:lang w:val="en-US"/>
        </w:rPr>
        <w:t xml:space="preserve"> characterized by muscle loss and reduced reserve to stressor events, is associated with higher inflammatory and oxidative stress markers</w:t>
      </w:r>
      <w:r w:rsidR="00042A23" w:rsidRPr="002045EC">
        <w:rPr>
          <w:rFonts w:ascii="Times New Roman" w:eastAsia="Times New Roman" w:hAnsi="Times New Roman" w:cs="Times New Roman"/>
          <w:color w:val="000000"/>
          <w:sz w:val="24"/>
          <w:szCs w:val="24"/>
          <w:shd w:val="clear" w:color="auto" w:fill="FFFFFF"/>
          <w:lang w:val="en-US"/>
        </w:rPr>
        <w:t xml:space="preserve"> </w:t>
      </w:r>
      <w:r w:rsidR="004F4A12" w:rsidRPr="002045EC">
        <w:rPr>
          <w:rFonts w:ascii="Times New Roman" w:eastAsia="Times New Roman" w:hAnsi="Times New Roman" w:cs="Times New Roman"/>
          <w:color w:val="000000"/>
          <w:sz w:val="24"/>
          <w:szCs w:val="24"/>
          <w:shd w:val="clear" w:color="auto" w:fill="FFFFFF"/>
          <w:lang w:val="en-US"/>
        </w:rPr>
        <w:fldChar w:fldCharType="begin">
          <w:fldData xml:space="preserve">PEVuZE5vdGU+PENpdGU+PEF1dGhvcj5Tb3lzYWw8L0F1dGhvcj48UmVjTnVtPjgxNDM8L1JlY051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</w:fldData>
        </w:fldChar>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w:instrText>
      </w:r>
      <w:r w:rsidR="002C6FEC" w:rsidRPr="002045EC">
        <w:rPr>
          <w:rFonts w:ascii="Times New Roman" w:eastAsia="Times New Roman" w:hAnsi="Times New Roman" w:cs="Times New Roman"/>
          <w:color w:val="000000"/>
          <w:sz w:val="24"/>
          <w:szCs w:val="24"/>
          <w:shd w:val="clear" w:color="auto" w:fill="FFFFFF"/>
          <w:lang w:val="en-US"/>
        </w:rPr>
        <w:fldChar w:fldCharType="begin">
          <w:fldData xml:space="preserve">PEVuZE5vdGU+PENpdGU+PEF1dGhvcj5Tb3lzYWw8L0F1dGhvcj48UmVjTnVtPjgxNDM8L1JlY051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</w:fldData>
        </w:fldChar>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EN.CITE.DATA </w:instrText>
      </w:r>
      <w:r w:rsidR="002C6FEC" w:rsidRPr="002045EC">
        <w:rPr>
          <w:rFonts w:ascii="Times New Roman" w:eastAsia="Times New Roman" w:hAnsi="Times New Roman" w:cs="Times New Roman"/>
          <w:color w:val="000000"/>
          <w:sz w:val="24"/>
          <w:szCs w:val="24"/>
          <w:shd w:val="clear" w:color="auto" w:fill="FFFFFF"/>
          <w:lang w:val="en-US"/>
        </w:rPr>
      </w:r>
      <w:r w:rsidR="002C6FEC" w:rsidRPr="002045EC">
        <w:rPr>
          <w:rFonts w:ascii="Times New Roman" w:eastAsia="Times New Roman" w:hAnsi="Times New Roman" w:cs="Times New Roman"/>
          <w:color w:val="000000"/>
          <w:sz w:val="24"/>
          <w:szCs w:val="24"/>
          <w:shd w:val="clear" w:color="auto" w:fill="FFFFFF"/>
          <w:lang w:val="en-US"/>
        </w:rPr>
        <w:fldChar w:fldCharType="end"/>
      </w:r>
      <w:r w:rsidR="004F4A12" w:rsidRPr="002045EC">
        <w:rPr>
          <w:rFonts w:ascii="Times New Roman" w:eastAsia="Times New Roman" w:hAnsi="Times New Roman" w:cs="Times New Roman"/>
          <w:color w:val="000000"/>
          <w:sz w:val="24"/>
          <w:szCs w:val="24"/>
          <w:shd w:val="clear" w:color="auto" w:fill="FFFFFF"/>
          <w:lang w:val="en-US"/>
        </w:rPr>
      </w:r>
      <w:r w:rsidR="004F4A12"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[12,13]</w:t>
      </w:r>
      <w:r w:rsidR="004F4A12" w:rsidRPr="002045EC">
        <w:rPr>
          <w:rFonts w:ascii="Times New Roman" w:eastAsia="Times New Roman" w:hAnsi="Times New Roman" w:cs="Times New Roman"/>
          <w:color w:val="000000"/>
          <w:sz w:val="24"/>
          <w:szCs w:val="24"/>
          <w:shd w:val="clear" w:color="auto" w:fill="FFFFFF"/>
          <w:lang w:val="en-US"/>
        </w:rPr>
        <w:fldChar w:fldCharType="end"/>
      </w:r>
      <w:r w:rsidR="00042A23" w:rsidRPr="002045EC">
        <w:rPr>
          <w:rFonts w:ascii="Times New Roman" w:eastAsia="Times New Roman" w:hAnsi="Times New Roman" w:cs="Times New Roman"/>
          <w:color w:val="000000"/>
          <w:sz w:val="24"/>
          <w:szCs w:val="24"/>
          <w:shd w:val="clear" w:color="auto" w:fill="FFFFFF"/>
          <w:lang w:val="en-US"/>
        </w:rPr>
        <w:t>.</w:t>
      </w:r>
      <w:r w:rsidR="004F4A12" w:rsidRPr="002045EC">
        <w:rPr>
          <w:rFonts w:ascii="Times New Roman" w:eastAsia="Times New Roman" w:hAnsi="Times New Roman" w:cs="Times New Roman"/>
          <w:color w:val="000000"/>
          <w:sz w:val="24"/>
          <w:szCs w:val="24"/>
          <w:shd w:val="clear" w:color="auto" w:fill="FFFFFF"/>
          <w:lang w:val="en-US"/>
        </w:rPr>
        <w:t xml:space="preserve"> In this regard, diet seems to play an important role since </w:t>
      </w:r>
      <w:r w:rsidR="00197300" w:rsidRPr="002045EC">
        <w:rPr>
          <w:rFonts w:ascii="Times New Roman" w:eastAsia="Times New Roman" w:hAnsi="Times New Roman" w:cs="Times New Roman"/>
          <w:color w:val="000000"/>
          <w:sz w:val="24"/>
          <w:szCs w:val="24"/>
          <w:shd w:val="clear" w:color="auto" w:fill="FFFFFF"/>
          <w:lang w:val="en-US"/>
        </w:rPr>
        <w:t xml:space="preserve">an </w:t>
      </w:r>
      <w:r w:rsidR="004F4A12" w:rsidRPr="002045EC">
        <w:rPr>
          <w:rFonts w:ascii="Times New Roman" w:eastAsia="Times New Roman" w:hAnsi="Times New Roman" w:cs="Times New Roman"/>
          <w:color w:val="000000"/>
          <w:sz w:val="24"/>
          <w:szCs w:val="24"/>
          <w:shd w:val="clear" w:color="auto" w:fill="FFFFFF"/>
          <w:lang w:val="en-US"/>
        </w:rPr>
        <w:t xml:space="preserve">unhealthy diet </w:t>
      </w:r>
      <w:r w:rsidR="00197300" w:rsidRPr="002045EC">
        <w:rPr>
          <w:rFonts w:ascii="Times New Roman" w:eastAsia="Times New Roman" w:hAnsi="Times New Roman" w:cs="Times New Roman"/>
          <w:color w:val="000000"/>
          <w:sz w:val="24"/>
          <w:szCs w:val="24"/>
          <w:shd w:val="clear" w:color="auto" w:fill="FFFFFF"/>
          <w:lang w:val="en-US"/>
        </w:rPr>
        <w:t xml:space="preserve">has been observed to </w:t>
      </w:r>
      <w:r w:rsidR="004F4A12" w:rsidRPr="002045EC">
        <w:rPr>
          <w:rFonts w:ascii="Times New Roman" w:eastAsia="Times New Roman" w:hAnsi="Times New Roman" w:cs="Times New Roman"/>
          <w:color w:val="000000"/>
          <w:sz w:val="24"/>
          <w:szCs w:val="24"/>
          <w:shd w:val="clear" w:color="auto" w:fill="FFFFFF"/>
          <w:lang w:val="en-US"/>
        </w:rPr>
        <w:t xml:space="preserve">significantly increase inflammatory markers in human beings </w:t>
      </w:r>
      <w:r w:rsidR="00D40B16"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&lt;EndNote&gt;&lt;Cite&gt;&lt;Author&gt;Marx&lt;/Author&gt;&lt;Year&gt;2021&lt;/Year&gt;&lt;RecNum&gt;10477&lt;/RecNum&gt;&lt;DisplayText&gt;[14]&lt;/DisplayText&gt;&lt;record&gt;&lt;rec-number&gt;10477&lt;/rec-number&gt;&lt;foreign-keys&gt;&lt;key app="EN" db-id="drpew5wfywra50esazbxawda2f59zaves90z" timestamp="1622825242"&gt;10477&lt;/key&gt;&lt;/foreign-keys&gt;&lt;ref-type name="Journal Article"&gt;17&lt;/ref-type&gt;&lt;contributors&gt;&lt;authors&gt;&lt;author&gt;Marx, Wolfgang&lt;/author&gt;&lt;author&gt;Veronese, Nicola&lt;/author&gt;&lt;author&gt;Kelly, Jaimon T&lt;/author&gt;&lt;author&gt;Smith, Lee&lt;/author&gt;&lt;author&gt;Hockey, Meghan&lt;/author&gt;&lt;author&gt;Collins, Sam&lt;/author&gt;&lt;author&gt;Trakman, Gina L&lt;/author&gt;&lt;author&gt;Hoare, Erin&lt;/author&gt;&lt;author&gt;Teasdale, Scott B&lt;/author&gt;&lt;author&gt;Wade, Alexandra&lt;/author&gt;&lt;/authors&gt;&lt;/contributors&gt;&lt;titles&gt;&lt;title&gt;The Dietary Inflammatory Index and Human Health: An Umbrella Review of Meta-Analyses of Observational Studies&lt;/title&gt;&lt;secondary-title&gt;Advances in Nutrition&lt;/secondary-title&gt;&lt;/titles&gt;&lt;periodical&gt;&lt;full-title&gt;Advances in Nutrition&lt;/full-title&gt;&lt;/periodical&gt;&lt;dates&gt;&lt;year&gt;2021&lt;/year&gt;&lt;/dates&gt;&lt;urls&gt;&lt;/urls&gt;&lt;/record&gt;&lt;/Cite&gt;&lt;/EndNote&gt;</w:instrText>
      </w:r>
      <w:r w:rsidR="00D40B16"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[14]</w:t>
      </w:r>
      <w:r w:rsidR="00D40B16" w:rsidRPr="002045EC">
        <w:rPr>
          <w:rFonts w:ascii="Times New Roman" w:eastAsia="Times New Roman" w:hAnsi="Times New Roman" w:cs="Times New Roman"/>
          <w:color w:val="000000"/>
          <w:sz w:val="24"/>
          <w:szCs w:val="24"/>
          <w:shd w:val="clear" w:color="auto" w:fill="FFFFFF"/>
          <w:lang w:val="en-US"/>
        </w:rPr>
        <w:fldChar w:fldCharType="end"/>
      </w:r>
      <w:r w:rsidR="00961B1D" w:rsidRPr="002045EC">
        <w:rPr>
          <w:rFonts w:ascii="Times New Roman" w:eastAsia="Times New Roman" w:hAnsi="Times New Roman" w:cs="Times New Roman"/>
          <w:color w:val="000000"/>
          <w:sz w:val="24"/>
          <w:szCs w:val="24"/>
          <w:shd w:val="clear" w:color="auto" w:fill="FFFFFF"/>
          <w:lang w:val="en-US"/>
        </w:rPr>
        <w:t>.</w:t>
      </w:r>
      <w:r w:rsidR="00D40B16" w:rsidRPr="002045EC">
        <w:rPr>
          <w:rFonts w:ascii="Times New Roman" w:eastAsia="Times New Roman" w:hAnsi="Times New Roman" w:cs="Times New Roman"/>
          <w:color w:val="000000"/>
          <w:sz w:val="24"/>
          <w:szCs w:val="24"/>
          <w:shd w:val="clear" w:color="auto" w:fill="FFFFFF"/>
          <w:lang w:val="en-US"/>
        </w:rPr>
        <w:t xml:space="preserve"> Unfortunately, studies reporting the potential association between dietary acrylamide and physical performance tests are not available. </w:t>
      </w:r>
    </w:p>
    <w:p w14:paraId="0A633A8C" w14:textId="77777777" w:rsidR="00964BC6" w:rsidRPr="002045EC" w:rsidRDefault="00964BC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p>
    <w:p w14:paraId="1BC9BA32" w14:textId="5E4396D5" w:rsidR="00964BC6" w:rsidRPr="002045EC" w:rsidRDefault="00D40B16" w:rsidP="00964BC6">
      <w:pPr>
        <w:spacing w:after="0" w:line="480" w:lineRule="auto"/>
        <w:jc w:val="both"/>
        <w:rPr>
          <w:rFonts w:ascii="Times New Roman" w:eastAsia="Times New Roman" w:hAnsi="Times New Roman" w:cs="Times New Roman"/>
          <w:color w:val="000000"/>
          <w:sz w:val="24"/>
          <w:szCs w:val="24"/>
          <w:shd w:val="clear" w:color="auto" w:fill="FFFFFF"/>
          <w:lang w:val="en-US"/>
        </w:rPr>
      </w:pPr>
      <w:r w:rsidRPr="002045EC">
        <w:rPr>
          <w:rFonts w:ascii="Times New Roman" w:eastAsia="Times New Roman" w:hAnsi="Times New Roman" w:cs="Times New Roman"/>
          <w:color w:val="000000"/>
          <w:sz w:val="24"/>
          <w:szCs w:val="24"/>
          <w:shd w:val="clear" w:color="auto" w:fill="FFFFFF"/>
          <w:lang w:val="en-US"/>
        </w:rPr>
        <w:t>Given this background</w:t>
      </w:r>
      <w:r w:rsidR="00964BC6" w:rsidRPr="002045EC">
        <w:rPr>
          <w:rFonts w:ascii="Times New Roman" w:eastAsia="Times New Roman" w:hAnsi="Times New Roman" w:cs="Times New Roman"/>
          <w:color w:val="000000"/>
          <w:sz w:val="24"/>
          <w:szCs w:val="24"/>
          <w:shd w:val="clear" w:color="auto" w:fill="FFFFFF"/>
          <w:lang w:val="en-US"/>
        </w:rPr>
        <w:t xml:space="preserve">, the aim of the present study was to investigate the relationship between dietary acrylamide intake and </w:t>
      </w:r>
      <w:r w:rsidRPr="002045EC">
        <w:rPr>
          <w:rFonts w:ascii="Times New Roman" w:eastAsia="Times New Roman" w:hAnsi="Times New Roman" w:cs="Times New Roman"/>
          <w:color w:val="000000"/>
          <w:sz w:val="24"/>
          <w:szCs w:val="24"/>
          <w:shd w:val="clear" w:color="auto" w:fill="FFFFFF"/>
          <w:lang w:val="en-US"/>
        </w:rPr>
        <w:t>physical performance tests</w:t>
      </w:r>
      <w:r w:rsidR="00964BC6" w:rsidRPr="002045EC">
        <w:rPr>
          <w:rFonts w:ascii="Times New Roman" w:eastAsia="Times New Roman" w:hAnsi="Times New Roman" w:cs="Times New Roman"/>
          <w:color w:val="000000"/>
          <w:sz w:val="24"/>
          <w:szCs w:val="24"/>
          <w:shd w:val="clear" w:color="auto" w:fill="FFFFFF"/>
          <w:lang w:val="en-US"/>
        </w:rPr>
        <w:t xml:space="preserve"> in a large cohort of North American individuals</w:t>
      </w:r>
      <w:r w:rsidRPr="002045EC">
        <w:rPr>
          <w:rFonts w:ascii="Times New Roman" w:eastAsia="Times New Roman" w:hAnsi="Times New Roman" w:cs="Times New Roman"/>
          <w:color w:val="000000"/>
          <w:sz w:val="24"/>
          <w:szCs w:val="24"/>
          <w:shd w:val="clear" w:color="auto" w:fill="FFFFFF"/>
          <w:lang w:val="en-US"/>
        </w:rPr>
        <w:t xml:space="preserve"> affected by knee osteoarthritis or at high risk for this condition</w:t>
      </w:r>
      <w:r w:rsidR="00964BC6" w:rsidRPr="002045EC">
        <w:rPr>
          <w:rFonts w:ascii="Times New Roman" w:eastAsia="Times New Roman" w:hAnsi="Times New Roman" w:cs="Times New Roman"/>
          <w:color w:val="000000"/>
          <w:sz w:val="24"/>
          <w:szCs w:val="24"/>
          <w:shd w:val="clear" w:color="auto" w:fill="FFFFFF"/>
          <w:lang w:val="en-US"/>
        </w:rPr>
        <w:t xml:space="preserve">. </w:t>
      </w:r>
    </w:p>
    <w:p w14:paraId="24F8BF85" w14:textId="77777777" w:rsidR="00964BC6" w:rsidRPr="002045EC" w:rsidRDefault="00964BC6" w:rsidP="00964BC6">
      <w:pPr>
        <w:spacing w:after="0" w:line="480" w:lineRule="auto"/>
        <w:jc w:val="center"/>
        <w:rPr>
          <w:rFonts w:ascii="Times New Roman" w:hAnsi="Times New Roman" w:cs="Times New Roman"/>
          <w:b/>
          <w:bCs/>
          <w:sz w:val="24"/>
          <w:szCs w:val="24"/>
          <w:lang w:val="en-US"/>
        </w:rPr>
      </w:pPr>
    </w:p>
    <w:p w14:paraId="4B6922CA" w14:textId="77777777" w:rsidR="00964BC6" w:rsidRPr="002045EC" w:rsidRDefault="00964BC6" w:rsidP="00964BC6">
      <w:pPr>
        <w:jc w:val="both"/>
        <w:rPr>
          <w:rFonts w:ascii="Times New Roman" w:hAnsi="Times New Roman" w:cs="Times New Roman"/>
          <w:sz w:val="24"/>
          <w:szCs w:val="24"/>
          <w:lang w:val="en-US"/>
        </w:rPr>
      </w:pPr>
    </w:p>
    <w:p w14:paraId="3C9EB6AE" w14:textId="77777777" w:rsidR="00353700" w:rsidRPr="002045EC" w:rsidRDefault="00353700">
      <w:pP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782F7914" w14:textId="445B32E3" w:rsidR="00353700" w:rsidRPr="002045EC" w:rsidRDefault="00A80EDF" w:rsidP="00EA2099">
      <w:pPr>
        <w:pStyle w:val="Heading1"/>
      </w:pPr>
      <w:r w:rsidRPr="002045EC">
        <w:lastRenderedPageBreak/>
        <w:t xml:space="preserve">Materials </w:t>
      </w:r>
      <w:r w:rsidR="007D2DEA" w:rsidRPr="002045EC">
        <w:t>a</w:t>
      </w:r>
      <w:r w:rsidRPr="002045EC">
        <w:t>nd Methods</w:t>
      </w:r>
    </w:p>
    <w:p w14:paraId="66928FC0" w14:textId="77777777" w:rsidR="00CB487B" w:rsidRPr="00EA2099" w:rsidRDefault="00CB487B" w:rsidP="00EA2099">
      <w:pPr>
        <w:pStyle w:val="Heading2"/>
      </w:pPr>
      <w:r w:rsidRPr="00EA2099">
        <w:t>Data source and subjects</w:t>
      </w:r>
    </w:p>
    <w:p w14:paraId="181C3304" w14:textId="26FFAF45" w:rsidR="00CB487B" w:rsidRPr="002045EC" w:rsidRDefault="00312EB1" w:rsidP="00CB487B">
      <w:pPr>
        <w:suppressAutoHyphens/>
        <w:spacing w:after="0" w:line="480" w:lineRule="auto"/>
        <w:jc w:val="both"/>
        <w:rPr>
          <w:rFonts w:ascii="Times New Roman" w:eastAsia="Times New Roman" w:hAnsi="Times New Roman" w:cs="Times New Roman"/>
          <w:sz w:val="24"/>
          <w:szCs w:val="24"/>
          <w:lang w:val="en-US" w:eastAsia="ar-SA"/>
        </w:rPr>
      </w:pPr>
      <w:r w:rsidRPr="002045EC">
        <w:rPr>
          <w:rFonts w:ascii="Times New Roman" w:eastAsia="Times New Roman" w:hAnsi="Times New Roman" w:cs="Times New Roman"/>
          <w:sz w:val="24"/>
          <w:szCs w:val="24"/>
          <w:lang w:val="en-US" w:eastAsia="ar-SA"/>
        </w:rPr>
        <w:t>Data</w:t>
      </w:r>
      <w:r w:rsidR="00CB487B" w:rsidRPr="002045EC">
        <w:rPr>
          <w:rFonts w:ascii="Times New Roman" w:eastAsia="Times New Roman" w:hAnsi="Times New Roman" w:cs="Times New Roman"/>
          <w:sz w:val="24"/>
          <w:szCs w:val="24"/>
          <w:lang w:val="en-US" w:eastAsia="ar-SA"/>
        </w:rPr>
        <w:t xml:space="preserve"> from the Osteoarthritis Initiative (OAI) database (</w:t>
      </w:r>
      <w:r w:rsidR="00C670D9" w:rsidRPr="002045EC">
        <w:rPr>
          <w:rFonts w:ascii="Times New Roman" w:eastAsia="Times New Roman" w:hAnsi="Times New Roman" w:cs="Times New Roman"/>
          <w:sz w:val="24"/>
          <w:szCs w:val="24"/>
          <w:lang w:val="en-US" w:eastAsia="ar-SA"/>
        </w:rPr>
        <w:t>https://www.niams.nih.gov/grants-funding/funded-research/osteoarthritis-initiative</w:t>
      </w:r>
      <w:r w:rsidR="00CB487B" w:rsidRPr="002045EC">
        <w:rPr>
          <w:rFonts w:ascii="Times New Roman" w:eastAsia="Times New Roman" w:hAnsi="Times New Roman" w:cs="Times New Roman"/>
          <w:sz w:val="24"/>
          <w:szCs w:val="24"/>
          <w:lang w:val="en-US" w:eastAsia="ar-SA"/>
        </w:rPr>
        <w:t xml:space="preserve">) were used for </w:t>
      </w:r>
      <w:r w:rsidR="005B74A6" w:rsidRPr="002045EC">
        <w:rPr>
          <w:rFonts w:ascii="Times New Roman" w:eastAsia="Times New Roman" w:hAnsi="Times New Roman" w:cs="Times New Roman"/>
          <w:sz w:val="24"/>
          <w:szCs w:val="24"/>
          <w:lang w:val="en-US" w:eastAsia="ar-SA"/>
        </w:rPr>
        <w:t>this research</w:t>
      </w:r>
      <w:r w:rsidR="00CB487B" w:rsidRPr="002045EC">
        <w:rPr>
          <w:rFonts w:ascii="Times New Roman" w:eastAsia="Times New Roman" w:hAnsi="Times New Roman" w:cs="Times New Roman"/>
          <w:sz w:val="24"/>
          <w:szCs w:val="24"/>
          <w:lang w:val="en-US" w:eastAsia="ar-SA"/>
        </w:rPr>
        <w:t xml:space="preserve">. </w:t>
      </w:r>
      <w:r w:rsidR="005B74A6" w:rsidRPr="002045EC">
        <w:rPr>
          <w:rFonts w:ascii="Times New Roman" w:eastAsia="Times New Roman" w:hAnsi="Times New Roman" w:cs="Times New Roman"/>
          <w:sz w:val="24"/>
          <w:szCs w:val="24"/>
          <w:lang w:val="en-US" w:eastAsia="ar-SA"/>
        </w:rPr>
        <w:t>P</w:t>
      </w:r>
      <w:r w:rsidR="00CB487B" w:rsidRPr="002045EC">
        <w:rPr>
          <w:rFonts w:ascii="Times New Roman" w:eastAsia="Times New Roman" w:hAnsi="Times New Roman" w:cs="Times New Roman"/>
          <w:sz w:val="24"/>
          <w:szCs w:val="24"/>
          <w:lang w:val="en-US" w:eastAsia="ar-SA"/>
        </w:rPr>
        <w:t xml:space="preserve">articipants were included from </w:t>
      </w:r>
      <w:r w:rsidR="005B74A6" w:rsidRPr="002045EC">
        <w:rPr>
          <w:rFonts w:ascii="Times New Roman" w:eastAsia="Times New Roman" w:hAnsi="Times New Roman" w:cs="Times New Roman"/>
          <w:sz w:val="24"/>
          <w:szCs w:val="24"/>
          <w:lang w:val="en-US" w:eastAsia="ar-SA"/>
        </w:rPr>
        <w:t>four</w:t>
      </w:r>
      <w:r w:rsidR="00CB487B" w:rsidRPr="002045EC">
        <w:rPr>
          <w:rFonts w:ascii="Times New Roman" w:eastAsia="Times New Roman" w:hAnsi="Times New Roman" w:cs="Times New Roman"/>
          <w:sz w:val="24"/>
          <w:szCs w:val="24"/>
          <w:lang w:val="en-US" w:eastAsia="ar-SA"/>
        </w:rPr>
        <w:t xml:space="preserve"> different sites in the United States of America (Baltimore, MD; Pittsburgh, PA; Pawtucket, RI; and Columbus, OH) between February 2004 and May 2006. All participants provided written informed consent. </w:t>
      </w:r>
      <w:r w:rsidR="007F5C54" w:rsidRPr="002045EC">
        <w:rPr>
          <w:rFonts w:ascii="Times New Roman" w:eastAsia="Times New Roman" w:hAnsi="Times New Roman" w:cs="Times New Roman"/>
          <w:sz w:val="24"/>
          <w:szCs w:val="24"/>
          <w:lang w:val="en-US" w:eastAsia="ar-SA"/>
        </w:rPr>
        <w:t>In the OAI study, we identified people who either: (1) had knee OA with knee pain for a 30-day period in the past 12 months or (2) were at high risk of developing knee OA</w:t>
      </w:r>
      <w:r w:rsidR="007F5C54" w:rsidRPr="002045EC">
        <w:rPr>
          <w:rFonts w:ascii="Times New Roman" w:eastAsia="Times New Roman" w:hAnsi="Times New Roman" w:cs="Times New Roman"/>
          <w:sz w:val="24"/>
          <w:szCs w:val="24"/>
          <w:lang w:val="en-US" w:eastAsia="ar-SA"/>
        </w:rPr>
        <w:fldChar w:fldCharType="begin"/>
      </w:r>
      <w:r w:rsidR="002C6FEC" w:rsidRPr="002045EC">
        <w:rPr>
          <w:rFonts w:ascii="Times New Roman" w:eastAsia="Times New Roman" w:hAnsi="Times New Roman" w:cs="Times New Roman"/>
          <w:sz w:val="24"/>
          <w:szCs w:val="24"/>
          <w:lang w:val="en-US" w:eastAsia="ar-SA"/>
        </w:rPr>
        <w:instrText xml:space="preserve"> ADDIN EN.CITE &lt;EndNote&gt;&lt;Cite&gt;&lt;Author&gt;Felson&lt;/Author&gt;&lt;Year&gt;2004&lt;/Year&gt;&lt;RecNum&gt;600&lt;/RecNum&gt;&lt;DisplayText&gt;[15]&lt;/DisplayText&gt;&lt;record&gt;&lt;rec-number&gt;600&lt;/rec-number&gt;&lt;foreign-keys&gt;&lt;key app="EN" db-id="t2wadffz0tdfane25rb50ezte9zwtdwpseft"&gt;600&lt;/key&gt;&lt;/foreign-keys&gt;&lt;ref-type name="Generic"&gt;13&lt;/ref-type&gt;&lt;contributors&gt;&lt;authors&gt;&lt;author&gt;Felson, David T.&lt;/author&gt;&lt;author&gt;Nevitt, Michael C.&lt;/author&gt;&lt;/authors&gt;&lt;/contributors&gt;&lt;titles&gt;&lt;title&gt;Epidemiologic studies for osteoarthritis: New versus conventional study design approaches&lt;/title&gt;&lt;/titles&gt;&lt;pages&gt;783-797&lt;/pages&gt;&lt;volume&gt;30&lt;/volume&gt;&lt;dates&gt;&lt;year&gt;2004&lt;/year&gt;&lt;/dates&gt;&lt;isbn&gt;0889-857X (Print)&lt;/isbn&gt;&lt;urls&gt;&lt;/urls&gt;&lt;electronic-resource-num&gt;10.1016/j.rdc.2004.07.005&lt;/electronic-resource-num&gt;&lt;/record&gt;&lt;/Cite&gt;&lt;/EndNote&gt;</w:instrText>
      </w:r>
      <w:r w:rsidR="007F5C54" w:rsidRPr="002045EC">
        <w:rPr>
          <w:rFonts w:ascii="Times New Roman" w:eastAsia="Times New Roman" w:hAnsi="Times New Roman" w:cs="Times New Roman"/>
          <w:sz w:val="24"/>
          <w:szCs w:val="24"/>
          <w:lang w:val="en-US" w:eastAsia="ar-SA"/>
        </w:rPr>
        <w:fldChar w:fldCharType="separate"/>
      </w:r>
      <w:r w:rsidR="002C6FEC" w:rsidRPr="002045EC">
        <w:rPr>
          <w:rFonts w:ascii="Times New Roman" w:eastAsia="Times New Roman" w:hAnsi="Times New Roman" w:cs="Times New Roman"/>
          <w:noProof/>
          <w:sz w:val="24"/>
          <w:szCs w:val="24"/>
          <w:lang w:val="en-US" w:eastAsia="ar-SA"/>
        </w:rPr>
        <w:t>[15]</w:t>
      </w:r>
      <w:r w:rsidR="007F5C54" w:rsidRPr="002045EC">
        <w:rPr>
          <w:rFonts w:ascii="Times New Roman" w:eastAsia="Times New Roman" w:hAnsi="Times New Roman" w:cs="Times New Roman"/>
          <w:sz w:val="24"/>
          <w:szCs w:val="24"/>
          <w:lang w:val="en-US" w:eastAsia="ar-SA"/>
        </w:rPr>
        <w:fldChar w:fldCharType="end"/>
      </w:r>
      <w:r w:rsidR="007F5C54" w:rsidRPr="002045EC">
        <w:rPr>
          <w:rFonts w:ascii="Times New Roman" w:eastAsia="Times New Roman" w:hAnsi="Times New Roman" w:cs="Times New Roman"/>
          <w:sz w:val="24"/>
          <w:szCs w:val="24"/>
          <w:lang w:val="en-US" w:eastAsia="ar-SA"/>
        </w:rPr>
        <w:t xml:space="preserve"> with data collected during baseline and screening evaluations.</w:t>
      </w:r>
      <w:r w:rsidR="0082127F" w:rsidRPr="002045EC">
        <w:rPr>
          <w:rFonts w:ascii="Times New Roman" w:eastAsia="Times New Roman" w:hAnsi="Times New Roman" w:cs="Times New Roman"/>
          <w:sz w:val="24"/>
          <w:szCs w:val="24"/>
          <w:lang w:val="en-US" w:eastAsia="ar-SA"/>
        </w:rPr>
        <w:t xml:space="preserve"> Therefore, the OAI is representative of only people affected by knee OA and not general population.</w:t>
      </w:r>
      <w:r w:rsidR="007F5C54" w:rsidRPr="002045EC">
        <w:rPr>
          <w:rFonts w:ascii="Times New Roman" w:eastAsia="Times New Roman" w:hAnsi="Times New Roman" w:cs="Times New Roman"/>
          <w:sz w:val="24"/>
          <w:szCs w:val="24"/>
          <w:lang w:val="en-US" w:eastAsia="ar-SA"/>
        </w:rPr>
        <w:t xml:space="preserve"> </w:t>
      </w:r>
      <w:r w:rsidR="00CB487B" w:rsidRPr="002045EC">
        <w:rPr>
          <w:rFonts w:ascii="Times New Roman" w:eastAsia="Times New Roman" w:hAnsi="Times New Roman" w:cs="Times New Roman"/>
          <w:sz w:val="24"/>
          <w:szCs w:val="24"/>
          <w:lang w:val="en-US" w:eastAsia="ar-SA"/>
        </w:rPr>
        <w:t>The OAI study was given full ethical approval by the institutional review board of the OAI Coordinating Center, at University of California in San Francisco.</w:t>
      </w:r>
    </w:p>
    <w:p w14:paraId="0CDDE757" w14:textId="77777777" w:rsidR="00CB487B" w:rsidRPr="002045EC" w:rsidRDefault="00CB487B" w:rsidP="00CB487B">
      <w:pPr>
        <w:suppressAutoHyphens/>
        <w:spacing w:after="0" w:line="480" w:lineRule="auto"/>
        <w:jc w:val="both"/>
        <w:rPr>
          <w:rFonts w:ascii="Times New Roman" w:eastAsia="Times New Roman" w:hAnsi="Times New Roman" w:cs="Times New Roman"/>
          <w:b/>
          <w:i/>
          <w:sz w:val="24"/>
          <w:szCs w:val="24"/>
          <w:lang w:val="en-US" w:eastAsia="ar-SA"/>
        </w:rPr>
      </w:pPr>
    </w:p>
    <w:p w14:paraId="3800A1A3" w14:textId="77777777" w:rsidR="00CB487B" w:rsidRPr="002045EC" w:rsidRDefault="00CB487B" w:rsidP="00EA2099">
      <w:pPr>
        <w:pStyle w:val="Heading2"/>
      </w:pPr>
      <w:r w:rsidRPr="002045EC">
        <w:t>Exposure</w:t>
      </w:r>
    </w:p>
    <w:p w14:paraId="0B45CA6D" w14:textId="037D68AA" w:rsidR="00CB487B" w:rsidRPr="002045EC" w:rsidRDefault="00CB487B" w:rsidP="00CB487B">
      <w:pPr>
        <w:suppressAutoHyphens/>
        <w:spacing w:after="0" w:line="480" w:lineRule="auto"/>
        <w:jc w:val="both"/>
        <w:rPr>
          <w:rFonts w:ascii="Times New Roman" w:eastAsia="Times New Roman" w:hAnsi="Times New Roman" w:cs="Times New Roman"/>
          <w:sz w:val="24"/>
          <w:szCs w:val="24"/>
          <w:lang w:val="en-US" w:eastAsia="ar-SA"/>
        </w:rPr>
      </w:pPr>
      <w:r w:rsidRPr="002045EC">
        <w:rPr>
          <w:rFonts w:ascii="Times New Roman" w:eastAsia="Times New Roman" w:hAnsi="Times New Roman" w:cs="Times New Roman"/>
          <w:sz w:val="24"/>
          <w:szCs w:val="24"/>
          <w:lang w:val="en-US" w:eastAsia="ar-SA"/>
        </w:rPr>
        <w:t xml:space="preserve">Dietary acrylamide intake was obtained through a food frequency questionnaire (FFQ) recorded during the baseline visit of the OAI. The product yearly frequency by portions’ size, contained in the FFQ, was categorized into standard portions (median value) </w:t>
      </w:r>
      <w:r w:rsidRPr="002045EC">
        <w:rPr>
          <w:rFonts w:ascii="Times New Roman" w:eastAsia="Times New Roman" w:hAnsi="Times New Roman" w:cs="Times New Roman"/>
          <w:sz w:val="24"/>
          <w:szCs w:val="24"/>
          <w:lang w:val="en-US" w:eastAsia="ar-SA"/>
        </w:rPr>
        <w:fldChar w:fldCharType="begin"/>
      </w:r>
      <w:r w:rsidR="002C6FEC" w:rsidRPr="002045EC">
        <w:rPr>
          <w:rFonts w:ascii="Times New Roman" w:eastAsia="Times New Roman" w:hAnsi="Times New Roman" w:cs="Times New Roman"/>
          <w:sz w:val="24"/>
          <w:szCs w:val="24"/>
          <w:lang w:val="en-US" w:eastAsia="ar-SA"/>
        </w:rPr>
        <w:instrText xml:space="preserve"> ADDIN EN.CITE &lt;EndNote&gt;&lt;Cite&gt;&lt;Author&gt;Pfrimer&lt;/Author&gt;&lt;Year&gt;2013&lt;/Year&gt;&lt;RecNum&gt;8337&lt;/RecNum&gt;&lt;DisplayText&gt;[16]&lt;/DisplayText&gt;&lt;record&gt;&lt;rec-number&gt;8337&lt;/rec-number&gt;&lt;foreign-keys&gt;&lt;key app="EN" db-id="t2wadffz0tdfane25rb50ezte9zwtdwpseft"&gt;8337&lt;/key&gt;&lt;/foreign-keys&gt;&lt;ref-type name="Journal Article"&gt;17&lt;/ref-type&gt;&lt;contributors&gt;&lt;authors&gt;&lt;author&gt;Pfrimer, Karina&lt;/author&gt;&lt;author&gt;Sartorelli, Daniela Saes&lt;/author&gt;&lt;author&gt;Rosa, Flavia Troncon&lt;/author&gt;&lt;author&gt;Resende, Cristina Maria Mendes&lt;/author&gt;&lt;author&gt;Viera, Daniela Vieira Pallos&lt;/author&gt;&lt;author&gt;Rabito, Estela Iraci&lt;/author&gt;&lt;author&gt;Scagliusi, Fernanda Baeza&lt;/author&gt;&lt;author&gt;Moriguti, Eny Kiyomi Uemora&lt;/author&gt;&lt;author&gt;Monteiro, Jaqueline Pontes&lt;/author&gt;&lt;author&gt;Ferriolli, Eduardo&lt;/author&gt;&lt;/authors&gt;&lt;/contributors&gt;&lt;titles&gt;&lt;title&gt;Calibration of the food list and portion sizes of a food frequency questionnaire applied to free-living elderly people&lt;/title&gt;&lt;secondary-title&gt;Nutrition&lt;/secondary-title&gt;&lt;/titles&gt;&lt;periodical&gt;&lt;full-title&gt;Nutrition&lt;/full-title&gt;&lt;/periodical&gt;&lt;pages&gt;760-764&lt;/pages&gt;&lt;volume&gt;29&lt;/volume&gt;&lt;number&gt;5&lt;/number&gt;&lt;dates&gt;&lt;year&gt;2013&lt;/year&gt;&lt;/dates&gt;&lt;isbn&gt;0899-9007&lt;/isbn&gt;&lt;urls&gt;&lt;/urls&gt;&lt;/record&gt;&lt;/Cite&gt;&lt;/EndNote&gt;</w:instrText>
      </w:r>
      <w:r w:rsidRPr="002045EC">
        <w:rPr>
          <w:rFonts w:ascii="Times New Roman" w:eastAsia="Times New Roman" w:hAnsi="Times New Roman" w:cs="Times New Roman"/>
          <w:sz w:val="24"/>
          <w:szCs w:val="24"/>
          <w:lang w:val="en-US" w:eastAsia="ar-SA"/>
        </w:rPr>
        <w:fldChar w:fldCharType="separate"/>
      </w:r>
      <w:r w:rsidR="002C6FEC" w:rsidRPr="002045EC">
        <w:rPr>
          <w:rFonts w:ascii="Times New Roman" w:eastAsia="Times New Roman" w:hAnsi="Times New Roman" w:cs="Times New Roman"/>
          <w:noProof/>
          <w:sz w:val="24"/>
          <w:szCs w:val="24"/>
          <w:lang w:val="en-US" w:eastAsia="ar-SA"/>
        </w:rPr>
        <w:t>[16]</w:t>
      </w:r>
      <w:r w:rsidRPr="002045EC">
        <w:rPr>
          <w:rFonts w:ascii="Times New Roman" w:eastAsia="Times New Roman" w:hAnsi="Times New Roman" w:cs="Times New Roman"/>
          <w:sz w:val="24"/>
          <w:szCs w:val="24"/>
          <w:lang w:val="en-US" w:eastAsia="ar-SA"/>
        </w:rPr>
        <w:fldChar w:fldCharType="end"/>
      </w:r>
      <w:r w:rsidRPr="002045EC">
        <w:rPr>
          <w:rFonts w:ascii="Times New Roman" w:eastAsia="Times New Roman" w:hAnsi="Times New Roman" w:cs="Times New Roman"/>
          <w:sz w:val="24"/>
          <w:szCs w:val="24"/>
          <w:lang w:val="en-US" w:eastAsia="ar-SA"/>
        </w:rPr>
        <w:t xml:space="preserve"> and then grams. The presence of acrylamide in foods was estimated using 2015 data from the Food and Drugs Administration (FDA) website (</w:t>
      </w:r>
      <w:hyperlink r:id="rId7" w:history="1">
        <w:r w:rsidRPr="002045EC">
          <w:rPr>
            <w:rFonts w:ascii="Times New Roman" w:eastAsia="Times New Roman" w:hAnsi="Times New Roman" w:cs="Times New Roman"/>
            <w:color w:val="0563C1"/>
            <w:sz w:val="24"/>
            <w:szCs w:val="24"/>
            <w:u w:val="single"/>
            <w:lang w:val="en-US" w:eastAsia="ar-SA"/>
          </w:rPr>
          <w:t>https://www.fda.gov/food/chemicals/survey-data-acrylamide-food</w:t>
        </w:r>
      </w:hyperlink>
      <w:r w:rsidRPr="002045EC">
        <w:rPr>
          <w:rFonts w:ascii="Times New Roman" w:eastAsia="Times New Roman" w:hAnsi="Times New Roman" w:cs="Times New Roman"/>
          <w:sz w:val="24"/>
          <w:szCs w:val="24"/>
          <w:lang w:val="en-US" w:eastAsia="ar-SA"/>
        </w:rPr>
        <w:t xml:space="preserve">). The general limit of quantitation (LOQ) of the method used by the FDA is 10 mcg. The data for this work regarding dietary acrylamide were reported as mcg consumed in one year by each subject. </w:t>
      </w:r>
      <w:r w:rsidR="005B74A6" w:rsidRPr="002045EC">
        <w:rPr>
          <w:rFonts w:ascii="Times New Roman" w:eastAsia="Times New Roman" w:hAnsi="Times New Roman" w:cs="Times New Roman"/>
          <w:sz w:val="24"/>
          <w:szCs w:val="24"/>
          <w:lang w:val="en-US" w:eastAsia="ar-SA"/>
        </w:rPr>
        <w:t>We divided the participants in</w:t>
      </w:r>
      <w:r w:rsidR="00432699" w:rsidRPr="002045EC">
        <w:rPr>
          <w:rFonts w:ascii="Times New Roman" w:eastAsia="Times New Roman" w:hAnsi="Times New Roman" w:cs="Times New Roman"/>
          <w:sz w:val="24"/>
          <w:szCs w:val="24"/>
          <w:lang w:val="en-US" w:eastAsia="ar-SA"/>
        </w:rPr>
        <w:t>to</w:t>
      </w:r>
      <w:r w:rsidR="005B74A6" w:rsidRPr="002045EC">
        <w:rPr>
          <w:rFonts w:ascii="Times New Roman" w:eastAsia="Times New Roman" w:hAnsi="Times New Roman" w:cs="Times New Roman"/>
          <w:sz w:val="24"/>
          <w:szCs w:val="24"/>
          <w:lang w:val="en-US" w:eastAsia="ar-SA"/>
        </w:rPr>
        <w:t xml:space="preserve"> gender-specific quartiles</w:t>
      </w:r>
      <w:r w:rsidR="00676B66" w:rsidRPr="002045EC">
        <w:rPr>
          <w:rFonts w:ascii="Times New Roman" w:eastAsia="Times New Roman" w:hAnsi="Times New Roman" w:cs="Times New Roman"/>
          <w:sz w:val="24"/>
          <w:szCs w:val="24"/>
          <w:lang w:val="en-US" w:eastAsia="ar-SA"/>
        </w:rPr>
        <w:t xml:space="preserve"> for descriptive purposes and in deciles for the analyses regarding linear regression. </w:t>
      </w:r>
    </w:p>
    <w:p w14:paraId="0F7373C5" w14:textId="61B9D6ED" w:rsidR="00CB487B" w:rsidRPr="002045EC" w:rsidRDefault="00CB487B" w:rsidP="00CB487B">
      <w:pPr>
        <w:suppressAutoHyphens/>
        <w:spacing w:after="0" w:line="480" w:lineRule="auto"/>
        <w:jc w:val="both"/>
        <w:rPr>
          <w:rFonts w:ascii="Times New Roman" w:eastAsia="Times New Roman" w:hAnsi="Times New Roman" w:cs="Times New Roman"/>
          <w:b/>
          <w:i/>
          <w:sz w:val="24"/>
          <w:szCs w:val="24"/>
          <w:lang w:val="en-US" w:eastAsia="ar-SA"/>
        </w:rPr>
      </w:pPr>
    </w:p>
    <w:p w14:paraId="31771C50" w14:textId="4185F737" w:rsidR="00961B1D" w:rsidRPr="002045EC" w:rsidRDefault="00961B1D" w:rsidP="00CB487B">
      <w:pPr>
        <w:suppressAutoHyphens/>
        <w:spacing w:after="0" w:line="480" w:lineRule="auto"/>
        <w:jc w:val="both"/>
        <w:rPr>
          <w:rFonts w:ascii="Times New Roman" w:eastAsia="Times New Roman" w:hAnsi="Times New Roman" w:cs="Times New Roman"/>
          <w:b/>
          <w:i/>
          <w:sz w:val="24"/>
          <w:szCs w:val="24"/>
          <w:lang w:val="en-US" w:eastAsia="ar-SA"/>
        </w:rPr>
      </w:pPr>
    </w:p>
    <w:p w14:paraId="5B2CFA92" w14:textId="77777777" w:rsidR="00CB487B" w:rsidRPr="00EA2099" w:rsidRDefault="00CB487B" w:rsidP="00EA2099">
      <w:pPr>
        <w:pStyle w:val="Heading3"/>
      </w:pPr>
      <w:r w:rsidRPr="00EA2099">
        <w:lastRenderedPageBreak/>
        <w:t>Outcomes</w:t>
      </w:r>
    </w:p>
    <w:p w14:paraId="7252827D" w14:textId="675D33DD" w:rsidR="00CB487B" w:rsidRPr="002045EC" w:rsidRDefault="00A70A7D" w:rsidP="00B067B6">
      <w:pPr>
        <w:suppressAutoHyphens/>
        <w:spacing w:after="0" w:line="480" w:lineRule="auto"/>
        <w:jc w:val="both"/>
        <w:rPr>
          <w:rFonts w:ascii="Times New Roman" w:eastAsia="Times New Roman" w:hAnsi="Times New Roman" w:cs="Times New Roman"/>
          <w:bCs/>
          <w:iCs/>
          <w:sz w:val="24"/>
          <w:szCs w:val="24"/>
          <w:lang w:val="en-US" w:eastAsia="ar-SA"/>
        </w:rPr>
      </w:pPr>
      <w:r w:rsidRPr="002045EC">
        <w:rPr>
          <w:rFonts w:ascii="Times New Roman" w:eastAsia="Times New Roman" w:hAnsi="Times New Roman" w:cs="Times New Roman"/>
          <w:bCs/>
          <w:iCs/>
          <w:sz w:val="24"/>
          <w:szCs w:val="24"/>
          <w:lang w:val="en-US" w:eastAsia="ar-SA"/>
        </w:rPr>
        <w:t>In the OAI study, physical performance was assessed using several</w:t>
      </w:r>
      <w:r w:rsidR="00B01D73" w:rsidRPr="002045EC">
        <w:rPr>
          <w:rFonts w:ascii="Times New Roman" w:eastAsia="Times New Roman" w:hAnsi="Times New Roman" w:cs="Times New Roman"/>
          <w:bCs/>
          <w:iCs/>
          <w:sz w:val="24"/>
          <w:szCs w:val="24"/>
          <w:lang w:val="en-US" w:eastAsia="ar-SA"/>
        </w:rPr>
        <w:t xml:space="preserve"> standardized</w:t>
      </w:r>
      <w:r w:rsidRPr="002045EC">
        <w:rPr>
          <w:rFonts w:ascii="Times New Roman" w:eastAsia="Times New Roman" w:hAnsi="Times New Roman" w:cs="Times New Roman"/>
          <w:bCs/>
          <w:iCs/>
          <w:sz w:val="24"/>
          <w:szCs w:val="24"/>
          <w:lang w:val="en-US" w:eastAsia="ar-SA"/>
        </w:rPr>
        <w:t xml:space="preserve"> tests</w:t>
      </w:r>
      <w:r w:rsidR="00B01D73" w:rsidRPr="002045EC">
        <w:rPr>
          <w:rFonts w:ascii="Times New Roman" w:eastAsia="Times New Roman" w:hAnsi="Times New Roman" w:cs="Times New Roman"/>
          <w:bCs/>
          <w:iCs/>
          <w:sz w:val="24"/>
          <w:szCs w:val="24"/>
          <w:lang w:val="en-US" w:eastAsia="ar-SA"/>
        </w:rPr>
        <w:t>, commonly used in geriatric medicine</w:t>
      </w:r>
      <w:r w:rsidR="00B067B6" w:rsidRPr="002045EC">
        <w:rPr>
          <w:rFonts w:ascii="Times New Roman" w:eastAsia="Times New Roman" w:hAnsi="Times New Roman" w:cs="Times New Roman"/>
          <w:bCs/>
          <w:iCs/>
          <w:sz w:val="24"/>
          <w:szCs w:val="24"/>
          <w:lang w:val="en-US" w:eastAsia="ar-SA"/>
        </w:rPr>
        <w:t>:</w:t>
      </w:r>
      <w:r w:rsidRPr="002045EC">
        <w:rPr>
          <w:rFonts w:ascii="Times New Roman" w:eastAsia="Times New Roman" w:hAnsi="Times New Roman" w:cs="Times New Roman"/>
          <w:bCs/>
          <w:iCs/>
          <w:sz w:val="24"/>
          <w:szCs w:val="24"/>
          <w:lang w:val="en-US" w:eastAsia="ar-SA"/>
        </w:rPr>
        <w:t xml:space="preserve"> (</w:t>
      </w:r>
      <w:proofErr w:type="spellStart"/>
      <w:r w:rsidRPr="002045EC">
        <w:rPr>
          <w:rFonts w:ascii="Times New Roman" w:eastAsia="Times New Roman" w:hAnsi="Times New Roman" w:cs="Times New Roman"/>
          <w:bCs/>
          <w:iCs/>
          <w:sz w:val="24"/>
          <w:szCs w:val="24"/>
          <w:lang w:val="en-US" w:eastAsia="ar-SA"/>
        </w:rPr>
        <w:t>i</w:t>
      </w:r>
      <w:proofErr w:type="spellEnd"/>
      <w:r w:rsidRPr="002045EC">
        <w:rPr>
          <w:rFonts w:ascii="Times New Roman" w:eastAsia="Times New Roman" w:hAnsi="Times New Roman" w:cs="Times New Roman"/>
          <w:bCs/>
          <w:iCs/>
          <w:sz w:val="24"/>
          <w:szCs w:val="24"/>
          <w:lang w:val="en-US" w:eastAsia="ar-SA"/>
        </w:rPr>
        <w:t>)</w:t>
      </w:r>
      <w:r w:rsidR="00B067B6" w:rsidRPr="002045EC">
        <w:rPr>
          <w:rFonts w:ascii="Times New Roman" w:eastAsia="Times New Roman" w:hAnsi="Times New Roman" w:cs="Times New Roman"/>
          <w:bCs/>
          <w:iCs/>
          <w:sz w:val="24"/>
          <w:szCs w:val="24"/>
          <w:lang w:val="en-US" w:eastAsia="ar-SA"/>
        </w:rPr>
        <w:t xml:space="preserve"> 20-meter at </w:t>
      </w:r>
      <w:r w:rsidR="00432699" w:rsidRPr="002045EC">
        <w:rPr>
          <w:rFonts w:ascii="Times New Roman" w:eastAsia="Times New Roman" w:hAnsi="Times New Roman" w:cs="Times New Roman"/>
          <w:bCs/>
          <w:iCs/>
          <w:sz w:val="24"/>
          <w:szCs w:val="24"/>
          <w:lang w:val="en-US" w:eastAsia="ar-SA"/>
        </w:rPr>
        <w:t xml:space="preserve">a </w:t>
      </w:r>
      <w:r w:rsidR="00B067B6" w:rsidRPr="002045EC">
        <w:rPr>
          <w:rFonts w:ascii="Times New Roman" w:eastAsia="Times New Roman" w:hAnsi="Times New Roman" w:cs="Times New Roman"/>
          <w:bCs/>
          <w:iCs/>
          <w:sz w:val="24"/>
          <w:szCs w:val="24"/>
          <w:lang w:val="en-US" w:eastAsia="ar-SA"/>
        </w:rPr>
        <w:t>usual pace</w:t>
      </w:r>
      <w:r w:rsidR="0073789B" w:rsidRPr="002045EC">
        <w:rPr>
          <w:rFonts w:ascii="Times New Roman" w:eastAsia="Times New Roman" w:hAnsi="Times New Roman" w:cs="Times New Roman"/>
          <w:bCs/>
          <w:iCs/>
          <w:sz w:val="24"/>
          <w:szCs w:val="24"/>
          <w:lang w:val="en-US" w:eastAsia="ar-SA"/>
        </w:rPr>
        <w:t xml:space="preserve"> that was repeated two times, using the best time for the aims of the analyses</w:t>
      </w:r>
      <w:r w:rsidR="00961B1D" w:rsidRPr="002045EC">
        <w:rPr>
          <w:rFonts w:ascii="Times New Roman" w:eastAsia="Times New Roman" w:hAnsi="Times New Roman" w:cs="Times New Roman"/>
          <w:bCs/>
          <w:iCs/>
          <w:sz w:val="24"/>
          <w:szCs w:val="24"/>
          <w:lang w:val="en-US" w:eastAsia="ar-SA"/>
        </w:rPr>
        <w:t xml:space="preserve"> </w:t>
      </w:r>
      <w:r w:rsidR="00B01D73" w:rsidRPr="002045EC">
        <w:rPr>
          <w:rFonts w:ascii="Times New Roman" w:eastAsia="Times New Roman" w:hAnsi="Times New Roman" w:cs="Times New Roman"/>
          <w:bCs/>
          <w:iCs/>
          <w:sz w:val="24"/>
          <w:szCs w:val="24"/>
          <w:lang w:val="en-US" w:eastAsia="ar-SA"/>
        </w:rPr>
        <w:fldChar w:fldCharType="begin"/>
      </w:r>
      <w:r w:rsidR="002C6FEC" w:rsidRPr="002045EC">
        <w:rPr>
          <w:rFonts w:ascii="Times New Roman" w:eastAsia="Times New Roman" w:hAnsi="Times New Roman" w:cs="Times New Roman"/>
          <w:bCs/>
          <w:iCs/>
          <w:sz w:val="24"/>
          <w:szCs w:val="24"/>
          <w:lang w:val="en-US" w:eastAsia="ar-SA"/>
        </w:rPr>
        <w:instrText xml:space="preserve"> ADDIN EN.CITE &lt;EndNote&gt;&lt;Cite&gt;&lt;Author&gt;Santos-Eggimann&lt;/Author&gt;&lt;Year&gt;2020&lt;/Year&gt;&lt;RecNum&gt;10479&lt;/RecNum&gt;&lt;DisplayText&gt;[17]&lt;/DisplayText&gt;&lt;record&gt;&lt;rec-number&gt;10479&lt;/rec-number&gt;&lt;foreign-keys&gt;&lt;key app="EN" db-id="drpew5wfywra50esazbxawda2f59zaves90z" timestamp="1622903038"&gt;10479&lt;/key&gt;&lt;/foreign-keys&gt;&lt;ref-type name="Journal Article"&gt;17&lt;/ref-type&gt;&lt;contributors&gt;&lt;authors&gt;&lt;author&gt;Santos-Eggimann, Brigitte&lt;/author&gt;&lt;author&gt;Ballan, Kamel&lt;/author&gt;&lt;author&gt;Fustinoni, Sarah&lt;/author&gt;&lt;author&gt;Büla, Christophe&lt;/author&gt;&lt;/authors&gt;&lt;/contributors&gt;&lt;titles&gt;&lt;title&gt;Measuring Slowness in Old Age: Times to Perform Moberg Picking-Up and Walking Speed Tests&lt;/title&gt;&lt;secondary-title&gt;Journal of the American Medical Directors Association&lt;/secondary-title&gt;&lt;/titles&gt;&lt;periodical&gt;&lt;full-title&gt;Journal of the American Medical Directors Association&lt;/full-title&gt;&lt;/periodical&gt;&lt;pages&gt;1729-1734. e2&lt;/pages&gt;&lt;volume&gt;21&lt;/volume&gt;&lt;number&gt;11&lt;/number&gt;&lt;dates&gt;&lt;year&gt;2020&lt;/year&gt;&lt;/dates&gt;&lt;isbn&gt;1525-8610&lt;/isbn&gt;&lt;urls&gt;&lt;/urls&gt;&lt;/record&gt;&lt;/Cite&gt;&lt;/EndNote&gt;</w:instrText>
      </w:r>
      <w:r w:rsidR="00B01D73" w:rsidRPr="002045EC">
        <w:rPr>
          <w:rFonts w:ascii="Times New Roman" w:eastAsia="Times New Roman" w:hAnsi="Times New Roman" w:cs="Times New Roman"/>
          <w:bCs/>
          <w:iCs/>
          <w:sz w:val="24"/>
          <w:szCs w:val="24"/>
          <w:lang w:val="en-US" w:eastAsia="ar-SA"/>
        </w:rPr>
        <w:fldChar w:fldCharType="separate"/>
      </w:r>
      <w:r w:rsidR="002C6FEC" w:rsidRPr="002045EC">
        <w:rPr>
          <w:rFonts w:ascii="Times New Roman" w:eastAsia="Times New Roman" w:hAnsi="Times New Roman" w:cs="Times New Roman"/>
          <w:bCs/>
          <w:iCs/>
          <w:noProof/>
          <w:sz w:val="24"/>
          <w:szCs w:val="24"/>
          <w:lang w:val="en-US" w:eastAsia="ar-SA"/>
        </w:rPr>
        <w:t>[17]</w:t>
      </w:r>
      <w:r w:rsidR="00B01D73" w:rsidRPr="002045EC">
        <w:rPr>
          <w:rFonts w:ascii="Times New Roman" w:eastAsia="Times New Roman" w:hAnsi="Times New Roman" w:cs="Times New Roman"/>
          <w:bCs/>
          <w:iCs/>
          <w:sz w:val="24"/>
          <w:szCs w:val="24"/>
          <w:lang w:val="en-US" w:eastAsia="ar-SA"/>
        </w:rPr>
        <w:fldChar w:fldCharType="end"/>
      </w:r>
      <w:r w:rsidRPr="002045EC">
        <w:rPr>
          <w:rFonts w:ascii="Times New Roman" w:eastAsia="Times New Roman" w:hAnsi="Times New Roman" w:cs="Times New Roman"/>
          <w:bCs/>
          <w:iCs/>
          <w:sz w:val="24"/>
          <w:szCs w:val="24"/>
          <w:lang w:val="en-US" w:eastAsia="ar-SA"/>
        </w:rPr>
        <w:t xml:space="preserve">; (ii) 400-meter walking distance was performed according to an evaluated protocol to assess mobility disability and it consists of 10 laps over a 20 m course marked by two cones </w:t>
      </w:r>
      <w:r w:rsidR="008B5ECC" w:rsidRPr="002045EC">
        <w:rPr>
          <w:rFonts w:ascii="Times New Roman" w:eastAsia="Times New Roman" w:hAnsi="Times New Roman" w:cs="Times New Roman"/>
          <w:bCs/>
          <w:iCs/>
          <w:sz w:val="24"/>
          <w:szCs w:val="24"/>
          <w:lang w:val="en-US" w:eastAsia="ar-SA"/>
        </w:rPr>
        <w:fldChar w:fldCharType="begin"/>
      </w:r>
      <w:r w:rsidR="002C6FEC" w:rsidRPr="002045EC">
        <w:rPr>
          <w:rFonts w:ascii="Times New Roman" w:eastAsia="Times New Roman" w:hAnsi="Times New Roman" w:cs="Times New Roman"/>
          <w:bCs/>
          <w:iCs/>
          <w:sz w:val="24"/>
          <w:szCs w:val="24"/>
          <w:lang w:val="en-US" w:eastAsia="ar-SA"/>
        </w:rPr>
        <w:instrText xml:space="preserve"> ADDIN EN.CITE &lt;EndNote&gt;&lt;Cite&gt;&lt;Author&gt;Rolland&lt;/Author&gt;&lt;Year&gt;2004&lt;/Year&gt;&lt;RecNum&gt;10474&lt;/RecNum&gt;&lt;DisplayText&gt;[18]&lt;/DisplayText&gt;&lt;record&gt;&lt;rec-number&gt;10474&lt;/rec-number&gt;&lt;foreign-keys&gt;&lt;key app="EN" db-id="drpew5wfywra50esazbxawda2f59zaves90z" timestamp="1622821578"&gt;10474&lt;/key&gt;&lt;/foreign-keys&gt;&lt;ref-type name="Journal Article"&gt;17&lt;/ref-type&gt;&lt;contributors&gt;&lt;authors&gt;&lt;author&gt;Rolland, Yves M&lt;/author&gt;&lt;author&gt;Cesari, Matteo&lt;/author&gt;&lt;author&gt;Miller, Michael E&lt;/author&gt;&lt;author&gt;Penninx, Brenda W&lt;/author&gt;&lt;author&gt;Atkinson, Hal H&lt;/author&gt;&lt;author&gt;Pahor, Marco&lt;/author&gt;&lt;/authors&gt;&lt;/contributors&gt;&lt;titles&gt;&lt;title&gt;Reliability of the 400‐m usual‐pace walk test as an assessment of mobility limitation in older adults&lt;/title&gt;&lt;secondary-title&gt;Journal of the American Geriatrics Society&lt;/secondary-title&gt;&lt;/titles&gt;&lt;periodical&gt;&lt;full-title&gt;Journal of the American Geriatrics Society&lt;/full-title&gt;&lt;/periodical&gt;&lt;pages&gt;972-976&lt;/pages&gt;&lt;volume&gt;52&lt;/volume&gt;&lt;number&gt;6&lt;/number&gt;&lt;dates&gt;&lt;year&gt;2004&lt;/year&gt;&lt;/dates&gt;&lt;isbn&gt;0002-8614&lt;/isbn&gt;&lt;urls&gt;&lt;/urls&gt;&lt;/record&gt;&lt;/Cite&gt;&lt;/EndNote&gt;</w:instrText>
      </w:r>
      <w:r w:rsidR="008B5ECC" w:rsidRPr="002045EC">
        <w:rPr>
          <w:rFonts w:ascii="Times New Roman" w:eastAsia="Times New Roman" w:hAnsi="Times New Roman" w:cs="Times New Roman"/>
          <w:bCs/>
          <w:iCs/>
          <w:sz w:val="24"/>
          <w:szCs w:val="24"/>
          <w:lang w:val="en-US" w:eastAsia="ar-SA"/>
        </w:rPr>
        <w:fldChar w:fldCharType="separate"/>
      </w:r>
      <w:r w:rsidR="002C6FEC" w:rsidRPr="002045EC">
        <w:rPr>
          <w:rFonts w:ascii="Times New Roman" w:eastAsia="Times New Roman" w:hAnsi="Times New Roman" w:cs="Times New Roman"/>
          <w:bCs/>
          <w:iCs/>
          <w:noProof/>
          <w:sz w:val="24"/>
          <w:szCs w:val="24"/>
          <w:lang w:val="en-US" w:eastAsia="ar-SA"/>
        </w:rPr>
        <w:t>[18]</w:t>
      </w:r>
      <w:r w:rsidR="008B5ECC" w:rsidRPr="002045EC">
        <w:rPr>
          <w:rFonts w:ascii="Times New Roman" w:eastAsia="Times New Roman" w:hAnsi="Times New Roman" w:cs="Times New Roman"/>
          <w:bCs/>
          <w:iCs/>
          <w:sz w:val="24"/>
          <w:szCs w:val="24"/>
          <w:lang w:val="en-US" w:eastAsia="ar-SA"/>
        </w:rPr>
        <w:fldChar w:fldCharType="end"/>
      </w:r>
      <w:r w:rsidR="001846EA" w:rsidRPr="002045EC">
        <w:rPr>
          <w:rFonts w:ascii="Times New Roman" w:eastAsia="Times New Roman" w:hAnsi="Times New Roman" w:cs="Times New Roman"/>
          <w:bCs/>
          <w:iCs/>
          <w:sz w:val="24"/>
          <w:szCs w:val="24"/>
          <w:lang w:val="en-US" w:eastAsia="ar-SA"/>
        </w:rPr>
        <w:t>; (iii)</w:t>
      </w:r>
      <w:r w:rsidR="00026EAB" w:rsidRPr="002045EC">
        <w:rPr>
          <w:rFonts w:ascii="Times New Roman" w:eastAsia="Times New Roman" w:hAnsi="Times New Roman" w:cs="Times New Roman"/>
          <w:bCs/>
          <w:iCs/>
          <w:sz w:val="24"/>
          <w:szCs w:val="24"/>
          <w:lang w:val="en-US" w:eastAsia="ar-SA"/>
        </w:rPr>
        <w:t xml:space="preserve"> chairs stands, </w:t>
      </w:r>
      <w:r w:rsidR="00197300" w:rsidRPr="002045EC">
        <w:rPr>
          <w:rFonts w:ascii="Times New Roman" w:eastAsia="Times New Roman" w:hAnsi="Times New Roman" w:cs="Times New Roman"/>
          <w:bCs/>
          <w:iCs/>
          <w:sz w:val="24"/>
          <w:szCs w:val="24"/>
          <w:lang w:val="en-US" w:eastAsia="ar-SA"/>
        </w:rPr>
        <w:t xml:space="preserve">repeated </w:t>
      </w:r>
      <w:r w:rsidR="00026EAB" w:rsidRPr="002045EC">
        <w:rPr>
          <w:rFonts w:ascii="Times New Roman" w:eastAsia="Times New Roman" w:hAnsi="Times New Roman" w:cs="Times New Roman"/>
          <w:bCs/>
          <w:iCs/>
          <w:sz w:val="24"/>
          <w:szCs w:val="24"/>
          <w:lang w:val="en-US" w:eastAsia="ar-SA"/>
        </w:rPr>
        <w:t>five time</w:t>
      </w:r>
      <w:r w:rsidR="00197300" w:rsidRPr="002045EC">
        <w:rPr>
          <w:rFonts w:ascii="Times New Roman" w:eastAsia="Times New Roman" w:hAnsi="Times New Roman" w:cs="Times New Roman"/>
          <w:bCs/>
          <w:iCs/>
          <w:sz w:val="24"/>
          <w:szCs w:val="24"/>
          <w:lang w:val="en-US" w:eastAsia="ar-SA"/>
        </w:rPr>
        <w:t>s</w:t>
      </w:r>
      <w:r w:rsidR="00026EAB" w:rsidRPr="002045EC">
        <w:rPr>
          <w:rFonts w:ascii="Times New Roman" w:eastAsia="Times New Roman" w:hAnsi="Times New Roman" w:cs="Times New Roman"/>
          <w:bCs/>
          <w:iCs/>
          <w:sz w:val="24"/>
          <w:szCs w:val="24"/>
          <w:lang w:val="en-US" w:eastAsia="ar-SA"/>
        </w:rPr>
        <w:t xml:space="preserve"> for each trial</w:t>
      </w:r>
      <w:r w:rsidR="00197300" w:rsidRPr="002045EC">
        <w:rPr>
          <w:rFonts w:ascii="Times New Roman" w:eastAsia="Times New Roman" w:hAnsi="Times New Roman" w:cs="Times New Roman"/>
          <w:bCs/>
          <w:iCs/>
          <w:sz w:val="24"/>
          <w:szCs w:val="24"/>
          <w:lang w:val="en-US" w:eastAsia="ar-SA"/>
        </w:rPr>
        <w:t xml:space="preserve"> (n=2) </w:t>
      </w:r>
      <w:r w:rsidR="00026EAB" w:rsidRPr="002045EC">
        <w:rPr>
          <w:rFonts w:ascii="Times New Roman" w:eastAsia="Times New Roman" w:hAnsi="Times New Roman" w:cs="Times New Roman"/>
          <w:bCs/>
          <w:iCs/>
          <w:sz w:val="24"/>
          <w:szCs w:val="24"/>
          <w:lang w:val="en-US" w:eastAsia="ar-SA"/>
        </w:rPr>
        <w:t>using the best time for the analyses</w:t>
      </w:r>
      <w:r w:rsidR="00961B1D" w:rsidRPr="002045EC">
        <w:rPr>
          <w:rFonts w:ascii="Times New Roman" w:eastAsia="Times New Roman" w:hAnsi="Times New Roman" w:cs="Times New Roman"/>
          <w:bCs/>
          <w:iCs/>
          <w:sz w:val="24"/>
          <w:szCs w:val="24"/>
          <w:lang w:val="en-US" w:eastAsia="ar-SA"/>
        </w:rPr>
        <w:t xml:space="preserve"> </w:t>
      </w:r>
      <w:r w:rsidR="001846EA" w:rsidRPr="002045EC">
        <w:rPr>
          <w:rFonts w:ascii="Times New Roman" w:eastAsia="Times New Roman" w:hAnsi="Times New Roman" w:cs="Times New Roman"/>
          <w:bCs/>
          <w:iCs/>
          <w:sz w:val="24"/>
          <w:szCs w:val="24"/>
          <w:lang w:val="en-US" w:eastAsia="ar-SA"/>
        </w:rPr>
        <w:fldChar w:fldCharType="begin"/>
      </w:r>
      <w:r w:rsidR="002C6FEC" w:rsidRPr="002045EC">
        <w:rPr>
          <w:rFonts w:ascii="Times New Roman" w:eastAsia="Times New Roman" w:hAnsi="Times New Roman" w:cs="Times New Roman"/>
          <w:bCs/>
          <w:iCs/>
          <w:sz w:val="24"/>
          <w:szCs w:val="24"/>
          <w:lang w:val="en-US" w:eastAsia="ar-SA"/>
        </w:rPr>
        <w:instrText xml:space="preserve"> ADDIN EN.CITE &lt;EndNote&gt;&lt;Cite&gt;&lt;Author&gt;Bohannon&lt;/Author&gt;&lt;Year&gt;1995&lt;/Year&gt;&lt;RecNum&gt;10475&lt;/RecNum&gt;&lt;DisplayText&gt;[19]&lt;/DisplayText&gt;&lt;record&gt;&lt;rec-number&gt;10475&lt;/rec-number&gt;&lt;foreign-keys&gt;&lt;key app="EN" db-id="drpew5wfywra50esazbxawda2f59zaves90z" timestamp="1622821929"&gt;10475&lt;/key&gt;&lt;/foreign-keys&gt;&lt;ref-type name="Journal Article"&gt;17&lt;/ref-type&gt;&lt;contributors&gt;&lt;authors&gt;&lt;author&gt;Bohannon, Richard W&lt;/author&gt;&lt;/authors&gt;&lt;/contributors&gt;&lt;titles&gt;&lt;title&gt;Sit-to-stand test for measuring performance of lower extremity muscles&lt;/title&gt;&lt;secondary-title&gt;Perceptual and motor skills&lt;/secondary-title&gt;&lt;/titles&gt;&lt;periodical&gt;&lt;full-title&gt;Perceptual and motor skills&lt;/full-title&gt;&lt;/periodical&gt;&lt;pages&gt;163-166&lt;/pages&gt;&lt;volume&gt;80&lt;/volume&gt;&lt;number&gt;1&lt;/number&gt;&lt;dates&gt;&lt;year&gt;1995&lt;/year&gt;&lt;/dates&gt;&lt;isbn&gt;0031-5125&lt;/isbn&gt;&lt;urls&gt;&lt;/urls&gt;&lt;/record&gt;&lt;/Cite&gt;&lt;/EndNote&gt;</w:instrText>
      </w:r>
      <w:r w:rsidR="001846EA" w:rsidRPr="002045EC">
        <w:rPr>
          <w:rFonts w:ascii="Times New Roman" w:eastAsia="Times New Roman" w:hAnsi="Times New Roman" w:cs="Times New Roman"/>
          <w:bCs/>
          <w:iCs/>
          <w:sz w:val="24"/>
          <w:szCs w:val="24"/>
          <w:lang w:val="en-US" w:eastAsia="ar-SA"/>
        </w:rPr>
        <w:fldChar w:fldCharType="separate"/>
      </w:r>
      <w:r w:rsidR="002C6FEC" w:rsidRPr="002045EC">
        <w:rPr>
          <w:rFonts w:ascii="Times New Roman" w:eastAsia="Times New Roman" w:hAnsi="Times New Roman" w:cs="Times New Roman"/>
          <w:bCs/>
          <w:iCs/>
          <w:noProof/>
          <w:sz w:val="24"/>
          <w:szCs w:val="24"/>
          <w:lang w:val="en-US" w:eastAsia="ar-SA"/>
        </w:rPr>
        <w:t>[19]</w:t>
      </w:r>
      <w:r w:rsidR="001846EA" w:rsidRPr="002045EC">
        <w:rPr>
          <w:rFonts w:ascii="Times New Roman" w:eastAsia="Times New Roman" w:hAnsi="Times New Roman" w:cs="Times New Roman"/>
          <w:bCs/>
          <w:iCs/>
          <w:sz w:val="24"/>
          <w:szCs w:val="24"/>
          <w:lang w:val="en-US" w:eastAsia="ar-SA"/>
        </w:rPr>
        <w:fldChar w:fldCharType="end"/>
      </w:r>
      <w:r w:rsidR="00961B1D" w:rsidRPr="002045EC">
        <w:rPr>
          <w:rFonts w:ascii="Times New Roman" w:eastAsia="Times New Roman" w:hAnsi="Times New Roman" w:cs="Times New Roman"/>
          <w:bCs/>
          <w:iCs/>
          <w:sz w:val="24"/>
          <w:szCs w:val="24"/>
          <w:lang w:val="en-US" w:eastAsia="ar-SA"/>
        </w:rPr>
        <w:t>.</w:t>
      </w:r>
      <w:r w:rsidR="00026EAB" w:rsidRPr="002045EC">
        <w:rPr>
          <w:rFonts w:ascii="Times New Roman" w:eastAsia="Times New Roman" w:hAnsi="Times New Roman" w:cs="Times New Roman"/>
          <w:bCs/>
          <w:iCs/>
          <w:sz w:val="24"/>
          <w:szCs w:val="24"/>
          <w:lang w:val="en-US" w:eastAsia="ar-SA"/>
        </w:rPr>
        <w:t xml:space="preserve"> For all these parameters,</w:t>
      </w:r>
      <w:r w:rsidR="00F81F4B" w:rsidRPr="002045EC">
        <w:rPr>
          <w:rFonts w:ascii="Times New Roman" w:eastAsia="Times New Roman" w:hAnsi="Times New Roman" w:cs="Times New Roman"/>
          <w:bCs/>
          <w:iCs/>
          <w:sz w:val="24"/>
          <w:szCs w:val="24"/>
          <w:lang w:val="en-US" w:eastAsia="ar-SA"/>
        </w:rPr>
        <w:t xml:space="preserve"> reported in seconds,</w:t>
      </w:r>
      <w:r w:rsidR="00026EAB" w:rsidRPr="002045EC">
        <w:rPr>
          <w:rFonts w:ascii="Times New Roman" w:eastAsia="Times New Roman" w:hAnsi="Times New Roman" w:cs="Times New Roman"/>
          <w:bCs/>
          <w:iCs/>
          <w:sz w:val="24"/>
          <w:szCs w:val="24"/>
          <w:lang w:val="en-US" w:eastAsia="ar-SA"/>
        </w:rPr>
        <w:t xml:space="preserve"> higher values indicate worse performance. </w:t>
      </w:r>
    </w:p>
    <w:p w14:paraId="160C4A13" w14:textId="77777777" w:rsidR="00676B66" w:rsidRPr="002045EC" w:rsidRDefault="00676B66" w:rsidP="00CB487B">
      <w:pPr>
        <w:suppressAutoHyphens/>
        <w:spacing w:after="0" w:line="480" w:lineRule="auto"/>
        <w:rPr>
          <w:rFonts w:ascii="Times New Roman" w:eastAsia="Times New Roman" w:hAnsi="Times New Roman" w:cs="Times New Roman"/>
          <w:b/>
          <w:i/>
          <w:sz w:val="24"/>
          <w:szCs w:val="24"/>
          <w:lang w:val="en-US" w:eastAsia="ar-SA"/>
        </w:rPr>
      </w:pPr>
    </w:p>
    <w:p w14:paraId="6264F503" w14:textId="0A23AF64" w:rsidR="00CB487B" w:rsidRPr="002045EC" w:rsidRDefault="00CB487B" w:rsidP="00EA2099">
      <w:pPr>
        <w:pStyle w:val="Heading2"/>
      </w:pPr>
      <w:r w:rsidRPr="002045EC">
        <w:t>Covariates</w:t>
      </w:r>
    </w:p>
    <w:p w14:paraId="2326E6E6" w14:textId="13D796BC" w:rsidR="00D82A14" w:rsidRPr="002045EC" w:rsidRDefault="00197300" w:rsidP="00D82A14">
      <w:pPr>
        <w:spacing w:after="0" w:line="480" w:lineRule="auto"/>
        <w:jc w:val="both"/>
        <w:rPr>
          <w:rFonts w:ascii="Times New Roman" w:hAnsi="Times New Roman" w:cs="Times New Roman"/>
          <w:bCs/>
          <w:sz w:val="24"/>
          <w:szCs w:val="24"/>
          <w:lang w:val="en-US"/>
        </w:rPr>
      </w:pPr>
      <w:r w:rsidRPr="002045EC">
        <w:rPr>
          <w:rFonts w:ascii="Times New Roman" w:eastAsia="Calibri" w:hAnsi="Times New Roman" w:cs="Times New Roman"/>
          <w:color w:val="000000"/>
          <w:sz w:val="24"/>
          <w:szCs w:val="24"/>
          <w:lang w:val="en-US"/>
        </w:rPr>
        <w:t xml:space="preserve">Several </w:t>
      </w:r>
      <w:r w:rsidR="00CB487B" w:rsidRPr="002045EC">
        <w:rPr>
          <w:rFonts w:ascii="Times New Roman" w:eastAsia="Calibri" w:hAnsi="Times New Roman" w:cs="Times New Roman"/>
          <w:sz w:val="24"/>
          <w:szCs w:val="24"/>
          <w:lang w:val="en-US"/>
        </w:rPr>
        <w:t xml:space="preserve">covariates were identified as potential confounding factors. These included: age; gender; </w:t>
      </w:r>
      <w:r w:rsidR="00EC254C" w:rsidRPr="002045EC">
        <w:rPr>
          <w:rFonts w:ascii="Times New Roman" w:eastAsia="Calibri" w:hAnsi="Times New Roman" w:cs="Times New Roman"/>
          <w:sz w:val="24"/>
          <w:szCs w:val="24"/>
          <w:lang w:val="en-US"/>
        </w:rPr>
        <w:t xml:space="preserve">total </w:t>
      </w:r>
      <w:r w:rsidR="00CB487B" w:rsidRPr="002045EC">
        <w:rPr>
          <w:rFonts w:ascii="Times New Roman" w:eastAsia="Calibri" w:hAnsi="Times New Roman" w:cs="Times New Roman"/>
          <w:sz w:val="24"/>
          <w:szCs w:val="24"/>
          <w:lang w:val="en-US"/>
        </w:rPr>
        <w:t xml:space="preserve">calorie intake (in Kcal); body mass index (BMI); race; smoking habit; educational attainment level (college or higher vs. others); yearly income (&lt; or </w:t>
      </w:r>
      <w:r w:rsidR="00CB487B" w:rsidRPr="002045EC">
        <w:rPr>
          <w:rFonts w:ascii="Times New Roman" w:eastAsia="Calibri" w:hAnsi="Times New Roman" w:cs="Times New Roman"/>
          <w:sz w:val="24"/>
          <w:szCs w:val="24"/>
          <w:u w:val="single"/>
          <w:lang w:val="en-US"/>
        </w:rPr>
        <w:t>&gt;</w:t>
      </w:r>
      <w:r w:rsidR="00CB487B" w:rsidRPr="002045EC">
        <w:rPr>
          <w:rFonts w:ascii="Times New Roman" w:eastAsia="Calibri" w:hAnsi="Times New Roman" w:cs="Times New Roman"/>
          <w:sz w:val="24"/>
          <w:szCs w:val="24"/>
          <w:lang w:val="en-US"/>
        </w:rPr>
        <w:t xml:space="preserve"> $50,000 or </w:t>
      </w:r>
      <w:r w:rsidR="00CB487B" w:rsidRPr="002045EC">
        <w:rPr>
          <w:rFonts w:ascii="Times New Roman" w:eastAsia="AdvOTa9103878" w:hAnsi="Times New Roman" w:cs="Times New Roman"/>
          <w:sz w:val="24"/>
          <w:szCs w:val="24"/>
          <w:lang w:val="en-US" w:eastAsia="ar-SA"/>
        </w:rPr>
        <w:t>missing data);</w:t>
      </w:r>
      <w:r w:rsidRPr="002045EC">
        <w:rPr>
          <w:rFonts w:ascii="Times New Roman" w:eastAsia="AdvOTa9103878" w:hAnsi="Times New Roman" w:cs="Times New Roman"/>
          <w:sz w:val="24"/>
          <w:szCs w:val="24"/>
          <w:lang w:val="en-US" w:eastAsia="ar-SA"/>
        </w:rPr>
        <w:t xml:space="preserve"> and</w:t>
      </w:r>
      <w:r w:rsidR="00CB487B" w:rsidRPr="002045EC">
        <w:rPr>
          <w:rFonts w:ascii="Times New Roman" w:eastAsia="AdvOTa9103878" w:hAnsi="Times New Roman" w:cs="Times New Roman"/>
          <w:sz w:val="24"/>
          <w:szCs w:val="24"/>
          <w:lang w:val="en-US" w:eastAsia="ar-SA"/>
        </w:rPr>
        <w:t xml:space="preserve"> </w:t>
      </w:r>
      <w:r w:rsidR="00CB487B" w:rsidRPr="002045EC">
        <w:rPr>
          <w:rFonts w:ascii="Times New Roman" w:eastAsia="Calibri" w:hAnsi="Times New Roman" w:cs="Times New Roman"/>
          <w:sz w:val="24"/>
          <w:szCs w:val="24"/>
          <w:lang w:val="en-US"/>
        </w:rPr>
        <w:t xml:space="preserve">the modified </w:t>
      </w:r>
      <w:proofErr w:type="spellStart"/>
      <w:r w:rsidR="00CB487B" w:rsidRPr="002045EC">
        <w:rPr>
          <w:rFonts w:ascii="Times New Roman" w:eastAsia="Calibri" w:hAnsi="Times New Roman" w:cs="Times New Roman"/>
          <w:sz w:val="24"/>
          <w:szCs w:val="24"/>
          <w:lang w:val="en-US"/>
        </w:rPr>
        <w:t>Charlson</w:t>
      </w:r>
      <w:proofErr w:type="spellEnd"/>
      <w:r w:rsidR="00CB487B" w:rsidRPr="002045EC">
        <w:rPr>
          <w:rFonts w:ascii="Times New Roman" w:eastAsia="Calibri" w:hAnsi="Times New Roman" w:cs="Times New Roman"/>
          <w:sz w:val="24"/>
          <w:szCs w:val="24"/>
          <w:lang w:val="en-US"/>
        </w:rPr>
        <w:t xml:space="preserve"> Comorbidity Index score</w:t>
      </w:r>
      <w:r w:rsidR="00DC0AAB" w:rsidRPr="002045EC">
        <w:rPr>
          <w:rFonts w:ascii="Times New Roman" w:eastAsia="Calibri" w:hAnsi="Times New Roman" w:cs="Times New Roman"/>
          <w:sz w:val="24"/>
          <w:szCs w:val="24"/>
          <w:lang w:val="en-US"/>
        </w:rPr>
        <w:t xml:space="preserve"> </w:t>
      </w:r>
      <w:r w:rsidR="00CB487B" w:rsidRPr="002045EC">
        <w:rPr>
          <w:rFonts w:ascii="Times New Roman" w:eastAsia="Calibri" w:hAnsi="Times New Roman" w:cs="Times New Roman"/>
          <w:sz w:val="24"/>
          <w:szCs w:val="24"/>
        </w:rPr>
        <w:fldChar w:fldCharType="begin"/>
      </w:r>
      <w:r w:rsidR="002C6FEC" w:rsidRPr="002045EC">
        <w:rPr>
          <w:rFonts w:ascii="Times New Roman" w:eastAsia="Calibri" w:hAnsi="Times New Roman" w:cs="Times New Roman"/>
          <w:sz w:val="24"/>
          <w:szCs w:val="24"/>
          <w:lang w:val="en-US"/>
        </w:rPr>
        <w:instrText xml:space="preserve"> ADDIN EN.CITE &lt;EndNote&gt;&lt;Cite&gt;&lt;Author&gt;Katz&lt;/Author&gt;&lt;Year&gt;1996&lt;/Year&gt;&lt;RecNum&gt;994&lt;/RecNum&gt;&lt;DisplayText&gt;[20]&lt;/DisplayText&gt;&lt;record&gt;&lt;rec-number&gt;994&lt;/rec-number&gt;&lt;foreign-keys&gt;&lt;key app="EN" db-id="t2wadffz0tdfane25rb50ezte9zwtdwpseft"&gt;994&lt;/key&gt;&lt;/foreign-keys&gt;&lt;ref-type name="Journal Article"&gt;17&lt;/ref-type&gt;&lt;contributors&gt;&lt;authors&gt;&lt;author&gt;Katz, J. N.&lt;/author&gt;&lt;author&gt;Chang, L. C.&lt;/author&gt;&lt;author&gt;Sangha, O.&lt;/author&gt;&lt;author&gt;Fossel, A. H.&lt;/author&gt;&lt;author&gt;Bates, D. W.&lt;/author&gt;&lt;/authors&gt;&lt;/contributors&gt;&lt;titles&gt;&lt;title&gt;Can comorbidity be measured by questionnaire rather than medical record review?&lt;/title&gt;&lt;secondary-title&gt;Medical care&lt;/secondary-title&gt;&lt;/titles&gt;&lt;periodical&gt;&lt;full-title&gt;Medical care&lt;/full-title&gt;&lt;/periodical&gt;&lt;pages&gt;73-84&lt;/pages&gt;&lt;volume&gt;34&lt;/volume&gt;&lt;number&gt;1&lt;/number&gt;&lt;keywords&gt;&lt;keyword&gt;Aged&lt;/keyword&gt;&lt;keyword&gt;Aged, 80 and over&lt;/keyword&gt;&lt;keyword&gt;Comorbidity&lt;/keyword&gt;&lt;keyword&gt;Drug Prescriptions&lt;/keyword&gt;&lt;keyword&gt;Drug Prescriptions: economics&lt;/keyword&gt;&lt;keyword&gt;Female&lt;/keyword&gt;&lt;keyword&gt;Health Services Research&lt;/keyword&gt;&lt;keyword&gt;Health Services Research: methods&lt;/keyword&gt;&lt;keyword&gt;Hospital Charges&lt;/keyword&gt;&lt;keyword&gt;Hospital Charges: statistics &amp;amp; numerical data&lt;/keyword&gt;&lt;keyword&gt;Hospitalization&lt;/keyword&gt;&lt;keyword&gt;Hospitalization: statistics &amp;amp; numerical data&lt;/keyword&gt;&lt;keyword&gt;Humans&lt;/keyword&gt;&lt;keyword&gt;Length of Stay&lt;/keyword&gt;&lt;keyword&gt;Length of Stay: statistics &amp;amp; numerical data&lt;/keyword&gt;&lt;keyword&gt;Male&lt;/keyword&gt;&lt;keyword&gt;Medical History Taking&lt;/keyword&gt;&lt;keyword&gt;Medical History Taking: methods&lt;/keyword&gt;&lt;keyword&gt;Medical History Taking: standards&lt;/keyword&gt;&lt;keyword&gt;Medical Records&lt;/keyword&gt;&lt;keyword&gt;Middle Aged&lt;/keyword&gt;&lt;keyword&gt;Reproducibility of Results&lt;/keyword&gt;&lt;keyword&gt;Surveys and Questionnaires&lt;/keyword&gt;&lt;keyword&gt;Surveys and Questionnaires: standards&lt;/keyword&gt;&lt;keyword&gt;Utilization Review&lt;/keyword&gt;&lt;keyword&gt;Utilization Review: standards&lt;/keyword&gt;&lt;/keywords&gt;&lt;dates&gt;&lt;year&gt;1996&lt;/year&gt;&lt;/dates&gt;&lt;urls&gt;&lt;related-urls&gt;&lt;url&gt;http://www.ncbi.nlm.nih.gov/pubmed/8551813&lt;/url&gt;&lt;/related-urls&gt;&lt;/urls&gt;&lt;/record&gt;&lt;/Cite&gt;&lt;/EndNote&gt;</w:instrText>
      </w:r>
      <w:r w:rsidR="00CB487B" w:rsidRPr="002045EC">
        <w:rPr>
          <w:rFonts w:ascii="Times New Roman" w:eastAsia="Calibri" w:hAnsi="Times New Roman" w:cs="Times New Roman"/>
          <w:sz w:val="24"/>
          <w:szCs w:val="24"/>
        </w:rPr>
        <w:fldChar w:fldCharType="separate"/>
      </w:r>
      <w:r w:rsidR="002C6FEC" w:rsidRPr="002045EC">
        <w:rPr>
          <w:rFonts w:ascii="Times New Roman" w:eastAsia="Calibri" w:hAnsi="Times New Roman" w:cs="Times New Roman"/>
          <w:noProof/>
          <w:sz w:val="24"/>
          <w:szCs w:val="24"/>
          <w:lang w:val="en-US"/>
        </w:rPr>
        <w:t>[20]</w:t>
      </w:r>
      <w:r w:rsidR="00CB487B" w:rsidRPr="002045EC">
        <w:rPr>
          <w:rFonts w:ascii="Times New Roman" w:eastAsia="Calibri" w:hAnsi="Times New Roman" w:cs="Times New Roman"/>
          <w:sz w:val="24"/>
          <w:szCs w:val="24"/>
        </w:rPr>
        <w:fldChar w:fldCharType="end"/>
      </w:r>
      <w:r w:rsidR="00D404DF" w:rsidRPr="002045EC">
        <w:rPr>
          <w:rFonts w:ascii="Times New Roman" w:eastAsia="Calibri" w:hAnsi="Times New Roman" w:cs="Times New Roman"/>
          <w:sz w:val="24"/>
          <w:szCs w:val="24"/>
          <w:lang w:val="en-US"/>
        </w:rPr>
        <w:t>, reporting the prevalence of some common medical conditions for descriptive purposes</w:t>
      </w:r>
      <w:r w:rsidR="00D82A14" w:rsidRPr="002045EC">
        <w:rPr>
          <w:rFonts w:ascii="Times New Roman" w:eastAsia="Calibri" w:hAnsi="Times New Roman" w:cs="Times New Roman"/>
          <w:sz w:val="24"/>
          <w:szCs w:val="24"/>
          <w:lang w:val="en-US"/>
        </w:rPr>
        <w:t>; physical activity level, measure</w:t>
      </w:r>
      <w:r w:rsidR="008F1A7E" w:rsidRPr="002045EC">
        <w:rPr>
          <w:rFonts w:ascii="Times New Roman" w:eastAsia="Calibri" w:hAnsi="Times New Roman" w:cs="Times New Roman"/>
          <w:sz w:val="24"/>
          <w:szCs w:val="24"/>
          <w:lang w:val="en-US"/>
        </w:rPr>
        <w:t>d</w:t>
      </w:r>
      <w:r w:rsidR="00D82A14" w:rsidRPr="002045EC">
        <w:rPr>
          <w:rFonts w:ascii="Times New Roman" w:eastAsia="Calibri" w:hAnsi="Times New Roman" w:cs="Times New Roman"/>
          <w:sz w:val="24"/>
          <w:szCs w:val="24"/>
          <w:lang w:val="en-US"/>
        </w:rPr>
        <w:t xml:space="preserve"> with the </w:t>
      </w:r>
      <w:r w:rsidR="00D82A14" w:rsidRPr="002045EC">
        <w:rPr>
          <w:rFonts w:ascii="Times New Roman" w:hAnsi="Times New Roman" w:cs="Times New Roman"/>
          <w:bCs/>
          <w:sz w:val="24"/>
          <w:szCs w:val="24"/>
          <w:lang w:val="en-US"/>
        </w:rPr>
        <w:t xml:space="preserve">PASE (physical activity scale for </w:t>
      </w:r>
      <w:r w:rsidR="003B2173" w:rsidRPr="002045EC">
        <w:rPr>
          <w:rFonts w:ascii="Times New Roman" w:hAnsi="Times New Roman" w:cs="Times New Roman"/>
          <w:bCs/>
          <w:sz w:val="24"/>
          <w:szCs w:val="24"/>
          <w:lang w:val="en-US"/>
        </w:rPr>
        <w:t xml:space="preserve">the </w:t>
      </w:r>
      <w:r w:rsidR="00D82A14" w:rsidRPr="002045EC">
        <w:rPr>
          <w:rFonts w:ascii="Times New Roman" w:hAnsi="Times New Roman" w:cs="Times New Roman"/>
          <w:bCs/>
          <w:sz w:val="24"/>
          <w:szCs w:val="24"/>
          <w:lang w:val="en-US"/>
        </w:rPr>
        <w:t xml:space="preserve">elderly) </w:t>
      </w:r>
      <w:r w:rsidR="003B2173" w:rsidRPr="002045EC">
        <w:rPr>
          <w:rFonts w:ascii="Times New Roman" w:hAnsi="Times New Roman" w:cs="Times New Roman"/>
          <w:bCs/>
          <w:sz w:val="24"/>
          <w:szCs w:val="24"/>
          <w:lang w:val="en-US"/>
        </w:rPr>
        <w:fldChar w:fldCharType="begin"/>
      </w:r>
      <w:r w:rsidR="002C6FEC" w:rsidRPr="002045EC">
        <w:rPr>
          <w:rFonts w:ascii="Times New Roman" w:hAnsi="Times New Roman" w:cs="Times New Roman"/>
          <w:bCs/>
          <w:sz w:val="24"/>
          <w:szCs w:val="24"/>
          <w:lang w:val="en-US"/>
        </w:rPr>
        <w:instrText xml:space="preserve"> ADDIN EN.CITE &lt;EndNote&gt;&lt;Cite&gt;&lt;Author&gt;Washburn&lt;/Author&gt;&lt;Year&gt;1993&lt;/Year&gt;&lt;RecNum&gt;8371&lt;/RecNum&gt;&lt;DisplayText&gt;[21]&lt;/DisplayText&gt;&lt;record&gt;&lt;rec-number&gt;8371&lt;/rec-number&gt;&lt;foreign-keys&gt;&lt;key app="EN" db-id="drpew5wfywra50esazbxawda2f59zaves90z" timestamp="1601726321"&gt;8371&lt;/key&gt;&lt;/foreign-keys&gt;&lt;ref-type name="Journal Article"&gt;17&lt;/ref-type&gt;&lt;contributors&gt;&lt;authors&gt;&lt;author&gt;Washburn, Richard A&lt;/author&gt;&lt;author&gt;Smith, Kevin W&lt;/author&gt;&lt;author&gt;Jette, Alan M&lt;/author&gt;&lt;author&gt;Janney, Carol A&lt;/author&gt;&lt;/authors&gt;&lt;/contributors&gt;&lt;titles&gt;&lt;title&gt;The Physical Activity Scale for the Elderly (PASE): development and evaluation&lt;/title&gt;&lt;secondary-title&gt;Journal of clinical epidemiology&lt;/secondary-title&gt;&lt;/titles&gt;&lt;periodical&gt;&lt;full-title&gt;Journal of clinical epidemiology&lt;/full-title&gt;&lt;/periodical&gt;&lt;pages&gt;153-162&lt;/pages&gt;&lt;volume&gt;46&lt;/volume&gt;&lt;number&gt;2&lt;/number&gt;&lt;dates&gt;&lt;year&gt;1993&lt;/year&gt;&lt;/dates&gt;&lt;isbn&gt;0895-4356&lt;/isbn&gt;&lt;urls&gt;&lt;/urls&gt;&lt;/record&gt;&lt;/Cite&gt;&lt;/EndNote&gt;</w:instrText>
      </w:r>
      <w:r w:rsidR="003B2173" w:rsidRPr="002045EC">
        <w:rPr>
          <w:rFonts w:ascii="Times New Roman" w:hAnsi="Times New Roman" w:cs="Times New Roman"/>
          <w:bCs/>
          <w:sz w:val="24"/>
          <w:szCs w:val="24"/>
          <w:lang w:val="en-US"/>
        </w:rPr>
        <w:fldChar w:fldCharType="separate"/>
      </w:r>
      <w:r w:rsidR="002C6FEC" w:rsidRPr="002045EC">
        <w:rPr>
          <w:rFonts w:ascii="Times New Roman" w:hAnsi="Times New Roman" w:cs="Times New Roman"/>
          <w:bCs/>
          <w:noProof/>
          <w:sz w:val="24"/>
          <w:szCs w:val="24"/>
          <w:lang w:val="en-US"/>
        </w:rPr>
        <w:t>[21]</w:t>
      </w:r>
      <w:r w:rsidR="003B2173" w:rsidRPr="002045EC">
        <w:rPr>
          <w:rFonts w:ascii="Times New Roman" w:hAnsi="Times New Roman" w:cs="Times New Roman"/>
          <w:bCs/>
          <w:sz w:val="24"/>
          <w:szCs w:val="24"/>
          <w:lang w:val="en-US"/>
        </w:rPr>
        <w:fldChar w:fldCharType="end"/>
      </w:r>
      <w:r w:rsidR="000923FC" w:rsidRPr="002045EC">
        <w:rPr>
          <w:rFonts w:ascii="Times New Roman" w:hAnsi="Times New Roman" w:cs="Times New Roman"/>
          <w:bCs/>
          <w:sz w:val="24"/>
          <w:szCs w:val="24"/>
          <w:lang w:val="en-US"/>
        </w:rPr>
        <w:t xml:space="preserve">; </w:t>
      </w:r>
      <w:r w:rsidR="001D587E" w:rsidRPr="002045EC">
        <w:rPr>
          <w:rFonts w:ascii="Times New Roman" w:hAnsi="Times New Roman" w:cs="Times New Roman"/>
          <w:bCs/>
          <w:sz w:val="24"/>
          <w:szCs w:val="24"/>
          <w:lang w:val="en-US"/>
        </w:rPr>
        <w:t xml:space="preserve">presence of knee </w:t>
      </w:r>
      <w:r w:rsidR="00432699" w:rsidRPr="002045EC">
        <w:rPr>
          <w:rFonts w:ascii="Times New Roman" w:hAnsi="Times New Roman" w:cs="Times New Roman"/>
          <w:bCs/>
          <w:sz w:val="24"/>
          <w:szCs w:val="24"/>
          <w:lang w:val="en-US"/>
        </w:rPr>
        <w:t>osteoarthritis (</w:t>
      </w:r>
      <w:r w:rsidR="001D587E" w:rsidRPr="002045EC">
        <w:rPr>
          <w:rFonts w:ascii="Times New Roman" w:hAnsi="Times New Roman" w:cs="Times New Roman"/>
          <w:bCs/>
          <w:sz w:val="24"/>
          <w:szCs w:val="24"/>
          <w:lang w:val="en-US"/>
        </w:rPr>
        <w:t>OA</w:t>
      </w:r>
      <w:r w:rsidR="00432699" w:rsidRPr="002045EC">
        <w:rPr>
          <w:rFonts w:ascii="Times New Roman" w:hAnsi="Times New Roman" w:cs="Times New Roman"/>
          <w:bCs/>
          <w:sz w:val="24"/>
          <w:szCs w:val="24"/>
          <w:lang w:val="en-US"/>
        </w:rPr>
        <w:t>)</w:t>
      </w:r>
      <w:r w:rsidR="001D587E" w:rsidRPr="002045EC">
        <w:rPr>
          <w:rFonts w:ascii="Times New Roman" w:hAnsi="Times New Roman" w:cs="Times New Roman"/>
          <w:bCs/>
          <w:sz w:val="24"/>
          <w:szCs w:val="24"/>
          <w:lang w:val="en-US"/>
        </w:rPr>
        <w:t>, defined as the combination in the clinical reporting and assessment of pain and stiffness (i.e. pain, aching or stiffness in or around the knee on most days during the last year), and radiographical OA on the baseline fixed flexion radiograph based on the presence of tibiofemoral osteophytes (correspondent to Osteoarthritis Research Society International atlas grades 1-3, clinical center reading)</w:t>
      </w:r>
      <w:r w:rsidR="000923FC" w:rsidRPr="002045EC">
        <w:rPr>
          <w:rFonts w:ascii="Times New Roman" w:hAnsi="Times New Roman" w:cs="Times New Roman"/>
          <w:bCs/>
          <w:sz w:val="24"/>
          <w:szCs w:val="24"/>
          <w:lang w:val="en-US"/>
        </w:rPr>
        <w:t xml:space="preserve"> </w:t>
      </w:r>
      <w:r w:rsidR="00DA6C9E" w:rsidRPr="002045EC">
        <w:rPr>
          <w:rFonts w:ascii="Times New Roman" w:hAnsi="Times New Roman" w:cs="Times New Roman"/>
          <w:bCs/>
          <w:sz w:val="24"/>
          <w:szCs w:val="24"/>
          <w:lang w:val="en-US"/>
        </w:rPr>
        <w:fldChar w:fldCharType="begin"/>
      </w:r>
      <w:r w:rsidR="002C6FEC" w:rsidRPr="002045EC">
        <w:rPr>
          <w:rFonts w:ascii="Times New Roman" w:hAnsi="Times New Roman" w:cs="Times New Roman"/>
          <w:bCs/>
          <w:sz w:val="24"/>
          <w:szCs w:val="24"/>
          <w:lang w:val="en-US"/>
        </w:rPr>
        <w:instrText xml:space="preserve"> ADDIN EN.CITE &lt;EndNote&gt;&lt;Cite&gt;&lt;Author&gt;Veronese&lt;/Author&gt;&lt;Year&gt;2019&lt;/Year&gt;&lt;RecNum&gt;8803&lt;/RecNum&gt;&lt;DisplayText&gt;[22]&lt;/DisplayText&gt;&lt;record&gt;&lt;rec-number&gt;8803&lt;/rec-number&gt;&lt;foreign-keys&gt;&lt;key app="EN" db-id="drpew5wfywra50esazbxawda2f59zaves90z" timestamp="1604758077"&gt;8803&lt;/key&gt;&lt;/foreign-keys&gt;&lt;ref-type name="Journal Article"&gt;17&lt;/ref-type&gt;&lt;contributors&gt;&lt;authors&gt;&lt;author&gt;Veronese, Nicola&lt;/author&gt;&lt;author&gt;Koyanagi, Ai&lt;/author&gt;&lt;author&gt;Stubbs, Brendon&lt;/author&gt;&lt;author&gt;Cooper, Cyrus&lt;/author&gt;&lt;author&gt;Guglielmi, Giuseppe&lt;/author&gt;&lt;author&gt;Rizzoli, Renè&lt;/author&gt;&lt;author&gt;Punzi, Leonardo&lt;/author&gt;&lt;author&gt;Rogoli, Domenico&lt;/author&gt;&lt;author&gt;Caruso, Maria Gabriella&lt;/author&gt;&lt;author&gt;Rotolo, Ornella&lt;/author&gt;&lt;/authors&gt;&lt;/contributors&gt;&lt;titles&gt;&lt;title&gt;Mediterranean diet and knee osteoarthritis outcomes: A longitudinal cohort study&lt;/title&gt;&lt;secondary-title&gt;Clinical Nutrition&lt;/secondary-title&gt;&lt;/titles&gt;&lt;periodical&gt;&lt;full-title&gt;Clinical Nutrition&lt;/full-title&gt;&lt;/periodical&gt;&lt;pages&gt;2735-2739&lt;/pages&gt;&lt;volume&gt;38&lt;/volume&gt;&lt;number&gt;6&lt;/number&gt;&lt;dates&gt;&lt;year&gt;2019&lt;/year&gt;&lt;/dates&gt;&lt;isbn&gt;0261-5614&lt;/isbn&gt;&lt;urls&gt;&lt;/urls&gt;&lt;/record&gt;&lt;/Cite&gt;&lt;/EndNote&gt;</w:instrText>
      </w:r>
      <w:r w:rsidR="00DA6C9E" w:rsidRPr="002045EC">
        <w:rPr>
          <w:rFonts w:ascii="Times New Roman" w:hAnsi="Times New Roman" w:cs="Times New Roman"/>
          <w:bCs/>
          <w:sz w:val="24"/>
          <w:szCs w:val="24"/>
          <w:lang w:val="en-US"/>
        </w:rPr>
        <w:fldChar w:fldCharType="separate"/>
      </w:r>
      <w:r w:rsidR="002C6FEC" w:rsidRPr="002045EC">
        <w:rPr>
          <w:rFonts w:ascii="Times New Roman" w:hAnsi="Times New Roman" w:cs="Times New Roman"/>
          <w:bCs/>
          <w:noProof/>
          <w:sz w:val="24"/>
          <w:szCs w:val="24"/>
          <w:lang w:val="en-US"/>
        </w:rPr>
        <w:t>[22]</w:t>
      </w:r>
      <w:r w:rsidR="00DA6C9E" w:rsidRPr="002045EC">
        <w:rPr>
          <w:rFonts w:ascii="Times New Roman" w:hAnsi="Times New Roman" w:cs="Times New Roman"/>
          <w:bCs/>
          <w:sz w:val="24"/>
          <w:szCs w:val="24"/>
          <w:lang w:val="en-US"/>
        </w:rPr>
        <w:fldChar w:fldCharType="end"/>
      </w:r>
      <w:r w:rsidR="00961B1D" w:rsidRPr="002045EC">
        <w:rPr>
          <w:rFonts w:ascii="Times New Roman" w:hAnsi="Times New Roman" w:cs="Times New Roman"/>
          <w:bCs/>
          <w:sz w:val="24"/>
          <w:szCs w:val="24"/>
          <w:lang w:val="en-US"/>
        </w:rPr>
        <w:t xml:space="preserve">. </w:t>
      </w:r>
    </w:p>
    <w:p w14:paraId="3DA569CA" w14:textId="77777777" w:rsidR="00D82A14" w:rsidRPr="002045EC" w:rsidRDefault="00D82A14" w:rsidP="00D82A14">
      <w:pPr>
        <w:spacing w:after="0" w:line="480" w:lineRule="auto"/>
        <w:jc w:val="both"/>
        <w:rPr>
          <w:rFonts w:ascii="Times New Roman" w:hAnsi="Times New Roman" w:cs="Times New Roman"/>
          <w:b/>
          <w:bCs/>
          <w:sz w:val="24"/>
          <w:szCs w:val="24"/>
          <w:lang w:val="en-US"/>
        </w:rPr>
      </w:pPr>
    </w:p>
    <w:p w14:paraId="425397EF" w14:textId="77777777" w:rsidR="00CB487B" w:rsidRPr="002045EC" w:rsidRDefault="00CB487B" w:rsidP="00EA2099">
      <w:pPr>
        <w:pStyle w:val="Heading2"/>
        <w:rPr>
          <w:rFonts w:eastAsia="AdvOTa9103878"/>
        </w:rPr>
      </w:pPr>
      <w:r w:rsidRPr="002045EC">
        <w:rPr>
          <w:rFonts w:eastAsia="AdvOTa9103878"/>
        </w:rPr>
        <w:t>Statistical analyses</w:t>
      </w:r>
    </w:p>
    <w:p w14:paraId="1BF89434" w14:textId="4E5D17FF" w:rsidR="00CB487B" w:rsidRPr="002045EC" w:rsidRDefault="00CB487B" w:rsidP="00CB487B">
      <w:pPr>
        <w:suppressAutoHyphens/>
        <w:spacing w:after="0" w:line="480" w:lineRule="auto"/>
        <w:jc w:val="both"/>
        <w:rPr>
          <w:rFonts w:ascii="Times New Roman" w:eastAsia="Calibri" w:hAnsi="Times New Roman" w:cs="Times New Roman"/>
          <w:sz w:val="24"/>
          <w:szCs w:val="24"/>
          <w:lang w:val="en-US"/>
        </w:rPr>
      </w:pPr>
      <w:r w:rsidRPr="002045EC">
        <w:rPr>
          <w:rFonts w:ascii="Times New Roman" w:eastAsia="AdvOTa9103878" w:hAnsi="Times New Roman" w:cs="Times New Roman"/>
          <w:sz w:val="24"/>
          <w:szCs w:val="24"/>
          <w:lang w:val="en-US" w:eastAsia="ar-SA"/>
        </w:rPr>
        <w:t xml:space="preserve">Continuous variables were normally distributed according to the Kolmogorov-Smirnov test. Therefore, data were shown as means and standard deviation values (SD) for quantitative measures. Percentages were used for discrete variables. </w:t>
      </w:r>
      <w:proofErr w:type="spellStart"/>
      <w:r w:rsidRPr="002045EC">
        <w:rPr>
          <w:rFonts w:ascii="Times New Roman" w:eastAsia="AdvOTa9103878" w:hAnsi="Times New Roman" w:cs="Times New Roman"/>
          <w:sz w:val="24"/>
          <w:szCs w:val="24"/>
          <w:lang w:val="en-US" w:eastAsia="ar-SA"/>
        </w:rPr>
        <w:t>Levene’s</w:t>
      </w:r>
      <w:proofErr w:type="spellEnd"/>
      <w:r w:rsidRPr="002045EC">
        <w:rPr>
          <w:rFonts w:ascii="Times New Roman" w:eastAsia="AdvOTa9103878" w:hAnsi="Times New Roman" w:cs="Times New Roman"/>
          <w:sz w:val="24"/>
          <w:szCs w:val="24"/>
          <w:lang w:val="en-US" w:eastAsia="ar-SA"/>
        </w:rPr>
        <w:t xml:space="preserve"> test was used to test the homoscedasticity of </w:t>
      </w:r>
      <w:r w:rsidRPr="002045EC">
        <w:rPr>
          <w:rFonts w:ascii="Times New Roman" w:eastAsia="AdvOTa9103878" w:hAnsi="Times New Roman" w:cs="Times New Roman"/>
          <w:sz w:val="24"/>
          <w:szCs w:val="24"/>
          <w:lang w:val="en-US" w:eastAsia="ar-SA"/>
        </w:rPr>
        <w:lastRenderedPageBreak/>
        <w:t xml:space="preserve">variances and, if its assumption was violated, Welch’s ANOVA was used. </w:t>
      </w:r>
      <w:r w:rsidRPr="002045EC">
        <w:rPr>
          <w:rFonts w:ascii="Times New Roman" w:eastAsia="Calibri" w:hAnsi="Times New Roman" w:cs="Times New Roman"/>
          <w:sz w:val="24"/>
          <w:szCs w:val="24"/>
          <w:lang w:val="en-US"/>
        </w:rPr>
        <w:t xml:space="preserve">P-values were calculated using the </w:t>
      </w:r>
      <w:proofErr w:type="spellStart"/>
      <w:r w:rsidRPr="002045EC">
        <w:rPr>
          <w:rFonts w:ascii="Times New Roman" w:eastAsia="Calibri" w:hAnsi="Times New Roman" w:cs="Times New Roman"/>
          <w:sz w:val="24"/>
          <w:szCs w:val="24"/>
          <w:lang w:val="en-US"/>
        </w:rPr>
        <w:t>Jonckheere</w:t>
      </w:r>
      <w:proofErr w:type="spellEnd"/>
      <w:r w:rsidRPr="002045EC">
        <w:rPr>
          <w:rFonts w:ascii="Times New Roman" w:eastAsia="Calibri" w:hAnsi="Times New Roman" w:cs="Times New Roman"/>
          <w:sz w:val="24"/>
          <w:szCs w:val="24"/>
          <w:lang w:val="en-US"/>
        </w:rPr>
        <w:t xml:space="preserve">-Terpstra test </w:t>
      </w:r>
      <w:r w:rsidRPr="002045EC">
        <w:rPr>
          <w:rFonts w:ascii="Times New Roman" w:eastAsia="Calibri" w:hAnsi="Times New Roman" w:cs="Times New Roman"/>
          <w:sz w:val="24"/>
          <w:szCs w:val="24"/>
        </w:rPr>
        <w:fldChar w:fldCharType="begin"/>
      </w:r>
      <w:r w:rsidR="002C6FEC" w:rsidRPr="002045EC">
        <w:rPr>
          <w:rFonts w:ascii="Times New Roman" w:eastAsia="Calibri" w:hAnsi="Times New Roman" w:cs="Times New Roman"/>
          <w:sz w:val="24"/>
          <w:szCs w:val="24"/>
          <w:lang w:val="en-US"/>
        </w:rPr>
        <w:instrText xml:space="preserve"> ADDIN EN.CITE &lt;EndNote&gt;&lt;Cite&gt;&lt;Author&gt;Jonckheere&lt;/Author&gt;&lt;Year&gt;1954&lt;/Year&gt;&lt;RecNum&gt;3133&lt;/RecNum&gt;&lt;DisplayText&gt;[23]&lt;/DisplayText&gt;&lt;record&gt;&lt;rec-number&gt;3133&lt;/rec-number&gt;&lt;foreign-keys&gt;&lt;key app="EN" db-id="t2wadffz0tdfane25rb50ezte9zwtdwpseft"&gt;3133&lt;/key&gt;&lt;/foreign-keys&gt;&lt;ref-type name="Journal Article"&gt;17&lt;/ref-type&gt;&lt;contributors&gt;&lt;authors&gt;&lt;author&gt;Jonckheere, Aimable R.&lt;/author&gt;&lt;/authors&gt;&lt;/contributors&gt;&lt;titles&gt;&lt;title&gt;A distribution-free k-sample test against ordered alternatives&lt;/title&gt;&lt;secondary-title&gt;Biometrika&lt;/secondary-title&gt;&lt;/titles&gt;&lt;periodical&gt;&lt;full-title&gt;Biometrika&lt;/full-title&gt;&lt;/periodical&gt;&lt;pages&gt;133-145&lt;/pages&gt;&lt;volume&gt;41&lt;/volume&gt;&lt;number&gt;1/2&lt;/number&gt;&lt;dates&gt;&lt;year&gt;1954&lt;/year&gt;&lt;/dates&gt;&lt;publisher&gt;JSTOR&lt;/publisher&gt;&lt;isbn&gt;0006-3444&lt;/isbn&gt;&lt;urls&gt;&lt;/urls&gt;&lt;/record&gt;&lt;/Cite&gt;&lt;/EndNote&gt;</w:instrText>
      </w:r>
      <w:r w:rsidRPr="002045EC">
        <w:rPr>
          <w:rFonts w:ascii="Times New Roman" w:eastAsia="Calibri" w:hAnsi="Times New Roman" w:cs="Times New Roman"/>
          <w:sz w:val="24"/>
          <w:szCs w:val="24"/>
        </w:rPr>
        <w:fldChar w:fldCharType="separate"/>
      </w:r>
      <w:r w:rsidR="002C6FEC" w:rsidRPr="002045EC">
        <w:rPr>
          <w:rFonts w:ascii="Times New Roman" w:eastAsia="Calibri" w:hAnsi="Times New Roman" w:cs="Times New Roman"/>
          <w:noProof/>
          <w:sz w:val="24"/>
          <w:szCs w:val="24"/>
          <w:lang w:val="en-US"/>
        </w:rPr>
        <w:t>[23]</w:t>
      </w:r>
      <w:r w:rsidRPr="002045EC">
        <w:rPr>
          <w:rFonts w:ascii="Times New Roman" w:eastAsia="Calibri" w:hAnsi="Times New Roman" w:cs="Times New Roman"/>
          <w:sz w:val="24"/>
          <w:szCs w:val="24"/>
        </w:rPr>
        <w:fldChar w:fldCharType="end"/>
      </w:r>
      <w:r w:rsidRPr="002045EC">
        <w:rPr>
          <w:rFonts w:ascii="Times New Roman" w:eastAsia="Calibri" w:hAnsi="Times New Roman" w:cs="Times New Roman"/>
          <w:sz w:val="24"/>
          <w:szCs w:val="24"/>
          <w:lang w:val="en-US"/>
        </w:rPr>
        <w:t xml:space="preserve"> for continuous variables and the Mantel-Haenszel Chi-square test for categorical variables.</w:t>
      </w:r>
      <w:r w:rsidRPr="002045EC">
        <w:rPr>
          <w:rFonts w:ascii="Times New Roman" w:eastAsia="AdvOTa9103878" w:hAnsi="Times New Roman" w:cs="Times New Roman"/>
          <w:sz w:val="24"/>
          <w:szCs w:val="24"/>
          <w:lang w:val="en-US" w:eastAsia="ar-SA"/>
        </w:rPr>
        <w:t xml:space="preserve"> </w:t>
      </w:r>
    </w:p>
    <w:p w14:paraId="2A5A4358" w14:textId="77777777" w:rsidR="00CB487B" w:rsidRPr="002045EC" w:rsidRDefault="00CB487B" w:rsidP="00CB487B">
      <w:pPr>
        <w:suppressAutoHyphens/>
        <w:spacing w:after="0" w:line="480" w:lineRule="auto"/>
        <w:jc w:val="both"/>
        <w:rPr>
          <w:rFonts w:ascii="Times New Roman" w:eastAsia="AdvOTa9103878" w:hAnsi="Times New Roman" w:cs="Times New Roman"/>
          <w:sz w:val="24"/>
          <w:szCs w:val="24"/>
          <w:lang w:val="en-US" w:eastAsia="ar-SA"/>
        </w:rPr>
      </w:pPr>
    </w:p>
    <w:p w14:paraId="63D64023" w14:textId="2FDCAADF" w:rsidR="00CB487B" w:rsidRPr="002045EC" w:rsidRDefault="00CB487B" w:rsidP="00CB487B">
      <w:pPr>
        <w:suppressAutoHyphens/>
        <w:spacing w:after="0" w:line="480" w:lineRule="auto"/>
        <w:jc w:val="both"/>
        <w:rPr>
          <w:rFonts w:ascii="Times New Roman" w:eastAsia="Times New Roman" w:hAnsi="Times New Roman" w:cs="Times New Roman"/>
          <w:sz w:val="24"/>
          <w:szCs w:val="24"/>
          <w:lang w:val="en-US" w:eastAsia="ar-SA"/>
        </w:rPr>
      </w:pPr>
      <w:r w:rsidRPr="002045EC">
        <w:rPr>
          <w:rFonts w:ascii="Times New Roman" w:eastAsia="AdvOTa9103878" w:hAnsi="Times New Roman" w:cs="Times New Roman"/>
          <w:sz w:val="24"/>
          <w:szCs w:val="24"/>
          <w:lang w:val="en-US" w:eastAsia="ar-SA"/>
        </w:rPr>
        <w:t xml:space="preserve">For assessing the relationship between dietary acrylamide intake and </w:t>
      </w:r>
      <w:r w:rsidR="005721D3" w:rsidRPr="002045EC">
        <w:rPr>
          <w:rFonts w:ascii="Times New Roman" w:eastAsia="AdvOTa9103878" w:hAnsi="Times New Roman" w:cs="Times New Roman"/>
          <w:sz w:val="24"/>
          <w:szCs w:val="24"/>
          <w:lang w:val="en-US" w:eastAsia="ar-SA"/>
        </w:rPr>
        <w:t>physical performance tests, we used linear regression analysis</w:t>
      </w:r>
      <w:r w:rsidRPr="002045EC">
        <w:rPr>
          <w:rFonts w:ascii="Times New Roman" w:eastAsia="AdvOTa9103878" w:hAnsi="Times New Roman" w:cs="Times New Roman"/>
          <w:sz w:val="24"/>
          <w:szCs w:val="24"/>
          <w:lang w:val="en-US" w:eastAsia="ar-SA"/>
        </w:rPr>
        <w:t xml:space="preserve">. </w:t>
      </w:r>
      <w:r w:rsidR="005721D3" w:rsidRPr="002045EC">
        <w:rPr>
          <w:rFonts w:ascii="Times New Roman" w:eastAsia="AdvOTa9103878" w:hAnsi="Times New Roman" w:cs="Times New Roman"/>
          <w:sz w:val="24"/>
          <w:szCs w:val="24"/>
          <w:lang w:val="en-US" w:eastAsia="ar-SA"/>
        </w:rPr>
        <w:t>The basic adjusted model included only age and gender, whilst the fully adjusted model included all the</w:t>
      </w:r>
      <w:r w:rsidR="00197300" w:rsidRPr="002045EC">
        <w:rPr>
          <w:rFonts w:ascii="Times New Roman" w:eastAsia="AdvOTa9103878" w:hAnsi="Times New Roman" w:cs="Times New Roman"/>
          <w:sz w:val="24"/>
          <w:szCs w:val="24"/>
          <w:lang w:val="en-US" w:eastAsia="ar-SA"/>
        </w:rPr>
        <w:t xml:space="preserve"> </w:t>
      </w:r>
      <w:proofErr w:type="gramStart"/>
      <w:r w:rsidR="00197300" w:rsidRPr="002045EC">
        <w:rPr>
          <w:rFonts w:ascii="Times New Roman" w:eastAsia="AdvOTa9103878" w:hAnsi="Times New Roman" w:cs="Times New Roman"/>
          <w:sz w:val="24"/>
          <w:szCs w:val="24"/>
          <w:lang w:val="en-US" w:eastAsia="ar-SA"/>
        </w:rPr>
        <w:t>aforementioned</w:t>
      </w:r>
      <w:r w:rsidR="005721D3" w:rsidRPr="002045EC">
        <w:rPr>
          <w:rFonts w:ascii="Times New Roman" w:eastAsia="AdvOTa9103878" w:hAnsi="Times New Roman" w:cs="Times New Roman"/>
          <w:sz w:val="24"/>
          <w:szCs w:val="24"/>
          <w:lang w:val="en-US" w:eastAsia="ar-SA"/>
        </w:rPr>
        <w:t xml:space="preserve"> covariates</w:t>
      </w:r>
      <w:proofErr w:type="gramEnd"/>
      <w:r w:rsidR="005721D3" w:rsidRPr="002045EC">
        <w:rPr>
          <w:rFonts w:ascii="Times New Roman" w:eastAsia="AdvOTa9103878" w:hAnsi="Times New Roman" w:cs="Times New Roman"/>
          <w:sz w:val="24"/>
          <w:szCs w:val="24"/>
          <w:lang w:val="en-US" w:eastAsia="ar-SA"/>
        </w:rPr>
        <w:t xml:space="preserve">. </w:t>
      </w:r>
      <w:r w:rsidRPr="002045EC">
        <w:rPr>
          <w:rFonts w:ascii="Times New Roman" w:eastAsia="AdvOTa9103878" w:hAnsi="Times New Roman" w:cs="Times New Roman"/>
          <w:sz w:val="24"/>
          <w:szCs w:val="24"/>
          <w:lang w:val="en-US" w:eastAsia="ar-SA"/>
        </w:rPr>
        <w:t>Multi-collinearity among covariates</w:t>
      </w:r>
      <w:r w:rsidR="00197300" w:rsidRPr="002045EC">
        <w:rPr>
          <w:rFonts w:ascii="Times New Roman" w:eastAsia="AdvOTa9103878" w:hAnsi="Times New Roman" w:cs="Times New Roman"/>
          <w:sz w:val="24"/>
          <w:szCs w:val="24"/>
          <w:lang w:val="en-US" w:eastAsia="ar-SA"/>
        </w:rPr>
        <w:t xml:space="preserve"> </w:t>
      </w:r>
      <w:r w:rsidRPr="002045EC">
        <w:rPr>
          <w:rFonts w:ascii="Times New Roman" w:eastAsia="AdvOTa9103878" w:hAnsi="Times New Roman" w:cs="Times New Roman"/>
          <w:sz w:val="24"/>
          <w:szCs w:val="24"/>
          <w:lang w:val="en-US" w:eastAsia="ar-SA"/>
        </w:rPr>
        <w:t xml:space="preserve">was assessed using variance inflation factor (VIF) </w:t>
      </w:r>
      <w:r w:rsidRPr="002045EC">
        <w:rPr>
          <w:rFonts w:ascii="Times New Roman" w:eastAsia="AdvOTa9103878" w:hAnsi="Times New Roman" w:cs="Times New Roman"/>
          <w:sz w:val="24"/>
          <w:szCs w:val="24"/>
          <w:lang w:eastAsia="ar-SA"/>
        </w:rPr>
        <w:fldChar w:fldCharType="begin"/>
      </w:r>
      <w:r w:rsidR="002C6FEC" w:rsidRPr="002045EC">
        <w:rPr>
          <w:rFonts w:ascii="Times New Roman" w:eastAsia="AdvOTa9103878" w:hAnsi="Times New Roman" w:cs="Times New Roman"/>
          <w:sz w:val="24"/>
          <w:szCs w:val="24"/>
          <w:lang w:val="en-US" w:eastAsia="ar-SA"/>
        </w:rPr>
        <w:instrText xml:space="preserve"> ADDIN EN.CITE &lt;EndNote&gt;&lt;Cite&gt;&lt;Author&gt;Miles&lt;/Author&gt;&lt;Year&gt;2009&lt;/Year&gt;&lt;RecNum&gt;3134&lt;/RecNum&gt;&lt;DisplayText&gt;[24]&lt;/DisplayText&gt;&lt;record&gt;&lt;rec-number&gt;3134&lt;/rec-number&gt;&lt;foreign-keys&gt;&lt;key app="EN" db-id="t2wadffz0tdfane25rb50ezte9zwtdwpseft"&gt;3134&lt;/key&gt;&lt;/foreign-keys&gt;&lt;ref-type name="Journal Article"&gt;17&lt;/ref-type&gt;&lt;contributors&gt;&lt;authors&gt;&lt;author&gt;Miles, Jeremy&lt;/author&gt;&lt;/authors&gt;&lt;/contributors&gt;&lt;titles&gt;&lt;title&gt;Tolerance and variance inflation factor&lt;/title&gt;&lt;secondary-title&gt;Wiley StatsRef: Statistics Reference Online&lt;/secondary-title&gt;&lt;/titles&gt;&lt;periodical&gt;&lt;full-title&gt;Wiley StatsRef: Statistics Reference Online&lt;/full-title&gt;&lt;/periodical&gt;&lt;dates&gt;&lt;year&gt;2009&lt;/year&gt;&lt;/dates&gt;&lt;publisher&gt;Wiley Online Library&lt;/publisher&gt;&lt;isbn&gt;1118445112&lt;/isbn&gt;&lt;urls&gt;&lt;/urls&gt;&lt;/record&gt;&lt;/Cite&gt;&lt;/EndNote&gt;</w:instrText>
      </w:r>
      <w:r w:rsidRPr="002045EC">
        <w:rPr>
          <w:rFonts w:ascii="Times New Roman" w:eastAsia="AdvOTa9103878" w:hAnsi="Times New Roman" w:cs="Times New Roman"/>
          <w:sz w:val="24"/>
          <w:szCs w:val="24"/>
          <w:lang w:eastAsia="ar-SA"/>
        </w:rPr>
        <w:fldChar w:fldCharType="separate"/>
      </w:r>
      <w:r w:rsidR="002C6FEC" w:rsidRPr="002045EC">
        <w:rPr>
          <w:rFonts w:ascii="Times New Roman" w:eastAsia="AdvOTa9103878" w:hAnsi="Times New Roman" w:cs="Times New Roman"/>
          <w:noProof/>
          <w:sz w:val="24"/>
          <w:szCs w:val="24"/>
          <w:lang w:val="en-US" w:eastAsia="ar-SA"/>
        </w:rPr>
        <w:t>[24]</w:t>
      </w:r>
      <w:r w:rsidRPr="002045EC">
        <w:rPr>
          <w:rFonts w:ascii="Times New Roman" w:eastAsia="AdvOTa9103878" w:hAnsi="Times New Roman" w:cs="Times New Roman"/>
          <w:sz w:val="24"/>
          <w:szCs w:val="24"/>
          <w:lang w:eastAsia="ar-SA"/>
        </w:rPr>
        <w:fldChar w:fldCharType="end"/>
      </w:r>
      <w:r w:rsidRPr="002045EC">
        <w:rPr>
          <w:rFonts w:ascii="Times New Roman" w:eastAsia="AdvOTa9103878" w:hAnsi="Times New Roman" w:cs="Times New Roman"/>
          <w:sz w:val="24"/>
          <w:szCs w:val="24"/>
          <w:lang w:val="en-US" w:eastAsia="ar-SA"/>
        </w:rPr>
        <w:t xml:space="preserve">, taking a cut-off of 2 as the criterion for exclusion. </w:t>
      </w:r>
      <w:r w:rsidR="005E7CF2" w:rsidRPr="002045EC">
        <w:rPr>
          <w:rFonts w:ascii="Times New Roman" w:eastAsia="AdvOTa9103878" w:hAnsi="Times New Roman" w:cs="Times New Roman"/>
          <w:sz w:val="24"/>
          <w:szCs w:val="24"/>
          <w:lang w:val="en-US" w:eastAsia="ar-SA"/>
        </w:rPr>
        <w:t>S</w:t>
      </w:r>
      <w:r w:rsidR="00A33A0F" w:rsidRPr="002045EC">
        <w:rPr>
          <w:rFonts w:ascii="Times New Roman" w:eastAsia="AdvOTa9103878" w:hAnsi="Times New Roman" w:cs="Times New Roman"/>
          <w:sz w:val="24"/>
          <w:szCs w:val="24"/>
          <w:lang w:val="en-US" w:eastAsia="ar-SA"/>
        </w:rPr>
        <w:t>tandardized betas</w:t>
      </w:r>
      <w:r w:rsidRPr="002045EC">
        <w:rPr>
          <w:rFonts w:ascii="Times New Roman" w:eastAsia="Times New Roman" w:hAnsi="Times New Roman" w:cs="Times New Roman"/>
          <w:sz w:val="24"/>
          <w:szCs w:val="24"/>
          <w:lang w:val="en-US" w:eastAsia="ar-SA"/>
        </w:rPr>
        <w:t xml:space="preserve"> and 95% confidence intervals (CI) were reported to estimate the strength of the associations between dietary acrylamide intake and </w:t>
      </w:r>
      <w:r w:rsidR="00A33A0F" w:rsidRPr="002045EC">
        <w:rPr>
          <w:rFonts w:ascii="Times New Roman" w:eastAsia="Times New Roman" w:hAnsi="Times New Roman" w:cs="Times New Roman"/>
          <w:sz w:val="24"/>
          <w:szCs w:val="24"/>
          <w:lang w:val="en-US" w:eastAsia="ar-SA"/>
        </w:rPr>
        <w:t>physical performance tests</w:t>
      </w:r>
      <w:r w:rsidRPr="002045EC">
        <w:rPr>
          <w:rFonts w:ascii="Times New Roman" w:eastAsia="Times New Roman" w:hAnsi="Times New Roman" w:cs="Times New Roman"/>
          <w:sz w:val="24"/>
          <w:szCs w:val="24"/>
          <w:lang w:val="en-US" w:eastAsia="ar-SA"/>
        </w:rPr>
        <w:t xml:space="preserve">. </w:t>
      </w:r>
    </w:p>
    <w:p w14:paraId="146045DD" w14:textId="7B850B03" w:rsidR="001D587E" w:rsidRPr="002045EC" w:rsidRDefault="001D587E" w:rsidP="00CB487B">
      <w:pPr>
        <w:suppressAutoHyphens/>
        <w:spacing w:after="0" w:line="480" w:lineRule="auto"/>
        <w:jc w:val="both"/>
        <w:rPr>
          <w:rFonts w:ascii="Times New Roman" w:eastAsia="Times New Roman" w:hAnsi="Times New Roman" w:cs="Times New Roman"/>
          <w:sz w:val="24"/>
          <w:szCs w:val="24"/>
          <w:lang w:val="en-US" w:eastAsia="ar-SA"/>
        </w:rPr>
      </w:pPr>
    </w:p>
    <w:p w14:paraId="2D676F42" w14:textId="63E1449C" w:rsidR="00CB487B" w:rsidRPr="002045EC" w:rsidRDefault="001D587E" w:rsidP="00CB487B">
      <w:pPr>
        <w:suppressAutoHyphens/>
        <w:spacing w:after="0" w:line="480" w:lineRule="auto"/>
        <w:jc w:val="both"/>
        <w:rPr>
          <w:rFonts w:ascii="Times New Roman" w:eastAsia="AdvOTa9103878" w:hAnsi="Times New Roman" w:cs="Times New Roman"/>
          <w:sz w:val="24"/>
          <w:szCs w:val="24"/>
          <w:lang w:val="en-US" w:eastAsia="ar-SA"/>
        </w:rPr>
      </w:pPr>
      <w:r w:rsidRPr="002045EC">
        <w:rPr>
          <w:rFonts w:ascii="Times New Roman" w:eastAsia="Times New Roman" w:hAnsi="Times New Roman" w:cs="Times New Roman"/>
          <w:sz w:val="24"/>
          <w:szCs w:val="24"/>
          <w:lang w:val="en-US" w:eastAsia="ar-SA"/>
        </w:rPr>
        <w:t xml:space="preserve">To test the robustness of our results, we stratified our results considering the presence (or not) of knee OA </w:t>
      </w:r>
      <w:r w:rsidR="007A72AB" w:rsidRPr="002045EC">
        <w:rPr>
          <w:rFonts w:ascii="Times New Roman" w:eastAsia="Times New Roman" w:hAnsi="Times New Roman" w:cs="Times New Roman"/>
          <w:sz w:val="24"/>
          <w:szCs w:val="24"/>
          <w:lang w:val="en-US" w:eastAsia="ar-SA"/>
        </w:rPr>
        <w:t>since knee OA is highly present in this population and may increase the risk of sarcopenia, but the p-values for the interaction between dietary acrylamide, in deciles, and the presence of knee OA were &gt;0.05.</w:t>
      </w:r>
    </w:p>
    <w:p w14:paraId="25A33F3D" w14:textId="77777777" w:rsidR="00CB487B" w:rsidRPr="002045EC" w:rsidRDefault="00CB487B" w:rsidP="00CB487B">
      <w:pPr>
        <w:suppressAutoHyphens/>
        <w:spacing w:after="0" w:line="480" w:lineRule="auto"/>
        <w:jc w:val="both"/>
        <w:rPr>
          <w:rFonts w:ascii="Times New Roman" w:eastAsia="AdvOTa9103878" w:hAnsi="Times New Roman" w:cs="Times New Roman"/>
          <w:sz w:val="24"/>
          <w:szCs w:val="24"/>
          <w:lang w:val="en-US" w:eastAsia="ar-SA"/>
        </w:rPr>
      </w:pPr>
    </w:p>
    <w:p w14:paraId="02BDD3D1" w14:textId="77777777" w:rsidR="00CB487B" w:rsidRPr="002045EC" w:rsidRDefault="00CB487B" w:rsidP="00CB487B">
      <w:pPr>
        <w:suppressAutoHyphens/>
        <w:spacing w:after="0" w:line="480" w:lineRule="auto"/>
        <w:jc w:val="both"/>
        <w:rPr>
          <w:rFonts w:ascii="Times New Roman" w:eastAsia="Times New Roman" w:hAnsi="Times New Roman" w:cs="Times New Roman"/>
          <w:sz w:val="24"/>
          <w:szCs w:val="24"/>
          <w:lang w:val="en-US" w:eastAsia="ar-SA"/>
        </w:rPr>
      </w:pPr>
      <w:r w:rsidRPr="002045EC">
        <w:rPr>
          <w:rFonts w:ascii="Times New Roman" w:eastAsia="AdvOTa9103878" w:hAnsi="Times New Roman" w:cs="Times New Roman"/>
          <w:sz w:val="24"/>
          <w:szCs w:val="24"/>
          <w:lang w:val="en-US" w:eastAsia="ar-SA"/>
        </w:rPr>
        <w:t>All analyses were performed using the SPSS 20.0 for Windows (SPSS Inc., Chicago, Illinois). All statistical tests were two-tailed and statistical significance was assumed for a p-value &lt;0.05.</w:t>
      </w:r>
    </w:p>
    <w:p w14:paraId="00863DA4" w14:textId="77777777" w:rsidR="00CB487B" w:rsidRPr="002045EC" w:rsidRDefault="00CB487B" w:rsidP="00CB487B">
      <w:pPr>
        <w:jc w:val="both"/>
        <w:rPr>
          <w:rFonts w:ascii="Times New Roman" w:hAnsi="Times New Roman" w:cs="Times New Roman"/>
          <w:sz w:val="24"/>
          <w:szCs w:val="24"/>
          <w:lang w:val="en-US"/>
        </w:rPr>
      </w:pPr>
    </w:p>
    <w:p w14:paraId="7DFC4D03" w14:textId="77777777" w:rsidR="00353700" w:rsidRPr="002045EC" w:rsidRDefault="00353700">
      <w:pP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151604DE" w14:textId="415701A8" w:rsidR="00353700" w:rsidRPr="002045EC" w:rsidRDefault="00A80EDF" w:rsidP="00EA2099">
      <w:pPr>
        <w:pStyle w:val="Heading1"/>
      </w:pPr>
      <w:r w:rsidRPr="002045EC">
        <w:lastRenderedPageBreak/>
        <w:t>Results</w:t>
      </w:r>
    </w:p>
    <w:p w14:paraId="575B864A" w14:textId="77777777" w:rsidR="00E82181" w:rsidRPr="002045EC" w:rsidRDefault="00E82181" w:rsidP="00EA2099">
      <w:pPr>
        <w:pStyle w:val="Heading2"/>
        <w:rPr>
          <w:rFonts w:eastAsia="Calibri"/>
        </w:rPr>
      </w:pPr>
      <w:r w:rsidRPr="002045EC">
        <w:rPr>
          <w:rFonts w:eastAsia="Calibri"/>
        </w:rPr>
        <w:t>Study participants</w:t>
      </w:r>
    </w:p>
    <w:p w14:paraId="6D3BA10B" w14:textId="114B61A4" w:rsidR="00E82181" w:rsidRPr="002045EC" w:rsidRDefault="00E82181" w:rsidP="00E82181">
      <w:pPr>
        <w:spacing w:after="0" w:line="480" w:lineRule="auto"/>
        <w:jc w:val="both"/>
        <w:rPr>
          <w:rFonts w:ascii="Times New Roman" w:eastAsia="Calibri" w:hAnsi="Times New Roman" w:cs="Times New Roman"/>
          <w:sz w:val="24"/>
          <w:szCs w:val="24"/>
          <w:lang w:val="en-US"/>
        </w:rPr>
      </w:pPr>
      <w:r w:rsidRPr="002045EC">
        <w:rPr>
          <w:rFonts w:ascii="Times New Roman" w:eastAsia="Calibri" w:hAnsi="Times New Roman" w:cs="Times New Roman"/>
          <w:sz w:val="24"/>
          <w:szCs w:val="24"/>
          <w:lang w:val="en-US"/>
        </w:rPr>
        <w:t xml:space="preserve">In 4,796 initially included individuals, 243 reported &lt; than 500 or &gt; 5,000 Kcal (not reliable calorie intake) or did not have any information regarding FFQ and 117 </w:t>
      </w:r>
      <w:r w:rsidR="00675D66" w:rsidRPr="002045EC">
        <w:rPr>
          <w:rFonts w:ascii="Times New Roman" w:eastAsia="Calibri" w:hAnsi="Times New Roman" w:cs="Times New Roman"/>
          <w:sz w:val="24"/>
          <w:szCs w:val="24"/>
          <w:lang w:val="en-US"/>
        </w:rPr>
        <w:t>had not sufficient data regarding physical performance test</w:t>
      </w:r>
      <w:r w:rsidR="00EA5D02" w:rsidRPr="002045EC">
        <w:rPr>
          <w:rFonts w:ascii="Times New Roman" w:eastAsia="Calibri" w:hAnsi="Times New Roman" w:cs="Times New Roman"/>
          <w:sz w:val="24"/>
          <w:szCs w:val="24"/>
          <w:lang w:val="en-US"/>
        </w:rPr>
        <w:t>s</w:t>
      </w:r>
      <w:r w:rsidRPr="002045EC">
        <w:rPr>
          <w:rFonts w:ascii="Times New Roman" w:eastAsia="Calibri" w:hAnsi="Times New Roman" w:cs="Times New Roman"/>
          <w:sz w:val="24"/>
          <w:szCs w:val="24"/>
          <w:lang w:val="en-US"/>
        </w:rPr>
        <w:t xml:space="preserve">. </w:t>
      </w:r>
    </w:p>
    <w:p w14:paraId="239E0CDF" w14:textId="77777777" w:rsidR="00E82181" w:rsidRPr="002045EC" w:rsidRDefault="00E82181" w:rsidP="00E82181">
      <w:pPr>
        <w:spacing w:after="0" w:line="480" w:lineRule="auto"/>
        <w:jc w:val="both"/>
        <w:rPr>
          <w:rFonts w:ascii="Times New Roman" w:eastAsia="Calibri" w:hAnsi="Times New Roman" w:cs="Times New Roman"/>
          <w:b/>
          <w:i/>
          <w:sz w:val="24"/>
          <w:szCs w:val="24"/>
          <w:lang w:val="en-US"/>
        </w:rPr>
      </w:pPr>
    </w:p>
    <w:p w14:paraId="016093D1" w14:textId="7AD1511A" w:rsidR="00E82181" w:rsidRPr="002045EC" w:rsidRDefault="00704722" w:rsidP="00EA2099">
      <w:pPr>
        <w:pStyle w:val="Heading2"/>
        <w:rPr>
          <w:rFonts w:eastAsia="Calibri"/>
        </w:rPr>
      </w:pPr>
      <w:r w:rsidRPr="002045EC">
        <w:rPr>
          <w:rFonts w:eastAsia="Calibri"/>
        </w:rPr>
        <w:t>Descriptive</w:t>
      </w:r>
      <w:r w:rsidR="00E82181" w:rsidRPr="002045EC">
        <w:rPr>
          <w:rFonts w:eastAsia="Calibri"/>
        </w:rPr>
        <w:t xml:space="preserve"> analyses </w:t>
      </w:r>
    </w:p>
    <w:p w14:paraId="7113735E" w14:textId="7FC9334D" w:rsidR="00E82181" w:rsidRPr="002045EC" w:rsidRDefault="00E82181" w:rsidP="00E82181">
      <w:pPr>
        <w:spacing w:after="0" w:line="480" w:lineRule="auto"/>
        <w:jc w:val="both"/>
        <w:rPr>
          <w:rFonts w:ascii="Times New Roman" w:eastAsia="Calibri" w:hAnsi="Times New Roman" w:cs="Times New Roman"/>
          <w:sz w:val="24"/>
          <w:szCs w:val="24"/>
          <w:lang w:val="en-GB"/>
        </w:rPr>
      </w:pPr>
      <w:r w:rsidRPr="002045EC">
        <w:rPr>
          <w:rFonts w:ascii="Times New Roman" w:eastAsia="Calibri" w:hAnsi="Times New Roman" w:cs="Times New Roman"/>
          <w:sz w:val="24"/>
          <w:szCs w:val="24"/>
          <w:lang w:val="en-US"/>
        </w:rPr>
        <w:t xml:space="preserve">Altogether, 4,436 participants (of them 2,578 women) with a mean age of 61.3 ±9.1 (range: 45-79) years were included in the analysis. The </w:t>
      </w:r>
      <w:r w:rsidR="00F70E27" w:rsidRPr="002045EC">
        <w:rPr>
          <w:rFonts w:ascii="Times New Roman" w:eastAsia="Calibri" w:hAnsi="Times New Roman" w:cs="Times New Roman"/>
          <w:sz w:val="24"/>
          <w:szCs w:val="24"/>
          <w:lang w:val="en-US"/>
        </w:rPr>
        <w:t xml:space="preserve">yearly </w:t>
      </w:r>
      <w:r w:rsidRPr="002045EC">
        <w:rPr>
          <w:rFonts w:ascii="Times New Roman" w:eastAsia="Calibri" w:hAnsi="Times New Roman" w:cs="Times New Roman"/>
          <w:sz w:val="24"/>
          <w:szCs w:val="24"/>
          <w:lang w:val="en-US"/>
        </w:rPr>
        <w:t>mean acrylamide intake was</w:t>
      </w:r>
      <w:r w:rsidR="00EA5D02" w:rsidRPr="002045EC">
        <w:rPr>
          <w:rFonts w:ascii="Times New Roman" w:eastAsia="Calibri" w:hAnsi="Times New Roman" w:cs="Times New Roman"/>
          <w:sz w:val="24"/>
          <w:szCs w:val="24"/>
          <w:lang w:val="en-US"/>
        </w:rPr>
        <w:t xml:space="preserve"> estimated in</w:t>
      </w:r>
      <w:r w:rsidRPr="002045EC">
        <w:rPr>
          <w:rFonts w:ascii="Times New Roman" w:eastAsia="Calibri" w:hAnsi="Times New Roman" w:cs="Times New Roman"/>
          <w:sz w:val="24"/>
          <w:szCs w:val="24"/>
          <w:lang w:val="en-US"/>
        </w:rPr>
        <w:t xml:space="preserve"> 13,985±23,863 (range: 0-</w:t>
      </w:r>
      <w:r w:rsidRPr="002045EC">
        <w:rPr>
          <w:rFonts w:ascii="Calibri" w:eastAsia="Calibri" w:hAnsi="Calibri" w:cs="Times New Roman"/>
          <w:lang w:val="en-US"/>
        </w:rPr>
        <w:t xml:space="preserve"> </w:t>
      </w:r>
      <w:r w:rsidRPr="002045EC">
        <w:rPr>
          <w:rFonts w:ascii="Times New Roman" w:eastAsia="Calibri" w:hAnsi="Times New Roman" w:cs="Times New Roman"/>
          <w:sz w:val="24"/>
          <w:szCs w:val="24"/>
          <w:lang w:val="en-US"/>
        </w:rPr>
        <w:t xml:space="preserve">364,438) mcg. </w:t>
      </w:r>
    </w:p>
    <w:p w14:paraId="123DD111" w14:textId="77777777" w:rsidR="00E82181" w:rsidRPr="002045EC" w:rsidRDefault="00E82181" w:rsidP="00E82181">
      <w:pPr>
        <w:spacing w:after="0" w:line="480" w:lineRule="auto"/>
        <w:jc w:val="both"/>
        <w:rPr>
          <w:rFonts w:ascii="Times New Roman" w:eastAsia="Calibri" w:hAnsi="Times New Roman" w:cs="Times New Roman"/>
          <w:sz w:val="24"/>
          <w:szCs w:val="24"/>
          <w:lang w:val="en-US"/>
        </w:rPr>
      </w:pPr>
    </w:p>
    <w:p w14:paraId="2198ECFF" w14:textId="511A2BDD" w:rsidR="005A6CCC" w:rsidRPr="002045EC" w:rsidRDefault="00E82181" w:rsidP="00E82181">
      <w:pPr>
        <w:spacing w:after="0" w:line="480" w:lineRule="auto"/>
        <w:jc w:val="both"/>
        <w:rPr>
          <w:rFonts w:ascii="Times New Roman" w:eastAsia="Calibri" w:hAnsi="Times New Roman" w:cs="Times New Roman"/>
          <w:sz w:val="24"/>
          <w:szCs w:val="24"/>
          <w:lang w:val="en-US"/>
        </w:rPr>
      </w:pPr>
      <w:r w:rsidRPr="002045EC">
        <w:rPr>
          <w:rFonts w:ascii="Times New Roman" w:eastAsia="Calibri" w:hAnsi="Times New Roman" w:cs="Times New Roman"/>
          <w:sz w:val="24"/>
          <w:szCs w:val="24"/>
          <w:lang w:val="en-US"/>
        </w:rPr>
        <w:t>The baseline characteristics, by dietary acrylamide intake divided in</w:t>
      </w:r>
      <w:r w:rsidR="001A3724" w:rsidRPr="002045EC">
        <w:rPr>
          <w:rFonts w:ascii="Times New Roman" w:eastAsia="Calibri" w:hAnsi="Times New Roman" w:cs="Times New Roman"/>
          <w:sz w:val="24"/>
          <w:szCs w:val="24"/>
          <w:lang w:val="en-US"/>
        </w:rPr>
        <w:t>to</w:t>
      </w:r>
      <w:r w:rsidRPr="002045EC">
        <w:rPr>
          <w:rFonts w:ascii="Times New Roman" w:eastAsia="Calibri" w:hAnsi="Times New Roman" w:cs="Times New Roman"/>
          <w:sz w:val="24"/>
          <w:szCs w:val="24"/>
          <w:lang w:val="en-US"/>
        </w:rPr>
        <w:t xml:space="preserve"> </w:t>
      </w:r>
      <w:r w:rsidR="00704722" w:rsidRPr="002045EC">
        <w:rPr>
          <w:rFonts w:ascii="Times New Roman" w:eastAsia="Calibri" w:hAnsi="Times New Roman" w:cs="Times New Roman"/>
          <w:sz w:val="24"/>
          <w:szCs w:val="24"/>
          <w:lang w:val="en-US"/>
        </w:rPr>
        <w:t>quartiles</w:t>
      </w:r>
      <w:r w:rsidRPr="002045EC">
        <w:rPr>
          <w:rFonts w:ascii="Times New Roman" w:eastAsia="Calibri" w:hAnsi="Times New Roman" w:cs="Times New Roman"/>
          <w:sz w:val="24"/>
          <w:szCs w:val="24"/>
          <w:lang w:val="en-US"/>
        </w:rPr>
        <w:t xml:space="preserve">, are shown in </w:t>
      </w:r>
      <w:r w:rsidRPr="002045EC">
        <w:rPr>
          <w:rFonts w:ascii="Times New Roman" w:eastAsia="Calibri" w:hAnsi="Times New Roman" w:cs="Times New Roman"/>
          <w:b/>
          <w:bCs/>
          <w:sz w:val="24"/>
          <w:szCs w:val="24"/>
          <w:lang w:val="en-US"/>
        </w:rPr>
        <w:t>Table 1</w:t>
      </w:r>
      <w:r w:rsidRPr="002045EC">
        <w:rPr>
          <w:rFonts w:ascii="Times New Roman" w:eastAsia="Calibri" w:hAnsi="Times New Roman" w:cs="Times New Roman"/>
          <w:sz w:val="24"/>
          <w:szCs w:val="24"/>
          <w:lang w:val="en-US"/>
        </w:rPr>
        <w:t>. People having a greater dietary acrylamide intake (</w:t>
      </w:r>
      <w:r w:rsidR="00704722" w:rsidRPr="002045EC">
        <w:rPr>
          <w:rFonts w:ascii="Times New Roman" w:eastAsia="Calibri" w:hAnsi="Times New Roman" w:cs="Times New Roman"/>
          <w:sz w:val="24"/>
          <w:szCs w:val="24"/>
          <w:lang w:val="en-US"/>
        </w:rPr>
        <w:t>Q4</w:t>
      </w:r>
      <w:r w:rsidRPr="002045EC">
        <w:rPr>
          <w:rFonts w:ascii="Times New Roman" w:eastAsia="Calibri" w:hAnsi="Times New Roman" w:cs="Times New Roman"/>
          <w:sz w:val="24"/>
          <w:szCs w:val="24"/>
          <w:lang w:val="en-US"/>
        </w:rPr>
        <w:t>) were significantly younger, less educated, had a significant</w:t>
      </w:r>
      <w:r w:rsidR="001A3724" w:rsidRPr="002045EC">
        <w:rPr>
          <w:rFonts w:ascii="Times New Roman" w:eastAsia="Calibri" w:hAnsi="Times New Roman" w:cs="Times New Roman"/>
          <w:sz w:val="24"/>
          <w:szCs w:val="24"/>
          <w:lang w:val="en-US"/>
        </w:rPr>
        <w:t>ly</w:t>
      </w:r>
      <w:r w:rsidRPr="002045EC">
        <w:rPr>
          <w:rFonts w:ascii="Times New Roman" w:eastAsia="Calibri" w:hAnsi="Times New Roman" w:cs="Times New Roman"/>
          <w:sz w:val="24"/>
          <w:szCs w:val="24"/>
          <w:lang w:val="en-US"/>
        </w:rPr>
        <w:t xml:space="preserve"> higher calorie intake and were more frequently obese</w:t>
      </w:r>
      <w:r w:rsidR="00207EFA" w:rsidRPr="002045EC">
        <w:rPr>
          <w:rFonts w:ascii="Times New Roman" w:eastAsia="Calibri" w:hAnsi="Times New Roman" w:cs="Times New Roman"/>
          <w:sz w:val="24"/>
          <w:szCs w:val="24"/>
          <w:lang w:val="en-US"/>
        </w:rPr>
        <w:t>, but more physical</w:t>
      </w:r>
      <w:r w:rsidR="001A3724" w:rsidRPr="002045EC">
        <w:rPr>
          <w:rFonts w:ascii="Times New Roman" w:eastAsia="Calibri" w:hAnsi="Times New Roman" w:cs="Times New Roman"/>
          <w:sz w:val="24"/>
          <w:szCs w:val="24"/>
          <w:lang w:val="en-US"/>
        </w:rPr>
        <w:t>ly</w:t>
      </w:r>
      <w:r w:rsidR="00207EFA" w:rsidRPr="002045EC">
        <w:rPr>
          <w:rFonts w:ascii="Times New Roman" w:eastAsia="Calibri" w:hAnsi="Times New Roman" w:cs="Times New Roman"/>
          <w:sz w:val="24"/>
          <w:szCs w:val="24"/>
          <w:lang w:val="en-US"/>
        </w:rPr>
        <w:t xml:space="preserve"> active</w:t>
      </w:r>
      <w:r w:rsidRPr="002045EC">
        <w:rPr>
          <w:rFonts w:ascii="Times New Roman" w:eastAsia="Calibri" w:hAnsi="Times New Roman" w:cs="Times New Roman"/>
          <w:sz w:val="24"/>
          <w:szCs w:val="24"/>
          <w:lang w:val="en-US"/>
        </w:rPr>
        <w:t xml:space="preserve"> </w:t>
      </w:r>
      <w:r w:rsidR="00704722" w:rsidRPr="002045EC">
        <w:rPr>
          <w:rFonts w:ascii="Times New Roman" w:eastAsia="Calibri" w:hAnsi="Times New Roman" w:cs="Times New Roman"/>
          <w:sz w:val="24"/>
          <w:szCs w:val="24"/>
          <w:lang w:val="en-US"/>
        </w:rPr>
        <w:t xml:space="preserve">than the participants </w:t>
      </w:r>
      <w:r w:rsidRPr="002045EC">
        <w:rPr>
          <w:rFonts w:ascii="Times New Roman" w:eastAsia="Calibri" w:hAnsi="Times New Roman" w:cs="Times New Roman"/>
          <w:sz w:val="24"/>
          <w:szCs w:val="24"/>
          <w:lang w:val="en-US"/>
        </w:rPr>
        <w:t>introducing less acrylamide with their diet (</w:t>
      </w:r>
      <w:r w:rsidR="00704722" w:rsidRPr="002045EC">
        <w:rPr>
          <w:rFonts w:ascii="Times New Roman" w:eastAsia="Calibri" w:hAnsi="Times New Roman" w:cs="Times New Roman"/>
          <w:sz w:val="24"/>
          <w:szCs w:val="24"/>
          <w:lang w:val="en-US"/>
        </w:rPr>
        <w:t>Q4</w:t>
      </w:r>
      <w:r w:rsidRPr="002045EC">
        <w:rPr>
          <w:rFonts w:ascii="Times New Roman" w:eastAsia="Calibri" w:hAnsi="Times New Roman" w:cs="Times New Roman"/>
          <w:sz w:val="24"/>
          <w:szCs w:val="24"/>
          <w:lang w:val="en-US"/>
        </w:rPr>
        <w:t>) (</w:t>
      </w:r>
      <w:r w:rsidRPr="002045EC">
        <w:rPr>
          <w:rFonts w:ascii="Times New Roman" w:eastAsia="Calibri" w:hAnsi="Times New Roman" w:cs="Times New Roman"/>
          <w:b/>
          <w:bCs/>
          <w:sz w:val="24"/>
          <w:szCs w:val="24"/>
          <w:lang w:val="en-US"/>
        </w:rPr>
        <w:t>Table 1</w:t>
      </w:r>
      <w:r w:rsidRPr="002045EC">
        <w:rPr>
          <w:rFonts w:ascii="Times New Roman" w:eastAsia="Calibri" w:hAnsi="Times New Roman" w:cs="Times New Roman"/>
          <w:sz w:val="24"/>
          <w:szCs w:val="24"/>
          <w:lang w:val="en-US"/>
        </w:rPr>
        <w:t xml:space="preserve">). </w:t>
      </w:r>
      <w:r w:rsidR="005A6CCC" w:rsidRPr="002045EC">
        <w:rPr>
          <w:rFonts w:ascii="Times New Roman" w:eastAsia="Calibri" w:hAnsi="Times New Roman" w:cs="Times New Roman"/>
          <w:sz w:val="24"/>
          <w:szCs w:val="24"/>
          <w:lang w:val="en-US"/>
        </w:rPr>
        <w:t xml:space="preserve">Regarding health issues, participants with the highest amount of acrylamide did not differ in term of </w:t>
      </w:r>
      <w:proofErr w:type="spellStart"/>
      <w:r w:rsidR="005A6CCC" w:rsidRPr="002045EC">
        <w:rPr>
          <w:rFonts w:ascii="Times New Roman" w:eastAsia="Calibri" w:hAnsi="Times New Roman" w:cs="Times New Roman"/>
          <w:sz w:val="24"/>
          <w:szCs w:val="24"/>
          <w:lang w:val="en-US"/>
        </w:rPr>
        <w:t>Charlson</w:t>
      </w:r>
      <w:proofErr w:type="spellEnd"/>
      <w:r w:rsidR="005A6CCC" w:rsidRPr="002045EC">
        <w:rPr>
          <w:rFonts w:ascii="Times New Roman" w:eastAsia="Calibri" w:hAnsi="Times New Roman" w:cs="Times New Roman"/>
          <w:sz w:val="24"/>
          <w:szCs w:val="24"/>
          <w:lang w:val="en-US"/>
        </w:rPr>
        <w:t xml:space="preserve"> comorbidity index (p=0.76), but they reported a significantly higher prevalence of diabetes and lower prevalence of cancer (p=0.003)</w:t>
      </w:r>
      <w:r w:rsidR="000E085C" w:rsidRPr="002045EC">
        <w:rPr>
          <w:rFonts w:ascii="Times New Roman" w:eastAsia="Calibri" w:hAnsi="Times New Roman" w:cs="Times New Roman"/>
          <w:sz w:val="24"/>
          <w:szCs w:val="24"/>
          <w:lang w:val="en-US"/>
        </w:rPr>
        <w:t xml:space="preserve"> than their counterparts</w:t>
      </w:r>
      <w:r w:rsidR="005A6CCC" w:rsidRPr="002045EC">
        <w:rPr>
          <w:rFonts w:ascii="Times New Roman" w:eastAsia="Calibri" w:hAnsi="Times New Roman" w:cs="Times New Roman"/>
          <w:sz w:val="24"/>
          <w:szCs w:val="24"/>
          <w:lang w:val="en-US"/>
        </w:rPr>
        <w:t xml:space="preserve"> (</w:t>
      </w:r>
      <w:r w:rsidR="005A6CCC" w:rsidRPr="002045EC">
        <w:rPr>
          <w:rFonts w:ascii="Times New Roman" w:eastAsia="Calibri" w:hAnsi="Times New Roman" w:cs="Times New Roman"/>
          <w:b/>
          <w:bCs/>
          <w:sz w:val="24"/>
          <w:szCs w:val="24"/>
          <w:lang w:val="en-US"/>
        </w:rPr>
        <w:t>Table 1</w:t>
      </w:r>
      <w:r w:rsidR="005A6CCC" w:rsidRPr="002045EC">
        <w:rPr>
          <w:rFonts w:ascii="Times New Roman" w:eastAsia="Calibri" w:hAnsi="Times New Roman" w:cs="Times New Roman"/>
          <w:sz w:val="24"/>
          <w:szCs w:val="24"/>
          <w:lang w:val="en-US"/>
        </w:rPr>
        <w:t xml:space="preserve">). </w:t>
      </w:r>
    </w:p>
    <w:p w14:paraId="313F27B6" w14:textId="77777777" w:rsidR="005A6CCC" w:rsidRPr="002045EC" w:rsidRDefault="005A6CCC" w:rsidP="00E82181">
      <w:pPr>
        <w:spacing w:after="0" w:line="480" w:lineRule="auto"/>
        <w:jc w:val="both"/>
        <w:rPr>
          <w:rFonts w:ascii="Times New Roman" w:eastAsia="Calibri" w:hAnsi="Times New Roman" w:cs="Times New Roman"/>
          <w:sz w:val="24"/>
          <w:szCs w:val="24"/>
          <w:lang w:val="en-US"/>
        </w:rPr>
      </w:pPr>
    </w:p>
    <w:p w14:paraId="688A3830" w14:textId="28E9ED3E" w:rsidR="00E82181" w:rsidRPr="002045EC" w:rsidRDefault="00E82181" w:rsidP="00E82181">
      <w:pPr>
        <w:spacing w:after="0" w:line="480" w:lineRule="auto"/>
        <w:jc w:val="both"/>
        <w:rPr>
          <w:rFonts w:ascii="Times New Roman" w:eastAsia="Calibri" w:hAnsi="Times New Roman" w:cs="Times New Roman"/>
          <w:b/>
          <w:i/>
          <w:sz w:val="24"/>
          <w:szCs w:val="24"/>
          <w:lang w:val="en-US"/>
        </w:rPr>
      </w:pPr>
      <w:r w:rsidRPr="002045EC">
        <w:rPr>
          <w:rFonts w:ascii="Times New Roman" w:eastAsia="Calibri" w:hAnsi="Times New Roman" w:cs="Times New Roman"/>
          <w:sz w:val="24"/>
          <w:szCs w:val="24"/>
          <w:lang w:val="en-US"/>
        </w:rPr>
        <w:t xml:space="preserve">People in the highest </w:t>
      </w:r>
      <w:r w:rsidR="00704722" w:rsidRPr="002045EC">
        <w:rPr>
          <w:rFonts w:ascii="Times New Roman" w:eastAsia="Calibri" w:hAnsi="Times New Roman" w:cs="Times New Roman"/>
          <w:sz w:val="24"/>
          <w:szCs w:val="24"/>
          <w:lang w:val="en-US"/>
        </w:rPr>
        <w:t>quartile</w:t>
      </w:r>
      <w:r w:rsidRPr="002045EC">
        <w:rPr>
          <w:rFonts w:ascii="Times New Roman" w:eastAsia="Calibri" w:hAnsi="Times New Roman" w:cs="Times New Roman"/>
          <w:sz w:val="24"/>
          <w:szCs w:val="24"/>
          <w:lang w:val="en-US"/>
        </w:rPr>
        <w:t xml:space="preserve"> of dietary acrylamide </w:t>
      </w:r>
      <w:r w:rsidR="00704722" w:rsidRPr="002045EC">
        <w:rPr>
          <w:rFonts w:ascii="Times New Roman" w:eastAsia="Calibri" w:hAnsi="Times New Roman" w:cs="Times New Roman"/>
          <w:sz w:val="24"/>
          <w:szCs w:val="24"/>
          <w:lang w:val="en-US"/>
        </w:rPr>
        <w:t>reported significant</w:t>
      </w:r>
      <w:r w:rsidR="00657F0D" w:rsidRPr="002045EC">
        <w:rPr>
          <w:rFonts w:ascii="Times New Roman" w:eastAsia="Calibri" w:hAnsi="Times New Roman" w:cs="Times New Roman"/>
          <w:sz w:val="24"/>
          <w:szCs w:val="24"/>
          <w:lang w:val="en-US"/>
        </w:rPr>
        <w:t>ly</w:t>
      </w:r>
      <w:r w:rsidR="00704722" w:rsidRPr="002045EC">
        <w:rPr>
          <w:rFonts w:ascii="Times New Roman" w:eastAsia="Calibri" w:hAnsi="Times New Roman" w:cs="Times New Roman"/>
          <w:sz w:val="24"/>
          <w:szCs w:val="24"/>
          <w:lang w:val="en-US"/>
        </w:rPr>
        <w:t xml:space="preserve"> longer 20-meter walking (15.53±3.32 vs. 15.15±2.91</w:t>
      </w:r>
      <w:r w:rsidR="00EA5D02" w:rsidRPr="002045EC">
        <w:rPr>
          <w:rFonts w:ascii="Times New Roman" w:eastAsia="Calibri" w:hAnsi="Times New Roman" w:cs="Times New Roman"/>
          <w:sz w:val="24"/>
          <w:szCs w:val="24"/>
          <w:lang w:val="en-US"/>
        </w:rPr>
        <w:t xml:space="preserve"> s</w:t>
      </w:r>
      <w:r w:rsidR="00704722" w:rsidRPr="002045EC">
        <w:rPr>
          <w:rFonts w:ascii="Times New Roman" w:eastAsia="Calibri" w:hAnsi="Times New Roman" w:cs="Times New Roman"/>
          <w:sz w:val="24"/>
          <w:szCs w:val="24"/>
          <w:lang w:val="en-US"/>
        </w:rPr>
        <w:t xml:space="preserve">, p&lt;0.0001), </w:t>
      </w:r>
      <w:r w:rsidR="009C76B2" w:rsidRPr="002045EC">
        <w:rPr>
          <w:rFonts w:ascii="Times New Roman" w:eastAsia="Calibri" w:hAnsi="Times New Roman" w:cs="Times New Roman"/>
          <w:sz w:val="24"/>
          <w:szCs w:val="24"/>
          <w:lang w:val="en-US"/>
        </w:rPr>
        <w:t>400-meter</w:t>
      </w:r>
      <w:r w:rsidR="00704722" w:rsidRPr="002045EC">
        <w:rPr>
          <w:rFonts w:ascii="Times New Roman" w:eastAsia="Calibri" w:hAnsi="Times New Roman" w:cs="Times New Roman"/>
          <w:sz w:val="24"/>
          <w:szCs w:val="24"/>
          <w:lang w:val="en-US"/>
        </w:rPr>
        <w:t xml:space="preserve"> </w:t>
      </w:r>
      <w:r w:rsidR="00657F0D" w:rsidRPr="002045EC">
        <w:rPr>
          <w:rFonts w:ascii="Times New Roman" w:eastAsia="Calibri" w:hAnsi="Times New Roman" w:cs="Times New Roman"/>
          <w:sz w:val="24"/>
          <w:szCs w:val="24"/>
          <w:lang w:val="en-US"/>
        </w:rPr>
        <w:t xml:space="preserve">walking </w:t>
      </w:r>
      <w:r w:rsidR="00704722" w:rsidRPr="002045EC">
        <w:rPr>
          <w:rFonts w:ascii="Times New Roman" w:eastAsia="Calibri" w:hAnsi="Times New Roman" w:cs="Times New Roman"/>
          <w:sz w:val="24"/>
          <w:szCs w:val="24"/>
          <w:lang w:val="en-US"/>
        </w:rPr>
        <w:t>(312±54 vs. 305±58</w:t>
      </w:r>
      <w:r w:rsidR="00EA5D02" w:rsidRPr="002045EC">
        <w:rPr>
          <w:rFonts w:ascii="Times New Roman" w:eastAsia="Calibri" w:hAnsi="Times New Roman" w:cs="Times New Roman"/>
          <w:sz w:val="24"/>
          <w:szCs w:val="24"/>
          <w:lang w:val="en-US"/>
        </w:rPr>
        <w:t xml:space="preserve"> s</w:t>
      </w:r>
      <w:r w:rsidR="00704722" w:rsidRPr="002045EC">
        <w:rPr>
          <w:rFonts w:ascii="Times New Roman" w:eastAsia="Calibri" w:hAnsi="Times New Roman" w:cs="Times New Roman"/>
          <w:sz w:val="24"/>
          <w:szCs w:val="24"/>
          <w:lang w:val="en-US"/>
        </w:rPr>
        <w:t xml:space="preserve">, p=0.005) and </w:t>
      </w:r>
      <w:r w:rsidR="006C75FF" w:rsidRPr="002045EC">
        <w:rPr>
          <w:rFonts w:ascii="Times New Roman" w:eastAsia="Calibri" w:hAnsi="Times New Roman" w:cs="Times New Roman"/>
          <w:sz w:val="24"/>
          <w:szCs w:val="24"/>
          <w:lang w:val="en-US"/>
        </w:rPr>
        <w:t>chair stands (11.36±4.08 vs. 10.67±3.50</w:t>
      </w:r>
      <w:r w:rsidR="00EA5D02" w:rsidRPr="002045EC">
        <w:rPr>
          <w:rFonts w:ascii="Times New Roman" w:eastAsia="Calibri" w:hAnsi="Times New Roman" w:cs="Times New Roman"/>
          <w:sz w:val="24"/>
          <w:szCs w:val="24"/>
          <w:lang w:val="en-US"/>
        </w:rPr>
        <w:t xml:space="preserve"> s</w:t>
      </w:r>
      <w:r w:rsidR="006C75FF" w:rsidRPr="002045EC">
        <w:rPr>
          <w:rFonts w:ascii="Times New Roman" w:eastAsia="Calibri" w:hAnsi="Times New Roman" w:cs="Times New Roman"/>
          <w:sz w:val="24"/>
          <w:szCs w:val="24"/>
          <w:lang w:val="en-US"/>
        </w:rPr>
        <w:t xml:space="preserve">, p&lt;0.0001) times than their counterparts </w:t>
      </w:r>
      <w:r w:rsidR="009C76B2" w:rsidRPr="002045EC">
        <w:rPr>
          <w:rFonts w:ascii="Times New Roman" w:eastAsia="Calibri" w:hAnsi="Times New Roman" w:cs="Times New Roman"/>
          <w:sz w:val="24"/>
          <w:szCs w:val="24"/>
          <w:lang w:val="en-US"/>
        </w:rPr>
        <w:t>in Q1</w:t>
      </w:r>
      <w:r w:rsidR="00FD5682" w:rsidRPr="002045EC">
        <w:rPr>
          <w:rFonts w:ascii="Times New Roman" w:eastAsia="Calibri" w:hAnsi="Times New Roman" w:cs="Times New Roman"/>
          <w:sz w:val="24"/>
          <w:szCs w:val="24"/>
          <w:lang w:val="en-US"/>
        </w:rPr>
        <w:t xml:space="preserve"> (</w:t>
      </w:r>
      <w:r w:rsidR="00FD5682" w:rsidRPr="002045EC">
        <w:rPr>
          <w:rFonts w:ascii="Times New Roman" w:eastAsia="Calibri" w:hAnsi="Times New Roman" w:cs="Times New Roman"/>
          <w:b/>
          <w:bCs/>
          <w:sz w:val="24"/>
          <w:szCs w:val="24"/>
          <w:lang w:val="en-US"/>
        </w:rPr>
        <w:t>Table 1</w:t>
      </w:r>
      <w:r w:rsidR="00FD5682" w:rsidRPr="002045EC">
        <w:rPr>
          <w:rFonts w:ascii="Times New Roman" w:eastAsia="Calibri" w:hAnsi="Times New Roman" w:cs="Times New Roman"/>
          <w:sz w:val="24"/>
          <w:szCs w:val="24"/>
          <w:lang w:val="en-US"/>
        </w:rPr>
        <w:t>).</w:t>
      </w:r>
    </w:p>
    <w:p w14:paraId="199A806D" w14:textId="77777777" w:rsidR="00E82181" w:rsidRPr="002045EC" w:rsidRDefault="00E82181" w:rsidP="00E82181">
      <w:pPr>
        <w:spacing w:after="0" w:line="480" w:lineRule="auto"/>
        <w:jc w:val="both"/>
        <w:rPr>
          <w:rFonts w:ascii="Times New Roman" w:eastAsia="Calibri" w:hAnsi="Times New Roman" w:cs="Times New Roman"/>
          <w:b/>
          <w:i/>
          <w:sz w:val="24"/>
          <w:szCs w:val="24"/>
          <w:lang w:val="en-US"/>
        </w:rPr>
      </w:pPr>
    </w:p>
    <w:p w14:paraId="0E02E2ED" w14:textId="77777777" w:rsidR="003F4BD5" w:rsidRPr="002045EC" w:rsidRDefault="003F4BD5">
      <w:pPr>
        <w:rPr>
          <w:rFonts w:ascii="Times New Roman" w:eastAsia="Calibri" w:hAnsi="Times New Roman" w:cs="Times New Roman"/>
          <w:b/>
          <w:i/>
          <w:sz w:val="24"/>
          <w:szCs w:val="24"/>
          <w:lang w:val="en-US"/>
        </w:rPr>
      </w:pPr>
      <w:r w:rsidRPr="002045EC">
        <w:rPr>
          <w:rFonts w:ascii="Times New Roman" w:eastAsia="Calibri" w:hAnsi="Times New Roman" w:cs="Times New Roman"/>
          <w:b/>
          <w:i/>
          <w:sz w:val="24"/>
          <w:szCs w:val="24"/>
          <w:lang w:val="en-US"/>
        </w:rPr>
        <w:br w:type="page"/>
      </w:r>
    </w:p>
    <w:p w14:paraId="4B5ACE4C" w14:textId="77777777" w:rsidR="00823031" w:rsidRPr="002045EC" w:rsidRDefault="003F4BD5" w:rsidP="00823031">
      <w:pPr>
        <w:spacing w:after="0" w:line="480" w:lineRule="auto"/>
        <w:jc w:val="both"/>
        <w:rPr>
          <w:lang w:val="en-US"/>
        </w:rPr>
      </w:pPr>
      <w:r w:rsidRPr="002045EC">
        <w:rPr>
          <w:rFonts w:ascii="Times New Roman" w:hAnsi="Times New Roman" w:cs="Times New Roman"/>
          <w:b/>
          <w:bCs/>
          <w:sz w:val="24"/>
          <w:szCs w:val="24"/>
          <w:lang w:val="en-US"/>
        </w:rPr>
        <w:lastRenderedPageBreak/>
        <w:t xml:space="preserve">Table 1. Descriptive characteristics by dietary acrylamide intake. </w:t>
      </w:r>
      <w:r w:rsidR="00823031" w:rsidRPr="002045EC">
        <w:rPr>
          <w:rStyle w:val="FootnoteReference"/>
          <w:lang w:val="en-US"/>
        </w:rPr>
        <w:footnoteReference w:id="1"/>
      </w:r>
    </w:p>
    <w:tbl>
      <w:tblPr>
        <w:tblStyle w:val="TableGrid"/>
        <w:tblW w:w="5000" w:type="pct"/>
        <w:tblLook w:val="04A0" w:firstRow="1" w:lastRow="0" w:firstColumn="1" w:lastColumn="0" w:noHBand="0" w:noVBand="1"/>
      </w:tblPr>
      <w:tblGrid>
        <w:gridCol w:w="2993"/>
        <w:gridCol w:w="1291"/>
        <w:gridCol w:w="1338"/>
        <w:gridCol w:w="1338"/>
        <w:gridCol w:w="1334"/>
        <w:gridCol w:w="1334"/>
      </w:tblGrid>
      <w:tr w:rsidR="003F4BD5" w:rsidRPr="002045EC" w14:paraId="5FD94359" w14:textId="77777777" w:rsidTr="00400D46">
        <w:trPr>
          <w:trHeight w:val="399"/>
          <w:tblHeader/>
        </w:trPr>
        <w:tc>
          <w:tcPr>
            <w:tcW w:w="1554" w:type="pct"/>
            <w:vAlign w:val="center"/>
            <w:hideMark/>
          </w:tcPr>
          <w:p w14:paraId="7942F27C"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Parameter</w:t>
            </w:r>
          </w:p>
        </w:tc>
        <w:tc>
          <w:tcPr>
            <w:tcW w:w="670" w:type="pct"/>
            <w:vAlign w:val="center"/>
            <w:hideMark/>
          </w:tcPr>
          <w:p w14:paraId="185D7A3B"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Q1</w:t>
            </w:r>
          </w:p>
          <w:p w14:paraId="5526F496"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(n=1127)</w:t>
            </w:r>
          </w:p>
        </w:tc>
        <w:tc>
          <w:tcPr>
            <w:tcW w:w="695" w:type="pct"/>
            <w:vAlign w:val="center"/>
            <w:hideMark/>
          </w:tcPr>
          <w:p w14:paraId="5281FF73"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Q2</w:t>
            </w:r>
          </w:p>
          <w:p w14:paraId="6031BA43"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(n=1085)</w:t>
            </w:r>
          </w:p>
        </w:tc>
        <w:tc>
          <w:tcPr>
            <w:tcW w:w="695" w:type="pct"/>
            <w:vAlign w:val="center"/>
            <w:hideMark/>
          </w:tcPr>
          <w:p w14:paraId="6EC39439"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Q3</w:t>
            </w:r>
          </w:p>
          <w:p w14:paraId="601A4085"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(n=1140)</w:t>
            </w:r>
          </w:p>
        </w:tc>
        <w:tc>
          <w:tcPr>
            <w:tcW w:w="693" w:type="pct"/>
            <w:vAlign w:val="center"/>
            <w:hideMark/>
          </w:tcPr>
          <w:p w14:paraId="6A2A2B38"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Q4</w:t>
            </w:r>
          </w:p>
          <w:p w14:paraId="6EC8FBAD"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(n=1084)</w:t>
            </w:r>
          </w:p>
        </w:tc>
        <w:tc>
          <w:tcPr>
            <w:tcW w:w="693" w:type="pct"/>
            <w:vAlign w:val="center"/>
            <w:hideMark/>
          </w:tcPr>
          <w:p w14:paraId="2F6C111D"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p-value</w:t>
            </w:r>
          </w:p>
        </w:tc>
      </w:tr>
      <w:tr w:rsidR="003F4BD5" w:rsidRPr="002045EC" w14:paraId="1A624850" w14:textId="77777777" w:rsidTr="00400D46">
        <w:trPr>
          <w:trHeight w:val="862"/>
        </w:trPr>
        <w:tc>
          <w:tcPr>
            <w:tcW w:w="1554" w:type="pct"/>
            <w:vAlign w:val="center"/>
            <w:hideMark/>
          </w:tcPr>
          <w:p w14:paraId="2CF9A7EB"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Age (SD)</w:t>
            </w:r>
          </w:p>
        </w:tc>
        <w:tc>
          <w:tcPr>
            <w:tcW w:w="670" w:type="pct"/>
            <w:vAlign w:val="center"/>
            <w:hideMark/>
          </w:tcPr>
          <w:p w14:paraId="00AB9C2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63.8 (9.2)</w:t>
            </w:r>
          </w:p>
        </w:tc>
        <w:tc>
          <w:tcPr>
            <w:tcW w:w="695" w:type="pct"/>
            <w:vAlign w:val="center"/>
            <w:hideMark/>
          </w:tcPr>
          <w:p w14:paraId="5291ECA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61.9 (9.0)</w:t>
            </w:r>
          </w:p>
        </w:tc>
        <w:tc>
          <w:tcPr>
            <w:tcW w:w="695" w:type="pct"/>
            <w:vAlign w:val="center"/>
            <w:hideMark/>
          </w:tcPr>
          <w:p w14:paraId="43302812"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60.9 (9.0)</w:t>
            </w:r>
          </w:p>
        </w:tc>
        <w:tc>
          <w:tcPr>
            <w:tcW w:w="693" w:type="pct"/>
            <w:vAlign w:val="center"/>
            <w:hideMark/>
          </w:tcPr>
          <w:p w14:paraId="297E0D5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58.5 (8.7)</w:t>
            </w:r>
          </w:p>
        </w:tc>
        <w:tc>
          <w:tcPr>
            <w:tcW w:w="693" w:type="pct"/>
            <w:vAlign w:val="center"/>
            <w:hideMark/>
          </w:tcPr>
          <w:p w14:paraId="63D26B11"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63FDCB59" w14:textId="77777777" w:rsidTr="00400D46">
        <w:trPr>
          <w:trHeight w:val="862"/>
        </w:trPr>
        <w:tc>
          <w:tcPr>
            <w:tcW w:w="1554" w:type="pct"/>
            <w:vAlign w:val="center"/>
            <w:hideMark/>
          </w:tcPr>
          <w:p w14:paraId="477CF66F"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Female gender (%)</w:t>
            </w:r>
          </w:p>
        </w:tc>
        <w:tc>
          <w:tcPr>
            <w:tcW w:w="670" w:type="pct"/>
            <w:vAlign w:val="center"/>
            <w:hideMark/>
          </w:tcPr>
          <w:p w14:paraId="2006E43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57.5</w:t>
            </w:r>
          </w:p>
        </w:tc>
        <w:tc>
          <w:tcPr>
            <w:tcW w:w="695" w:type="pct"/>
            <w:vAlign w:val="center"/>
            <w:hideMark/>
          </w:tcPr>
          <w:p w14:paraId="436D7D9A"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59.0</w:t>
            </w:r>
          </w:p>
        </w:tc>
        <w:tc>
          <w:tcPr>
            <w:tcW w:w="695" w:type="pct"/>
            <w:vAlign w:val="center"/>
            <w:hideMark/>
          </w:tcPr>
          <w:p w14:paraId="5A784733"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58.9</w:t>
            </w:r>
          </w:p>
        </w:tc>
        <w:tc>
          <w:tcPr>
            <w:tcW w:w="693" w:type="pct"/>
            <w:vAlign w:val="center"/>
            <w:hideMark/>
          </w:tcPr>
          <w:p w14:paraId="53504997"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57.1</w:t>
            </w:r>
          </w:p>
        </w:tc>
        <w:tc>
          <w:tcPr>
            <w:tcW w:w="693" w:type="pct"/>
            <w:vAlign w:val="center"/>
            <w:hideMark/>
          </w:tcPr>
          <w:p w14:paraId="4A240C6F"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0.86</w:t>
            </w:r>
          </w:p>
        </w:tc>
      </w:tr>
      <w:tr w:rsidR="003F4BD5" w:rsidRPr="002045EC" w14:paraId="0EFF6881" w14:textId="77777777" w:rsidTr="00400D46">
        <w:trPr>
          <w:trHeight w:val="862"/>
        </w:trPr>
        <w:tc>
          <w:tcPr>
            <w:tcW w:w="1554" w:type="pct"/>
            <w:vAlign w:val="center"/>
            <w:hideMark/>
          </w:tcPr>
          <w:p w14:paraId="1A6F0B0C"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Calorie intake (Kcal)</w:t>
            </w:r>
          </w:p>
        </w:tc>
        <w:tc>
          <w:tcPr>
            <w:tcW w:w="670" w:type="pct"/>
            <w:vAlign w:val="center"/>
            <w:hideMark/>
          </w:tcPr>
          <w:p w14:paraId="31078C8C"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1213 (460)</w:t>
            </w:r>
          </w:p>
        </w:tc>
        <w:tc>
          <w:tcPr>
            <w:tcW w:w="695" w:type="pct"/>
            <w:vAlign w:val="center"/>
            <w:hideMark/>
          </w:tcPr>
          <w:p w14:paraId="09A7B1C0"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1299 (498)</w:t>
            </w:r>
          </w:p>
        </w:tc>
        <w:tc>
          <w:tcPr>
            <w:tcW w:w="695" w:type="pct"/>
            <w:vAlign w:val="center"/>
            <w:hideMark/>
          </w:tcPr>
          <w:p w14:paraId="015AD2E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1415 (500)</w:t>
            </w:r>
          </w:p>
        </w:tc>
        <w:tc>
          <w:tcPr>
            <w:tcW w:w="693" w:type="pct"/>
            <w:vAlign w:val="center"/>
            <w:hideMark/>
          </w:tcPr>
          <w:p w14:paraId="14593AE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1740 (662)</w:t>
            </w:r>
          </w:p>
        </w:tc>
        <w:tc>
          <w:tcPr>
            <w:tcW w:w="693" w:type="pct"/>
            <w:vAlign w:val="center"/>
            <w:hideMark/>
          </w:tcPr>
          <w:p w14:paraId="3E34E9F0"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00FBA397" w14:textId="77777777" w:rsidTr="00400D46">
        <w:trPr>
          <w:trHeight w:val="862"/>
        </w:trPr>
        <w:tc>
          <w:tcPr>
            <w:tcW w:w="1554" w:type="pct"/>
            <w:vAlign w:val="center"/>
            <w:hideMark/>
          </w:tcPr>
          <w:p w14:paraId="7758E398"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PASE (SD)</w:t>
            </w:r>
          </w:p>
        </w:tc>
        <w:tc>
          <w:tcPr>
            <w:tcW w:w="670" w:type="pct"/>
            <w:vAlign w:val="center"/>
            <w:hideMark/>
          </w:tcPr>
          <w:p w14:paraId="28202A0B"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156 (81)</w:t>
            </w:r>
          </w:p>
        </w:tc>
        <w:tc>
          <w:tcPr>
            <w:tcW w:w="695" w:type="pct"/>
            <w:vAlign w:val="center"/>
            <w:hideMark/>
          </w:tcPr>
          <w:p w14:paraId="74F9AA28"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161 (80)</w:t>
            </w:r>
          </w:p>
        </w:tc>
        <w:tc>
          <w:tcPr>
            <w:tcW w:w="695" w:type="pct"/>
            <w:vAlign w:val="center"/>
            <w:hideMark/>
          </w:tcPr>
          <w:p w14:paraId="2901A948"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160 (84)</w:t>
            </w:r>
          </w:p>
        </w:tc>
        <w:tc>
          <w:tcPr>
            <w:tcW w:w="693" w:type="pct"/>
            <w:vAlign w:val="center"/>
            <w:hideMark/>
          </w:tcPr>
          <w:p w14:paraId="3FC80699"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166 (83)</w:t>
            </w:r>
          </w:p>
        </w:tc>
        <w:tc>
          <w:tcPr>
            <w:tcW w:w="693" w:type="pct"/>
            <w:vAlign w:val="center"/>
            <w:hideMark/>
          </w:tcPr>
          <w:p w14:paraId="77B1F472"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0.04</w:t>
            </w:r>
          </w:p>
        </w:tc>
      </w:tr>
      <w:tr w:rsidR="003F4BD5" w:rsidRPr="002045EC" w14:paraId="7718C953" w14:textId="77777777" w:rsidTr="00400D46">
        <w:trPr>
          <w:trHeight w:val="862"/>
        </w:trPr>
        <w:tc>
          <w:tcPr>
            <w:tcW w:w="1554" w:type="pct"/>
            <w:vAlign w:val="center"/>
            <w:hideMark/>
          </w:tcPr>
          <w:p w14:paraId="50BF9A2B"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BMI (Kg/m</w:t>
            </w:r>
            <w:r w:rsidRPr="002045EC">
              <w:rPr>
                <w:rFonts w:ascii="Times New Roman" w:hAnsi="Times New Roman" w:cs="Times New Roman"/>
                <w:b/>
                <w:bCs/>
                <w:sz w:val="24"/>
                <w:szCs w:val="24"/>
                <w:vertAlign w:val="superscript"/>
                <w:lang w:val="en-US"/>
              </w:rPr>
              <w:t>2</w:t>
            </w:r>
            <w:r w:rsidRPr="002045EC">
              <w:rPr>
                <w:rFonts w:ascii="Times New Roman" w:hAnsi="Times New Roman" w:cs="Times New Roman"/>
                <w:b/>
                <w:bCs/>
                <w:sz w:val="24"/>
                <w:szCs w:val="24"/>
                <w:lang w:val="en-US"/>
              </w:rPr>
              <w:t>)</w:t>
            </w:r>
          </w:p>
        </w:tc>
        <w:tc>
          <w:tcPr>
            <w:tcW w:w="670" w:type="pct"/>
            <w:vAlign w:val="center"/>
            <w:hideMark/>
          </w:tcPr>
          <w:p w14:paraId="618A33F2"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27.3 (4.6)</w:t>
            </w:r>
          </w:p>
        </w:tc>
        <w:tc>
          <w:tcPr>
            <w:tcW w:w="695" w:type="pct"/>
            <w:vAlign w:val="center"/>
            <w:hideMark/>
          </w:tcPr>
          <w:p w14:paraId="0DF7A56E"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28.4 (4.5)</w:t>
            </w:r>
          </w:p>
        </w:tc>
        <w:tc>
          <w:tcPr>
            <w:tcW w:w="695" w:type="pct"/>
            <w:vAlign w:val="center"/>
            <w:hideMark/>
          </w:tcPr>
          <w:p w14:paraId="7092309E"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29.0 (4.8)</w:t>
            </w:r>
          </w:p>
        </w:tc>
        <w:tc>
          <w:tcPr>
            <w:tcW w:w="693" w:type="pct"/>
            <w:vAlign w:val="center"/>
            <w:hideMark/>
          </w:tcPr>
          <w:p w14:paraId="33601E6D"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30.1 (4.9)</w:t>
            </w:r>
          </w:p>
        </w:tc>
        <w:tc>
          <w:tcPr>
            <w:tcW w:w="693" w:type="pct"/>
            <w:vAlign w:val="center"/>
            <w:hideMark/>
          </w:tcPr>
          <w:p w14:paraId="097C0D59"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4699C92C" w14:textId="77777777" w:rsidTr="00400D46">
        <w:trPr>
          <w:trHeight w:val="862"/>
        </w:trPr>
        <w:tc>
          <w:tcPr>
            <w:tcW w:w="1554" w:type="pct"/>
            <w:vAlign w:val="center"/>
            <w:hideMark/>
          </w:tcPr>
          <w:p w14:paraId="0CF065A0"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 xml:space="preserve">Presence of knee OA </w:t>
            </w:r>
          </w:p>
          <w:p w14:paraId="7D7750F6"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w:t>
            </w:r>
            <w:proofErr w:type="gramStart"/>
            <w:r w:rsidRPr="002045EC">
              <w:rPr>
                <w:rFonts w:ascii="Times New Roman" w:hAnsi="Times New Roman" w:cs="Times New Roman"/>
                <w:b/>
                <w:bCs/>
                <w:sz w:val="24"/>
                <w:szCs w:val="24"/>
                <w:lang w:val="en-US"/>
              </w:rPr>
              <w:t>radiological</w:t>
            </w:r>
            <w:proofErr w:type="gramEnd"/>
            <w:r w:rsidRPr="002045EC">
              <w:rPr>
                <w:rFonts w:ascii="Times New Roman" w:hAnsi="Times New Roman" w:cs="Times New Roman"/>
                <w:b/>
                <w:bCs/>
                <w:sz w:val="24"/>
                <w:szCs w:val="24"/>
                <w:lang w:val="en-US"/>
              </w:rPr>
              <w:t xml:space="preserve"> diagnosis) (%)</w:t>
            </w:r>
          </w:p>
        </w:tc>
        <w:tc>
          <w:tcPr>
            <w:tcW w:w="670" w:type="pct"/>
            <w:vAlign w:val="center"/>
            <w:hideMark/>
          </w:tcPr>
          <w:p w14:paraId="6569E327"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25.1</w:t>
            </w:r>
          </w:p>
        </w:tc>
        <w:tc>
          <w:tcPr>
            <w:tcW w:w="695" w:type="pct"/>
            <w:vAlign w:val="center"/>
            <w:hideMark/>
          </w:tcPr>
          <w:p w14:paraId="2A3C3DB0"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28.8</w:t>
            </w:r>
          </w:p>
        </w:tc>
        <w:tc>
          <w:tcPr>
            <w:tcW w:w="695" w:type="pct"/>
            <w:vAlign w:val="center"/>
            <w:hideMark/>
          </w:tcPr>
          <w:p w14:paraId="64175FB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29.6</w:t>
            </w:r>
          </w:p>
        </w:tc>
        <w:tc>
          <w:tcPr>
            <w:tcW w:w="693" w:type="pct"/>
            <w:vAlign w:val="center"/>
            <w:hideMark/>
          </w:tcPr>
          <w:p w14:paraId="6FBF634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32.6</w:t>
            </w:r>
          </w:p>
        </w:tc>
        <w:tc>
          <w:tcPr>
            <w:tcW w:w="693" w:type="pct"/>
            <w:vAlign w:val="center"/>
            <w:hideMark/>
          </w:tcPr>
          <w:p w14:paraId="1C50109B"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3CEC7235" w14:textId="77777777" w:rsidTr="00400D46">
        <w:trPr>
          <w:trHeight w:val="862"/>
        </w:trPr>
        <w:tc>
          <w:tcPr>
            <w:tcW w:w="1554" w:type="pct"/>
            <w:vAlign w:val="center"/>
            <w:hideMark/>
          </w:tcPr>
          <w:p w14:paraId="14C78609" w14:textId="4DE02673" w:rsidR="003F4BD5" w:rsidRPr="002045EC" w:rsidRDefault="003F4BD5">
            <w:pPr>
              <w:jc w:val="center"/>
              <w:rPr>
                <w:rFonts w:ascii="Times New Roman" w:hAnsi="Times New Roman" w:cs="Times New Roman"/>
                <w:b/>
                <w:bCs/>
                <w:sz w:val="24"/>
                <w:szCs w:val="24"/>
                <w:lang w:val="en-US"/>
              </w:rPr>
            </w:pPr>
            <w:proofErr w:type="spellStart"/>
            <w:r w:rsidRPr="002045EC">
              <w:rPr>
                <w:rFonts w:ascii="Times New Roman" w:hAnsi="Times New Roman" w:cs="Times New Roman"/>
                <w:b/>
                <w:bCs/>
                <w:sz w:val="24"/>
                <w:szCs w:val="24"/>
                <w:lang w:val="en-US"/>
              </w:rPr>
              <w:t>Charlson</w:t>
            </w:r>
            <w:proofErr w:type="spellEnd"/>
            <w:r w:rsidRPr="002045EC">
              <w:rPr>
                <w:rFonts w:ascii="Times New Roman" w:hAnsi="Times New Roman" w:cs="Times New Roman"/>
                <w:b/>
                <w:bCs/>
                <w:sz w:val="24"/>
                <w:szCs w:val="24"/>
                <w:lang w:val="en-US"/>
              </w:rPr>
              <w:t xml:space="preserve"> </w:t>
            </w:r>
            <w:r w:rsidR="001A3724" w:rsidRPr="002045EC">
              <w:rPr>
                <w:rFonts w:ascii="Times New Roman" w:hAnsi="Times New Roman" w:cs="Times New Roman"/>
                <w:b/>
                <w:bCs/>
                <w:sz w:val="24"/>
                <w:szCs w:val="24"/>
                <w:lang w:val="en-US"/>
              </w:rPr>
              <w:t>comorbidity</w:t>
            </w:r>
            <w:r w:rsidRPr="002045EC">
              <w:rPr>
                <w:rFonts w:ascii="Times New Roman" w:hAnsi="Times New Roman" w:cs="Times New Roman"/>
                <w:b/>
                <w:bCs/>
                <w:sz w:val="24"/>
                <w:szCs w:val="24"/>
                <w:lang w:val="en-US"/>
              </w:rPr>
              <w:t xml:space="preserve"> index (points)</w:t>
            </w:r>
          </w:p>
        </w:tc>
        <w:tc>
          <w:tcPr>
            <w:tcW w:w="670" w:type="pct"/>
            <w:vAlign w:val="center"/>
            <w:hideMark/>
          </w:tcPr>
          <w:p w14:paraId="456DD412"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0.40 (0.89)</w:t>
            </w:r>
          </w:p>
        </w:tc>
        <w:tc>
          <w:tcPr>
            <w:tcW w:w="695" w:type="pct"/>
            <w:vAlign w:val="center"/>
            <w:hideMark/>
          </w:tcPr>
          <w:p w14:paraId="216D9759"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0.37 (0.84)</w:t>
            </w:r>
          </w:p>
        </w:tc>
        <w:tc>
          <w:tcPr>
            <w:tcW w:w="695" w:type="pct"/>
            <w:vAlign w:val="center"/>
            <w:hideMark/>
          </w:tcPr>
          <w:p w14:paraId="0453FEE3"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0.38 (0.82)</w:t>
            </w:r>
          </w:p>
        </w:tc>
        <w:tc>
          <w:tcPr>
            <w:tcW w:w="693" w:type="pct"/>
            <w:vAlign w:val="center"/>
            <w:hideMark/>
          </w:tcPr>
          <w:p w14:paraId="2565FDDE"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0.40 (0.82)</w:t>
            </w:r>
          </w:p>
        </w:tc>
        <w:tc>
          <w:tcPr>
            <w:tcW w:w="693" w:type="pct"/>
            <w:vAlign w:val="center"/>
            <w:hideMark/>
          </w:tcPr>
          <w:p w14:paraId="54C8F85A"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0.76</w:t>
            </w:r>
          </w:p>
        </w:tc>
      </w:tr>
      <w:tr w:rsidR="000D6D6F" w:rsidRPr="002045EC" w14:paraId="568BE22A" w14:textId="77777777" w:rsidTr="00400D46">
        <w:trPr>
          <w:trHeight w:val="862"/>
        </w:trPr>
        <w:tc>
          <w:tcPr>
            <w:tcW w:w="1554" w:type="pct"/>
            <w:vAlign w:val="center"/>
          </w:tcPr>
          <w:p w14:paraId="72D28E87" w14:textId="1E9E3203"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Cardiovascular disease (%)</w:t>
            </w:r>
          </w:p>
        </w:tc>
        <w:tc>
          <w:tcPr>
            <w:tcW w:w="670" w:type="pct"/>
            <w:vAlign w:val="center"/>
          </w:tcPr>
          <w:p w14:paraId="12B2B8AC" w14:textId="6900AE47"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4.0</w:t>
            </w:r>
          </w:p>
        </w:tc>
        <w:tc>
          <w:tcPr>
            <w:tcW w:w="695" w:type="pct"/>
            <w:vAlign w:val="center"/>
          </w:tcPr>
          <w:p w14:paraId="6D635A0D" w14:textId="21453ECF"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3.5</w:t>
            </w:r>
          </w:p>
        </w:tc>
        <w:tc>
          <w:tcPr>
            <w:tcW w:w="695" w:type="pct"/>
            <w:vAlign w:val="center"/>
          </w:tcPr>
          <w:p w14:paraId="17828E13" w14:textId="269D58CD"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4.5</w:t>
            </w:r>
          </w:p>
        </w:tc>
        <w:tc>
          <w:tcPr>
            <w:tcW w:w="693" w:type="pct"/>
            <w:vAlign w:val="center"/>
          </w:tcPr>
          <w:p w14:paraId="0691315E" w14:textId="6575D424"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4.0</w:t>
            </w:r>
          </w:p>
        </w:tc>
        <w:tc>
          <w:tcPr>
            <w:tcW w:w="693" w:type="pct"/>
            <w:vAlign w:val="center"/>
          </w:tcPr>
          <w:p w14:paraId="0B1F9B0C" w14:textId="2F50F93C"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0.65</w:t>
            </w:r>
          </w:p>
        </w:tc>
      </w:tr>
      <w:tr w:rsidR="000D6D6F" w:rsidRPr="002045EC" w14:paraId="1E149983" w14:textId="77777777" w:rsidTr="00400D46">
        <w:trPr>
          <w:trHeight w:val="862"/>
        </w:trPr>
        <w:tc>
          <w:tcPr>
            <w:tcW w:w="1554" w:type="pct"/>
            <w:vAlign w:val="center"/>
          </w:tcPr>
          <w:p w14:paraId="6F08751E" w14:textId="09A421BB"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Asthma (%)</w:t>
            </w:r>
          </w:p>
        </w:tc>
        <w:tc>
          <w:tcPr>
            <w:tcW w:w="670" w:type="pct"/>
            <w:vAlign w:val="center"/>
          </w:tcPr>
          <w:p w14:paraId="328200DA" w14:textId="12019056"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9.3</w:t>
            </w:r>
          </w:p>
        </w:tc>
        <w:tc>
          <w:tcPr>
            <w:tcW w:w="695" w:type="pct"/>
            <w:vAlign w:val="center"/>
          </w:tcPr>
          <w:p w14:paraId="406775E6" w14:textId="00224B55"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8.7</w:t>
            </w:r>
          </w:p>
        </w:tc>
        <w:tc>
          <w:tcPr>
            <w:tcW w:w="695" w:type="pct"/>
            <w:vAlign w:val="center"/>
          </w:tcPr>
          <w:p w14:paraId="5C22D610" w14:textId="4CEB1B97"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8.1</w:t>
            </w:r>
          </w:p>
        </w:tc>
        <w:tc>
          <w:tcPr>
            <w:tcW w:w="693" w:type="pct"/>
            <w:vAlign w:val="center"/>
          </w:tcPr>
          <w:p w14:paraId="3F7B1807" w14:textId="5BBAA407"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9.0</w:t>
            </w:r>
          </w:p>
        </w:tc>
        <w:tc>
          <w:tcPr>
            <w:tcW w:w="693" w:type="pct"/>
            <w:vAlign w:val="center"/>
          </w:tcPr>
          <w:p w14:paraId="705593D1" w14:textId="24155DC4"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0.65</w:t>
            </w:r>
          </w:p>
        </w:tc>
      </w:tr>
      <w:tr w:rsidR="000D6D6F" w:rsidRPr="002045EC" w14:paraId="0CE956D6" w14:textId="77777777" w:rsidTr="00400D46">
        <w:trPr>
          <w:trHeight w:val="862"/>
        </w:trPr>
        <w:tc>
          <w:tcPr>
            <w:tcW w:w="1554" w:type="pct"/>
            <w:vAlign w:val="center"/>
          </w:tcPr>
          <w:p w14:paraId="4F823EB8" w14:textId="041F52B3"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Chronic obstructive pulmonary disease (%)</w:t>
            </w:r>
          </w:p>
        </w:tc>
        <w:tc>
          <w:tcPr>
            <w:tcW w:w="670" w:type="pct"/>
            <w:vAlign w:val="center"/>
          </w:tcPr>
          <w:p w14:paraId="52ACE86B" w14:textId="7FF28509"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2.1</w:t>
            </w:r>
          </w:p>
        </w:tc>
        <w:tc>
          <w:tcPr>
            <w:tcW w:w="695" w:type="pct"/>
            <w:vAlign w:val="center"/>
          </w:tcPr>
          <w:p w14:paraId="4E5D26F7" w14:textId="0A3D732A"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2.2</w:t>
            </w:r>
          </w:p>
        </w:tc>
        <w:tc>
          <w:tcPr>
            <w:tcW w:w="695" w:type="pct"/>
            <w:vAlign w:val="center"/>
          </w:tcPr>
          <w:p w14:paraId="66ACA041" w14:textId="214F2EA1"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2.0</w:t>
            </w:r>
          </w:p>
        </w:tc>
        <w:tc>
          <w:tcPr>
            <w:tcW w:w="693" w:type="pct"/>
            <w:vAlign w:val="center"/>
          </w:tcPr>
          <w:p w14:paraId="078CC53E" w14:textId="1568F077"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2.6</w:t>
            </w:r>
          </w:p>
        </w:tc>
        <w:tc>
          <w:tcPr>
            <w:tcW w:w="693" w:type="pct"/>
            <w:vAlign w:val="center"/>
          </w:tcPr>
          <w:p w14:paraId="3E779704" w14:textId="11B4CECE"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0.56</w:t>
            </w:r>
          </w:p>
        </w:tc>
      </w:tr>
      <w:tr w:rsidR="000D6D6F" w:rsidRPr="002045EC" w14:paraId="1771C421" w14:textId="77777777" w:rsidTr="00400D46">
        <w:trPr>
          <w:trHeight w:val="862"/>
        </w:trPr>
        <w:tc>
          <w:tcPr>
            <w:tcW w:w="1554" w:type="pct"/>
            <w:vAlign w:val="center"/>
          </w:tcPr>
          <w:p w14:paraId="7BB4FFA8" w14:textId="72247F42"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Ulcer disease (%)</w:t>
            </w:r>
          </w:p>
        </w:tc>
        <w:tc>
          <w:tcPr>
            <w:tcW w:w="670" w:type="pct"/>
            <w:vAlign w:val="center"/>
          </w:tcPr>
          <w:p w14:paraId="69C0CD29" w14:textId="2DE54EC6"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2.7</w:t>
            </w:r>
          </w:p>
        </w:tc>
        <w:tc>
          <w:tcPr>
            <w:tcW w:w="695" w:type="pct"/>
            <w:vAlign w:val="center"/>
          </w:tcPr>
          <w:p w14:paraId="248B84EC" w14:textId="5B63E9D7"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2.1</w:t>
            </w:r>
          </w:p>
        </w:tc>
        <w:tc>
          <w:tcPr>
            <w:tcW w:w="695" w:type="pct"/>
            <w:vAlign w:val="center"/>
          </w:tcPr>
          <w:p w14:paraId="17772236" w14:textId="5C1C2553"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3.6</w:t>
            </w:r>
          </w:p>
        </w:tc>
        <w:tc>
          <w:tcPr>
            <w:tcW w:w="693" w:type="pct"/>
            <w:vAlign w:val="center"/>
          </w:tcPr>
          <w:p w14:paraId="5068283D" w14:textId="7C597370"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2.4</w:t>
            </w:r>
          </w:p>
        </w:tc>
        <w:tc>
          <w:tcPr>
            <w:tcW w:w="693" w:type="pct"/>
            <w:vAlign w:val="center"/>
          </w:tcPr>
          <w:p w14:paraId="46DC95F5" w14:textId="23367FE2"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0.80</w:t>
            </w:r>
          </w:p>
        </w:tc>
      </w:tr>
      <w:tr w:rsidR="000D6D6F" w:rsidRPr="002045EC" w14:paraId="5D512B6B" w14:textId="77777777" w:rsidTr="00400D46">
        <w:trPr>
          <w:trHeight w:val="862"/>
        </w:trPr>
        <w:tc>
          <w:tcPr>
            <w:tcW w:w="1554" w:type="pct"/>
            <w:vAlign w:val="center"/>
          </w:tcPr>
          <w:p w14:paraId="24D620CE" w14:textId="50EEE526"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Diabetes (%)</w:t>
            </w:r>
          </w:p>
        </w:tc>
        <w:tc>
          <w:tcPr>
            <w:tcW w:w="670" w:type="pct"/>
            <w:vAlign w:val="center"/>
          </w:tcPr>
          <w:p w14:paraId="45B5420C" w14:textId="4CDED1EA"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6.4</w:t>
            </w:r>
          </w:p>
        </w:tc>
        <w:tc>
          <w:tcPr>
            <w:tcW w:w="695" w:type="pct"/>
            <w:vAlign w:val="center"/>
          </w:tcPr>
          <w:p w14:paraId="55B39D93" w14:textId="38F21035"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6.6</w:t>
            </w:r>
          </w:p>
        </w:tc>
        <w:tc>
          <w:tcPr>
            <w:tcW w:w="695" w:type="pct"/>
            <w:vAlign w:val="center"/>
          </w:tcPr>
          <w:p w14:paraId="66B0FAB9" w14:textId="6F77166C"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8.1</w:t>
            </w:r>
          </w:p>
        </w:tc>
        <w:tc>
          <w:tcPr>
            <w:tcW w:w="693" w:type="pct"/>
            <w:vAlign w:val="center"/>
          </w:tcPr>
          <w:p w14:paraId="2E8F81BF" w14:textId="5FE31F18"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9.4</w:t>
            </w:r>
          </w:p>
        </w:tc>
        <w:tc>
          <w:tcPr>
            <w:tcW w:w="693" w:type="pct"/>
            <w:vAlign w:val="center"/>
          </w:tcPr>
          <w:p w14:paraId="52713D80" w14:textId="32603C14"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0.003</w:t>
            </w:r>
          </w:p>
        </w:tc>
      </w:tr>
      <w:tr w:rsidR="000D6D6F" w:rsidRPr="002045EC" w14:paraId="3E0E9421" w14:textId="77777777" w:rsidTr="00400D46">
        <w:trPr>
          <w:trHeight w:val="862"/>
        </w:trPr>
        <w:tc>
          <w:tcPr>
            <w:tcW w:w="1554" w:type="pct"/>
            <w:vAlign w:val="center"/>
          </w:tcPr>
          <w:p w14:paraId="09BA78F3" w14:textId="01BC243D" w:rsidR="000D6D6F" w:rsidRPr="002045EC" w:rsidRDefault="000D6D6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Poor renal function (%)</w:t>
            </w:r>
          </w:p>
        </w:tc>
        <w:tc>
          <w:tcPr>
            <w:tcW w:w="670" w:type="pct"/>
            <w:vAlign w:val="center"/>
          </w:tcPr>
          <w:p w14:paraId="51BEC56A" w14:textId="50EDAFD9"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1.1</w:t>
            </w:r>
          </w:p>
        </w:tc>
        <w:tc>
          <w:tcPr>
            <w:tcW w:w="695" w:type="pct"/>
            <w:vAlign w:val="center"/>
          </w:tcPr>
          <w:p w14:paraId="1EA843C2" w14:textId="60F7D109"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1.5</w:t>
            </w:r>
          </w:p>
        </w:tc>
        <w:tc>
          <w:tcPr>
            <w:tcW w:w="695" w:type="pct"/>
            <w:vAlign w:val="center"/>
          </w:tcPr>
          <w:p w14:paraId="383C318F" w14:textId="37EC325C"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1.2</w:t>
            </w:r>
          </w:p>
        </w:tc>
        <w:tc>
          <w:tcPr>
            <w:tcW w:w="693" w:type="pct"/>
            <w:vAlign w:val="center"/>
          </w:tcPr>
          <w:p w14:paraId="78460ABF" w14:textId="0A4CE200"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1.7</w:t>
            </w:r>
          </w:p>
        </w:tc>
        <w:tc>
          <w:tcPr>
            <w:tcW w:w="693" w:type="pct"/>
            <w:vAlign w:val="center"/>
          </w:tcPr>
          <w:p w14:paraId="32172C63" w14:textId="3D153AB5" w:rsidR="000D6D6F" w:rsidRPr="002045EC" w:rsidRDefault="000D6D6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0.33</w:t>
            </w:r>
          </w:p>
        </w:tc>
      </w:tr>
      <w:tr w:rsidR="0085151F" w:rsidRPr="002045EC" w14:paraId="3CDD095A" w14:textId="77777777" w:rsidTr="00400D46">
        <w:trPr>
          <w:trHeight w:val="862"/>
        </w:trPr>
        <w:tc>
          <w:tcPr>
            <w:tcW w:w="1554" w:type="pct"/>
            <w:vAlign w:val="center"/>
          </w:tcPr>
          <w:p w14:paraId="78EC8104" w14:textId="20DB4EFE" w:rsidR="0085151F" w:rsidRPr="002045EC" w:rsidRDefault="0085151F">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lastRenderedPageBreak/>
              <w:t>Cancer (%)</w:t>
            </w:r>
          </w:p>
        </w:tc>
        <w:tc>
          <w:tcPr>
            <w:tcW w:w="670" w:type="pct"/>
            <w:vAlign w:val="center"/>
          </w:tcPr>
          <w:p w14:paraId="241E63C7" w14:textId="0767A65D" w:rsidR="0085151F" w:rsidRPr="002045EC" w:rsidRDefault="0085151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5.4</w:t>
            </w:r>
          </w:p>
        </w:tc>
        <w:tc>
          <w:tcPr>
            <w:tcW w:w="695" w:type="pct"/>
            <w:vAlign w:val="center"/>
          </w:tcPr>
          <w:p w14:paraId="3CE67D5E" w14:textId="11FAFD1C" w:rsidR="0085151F" w:rsidRPr="002045EC" w:rsidRDefault="0085151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3.3</w:t>
            </w:r>
          </w:p>
        </w:tc>
        <w:tc>
          <w:tcPr>
            <w:tcW w:w="695" w:type="pct"/>
            <w:vAlign w:val="center"/>
          </w:tcPr>
          <w:p w14:paraId="71646233" w14:textId="7D6DF849" w:rsidR="0085151F" w:rsidRPr="002045EC" w:rsidRDefault="0085151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3.5</w:t>
            </w:r>
          </w:p>
        </w:tc>
        <w:tc>
          <w:tcPr>
            <w:tcW w:w="693" w:type="pct"/>
            <w:vAlign w:val="center"/>
          </w:tcPr>
          <w:p w14:paraId="331843AD" w14:textId="6B89CF6B" w:rsidR="0085151F" w:rsidRPr="002045EC" w:rsidRDefault="0085151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2.7</w:t>
            </w:r>
          </w:p>
        </w:tc>
        <w:tc>
          <w:tcPr>
            <w:tcW w:w="693" w:type="pct"/>
            <w:vAlign w:val="center"/>
          </w:tcPr>
          <w:p w14:paraId="44E91525" w14:textId="20DD4743" w:rsidR="0085151F" w:rsidRPr="002045EC" w:rsidRDefault="0085151F">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0.003</w:t>
            </w:r>
          </w:p>
        </w:tc>
      </w:tr>
      <w:tr w:rsidR="003F4BD5" w:rsidRPr="002045EC" w14:paraId="663DEF14" w14:textId="77777777" w:rsidTr="00400D46">
        <w:trPr>
          <w:trHeight w:val="862"/>
        </w:trPr>
        <w:tc>
          <w:tcPr>
            <w:tcW w:w="1554" w:type="pct"/>
            <w:vAlign w:val="center"/>
            <w:hideMark/>
          </w:tcPr>
          <w:p w14:paraId="55E6291A"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Yearly income (&gt;50,000 $)</w:t>
            </w:r>
          </w:p>
        </w:tc>
        <w:tc>
          <w:tcPr>
            <w:tcW w:w="670" w:type="pct"/>
            <w:vAlign w:val="center"/>
            <w:hideMark/>
          </w:tcPr>
          <w:p w14:paraId="79C3C01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59.2</w:t>
            </w:r>
          </w:p>
        </w:tc>
        <w:tc>
          <w:tcPr>
            <w:tcW w:w="695" w:type="pct"/>
            <w:vAlign w:val="center"/>
            <w:hideMark/>
          </w:tcPr>
          <w:p w14:paraId="65ACC63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61.0</w:t>
            </w:r>
          </w:p>
        </w:tc>
        <w:tc>
          <w:tcPr>
            <w:tcW w:w="695" w:type="pct"/>
            <w:vAlign w:val="center"/>
            <w:hideMark/>
          </w:tcPr>
          <w:p w14:paraId="303CE4B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61.1</w:t>
            </w:r>
          </w:p>
        </w:tc>
        <w:tc>
          <w:tcPr>
            <w:tcW w:w="693" w:type="pct"/>
            <w:vAlign w:val="center"/>
            <w:hideMark/>
          </w:tcPr>
          <w:p w14:paraId="2B1E9420"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54.7</w:t>
            </w:r>
          </w:p>
        </w:tc>
        <w:tc>
          <w:tcPr>
            <w:tcW w:w="693" w:type="pct"/>
            <w:vAlign w:val="center"/>
            <w:hideMark/>
          </w:tcPr>
          <w:p w14:paraId="4F25551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0.006</w:t>
            </w:r>
          </w:p>
        </w:tc>
      </w:tr>
      <w:tr w:rsidR="003F4BD5" w:rsidRPr="002045EC" w14:paraId="76395740" w14:textId="77777777" w:rsidTr="00400D46">
        <w:trPr>
          <w:trHeight w:val="862"/>
        </w:trPr>
        <w:tc>
          <w:tcPr>
            <w:tcW w:w="1554" w:type="pct"/>
            <w:vAlign w:val="center"/>
            <w:hideMark/>
          </w:tcPr>
          <w:p w14:paraId="7109B40B"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Whites (%)</w:t>
            </w:r>
          </w:p>
        </w:tc>
        <w:tc>
          <w:tcPr>
            <w:tcW w:w="670" w:type="pct"/>
            <w:vAlign w:val="center"/>
            <w:hideMark/>
          </w:tcPr>
          <w:p w14:paraId="1C4D0BC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87.0</w:t>
            </w:r>
          </w:p>
        </w:tc>
        <w:tc>
          <w:tcPr>
            <w:tcW w:w="695" w:type="pct"/>
            <w:vAlign w:val="center"/>
            <w:hideMark/>
          </w:tcPr>
          <w:p w14:paraId="52C9757C"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82.9</w:t>
            </w:r>
          </w:p>
        </w:tc>
        <w:tc>
          <w:tcPr>
            <w:tcW w:w="695" w:type="pct"/>
            <w:vAlign w:val="center"/>
            <w:hideMark/>
          </w:tcPr>
          <w:p w14:paraId="15ACE5A0"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81.0</w:t>
            </w:r>
          </w:p>
        </w:tc>
        <w:tc>
          <w:tcPr>
            <w:tcW w:w="693" w:type="pct"/>
            <w:vAlign w:val="center"/>
            <w:hideMark/>
          </w:tcPr>
          <w:p w14:paraId="24F1DADB"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70.1</w:t>
            </w:r>
          </w:p>
        </w:tc>
        <w:tc>
          <w:tcPr>
            <w:tcW w:w="693" w:type="pct"/>
            <w:vAlign w:val="center"/>
            <w:hideMark/>
          </w:tcPr>
          <w:p w14:paraId="6D65D21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650E8929" w14:textId="77777777" w:rsidTr="00400D46">
        <w:trPr>
          <w:trHeight w:val="862"/>
        </w:trPr>
        <w:tc>
          <w:tcPr>
            <w:tcW w:w="1554" w:type="pct"/>
            <w:vAlign w:val="center"/>
            <w:hideMark/>
          </w:tcPr>
          <w:p w14:paraId="10D53A8C"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College or higher (%)</w:t>
            </w:r>
          </w:p>
        </w:tc>
        <w:tc>
          <w:tcPr>
            <w:tcW w:w="670" w:type="pct"/>
            <w:vAlign w:val="center"/>
            <w:hideMark/>
          </w:tcPr>
          <w:p w14:paraId="5F33CFEB"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35.8</w:t>
            </w:r>
          </w:p>
        </w:tc>
        <w:tc>
          <w:tcPr>
            <w:tcW w:w="695" w:type="pct"/>
            <w:vAlign w:val="center"/>
            <w:hideMark/>
          </w:tcPr>
          <w:p w14:paraId="61BC5A03"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32.3</w:t>
            </w:r>
          </w:p>
        </w:tc>
        <w:tc>
          <w:tcPr>
            <w:tcW w:w="695" w:type="pct"/>
            <w:vAlign w:val="center"/>
            <w:hideMark/>
          </w:tcPr>
          <w:p w14:paraId="11D617A9"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27.5</w:t>
            </w:r>
          </w:p>
        </w:tc>
        <w:tc>
          <w:tcPr>
            <w:tcW w:w="693" w:type="pct"/>
            <w:vAlign w:val="center"/>
            <w:hideMark/>
          </w:tcPr>
          <w:p w14:paraId="5D56577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25.8</w:t>
            </w:r>
          </w:p>
        </w:tc>
        <w:tc>
          <w:tcPr>
            <w:tcW w:w="693" w:type="pct"/>
            <w:vAlign w:val="center"/>
            <w:hideMark/>
          </w:tcPr>
          <w:p w14:paraId="5465EBA9"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55E5807B" w14:textId="77777777" w:rsidTr="00400D46">
        <w:trPr>
          <w:trHeight w:val="862"/>
        </w:trPr>
        <w:tc>
          <w:tcPr>
            <w:tcW w:w="1554" w:type="pct"/>
            <w:vAlign w:val="center"/>
            <w:hideMark/>
          </w:tcPr>
          <w:p w14:paraId="79B0D0C5"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Current/previous smokers (%)</w:t>
            </w:r>
          </w:p>
        </w:tc>
        <w:tc>
          <w:tcPr>
            <w:tcW w:w="670" w:type="pct"/>
            <w:vAlign w:val="center"/>
            <w:hideMark/>
          </w:tcPr>
          <w:p w14:paraId="0F45FE78"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53.0</w:t>
            </w:r>
          </w:p>
        </w:tc>
        <w:tc>
          <w:tcPr>
            <w:tcW w:w="695" w:type="pct"/>
            <w:vAlign w:val="center"/>
            <w:hideMark/>
          </w:tcPr>
          <w:p w14:paraId="0B40007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53.5</w:t>
            </w:r>
          </w:p>
        </w:tc>
        <w:tc>
          <w:tcPr>
            <w:tcW w:w="695" w:type="pct"/>
            <w:vAlign w:val="center"/>
            <w:hideMark/>
          </w:tcPr>
          <w:p w14:paraId="315E718E"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52.7</w:t>
            </w:r>
          </w:p>
        </w:tc>
        <w:tc>
          <w:tcPr>
            <w:tcW w:w="693" w:type="pct"/>
            <w:vAlign w:val="center"/>
            <w:hideMark/>
          </w:tcPr>
          <w:p w14:paraId="0F37216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50.8</w:t>
            </w:r>
          </w:p>
        </w:tc>
        <w:tc>
          <w:tcPr>
            <w:tcW w:w="693" w:type="pct"/>
            <w:vAlign w:val="center"/>
            <w:hideMark/>
          </w:tcPr>
          <w:p w14:paraId="5108B3C5"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0.29</w:t>
            </w:r>
          </w:p>
        </w:tc>
      </w:tr>
      <w:tr w:rsidR="003F4BD5" w:rsidRPr="002045EC" w14:paraId="03F12712" w14:textId="77777777" w:rsidTr="00400D46">
        <w:trPr>
          <w:trHeight w:val="862"/>
        </w:trPr>
        <w:tc>
          <w:tcPr>
            <w:tcW w:w="1554" w:type="pct"/>
            <w:vAlign w:val="center"/>
            <w:hideMark/>
          </w:tcPr>
          <w:p w14:paraId="607EC872"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sz w:val="24"/>
                <w:szCs w:val="24"/>
                <w:lang w:val="en-US"/>
              </w:rPr>
              <w:t>20-meter walking time</w:t>
            </w:r>
          </w:p>
        </w:tc>
        <w:tc>
          <w:tcPr>
            <w:tcW w:w="670" w:type="pct"/>
            <w:vAlign w:val="center"/>
            <w:hideMark/>
          </w:tcPr>
          <w:p w14:paraId="7ADCAE7A"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15.15 (2.91)</w:t>
            </w:r>
          </w:p>
        </w:tc>
        <w:tc>
          <w:tcPr>
            <w:tcW w:w="695" w:type="pct"/>
            <w:vAlign w:val="center"/>
            <w:hideMark/>
          </w:tcPr>
          <w:p w14:paraId="7F1E8231"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14.95 (2.46)</w:t>
            </w:r>
          </w:p>
        </w:tc>
        <w:tc>
          <w:tcPr>
            <w:tcW w:w="695" w:type="pct"/>
            <w:vAlign w:val="center"/>
            <w:hideMark/>
          </w:tcPr>
          <w:p w14:paraId="5075860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15.33 (2.97)</w:t>
            </w:r>
          </w:p>
        </w:tc>
        <w:tc>
          <w:tcPr>
            <w:tcW w:w="693" w:type="pct"/>
            <w:vAlign w:val="center"/>
            <w:hideMark/>
          </w:tcPr>
          <w:p w14:paraId="47A316CD"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15.53 (3.32)</w:t>
            </w:r>
          </w:p>
        </w:tc>
        <w:tc>
          <w:tcPr>
            <w:tcW w:w="693" w:type="pct"/>
            <w:vAlign w:val="center"/>
            <w:hideMark/>
          </w:tcPr>
          <w:p w14:paraId="56AE9E0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r w:rsidR="003F4BD5" w:rsidRPr="002045EC" w14:paraId="086DABE4" w14:textId="77777777" w:rsidTr="00400D46">
        <w:trPr>
          <w:trHeight w:val="862"/>
        </w:trPr>
        <w:tc>
          <w:tcPr>
            <w:tcW w:w="1554" w:type="pct"/>
            <w:vAlign w:val="center"/>
            <w:hideMark/>
          </w:tcPr>
          <w:p w14:paraId="55749DAD"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sz w:val="24"/>
                <w:szCs w:val="24"/>
                <w:lang w:val="en-US"/>
              </w:rPr>
              <w:t>400-meter total time</w:t>
            </w:r>
          </w:p>
        </w:tc>
        <w:tc>
          <w:tcPr>
            <w:tcW w:w="670" w:type="pct"/>
            <w:vAlign w:val="center"/>
            <w:hideMark/>
          </w:tcPr>
          <w:p w14:paraId="75D1E24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305 (58)</w:t>
            </w:r>
          </w:p>
        </w:tc>
        <w:tc>
          <w:tcPr>
            <w:tcW w:w="695" w:type="pct"/>
            <w:vAlign w:val="center"/>
            <w:hideMark/>
          </w:tcPr>
          <w:p w14:paraId="0FE2448A"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303 (54)</w:t>
            </w:r>
          </w:p>
        </w:tc>
        <w:tc>
          <w:tcPr>
            <w:tcW w:w="695" w:type="pct"/>
            <w:vAlign w:val="center"/>
            <w:hideMark/>
          </w:tcPr>
          <w:p w14:paraId="766C2318"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308 (60)</w:t>
            </w:r>
          </w:p>
        </w:tc>
        <w:tc>
          <w:tcPr>
            <w:tcW w:w="693" w:type="pct"/>
            <w:vAlign w:val="center"/>
            <w:hideMark/>
          </w:tcPr>
          <w:p w14:paraId="2D8B3C11"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312 (54)</w:t>
            </w:r>
          </w:p>
        </w:tc>
        <w:tc>
          <w:tcPr>
            <w:tcW w:w="693" w:type="pct"/>
            <w:vAlign w:val="center"/>
            <w:hideMark/>
          </w:tcPr>
          <w:p w14:paraId="518C24D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0.005</w:t>
            </w:r>
          </w:p>
        </w:tc>
      </w:tr>
      <w:tr w:rsidR="003F4BD5" w:rsidRPr="002045EC" w14:paraId="20EF9C86" w14:textId="77777777" w:rsidTr="00400D46">
        <w:trPr>
          <w:trHeight w:val="862"/>
        </w:trPr>
        <w:tc>
          <w:tcPr>
            <w:tcW w:w="1554" w:type="pct"/>
            <w:vAlign w:val="center"/>
            <w:hideMark/>
          </w:tcPr>
          <w:p w14:paraId="7267F941" w14:textId="77777777" w:rsidR="003F4BD5" w:rsidRPr="002045EC" w:rsidRDefault="003F4BD5">
            <w:pPr>
              <w:jc w:val="center"/>
              <w:rPr>
                <w:rFonts w:ascii="Times New Roman" w:hAnsi="Times New Roman" w:cs="Times New Roman"/>
                <w:b/>
                <w:bCs/>
                <w:sz w:val="24"/>
                <w:szCs w:val="24"/>
                <w:lang w:val="en-US"/>
              </w:rPr>
            </w:pPr>
            <w:r w:rsidRPr="002045EC">
              <w:rPr>
                <w:rFonts w:ascii="Times New Roman" w:hAnsi="Times New Roman" w:cs="Times New Roman"/>
                <w:b/>
                <w:sz w:val="24"/>
                <w:szCs w:val="24"/>
                <w:lang w:val="en-US"/>
              </w:rPr>
              <w:t>Chair stands time</w:t>
            </w:r>
          </w:p>
        </w:tc>
        <w:tc>
          <w:tcPr>
            <w:tcW w:w="670" w:type="pct"/>
            <w:vAlign w:val="center"/>
            <w:hideMark/>
          </w:tcPr>
          <w:p w14:paraId="19D231FE"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10.67 (3.50)</w:t>
            </w:r>
          </w:p>
        </w:tc>
        <w:tc>
          <w:tcPr>
            <w:tcW w:w="695" w:type="pct"/>
            <w:vAlign w:val="center"/>
            <w:hideMark/>
          </w:tcPr>
          <w:p w14:paraId="2FD4AF06"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10.84 (3.34)</w:t>
            </w:r>
          </w:p>
        </w:tc>
        <w:tc>
          <w:tcPr>
            <w:tcW w:w="695" w:type="pct"/>
            <w:vAlign w:val="center"/>
            <w:hideMark/>
          </w:tcPr>
          <w:p w14:paraId="0D4B332D"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10.92 (3.85)</w:t>
            </w:r>
          </w:p>
        </w:tc>
        <w:tc>
          <w:tcPr>
            <w:tcW w:w="693" w:type="pct"/>
            <w:vAlign w:val="center"/>
            <w:hideMark/>
          </w:tcPr>
          <w:p w14:paraId="18F70F7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11.36 (4.08)</w:t>
            </w:r>
          </w:p>
        </w:tc>
        <w:tc>
          <w:tcPr>
            <w:tcW w:w="693" w:type="pct"/>
            <w:vAlign w:val="center"/>
            <w:hideMark/>
          </w:tcPr>
          <w:p w14:paraId="5918A144" w14:textId="77777777" w:rsidR="003F4BD5" w:rsidRPr="002045EC" w:rsidRDefault="003F4BD5">
            <w:pPr>
              <w:jc w:val="center"/>
              <w:rPr>
                <w:rFonts w:ascii="Times New Roman" w:hAnsi="Times New Roman" w:cs="Times New Roman"/>
                <w:sz w:val="24"/>
                <w:szCs w:val="24"/>
                <w:lang w:val="en-US"/>
              </w:rPr>
            </w:pPr>
            <w:r w:rsidRPr="002045EC">
              <w:rPr>
                <w:rFonts w:ascii="Times New Roman" w:hAnsi="Times New Roman" w:cs="Times New Roman"/>
                <w:sz w:val="24"/>
                <w:szCs w:val="24"/>
                <w:lang w:val="en-US"/>
              </w:rPr>
              <w:t>&lt;0.0001</w:t>
            </w:r>
          </w:p>
        </w:tc>
      </w:tr>
    </w:tbl>
    <w:p w14:paraId="23548CF5" w14:textId="77777777" w:rsidR="003F4BD5" w:rsidRPr="002045EC" w:rsidRDefault="003F4BD5" w:rsidP="003F4BD5">
      <w:pPr>
        <w:spacing w:after="0" w:line="480" w:lineRule="auto"/>
        <w:rPr>
          <w:rFonts w:ascii="Times New Roman" w:hAnsi="Times New Roman" w:cs="Times New Roman"/>
          <w:b/>
          <w:bCs/>
          <w:sz w:val="24"/>
          <w:szCs w:val="24"/>
          <w:lang w:val="en-US"/>
        </w:rPr>
      </w:pPr>
    </w:p>
    <w:p w14:paraId="641658C0" w14:textId="77777777" w:rsidR="003F4BD5" w:rsidRPr="002045EC" w:rsidRDefault="003F4BD5">
      <w:pPr>
        <w:rPr>
          <w:rFonts w:ascii="Times New Roman" w:eastAsia="Calibri" w:hAnsi="Times New Roman" w:cs="Times New Roman"/>
          <w:b/>
          <w:i/>
          <w:sz w:val="24"/>
          <w:szCs w:val="24"/>
          <w:lang w:val="en-US"/>
        </w:rPr>
      </w:pPr>
      <w:r w:rsidRPr="002045EC">
        <w:rPr>
          <w:rFonts w:ascii="Times New Roman" w:eastAsia="Calibri" w:hAnsi="Times New Roman" w:cs="Times New Roman"/>
          <w:b/>
          <w:i/>
          <w:sz w:val="24"/>
          <w:szCs w:val="24"/>
          <w:lang w:val="en-US"/>
        </w:rPr>
        <w:br w:type="page"/>
      </w:r>
    </w:p>
    <w:p w14:paraId="573D9A28" w14:textId="1FC8594B" w:rsidR="00E82181" w:rsidRPr="002045EC" w:rsidRDefault="00FD5682" w:rsidP="00EA2099">
      <w:pPr>
        <w:pStyle w:val="Heading2"/>
        <w:rPr>
          <w:rFonts w:eastAsia="Calibri"/>
        </w:rPr>
      </w:pPr>
      <w:r w:rsidRPr="002045EC">
        <w:rPr>
          <w:rFonts w:eastAsia="Calibri"/>
        </w:rPr>
        <w:lastRenderedPageBreak/>
        <w:t xml:space="preserve">Linear regression analysis </w:t>
      </w:r>
    </w:p>
    <w:p w14:paraId="19860FEC" w14:textId="08BE7A2A" w:rsidR="00FD5682" w:rsidRPr="002045EC" w:rsidRDefault="005D725C" w:rsidP="00E82181">
      <w:pPr>
        <w:spacing w:after="0" w:line="480" w:lineRule="auto"/>
        <w:jc w:val="both"/>
        <w:rPr>
          <w:rFonts w:ascii="Times New Roman" w:eastAsia="Calibri" w:hAnsi="Times New Roman" w:cs="Times New Roman"/>
          <w:sz w:val="24"/>
          <w:szCs w:val="24"/>
          <w:lang w:val="en-US"/>
        </w:rPr>
      </w:pPr>
      <w:r w:rsidRPr="002045EC">
        <w:rPr>
          <w:rFonts w:ascii="Times New Roman" w:eastAsia="Calibri" w:hAnsi="Times New Roman" w:cs="Times New Roman"/>
          <w:b/>
          <w:iCs/>
          <w:sz w:val="24"/>
          <w:szCs w:val="24"/>
          <w:lang w:val="en-US"/>
        </w:rPr>
        <w:t>Table 2</w:t>
      </w:r>
      <w:r w:rsidRPr="002045EC">
        <w:rPr>
          <w:rFonts w:ascii="Times New Roman" w:eastAsia="Calibri" w:hAnsi="Times New Roman" w:cs="Times New Roman"/>
          <w:bCs/>
          <w:iCs/>
          <w:sz w:val="24"/>
          <w:szCs w:val="24"/>
          <w:lang w:val="en-US"/>
        </w:rPr>
        <w:t xml:space="preserve"> shows the linear regression analysis, taking </w:t>
      </w:r>
      <w:r w:rsidRPr="002045EC">
        <w:rPr>
          <w:rFonts w:ascii="Times New Roman" w:eastAsia="Calibri" w:hAnsi="Times New Roman" w:cs="Times New Roman"/>
          <w:sz w:val="24"/>
          <w:szCs w:val="24"/>
          <w:lang w:val="en-US"/>
        </w:rPr>
        <w:t xml:space="preserve">dietary acrylamide as increases in deciles and physical performances tests as outcomes. Increasing levels of dietary acrylamide were associated with worse performance in physical performance tests after adjusting for age and gender. After including the effect of </w:t>
      </w:r>
      <w:r w:rsidR="00610C04" w:rsidRPr="002045EC">
        <w:rPr>
          <w:rFonts w:ascii="Times New Roman" w:eastAsia="Calibri" w:hAnsi="Times New Roman" w:cs="Times New Roman"/>
          <w:sz w:val="24"/>
          <w:szCs w:val="24"/>
          <w:lang w:val="en-US"/>
        </w:rPr>
        <w:t>eleven</w:t>
      </w:r>
      <w:r w:rsidRPr="002045EC">
        <w:rPr>
          <w:rFonts w:ascii="Times New Roman" w:eastAsia="Calibri" w:hAnsi="Times New Roman" w:cs="Times New Roman"/>
          <w:sz w:val="24"/>
          <w:szCs w:val="24"/>
          <w:lang w:val="en-US"/>
        </w:rPr>
        <w:t xml:space="preserve"> potential confounders, each increase in one decile in dietary acrylamide </w:t>
      </w:r>
      <w:r w:rsidR="00A62215" w:rsidRPr="002045EC">
        <w:rPr>
          <w:rFonts w:ascii="Times New Roman" w:eastAsia="Calibri" w:hAnsi="Times New Roman" w:cs="Times New Roman"/>
          <w:sz w:val="24"/>
          <w:szCs w:val="24"/>
          <w:lang w:val="en-US"/>
        </w:rPr>
        <w:t>was associated with a longer time in walking for 20 meters (beta=0</w:t>
      </w:r>
      <w:r w:rsidR="00610C04" w:rsidRPr="002045EC">
        <w:rPr>
          <w:rFonts w:ascii="Times New Roman" w:eastAsia="Calibri" w:hAnsi="Times New Roman" w:cs="Times New Roman"/>
          <w:sz w:val="24"/>
          <w:szCs w:val="24"/>
          <w:lang w:val="en-US"/>
        </w:rPr>
        <w:t>.032</w:t>
      </w:r>
      <w:r w:rsidR="00A62215" w:rsidRPr="002045EC">
        <w:rPr>
          <w:rFonts w:ascii="Times New Roman" w:eastAsia="Calibri" w:hAnsi="Times New Roman" w:cs="Times New Roman"/>
          <w:sz w:val="24"/>
          <w:szCs w:val="24"/>
          <w:lang w:val="en-US"/>
        </w:rPr>
        <w:t xml:space="preserve">; 95%CI: </w:t>
      </w:r>
      <w:r w:rsidR="00610C04" w:rsidRPr="002045EC">
        <w:rPr>
          <w:rFonts w:ascii="Times New Roman" w:eastAsia="Calibri" w:hAnsi="Times New Roman" w:cs="Times New Roman"/>
          <w:sz w:val="24"/>
          <w:szCs w:val="24"/>
          <w:lang w:val="en-US"/>
        </w:rPr>
        <w:t>0.016-0.048</w:t>
      </w:r>
      <w:r w:rsidR="00A62215" w:rsidRPr="002045EC">
        <w:rPr>
          <w:rFonts w:ascii="Times New Roman" w:eastAsia="Calibri" w:hAnsi="Times New Roman" w:cs="Times New Roman"/>
          <w:sz w:val="24"/>
          <w:szCs w:val="24"/>
          <w:lang w:val="en-US"/>
        </w:rPr>
        <w:t>; p=0.0</w:t>
      </w:r>
      <w:r w:rsidR="00610C04" w:rsidRPr="002045EC">
        <w:rPr>
          <w:rFonts w:ascii="Times New Roman" w:eastAsia="Calibri" w:hAnsi="Times New Roman" w:cs="Times New Roman"/>
          <w:sz w:val="24"/>
          <w:szCs w:val="24"/>
          <w:lang w:val="en-US"/>
        </w:rPr>
        <w:t>4</w:t>
      </w:r>
      <w:r w:rsidR="00A62215" w:rsidRPr="002045EC">
        <w:rPr>
          <w:rFonts w:ascii="Times New Roman" w:eastAsia="Calibri" w:hAnsi="Times New Roman" w:cs="Times New Roman"/>
          <w:sz w:val="24"/>
          <w:szCs w:val="24"/>
          <w:lang w:val="en-US"/>
        </w:rPr>
        <w:t>), 400 meters (beta=</w:t>
      </w:r>
      <w:r w:rsidR="00610C04" w:rsidRPr="002045EC">
        <w:rPr>
          <w:rFonts w:ascii="Times New Roman" w:eastAsia="Calibri" w:hAnsi="Times New Roman" w:cs="Times New Roman"/>
          <w:sz w:val="24"/>
          <w:szCs w:val="24"/>
          <w:lang w:val="en-US"/>
        </w:rPr>
        <w:t>0.048</w:t>
      </w:r>
      <w:r w:rsidR="00A62215" w:rsidRPr="002045EC">
        <w:rPr>
          <w:rFonts w:ascii="Times New Roman" w:eastAsia="Calibri" w:hAnsi="Times New Roman" w:cs="Times New Roman"/>
          <w:sz w:val="24"/>
          <w:szCs w:val="24"/>
          <w:lang w:val="en-US"/>
        </w:rPr>
        <w:t xml:space="preserve">; 95%CI: </w:t>
      </w:r>
      <w:r w:rsidR="00610C04" w:rsidRPr="002045EC">
        <w:rPr>
          <w:rFonts w:ascii="Times New Roman" w:eastAsia="Calibri" w:hAnsi="Times New Roman" w:cs="Times New Roman"/>
          <w:sz w:val="24"/>
          <w:szCs w:val="24"/>
          <w:lang w:val="en-US"/>
        </w:rPr>
        <w:t>0.033-0.063</w:t>
      </w:r>
      <w:r w:rsidR="00A62215" w:rsidRPr="002045EC">
        <w:rPr>
          <w:rFonts w:ascii="Times New Roman" w:eastAsia="Calibri" w:hAnsi="Times New Roman" w:cs="Times New Roman"/>
          <w:sz w:val="24"/>
          <w:szCs w:val="24"/>
          <w:lang w:val="en-US"/>
        </w:rPr>
        <w:t>; p=0.00</w:t>
      </w:r>
      <w:r w:rsidR="00610C04" w:rsidRPr="002045EC">
        <w:rPr>
          <w:rFonts w:ascii="Times New Roman" w:eastAsia="Calibri" w:hAnsi="Times New Roman" w:cs="Times New Roman"/>
          <w:sz w:val="24"/>
          <w:szCs w:val="24"/>
          <w:lang w:val="en-US"/>
        </w:rPr>
        <w:t>2</w:t>
      </w:r>
      <w:r w:rsidR="00A62215" w:rsidRPr="002045EC">
        <w:rPr>
          <w:rFonts w:ascii="Times New Roman" w:eastAsia="Calibri" w:hAnsi="Times New Roman" w:cs="Times New Roman"/>
          <w:sz w:val="24"/>
          <w:szCs w:val="24"/>
          <w:lang w:val="en-US"/>
        </w:rPr>
        <w:t>) and chair stands (beta</w:t>
      </w:r>
      <w:r w:rsidR="00610C04" w:rsidRPr="002045EC">
        <w:rPr>
          <w:rFonts w:ascii="Times New Roman" w:eastAsia="Calibri" w:hAnsi="Times New Roman" w:cs="Times New Roman"/>
          <w:sz w:val="24"/>
          <w:szCs w:val="24"/>
          <w:lang w:val="en-US"/>
        </w:rPr>
        <w:t>=0.016</w:t>
      </w:r>
      <w:r w:rsidR="00A62215" w:rsidRPr="002045EC">
        <w:rPr>
          <w:rFonts w:ascii="Times New Roman" w:eastAsia="Calibri" w:hAnsi="Times New Roman" w:cs="Times New Roman"/>
          <w:sz w:val="24"/>
          <w:szCs w:val="24"/>
          <w:lang w:val="en-US"/>
        </w:rPr>
        <w:t xml:space="preserve">; 95%CI: </w:t>
      </w:r>
      <w:r w:rsidR="00610C04" w:rsidRPr="002045EC">
        <w:rPr>
          <w:rFonts w:ascii="Times New Roman" w:eastAsia="Calibri" w:hAnsi="Times New Roman" w:cs="Times New Roman"/>
          <w:sz w:val="24"/>
          <w:szCs w:val="24"/>
          <w:lang w:val="en-US"/>
        </w:rPr>
        <w:t>0.005</w:t>
      </w:r>
      <w:r w:rsidR="00A62215" w:rsidRPr="002045EC">
        <w:rPr>
          <w:rFonts w:ascii="Times New Roman" w:eastAsia="Calibri" w:hAnsi="Times New Roman" w:cs="Times New Roman"/>
          <w:sz w:val="24"/>
          <w:szCs w:val="24"/>
          <w:lang w:val="en-US"/>
        </w:rPr>
        <w:t>-</w:t>
      </w:r>
      <w:r w:rsidR="00610C04" w:rsidRPr="002045EC">
        <w:rPr>
          <w:rFonts w:ascii="Times New Roman" w:eastAsia="Calibri" w:hAnsi="Times New Roman" w:cs="Times New Roman"/>
          <w:sz w:val="24"/>
          <w:szCs w:val="24"/>
          <w:lang w:val="en-US"/>
        </w:rPr>
        <w:t>0.037; p=0.04</w:t>
      </w:r>
      <w:r w:rsidR="00A62215" w:rsidRPr="002045EC">
        <w:rPr>
          <w:rFonts w:ascii="Times New Roman" w:eastAsia="Calibri" w:hAnsi="Times New Roman" w:cs="Times New Roman"/>
          <w:sz w:val="24"/>
          <w:szCs w:val="24"/>
          <w:lang w:val="en-US"/>
        </w:rPr>
        <w:t>)</w:t>
      </w:r>
      <w:r w:rsidR="00657F0D" w:rsidRPr="002045EC">
        <w:rPr>
          <w:rFonts w:ascii="Times New Roman" w:eastAsia="Calibri" w:hAnsi="Times New Roman" w:cs="Times New Roman"/>
          <w:sz w:val="24"/>
          <w:szCs w:val="24"/>
          <w:lang w:val="en-US"/>
        </w:rPr>
        <w:t xml:space="preserve"> times</w:t>
      </w:r>
      <w:r w:rsidR="00A62215" w:rsidRPr="002045EC">
        <w:rPr>
          <w:rFonts w:ascii="Times New Roman" w:eastAsia="Calibri" w:hAnsi="Times New Roman" w:cs="Times New Roman"/>
          <w:sz w:val="24"/>
          <w:szCs w:val="24"/>
          <w:lang w:val="en-US"/>
        </w:rPr>
        <w:t xml:space="preserve"> (</w:t>
      </w:r>
      <w:r w:rsidR="00A62215" w:rsidRPr="002045EC">
        <w:rPr>
          <w:rFonts w:ascii="Times New Roman" w:eastAsia="Calibri" w:hAnsi="Times New Roman" w:cs="Times New Roman"/>
          <w:b/>
          <w:bCs/>
          <w:sz w:val="24"/>
          <w:szCs w:val="24"/>
          <w:lang w:val="en-US"/>
        </w:rPr>
        <w:t>Table 2</w:t>
      </w:r>
      <w:r w:rsidR="00A62215" w:rsidRPr="002045EC">
        <w:rPr>
          <w:rFonts w:ascii="Times New Roman" w:eastAsia="Calibri" w:hAnsi="Times New Roman" w:cs="Times New Roman"/>
          <w:sz w:val="24"/>
          <w:szCs w:val="24"/>
          <w:lang w:val="en-US"/>
        </w:rPr>
        <w:t xml:space="preserve">). </w:t>
      </w:r>
    </w:p>
    <w:p w14:paraId="0E614845" w14:textId="451E3C95" w:rsidR="003F4BD5" w:rsidRPr="002045EC" w:rsidRDefault="003F4BD5" w:rsidP="00E82181">
      <w:pPr>
        <w:spacing w:after="0" w:line="480" w:lineRule="auto"/>
        <w:jc w:val="both"/>
        <w:rPr>
          <w:rFonts w:ascii="Times New Roman" w:eastAsia="Calibri" w:hAnsi="Times New Roman" w:cs="Times New Roman"/>
          <w:sz w:val="24"/>
          <w:szCs w:val="24"/>
          <w:lang w:val="en-US"/>
        </w:rPr>
      </w:pPr>
    </w:p>
    <w:p w14:paraId="535122B9" w14:textId="57661543" w:rsidR="00823031" w:rsidRPr="002045EC" w:rsidRDefault="003F4BD5" w:rsidP="00823031">
      <w:pPr>
        <w:spacing w:after="0" w:line="480" w:lineRule="auto"/>
        <w:jc w:val="both"/>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t xml:space="preserve">Table 2. </w:t>
      </w:r>
      <w:r w:rsidRPr="002045EC">
        <w:rPr>
          <w:rFonts w:ascii="Times New Roman" w:hAnsi="Times New Roman" w:cs="Times New Roman"/>
          <w:b/>
          <w:sz w:val="24"/>
          <w:szCs w:val="24"/>
          <w:lang w:val="en-US"/>
        </w:rPr>
        <w:t>Association between acrylamide intake and physical performance tests.</w:t>
      </w:r>
      <w:r w:rsidR="00823031" w:rsidRPr="002045EC">
        <w:rPr>
          <w:rStyle w:val="FootnoteReference"/>
          <w:rFonts w:ascii="Times New Roman" w:hAnsi="Times New Roman" w:cs="Times New Roman"/>
          <w:b/>
          <w:bCs/>
          <w:sz w:val="24"/>
          <w:szCs w:val="24"/>
          <w:lang w:val="en-US"/>
        </w:rPr>
        <w:t xml:space="preserve"> </w:t>
      </w:r>
      <w:r w:rsidR="00823031" w:rsidRPr="002045EC">
        <w:rPr>
          <w:rStyle w:val="FootnoteReference"/>
          <w:rFonts w:ascii="Times New Roman" w:hAnsi="Times New Roman" w:cs="Times New Roman"/>
          <w:b/>
          <w:bCs/>
          <w:sz w:val="24"/>
          <w:szCs w:val="24"/>
          <w:lang w:val="en-US"/>
        </w:rPr>
        <w:footnoteReference w:id="2"/>
      </w:r>
    </w:p>
    <w:tbl>
      <w:tblPr>
        <w:tblStyle w:val="TableGrid"/>
        <w:tblW w:w="10919" w:type="dxa"/>
        <w:jc w:val="center"/>
        <w:tblLayout w:type="fixed"/>
        <w:tblLook w:val="04A0" w:firstRow="1" w:lastRow="0" w:firstColumn="1" w:lastColumn="0" w:noHBand="0" w:noVBand="1"/>
      </w:tblPr>
      <w:tblGrid>
        <w:gridCol w:w="3136"/>
        <w:gridCol w:w="1257"/>
        <w:gridCol w:w="1496"/>
        <w:gridCol w:w="1253"/>
        <w:gridCol w:w="1199"/>
        <w:gridCol w:w="1461"/>
        <w:gridCol w:w="1117"/>
      </w:tblGrid>
      <w:tr w:rsidR="003F4BD5" w:rsidRPr="002045EC" w14:paraId="2280E73F" w14:textId="77777777" w:rsidTr="005768AE">
        <w:trPr>
          <w:jc w:val="center"/>
        </w:trPr>
        <w:tc>
          <w:tcPr>
            <w:tcW w:w="3136" w:type="dxa"/>
            <w:vAlign w:val="center"/>
          </w:tcPr>
          <w:p w14:paraId="5EF30107" w14:textId="024A9930"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 xml:space="preserve"> </w:t>
            </w:r>
          </w:p>
        </w:tc>
        <w:tc>
          <w:tcPr>
            <w:tcW w:w="4006" w:type="dxa"/>
            <w:gridSpan w:val="3"/>
            <w:vAlign w:val="center"/>
          </w:tcPr>
          <w:p w14:paraId="2B7B4734"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Basic-adjusted estimates</w:t>
            </w:r>
          </w:p>
        </w:tc>
        <w:tc>
          <w:tcPr>
            <w:tcW w:w="3777" w:type="dxa"/>
            <w:gridSpan w:val="3"/>
            <w:vAlign w:val="center"/>
          </w:tcPr>
          <w:p w14:paraId="336771AE"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Fully adjusted estimates</w:t>
            </w:r>
          </w:p>
        </w:tc>
      </w:tr>
      <w:tr w:rsidR="003F4BD5" w:rsidRPr="002045EC" w14:paraId="1292AF6C" w14:textId="77777777" w:rsidTr="005768AE">
        <w:trPr>
          <w:jc w:val="center"/>
        </w:trPr>
        <w:tc>
          <w:tcPr>
            <w:tcW w:w="3136" w:type="dxa"/>
            <w:vAlign w:val="center"/>
          </w:tcPr>
          <w:p w14:paraId="463416DB"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Physical performance test</w:t>
            </w:r>
          </w:p>
        </w:tc>
        <w:tc>
          <w:tcPr>
            <w:tcW w:w="1257" w:type="dxa"/>
            <w:vAlign w:val="center"/>
          </w:tcPr>
          <w:p w14:paraId="575DA786"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beta</w:t>
            </w:r>
          </w:p>
        </w:tc>
        <w:tc>
          <w:tcPr>
            <w:tcW w:w="1496" w:type="dxa"/>
            <w:vAlign w:val="center"/>
          </w:tcPr>
          <w:p w14:paraId="3EF0A2F6"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95% CI</w:t>
            </w:r>
          </w:p>
        </w:tc>
        <w:tc>
          <w:tcPr>
            <w:tcW w:w="1253" w:type="dxa"/>
            <w:vAlign w:val="center"/>
          </w:tcPr>
          <w:p w14:paraId="30A884B2"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p-value</w:t>
            </w:r>
          </w:p>
        </w:tc>
        <w:tc>
          <w:tcPr>
            <w:tcW w:w="1199" w:type="dxa"/>
            <w:vAlign w:val="center"/>
          </w:tcPr>
          <w:p w14:paraId="4BF76586"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beta</w:t>
            </w:r>
          </w:p>
        </w:tc>
        <w:tc>
          <w:tcPr>
            <w:tcW w:w="1461" w:type="dxa"/>
            <w:vAlign w:val="center"/>
          </w:tcPr>
          <w:p w14:paraId="6CFE9CBE"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95% CI</w:t>
            </w:r>
          </w:p>
        </w:tc>
        <w:tc>
          <w:tcPr>
            <w:tcW w:w="1117" w:type="dxa"/>
            <w:vAlign w:val="center"/>
          </w:tcPr>
          <w:p w14:paraId="7ED027C5"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p-value</w:t>
            </w:r>
          </w:p>
        </w:tc>
      </w:tr>
      <w:tr w:rsidR="003F4BD5" w:rsidRPr="002045EC" w14:paraId="4C0F4D49" w14:textId="77777777" w:rsidTr="005768AE">
        <w:trPr>
          <w:jc w:val="center"/>
        </w:trPr>
        <w:tc>
          <w:tcPr>
            <w:tcW w:w="3136" w:type="dxa"/>
            <w:vAlign w:val="center"/>
          </w:tcPr>
          <w:p w14:paraId="206089A5"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20-meter walking time</w:t>
            </w:r>
          </w:p>
        </w:tc>
        <w:tc>
          <w:tcPr>
            <w:tcW w:w="1257" w:type="dxa"/>
            <w:vAlign w:val="center"/>
          </w:tcPr>
          <w:p w14:paraId="328D3664"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0.104</w:t>
            </w:r>
          </w:p>
        </w:tc>
        <w:tc>
          <w:tcPr>
            <w:tcW w:w="1496" w:type="dxa"/>
            <w:vAlign w:val="center"/>
          </w:tcPr>
          <w:p w14:paraId="6E6C5DB0"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0.088-0.120</w:t>
            </w:r>
          </w:p>
        </w:tc>
        <w:tc>
          <w:tcPr>
            <w:tcW w:w="1253" w:type="dxa"/>
            <w:vAlign w:val="center"/>
          </w:tcPr>
          <w:p w14:paraId="4E530E17"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&lt;0.0001</w:t>
            </w:r>
          </w:p>
        </w:tc>
        <w:tc>
          <w:tcPr>
            <w:tcW w:w="1199" w:type="dxa"/>
            <w:vAlign w:val="center"/>
          </w:tcPr>
          <w:p w14:paraId="63506A96"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0.032</w:t>
            </w:r>
          </w:p>
        </w:tc>
        <w:tc>
          <w:tcPr>
            <w:tcW w:w="1461" w:type="dxa"/>
            <w:vAlign w:val="center"/>
          </w:tcPr>
          <w:p w14:paraId="1F15DB5B"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0.016-0.048</w:t>
            </w:r>
          </w:p>
        </w:tc>
        <w:tc>
          <w:tcPr>
            <w:tcW w:w="1117" w:type="dxa"/>
          </w:tcPr>
          <w:p w14:paraId="248CE3E3"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0.04</w:t>
            </w:r>
          </w:p>
        </w:tc>
      </w:tr>
      <w:tr w:rsidR="003F4BD5" w:rsidRPr="002045EC" w14:paraId="11D57465" w14:textId="77777777" w:rsidTr="005768AE">
        <w:trPr>
          <w:jc w:val="center"/>
        </w:trPr>
        <w:tc>
          <w:tcPr>
            <w:tcW w:w="3136" w:type="dxa"/>
            <w:vAlign w:val="center"/>
          </w:tcPr>
          <w:p w14:paraId="0214D0DA"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400-meter total time</w:t>
            </w:r>
          </w:p>
        </w:tc>
        <w:tc>
          <w:tcPr>
            <w:tcW w:w="1257" w:type="dxa"/>
            <w:vAlign w:val="center"/>
          </w:tcPr>
          <w:p w14:paraId="739CDAD0"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0.113</w:t>
            </w:r>
          </w:p>
        </w:tc>
        <w:tc>
          <w:tcPr>
            <w:tcW w:w="1496" w:type="dxa"/>
            <w:vAlign w:val="center"/>
          </w:tcPr>
          <w:p w14:paraId="6383506E"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0.097-0.129</w:t>
            </w:r>
          </w:p>
        </w:tc>
        <w:tc>
          <w:tcPr>
            <w:tcW w:w="1253" w:type="dxa"/>
            <w:vAlign w:val="center"/>
          </w:tcPr>
          <w:p w14:paraId="3FB167E6"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&lt;0.0001</w:t>
            </w:r>
          </w:p>
        </w:tc>
        <w:tc>
          <w:tcPr>
            <w:tcW w:w="1199" w:type="dxa"/>
            <w:vAlign w:val="center"/>
          </w:tcPr>
          <w:p w14:paraId="13EBB787"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0.048</w:t>
            </w:r>
          </w:p>
        </w:tc>
        <w:tc>
          <w:tcPr>
            <w:tcW w:w="1461" w:type="dxa"/>
            <w:vAlign w:val="center"/>
          </w:tcPr>
          <w:p w14:paraId="54EC68C5"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0.033-0.063</w:t>
            </w:r>
          </w:p>
        </w:tc>
        <w:tc>
          <w:tcPr>
            <w:tcW w:w="1117" w:type="dxa"/>
          </w:tcPr>
          <w:p w14:paraId="0C7C2649"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0.002</w:t>
            </w:r>
          </w:p>
        </w:tc>
      </w:tr>
      <w:tr w:rsidR="003F4BD5" w:rsidRPr="002045EC" w14:paraId="4BBA5753" w14:textId="77777777" w:rsidTr="005768AE">
        <w:trPr>
          <w:jc w:val="center"/>
        </w:trPr>
        <w:tc>
          <w:tcPr>
            <w:tcW w:w="3136" w:type="dxa"/>
            <w:vAlign w:val="center"/>
          </w:tcPr>
          <w:p w14:paraId="44DF112C" w14:textId="77777777" w:rsidR="003F4BD5" w:rsidRPr="002045EC" w:rsidRDefault="003F4BD5" w:rsidP="005768AE">
            <w:pPr>
              <w:spacing w:line="360" w:lineRule="auto"/>
              <w:jc w:val="center"/>
              <w:rPr>
                <w:rFonts w:ascii="Times New Roman" w:hAnsi="Times New Roman" w:cs="Times New Roman"/>
                <w:b/>
                <w:sz w:val="24"/>
                <w:szCs w:val="24"/>
                <w:lang w:val="en-US"/>
              </w:rPr>
            </w:pPr>
            <w:r w:rsidRPr="002045EC">
              <w:rPr>
                <w:rFonts w:ascii="Times New Roman" w:hAnsi="Times New Roman" w:cs="Times New Roman"/>
                <w:b/>
                <w:sz w:val="24"/>
                <w:szCs w:val="24"/>
                <w:lang w:val="en-US"/>
              </w:rPr>
              <w:t>Chair stands time</w:t>
            </w:r>
          </w:p>
        </w:tc>
        <w:tc>
          <w:tcPr>
            <w:tcW w:w="1257" w:type="dxa"/>
            <w:vAlign w:val="center"/>
          </w:tcPr>
          <w:p w14:paraId="3CA28D97"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0.128</w:t>
            </w:r>
          </w:p>
        </w:tc>
        <w:tc>
          <w:tcPr>
            <w:tcW w:w="1496" w:type="dxa"/>
            <w:vAlign w:val="center"/>
          </w:tcPr>
          <w:p w14:paraId="431EB412"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0.107-0.149</w:t>
            </w:r>
          </w:p>
        </w:tc>
        <w:tc>
          <w:tcPr>
            <w:tcW w:w="1253" w:type="dxa"/>
            <w:vAlign w:val="center"/>
          </w:tcPr>
          <w:p w14:paraId="0BEEE4B1"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&lt;0.0001</w:t>
            </w:r>
          </w:p>
        </w:tc>
        <w:tc>
          <w:tcPr>
            <w:tcW w:w="1199" w:type="dxa"/>
            <w:vAlign w:val="center"/>
          </w:tcPr>
          <w:p w14:paraId="66C81F15"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0.016</w:t>
            </w:r>
          </w:p>
        </w:tc>
        <w:tc>
          <w:tcPr>
            <w:tcW w:w="1461" w:type="dxa"/>
            <w:vAlign w:val="center"/>
          </w:tcPr>
          <w:p w14:paraId="265D5F18"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0.005-0.037</w:t>
            </w:r>
          </w:p>
        </w:tc>
        <w:tc>
          <w:tcPr>
            <w:tcW w:w="1117" w:type="dxa"/>
          </w:tcPr>
          <w:p w14:paraId="6715D5DC" w14:textId="77777777" w:rsidR="003F4BD5" w:rsidRPr="002045EC" w:rsidRDefault="003F4BD5" w:rsidP="005768AE">
            <w:pPr>
              <w:spacing w:line="360" w:lineRule="auto"/>
              <w:jc w:val="center"/>
              <w:rPr>
                <w:rFonts w:ascii="Times New Roman" w:hAnsi="Times New Roman" w:cs="Times New Roman"/>
                <w:bCs/>
                <w:sz w:val="24"/>
                <w:szCs w:val="24"/>
                <w:lang w:val="en-US"/>
              </w:rPr>
            </w:pPr>
            <w:r w:rsidRPr="002045EC">
              <w:rPr>
                <w:rFonts w:ascii="Times New Roman" w:hAnsi="Times New Roman" w:cs="Times New Roman"/>
                <w:bCs/>
                <w:sz w:val="24"/>
                <w:szCs w:val="24"/>
                <w:lang w:val="en-US"/>
              </w:rPr>
              <w:t>0.04</w:t>
            </w:r>
          </w:p>
        </w:tc>
      </w:tr>
    </w:tbl>
    <w:p w14:paraId="46B4F567" w14:textId="77777777" w:rsidR="003F4BD5" w:rsidRPr="002045EC" w:rsidRDefault="003F4BD5" w:rsidP="003F4BD5">
      <w:pPr>
        <w:rPr>
          <w:lang w:val="en-US"/>
        </w:rPr>
      </w:pPr>
    </w:p>
    <w:p w14:paraId="023EC0F9" w14:textId="77777777" w:rsidR="003F4BD5" w:rsidRPr="002045EC" w:rsidRDefault="003F4BD5" w:rsidP="003F4BD5">
      <w:pPr>
        <w:rPr>
          <w:lang w:val="en-US"/>
        </w:rPr>
      </w:pPr>
    </w:p>
    <w:p w14:paraId="3406FED7" w14:textId="77777777" w:rsidR="003F4BD5" w:rsidRPr="002045EC" w:rsidRDefault="003F4BD5" w:rsidP="00E82181">
      <w:pPr>
        <w:spacing w:after="0" w:line="480" w:lineRule="auto"/>
        <w:jc w:val="both"/>
        <w:rPr>
          <w:rFonts w:ascii="Times New Roman" w:eastAsia="Calibri" w:hAnsi="Times New Roman" w:cs="Times New Roman"/>
          <w:bCs/>
          <w:iCs/>
          <w:sz w:val="24"/>
          <w:szCs w:val="24"/>
          <w:lang w:val="en-US"/>
        </w:rPr>
      </w:pPr>
    </w:p>
    <w:p w14:paraId="6DCC60A3" w14:textId="77777777" w:rsidR="00E82181" w:rsidRPr="002045EC" w:rsidRDefault="00E82181" w:rsidP="00E82181">
      <w:pPr>
        <w:jc w:val="both"/>
        <w:rPr>
          <w:rFonts w:ascii="Times New Roman" w:hAnsi="Times New Roman" w:cs="Times New Roman"/>
          <w:sz w:val="24"/>
          <w:szCs w:val="24"/>
          <w:lang w:val="en-US"/>
        </w:rPr>
      </w:pPr>
    </w:p>
    <w:p w14:paraId="7B14CE2F" w14:textId="77777777" w:rsidR="00CB487B" w:rsidRPr="002045EC" w:rsidRDefault="00CB487B" w:rsidP="00CB487B">
      <w:pPr>
        <w:jc w:val="both"/>
        <w:rPr>
          <w:rFonts w:ascii="Times New Roman" w:hAnsi="Times New Roman" w:cs="Times New Roman"/>
          <w:b/>
          <w:bCs/>
          <w:sz w:val="24"/>
          <w:szCs w:val="24"/>
          <w:lang w:val="en-US"/>
        </w:rPr>
      </w:pPr>
    </w:p>
    <w:p w14:paraId="18815CEC" w14:textId="77777777" w:rsidR="00353700" w:rsidRPr="002045EC" w:rsidRDefault="00353700">
      <w:pPr>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54C42328" w14:textId="61BE5058" w:rsidR="00DB0BCC" w:rsidRPr="002045EC" w:rsidRDefault="00A80EDF" w:rsidP="00EA2099">
      <w:pPr>
        <w:pStyle w:val="Heading1"/>
      </w:pPr>
      <w:r w:rsidRPr="002045EC">
        <w:lastRenderedPageBreak/>
        <w:t>Discussion</w:t>
      </w:r>
    </w:p>
    <w:p w14:paraId="49F1ACD1" w14:textId="184E3017" w:rsidR="00DB0BCC" w:rsidRPr="002045EC" w:rsidRDefault="00DB0BCC" w:rsidP="00DB0BCC">
      <w:pPr>
        <w:spacing w:after="0" w:line="480" w:lineRule="auto"/>
        <w:jc w:val="both"/>
        <w:rPr>
          <w:rFonts w:ascii="Times New Roman" w:eastAsia="Times New Roman" w:hAnsi="Times New Roman" w:cs="Times New Roman"/>
          <w:color w:val="000000"/>
          <w:sz w:val="24"/>
          <w:szCs w:val="24"/>
          <w:shd w:val="clear" w:color="auto" w:fill="FFFFFF"/>
          <w:lang w:val="en-US" w:eastAsia="it-IT"/>
        </w:rPr>
      </w:pPr>
      <w:r w:rsidRPr="002045EC">
        <w:rPr>
          <w:rFonts w:ascii="Times New Roman" w:eastAsia="Times New Roman" w:hAnsi="Times New Roman" w:cs="Times New Roman"/>
          <w:color w:val="000000"/>
          <w:sz w:val="24"/>
          <w:szCs w:val="24"/>
          <w:shd w:val="clear" w:color="auto" w:fill="FFFFFF"/>
          <w:lang w:val="en-US" w:eastAsia="it-IT"/>
        </w:rPr>
        <w:t>In the present study</w:t>
      </w:r>
      <w:r w:rsidR="00FC4C3C" w:rsidRPr="002045EC">
        <w:rPr>
          <w:rFonts w:ascii="Times New Roman" w:eastAsia="Times New Roman" w:hAnsi="Times New Roman" w:cs="Times New Roman"/>
          <w:color w:val="000000"/>
          <w:sz w:val="24"/>
          <w:szCs w:val="24"/>
          <w:shd w:val="clear" w:color="auto" w:fill="FFFFFF"/>
          <w:lang w:val="en-US" w:eastAsia="it-IT"/>
        </w:rPr>
        <w:t xml:space="preserve"> that includes</w:t>
      </w:r>
      <w:r w:rsidRPr="002045EC">
        <w:rPr>
          <w:rFonts w:ascii="Times New Roman" w:eastAsia="Times New Roman" w:hAnsi="Times New Roman" w:cs="Times New Roman"/>
          <w:color w:val="000000"/>
          <w:sz w:val="24"/>
          <w:szCs w:val="24"/>
          <w:shd w:val="clear" w:color="auto" w:fill="FFFFFF"/>
          <w:lang w:val="en-US" w:eastAsia="it-IT"/>
        </w:rPr>
        <w:t xml:space="preserve"> a large cohort of </w:t>
      </w:r>
      <w:r w:rsidR="00FC4C3C" w:rsidRPr="002045EC">
        <w:rPr>
          <w:rFonts w:ascii="Times New Roman" w:eastAsia="Times New Roman" w:hAnsi="Times New Roman" w:cs="Times New Roman"/>
          <w:color w:val="000000"/>
          <w:sz w:val="24"/>
          <w:szCs w:val="24"/>
          <w:shd w:val="clear" w:color="auto" w:fill="FFFFFF"/>
          <w:lang w:val="en-US" w:eastAsia="it-IT"/>
        </w:rPr>
        <w:t xml:space="preserve">US </w:t>
      </w:r>
      <w:r w:rsidRPr="002045EC">
        <w:rPr>
          <w:rFonts w:ascii="Times New Roman" w:eastAsia="Times New Roman" w:hAnsi="Times New Roman" w:cs="Times New Roman"/>
          <w:color w:val="000000"/>
          <w:sz w:val="24"/>
          <w:szCs w:val="24"/>
          <w:shd w:val="clear" w:color="auto" w:fill="FFFFFF"/>
          <w:lang w:val="en-US" w:eastAsia="it-IT"/>
        </w:rPr>
        <w:t xml:space="preserve">adults </w:t>
      </w:r>
      <w:r w:rsidR="00FC4C3C" w:rsidRPr="002045EC">
        <w:rPr>
          <w:rFonts w:ascii="Times New Roman" w:eastAsia="Times New Roman" w:hAnsi="Times New Roman" w:cs="Times New Roman"/>
          <w:color w:val="000000"/>
          <w:sz w:val="24"/>
          <w:szCs w:val="24"/>
          <w:shd w:val="clear" w:color="auto" w:fill="FFFFFF"/>
          <w:lang w:val="en-US" w:eastAsia="it-IT"/>
        </w:rPr>
        <w:t xml:space="preserve">affected by </w:t>
      </w:r>
      <w:r w:rsidRPr="002045EC">
        <w:rPr>
          <w:rFonts w:ascii="Times New Roman" w:eastAsia="Times New Roman" w:hAnsi="Times New Roman" w:cs="Times New Roman"/>
          <w:color w:val="000000"/>
          <w:sz w:val="24"/>
          <w:szCs w:val="24"/>
          <w:shd w:val="clear" w:color="auto" w:fill="FFFFFF"/>
          <w:lang w:val="en-US" w:eastAsia="it-IT"/>
        </w:rPr>
        <w:t>knee OA or at high risk</w:t>
      </w:r>
      <w:r w:rsidR="00FC4C3C" w:rsidRPr="002045EC">
        <w:rPr>
          <w:rFonts w:ascii="Times New Roman" w:eastAsia="Times New Roman" w:hAnsi="Times New Roman" w:cs="Times New Roman"/>
          <w:color w:val="000000"/>
          <w:sz w:val="24"/>
          <w:szCs w:val="24"/>
          <w:shd w:val="clear" w:color="auto" w:fill="FFFFFF"/>
          <w:lang w:val="en-US" w:eastAsia="it-IT"/>
        </w:rPr>
        <w:t xml:space="preserve"> for this condition</w:t>
      </w:r>
      <w:r w:rsidRPr="002045EC">
        <w:rPr>
          <w:rFonts w:ascii="Times New Roman" w:eastAsia="Times New Roman" w:hAnsi="Times New Roman" w:cs="Times New Roman"/>
          <w:color w:val="000000"/>
          <w:sz w:val="24"/>
          <w:szCs w:val="24"/>
          <w:shd w:val="clear" w:color="auto" w:fill="FFFFFF"/>
          <w:lang w:val="en-US" w:eastAsia="it-IT"/>
        </w:rPr>
        <w:t>,</w:t>
      </w:r>
      <w:r w:rsidR="00FC4C3C" w:rsidRPr="002045EC">
        <w:rPr>
          <w:rFonts w:ascii="Times New Roman" w:eastAsia="Times New Roman" w:hAnsi="Times New Roman" w:cs="Times New Roman"/>
          <w:color w:val="000000"/>
          <w:sz w:val="24"/>
          <w:szCs w:val="24"/>
          <w:shd w:val="clear" w:color="auto" w:fill="FFFFFF"/>
          <w:lang w:val="en-US" w:eastAsia="it-IT"/>
        </w:rPr>
        <w:t xml:space="preserve"> we found that</w:t>
      </w:r>
      <w:r w:rsidRPr="002045EC">
        <w:rPr>
          <w:rFonts w:ascii="Times New Roman" w:eastAsia="Times New Roman" w:hAnsi="Times New Roman" w:cs="Times New Roman"/>
          <w:color w:val="000000"/>
          <w:sz w:val="24"/>
          <w:szCs w:val="24"/>
          <w:shd w:val="clear" w:color="auto" w:fill="FFFFFF"/>
          <w:lang w:val="en-US" w:eastAsia="it-IT"/>
        </w:rPr>
        <w:t xml:space="preserve"> people with higher dietary acrylamide intake have </w:t>
      </w:r>
      <w:r w:rsidR="00FC4C3C" w:rsidRPr="002045EC">
        <w:rPr>
          <w:rFonts w:ascii="Times New Roman" w:eastAsia="Times New Roman" w:hAnsi="Times New Roman" w:cs="Times New Roman"/>
          <w:color w:val="000000"/>
          <w:sz w:val="24"/>
          <w:szCs w:val="24"/>
          <w:shd w:val="clear" w:color="auto" w:fill="FFFFFF"/>
          <w:lang w:val="en-US" w:eastAsia="it-IT"/>
        </w:rPr>
        <w:t>worse physical performance tests than people introducing less amounts of acrylamide</w:t>
      </w:r>
      <w:r w:rsidRPr="002045EC">
        <w:rPr>
          <w:rFonts w:ascii="Times New Roman" w:eastAsia="Times New Roman" w:hAnsi="Times New Roman" w:cs="Times New Roman"/>
          <w:color w:val="000000"/>
          <w:sz w:val="24"/>
          <w:szCs w:val="24"/>
          <w:shd w:val="clear" w:color="auto" w:fill="FFFFFF"/>
          <w:lang w:val="en-US" w:eastAsia="it-IT"/>
        </w:rPr>
        <w:t>. </w:t>
      </w:r>
      <w:r w:rsidR="00FC4C3C" w:rsidRPr="002045EC">
        <w:rPr>
          <w:rFonts w:ascii="Times New Roman" w:eastAsia="Times New Roman" w:hAnsi="Times New Roman" w:cs="Times New Roman"/>
          <w:color w:val="000000"/>
          <w:sz w:val="24"/>
          <w:szCs w:val="24"/>
          <w:shd w:val="clear" w:color="auto" w:fill="FFFFFF"/>
          <w:lang w:val="en-US" w:eastAsia="it-IT"/>
        </w:rPr>
        <w:t>These</w:t>
      </w:r>
      <w:r w:rsidRPr="002045EC">
        <w:rPr>
          <w:rFonts w:ascii="Times New Roman" w:eastAsia="Times New Roman" w:hAnsi="Times New Roman" w:cs="Times New Roman"/>
          <w:color w:val="000000"/>
          <w:sz w:val="24"/>
          <w:szCs w:val="24"/>
          <w:shd w:val="clear" w:color="auto" w:fill="FFFFFF"/>
          <w:lang w:val="en-US" w:eastAsia="it-IT"/>
        </w:rPr>
        <w:t xml:space="preserve"> finding</w:t>
      </w:r>
      <w:r w:rsidR="00FC4C3C" w:rsidRPr="002045EC">
        <w:rPr>
          <w:rFonts w:ascii="Times New Roman" w:eastAsia="Times New Roman" w:hAnsi="Times New Roman" w:cs="Times New Roman"/>
          <w:color w:val="000000"/>
          <w:sz w:val="24"/>
          <w:szCs w:val="24"/>
          <w:shd w:val="clear" w:color="auto" w:fill="FFFFFF"/>
          <w:lang w:val="en-US" w:eastAsia="it-IT"/>
        </w:rPr>
        <w:t>s</w:t>
      </w:r>
      <w:r w:rsidRPr="002045EC">
        <w:rPr>
          <w:rFonts w:ascii="Times New Roman" w:eastAsia="Times New Roman" w:hAnsi="Times New Roman" w:cs="Times New Roman"/>
          <w:color w:val="000000"/>
          <w:sz w:val="24"/>
          <w:szCs w:val="24"/>
          <w:shd w:val="clear" w:color="auto" w:fill="FFFFFF"/>
          <w:lang w:val="en-US" w:eastAsia="it-IT"/>
        </w:rPr>
        <w:t xml:space="preserve"> remained unaltered</w:t>
      </w:r>
      <w:r w:rsidR="00FC4C3C" w:rsidRPr="002045EC">
        <w:rPr>
          <w:rFonts w:ascii="Times New Roman" w:eastAsia="Times New Roman" w:hAnsi="Times New Roman" w:cs="Times New Roman"/>
          <w:color w:val="000000"/>
          <w:sz w:val="24"/>
          <w:szCs w:val="24"/>
          <w:shd w:val="clear" w:color="auto" w:fill="FFFFFF"/>
          <w:lang w:val="en-US" w:eastAsia="it-IT"/>
        </w:rPr>
        <w:t>,</w:t>
      </w:r>
      <w:r w:rsidRPr="002045EC">
        <w:rPr>
          <w:rFonts w:ascii="Times New Roman" w:eastAsia="Times New Roman" w:hAnsi="Times New Roman" w:cs="Times New Roman"/>
          <w:color w:val="000000"/>
          <w:sz w:val="24"/>
          <w:szCs w:val="24"/>
          <w:shd w:val="clear" w:color="auto" w:fill="FFFFFF"/>
          <w:lang w:val="en-US" w:eastAsia="it-IT"/>
        </w:rPr>
        <w:t xml:space="preserve"> after adjustment for several potential confounders</w:t>
      </w:r>
      <w:r w:rsidR="00FC4C3C" w:rsidRPr="002045EC">
        <w:rPr>
          <w:rFonts w:ascii="Times New Roman" w:eastAsia="Times New Roman" w:hAnsi="Times New Roman" w:cs="Times New Roman"/>
          <w:color w:val="000000"/>
          <w:sz w:val="24"/>
          <w:szCs w:val="24"/>
          <w:shd w:val="clear" w:color="auto" w:fill="FFFFFF"/>
          <w:lang w:val="en-US" w:eastAsia="it-IT"/>
        </w:rPr>
        <w:t xml:space="preserve">, indicating a possible role of dietary acrylamide in poor physical performance. </w:t>
      </w:r>
    </w:p>
    <w:p w14:paraId="577FAE6F" w14:textId="77777777" w:rsidR="00DB0BCC" w:rsidRPr="002045EC" w:rsidRDefault="00DB0BCC" w:rsidP="00DB0BCC">
      <w:pPr>
        <w:spacing w:after="0" w:line="480" w:lineRule="auto"/>
        <w:jc w:val="both"/>
        <w:rPr>
          <w:rFonts w:ascii="Times New Roman" w:eastAsia="Times New Roman" w:hAnsi="Times New Roman" w:cs="Times New Roman"/>
          <w:color w:val="000000"/>
          <w:sz w:val="24"/>
          <w:szCs w:val="24"/>
          <w:shd w:val="clear" w:color="auto" w:fill="FFFFFF"/>
          <w:lang w:val="en-US" w:eastAsia="it-IT"/>
        </w:rPr>
      </w:pPr>
    </w:p>
    <w:p w14:paraId="5853B05D" w14:textId="23A07FEE" w:rsidR="00DB0BCC" w:rsidRPr="002045EC" w:rsidRDefault="00284A08" w:rsidP="00DB0BCC">
      <w:pPr>
        <w:spacing w:after="0" w:line="480" w:lineRule="auto"/>
        <w:jc w:val="both"/>
        <w:rPr>
          <w:rFonts w:ascii="Times New Roman" w:eastAsia="Calibri" w:hAnsi="Times New Roman" w:cs="Times New Roman"/>
          <w:sz w:val="24"/>
          <w:szCs w:val="24"/>
          <w:lang w:val="en-US"/>
        </w:rPr>
      </w:pPr>
      <w:r w:rsidRPr="002045EC">
        <w:rPr>
          <w:rFonts w:ascii="Times New Roman" w:eastAsia="Times New Roman" w:hAnsi="Times New Roman" w:cs="Times New Roman"/>
          <w:sz w:val="24"/>
          <w:szCs w:val="24"/>
          <w:lang w:val="en-US" w:eastAsia="it-IT"/>
        </w:rPr>
        <w:t>Of importance, participants</w:t>
      </w:r>
      <w:r w:rsidR="00DB0BCC" w:rsidRPr="002045EC">
        <w:rPr>
          <w:rFonts w:ascii="Times New Roman" w:eastAsia="Calibri" w:hAnsi="Times New Roman" w:cs="Times New Roman"/>
          <w:sz w:val="24"/>
          <w:szCs w:val="24"/>
          <w:lang w:val="en-US"/>
        </w:rPr>
        <w:t xml:space="preserve"> having a higher dietary acrylamide intake were significantly younger, less educated, had a significant</w:t>
      </w:r>
      <w:r w:rsidR="00FB015D" w:rsidRPr="002045EC">
        <w:rPr>
          <w:rFonts w:ascii="Times New Roman" w:eastAsia="Calibri" w:hAnsi="Times New Roman" w:cs="Times New Roman"/>
          <w:sz w:val="24"/>
          <w:szCs w:val="24"/>
          <w:lang w:val="en-US"/>
        </w:rPr>
        <w:t>ly</w:t>
      </w:r>
      <w:r w:rsidR="00DB0BCC" w:rsidRPr="002045EC">
        <w:rPr>
          <w:rFonts w:ascii="Times New Roman" w:eastAsia="Calibri" w:hAnsi="Times New Roman" w:cs="Times New Roman"/>
          <w:sz w:val="24"/>
          <w:szCs w:val="24"/>
          <w:lang w:val="en-US"/>
        </w:rPr>
        <w:t xml:space="preserve"> higher calorie intake and were more frequently obese than those introducing less acrylamide with their diet. These findings were expected, since in this study a high acrylamide intake reflects a propensity to an unhealthy diet, rich in fried and roasted food, common in North American obese people and in younger populations</w:t>
      </w:r>
      <w:r w:rsidR="00961B1D" w:rsidRPr="002045EC">
        <w:rPr>
          <w:rFonts w:ascii="Times New Roman" w:eastAsia="Calibri" w:hAnsi="Times New Roman" w:cs="Times New Roman"/>
          <w:sz w:val="24"/>
          <w:szCs w:val="24"/>
          <w:lang w:val="en-US"/>
        </w:rPr>
        <w:t xml:space="preserve"> </w:t>
      </w:r>
      <w:r w:rsidR="00DB0BCC" w:rsidRPr="002045EC">
        <w:rPr>
          <w:rFonts w:ascii="Times New Roman" w:eastAsia="Calibri" w:hAnsi="Times New Roman" w:cs="Times New Roman"/>
          <w:sz w:val="24"/>
          <w:szCs w:val="24"/>
          <w:lang w:val="en-US"/>
        </w:rPr>
        <w:fldChar w:fldCharType="begin"/>
      </w:r>
      <w:r w:rsidR="002C6FEC" w:rsidRPr="002045EC">
        <w:rPr>
          <w:rFonts w:ascii="Times New Roman" w:eastAsia="Calibri" w:hAnsi="Times New Roman" w:cs="Times New Roman"/>
          <w:sz w:val="24"/>
          <w:szCs w:val="24"/>
          <w:lang w:val="en-US"/>
        </w:rPr>
        <w:instrText xml:space="preserve"> ADDIN EN.CITE &lt;EndNote&gt;&lt;Cite&gt;&lt;Author&gt;Health&lt;/Author&gt;&lt;Year&gt;2017&lt;/Year&gt;&lt;RecNum&gt;8352&lt;/RecNum&gt;&lt;DisplayText&gt;[25]&lt;/DisplayText&gt;&lt;record&gt;&lt;rec-number&gt;8352&lt;/rec-number&gt;&lt;foreign-keys&gt;&lt;key app="EN" db-id="t2wadffz0tdfane25rb50ezte9zwtdwpseft"&gt;8352&lt;/key&gt;&lt;/foreign-keys&gt;&lt;ref-type name="Book"&gt;6&lt;/ref-type&gt;&lt;contributors&gt;&lt;authors&gt;&lt;author&gt;US Department of Health&lt;/author&gt;&lt;author&gt;Human Services&lt;/author&gt;&lt;/authors&gt;&lt;/contributors&gt;&lt;titles&gt;&lt;title&gt;Dietary guidelines for Americans 2015-2020&lt;/title&gt;&lt;/titles&gt;&lt;dates&gt;&lt;year&gt;2017&lt;/year&gt;&lt;/dates&gt;&lt;publisher&gt;Skyhorse Publishing Inc.&lt;/publisher&gt;&lt;isbn&gt;1510726160&lt;/isbn&gt;&lt;urls&gt;&lt;/urls&gt;&lt;/record&gt;&lt;/Cite&gt;&lt;/EndNote&gt;</w:instrText>
      </w:r>
      <w:r w:rsidR="00DB0BCC" w:rsidRPr="002045EC">
        <w:rPr>
          <w:rFonts w:ascii="Times New Roman" w:eastAsia="Calibri" w:hAnsi="Times New Roman" w:cs="Times New Roman"/>
          <w:sz w:val="24"/>
          <w:szCs w:val="24"/>
          <w:lang w:val="en-US"/>
        </w:rPr>
        <w:fldChar w:fldCharType="separate"/>
      </w:r>
      <w:r w:rsidR="002C6FEC" w:rsidRPr="002045EC">
        <w:rPr>
          <w:rFonts w:ascii="Times New Roman" w:eastAsia="Calibri" w:hAnsi="Times New Roman" w:cs="Times New Roman"/>
          <w:noProof/>
          <w:sz w:val="24"/>
          <w:szCs w:val="24"/>
          <w:lang w:val="en-US"/>
        </w:rPr>
        <w:t>[25]</w:t>
      </w:r>
      <w:r w:rsidR="00DB0BCC" w:rsidRPr="002045EC">
        <w:rPr>
          <w:rFonts w:ascii="Times New Roman" w:eastAsia="Calibri" w:hAnsi="Times New Roman" w:cs="Times New Roman"/>
          <w:sz w:val="24"/>
          <w:szCs w:val="24"/>
          <w:lang w:val="en-US"/>
        </w:rPr>
        <w:fldChar w:fldCharType="end"/>
      </w:r>
      <w:r w:rsidR="00961B1D" w:rsidRPr="002045EC">
        <w:rPr>
          <w:rFonts w:ascii="Times New Roman" w:eastAsia="Calibri" w:hAnsi="Times New Roman" w:cs="Times New Roman"/>
          <w:sz w:val="24"/>
          <w:szCs w:val="24"/>
          <w:lang w:val="en-US"/>
        </w:rPr>
        <w:t>.</w:t>
      </w:r>
      <w:r w:rsidR="00DB0BCC" w:rsidRPr="002045EC">
        <w:rPr>
          <w:rFonts w:ascii="Times New Roman" w:eastAsia="Calibri" w:hAnsi="Times New Roman" w:cs="Times New Roman"/>
          <w:sz w:val="24"/>
          <w:szCs w:val="24"/>
          <w:lang w:val="en-US"/>
        </w:rPr>
        <w:t xml:space="preserve"> </w:t>
      </w:r>
      <w:r w:rsidR="00657F0D" w:rsidRPr="002045EC">
        <w:rPr>
          <w:rFonts w:ascii="Times New Roman" w:eastAsia="Calibri" w:hAnsi="Times New Roman" w:cs="Times New Roman"/>
          <w:sz w:val="24"/>
          <w:szCs w:val="24"/>
          <w:lang w:val="en-US"/>
        </w:rPr>
        <w:t xml:space="preserve">It is important to note </w:t>
      </w:r>
      <w:r w:rsidRPr="002045EC">
        <w:rPr>
          <w:rFonts w:ascii="Times New Roman" w:eastAsia="Calibri" w:hAnsi="Times New Roman" w:cs="Times New Roman"/>
          <w:sz w:val="24"/>
          <w:szCs w:val="24"/>
          <w:lang w:val="en-US"/>
        </w:rPr>
        <w:t xml:space="preserve">that people </w:t>
      </w:r>
      <w:r w:rsidR="00657F0D" w:rsidRPr="002045EC">
        <w:rPr>
          <w:rFonts w:ascii="Times New Roman" w:eastAsia="Calibri" w:hAnsi="Times New Roman" w:cs="Times New Roman"/>
          <w:sz w:val="24"/>
          <w:szCs w:val="24"/>
          <w:lang w:val="en-US"/>
        </w:rPr>
        <w:t xml:space="preserve">consuming </w:t>
      </w:r>
      <w:r w:rsidRPr="002045EC">
        <w:rPr>
          <w:rFonts w:ascii="Times New Roman" w:eastAsia="Calibri" w:hAnsi="Times New Roman" w:cs="Times New Roman"/>
          <w:sz w:val="24"/>
          <w:szCs w:val="24"/>
          <w:lang w:val="en-US"/>
        </w:rPr>
        <w:t>more acrylamide wi</w:t>
      </w:r>
      <w:r w:rsidR="00657F0D" w:rsidRPr="002045EC">
        <w:rPr>
          <w:rFonts w:ascii="Times New Roman" w:eastAsia="Calibri" w:hAnsi="Times New Roman" w:cs="Times New Roman"/>
          <w:sz w:val="24"/>
          <w:szCs w:val="24"/>
          <w:lang w:val="en-US"/>
        </w:rPr>
        <w:t>th</w:t>
      </w:r>
      <w:r w:rsidRPr="002045EC">
        <w:rPr>
          <w:rFonts w:ascii="Times New Roman" w:eastAsia="Calibri" w:hAnsi="Times New Roman" w:cs="Times New Roman"/>
          <w:sz w:val="24"/>
          <w:szCs w:val="24"/>
          <w:lang w:val="en-US"/>
        </w:rPr>
        <w:t xml:space="preserve"> their diet are, in mean, 5 years younger than those with lower intakes, but paradoxically report worse physical performance tests</w:t>
      </w:r>
      <w:r w:rsidR="004C7CEE" w:rsidRPr="002045EC">
        <w:rPr>
          <w:rFonts w:ascii="Times New Roman" w:eastAsia="Calibri" w:hAnsi="Times New Roman" w:cs="Times New Roman"/>
          <w:sz w:val="24"/>
          <w:szCs w:val="24"/>
          <w:lang w:val="en-US"/>
        </w:rPr>
        <w:t xml:space="preserve"> indicating an important role of unhealthy diet in predicting poor physical performance. </w:t>
      </w:r>
    </w:p>
    <w:p w14:paraId="1DA1CA09" w14:textId="77777777" w:rsidR="00DB0BCC" w:rsidRPr="002045EC" w:rsidRDefault="00DB0BCC" w:rsidP="00DB0BCC">
      <w:pPr>
        <w:spacing w:after="0" w:line="480" w:lineRule="auto"/>
        <w:jc w:val="both"/>
        <w:rPr>
          <w:rFonts w:ascii="Times New Roman" w:eastAsia="Calibri" w:hAnsi="Times New Roman" w:cs="Times New Roman"/>
          <w:sz w:val="24"/>
          <w:szCs w:val="24"/>
          <w:lang w:val="en-US"/>
        </w:rPr>
      </w:pPr>
    </w:p>
    <w:p w14:paraId="14837822" w14:textId="727602B2" w:rsidR="00DB0BCC" w:rsidRPr="002045EC" w:rsidRDefault="00DB0BCC" w:rsidP="00DB0BCC">
      <w:pPr>
        <w:spacing w:after="0" w:line="480" w:lineRule="auto"/>
        <w:jc w:val="both"/>
        <w:rPr>
          <w:rFonts w:ascii="Times New Roman" w:eastAsia="Times New Roman" w:hAnsi="Times New Roman" w:cs="Times New Roman"/>
          <w:sz w:val="24"/>
          <w:szCs w:val="24"/>
          <w:lang w:val="en-US" w:eastAsia="it-IT"/>
        </w:rPr>
      </w:pPr>
      <w:r w:rsidRPr="002045EC">
        <w:rPr>
          <w:rFonts w:ascii="Times New Roman" w:eastAsia="Calibri" w:hAnsi="Times New Roman" w:cs="Times New Roman"/>
          <w:sz w:val="24"/>
          <w:szCs w:val="24"/>
          <w:lang w:val="en-US"/>
        </w:rPr>
        <w:t xml:space="preserve">To the best of our knowledge, this is the </w:t>
      </w:r>
      <w:r w:rsidR="00463508" w:rsidRPr="002045EC">
        <w:rPr>
          <w:rFonts w:ascii="Times New Roman" w:eastAsia="Calibri" w:hAnsi="Times New Roman" w:cs="Times New Roman"/>
          <w:sz w:val="24"/>
          <w:szCs w:val="24"/>
          <w:lang w:val="en-US"/>
        </w:rPr>
        <w:t>first</w:t>
      </w:r>
      <w:r w:rsidRPr="002045EC">
        <w:rPr>
          <w:rFonts w:ascii="Times New Roman" w:eastAsia="Calibri" w:hAnsi="Times New Roman" w:cs="Times New Roman"/>
          <w:sz w:val="24"/>
          <w:szCs w:val="24"/>
          <w:lang w:val="en-US"/>
        </w:rPr>
        <w:t xml:space="preserve"> study evaluating the relationship between the dietary intake of acrylamide and </w:t>
      </w:r>
      <w:r w:rsidR="00463508" w:rsidRPr="002045EC">
        <w:rPr>
          <w:rFonts w:ascii="Times New Roman" w:eastAsia="Calibri" w:hAnsi="Times New Roman" w:cs="Times New Roman"/>
          <w:sz w:val="24"/>
          <w:szCs w:val="24"/>
          <w:lang w:val="en-US"/>
        </w:rPr>
        <w:t>physical performance</w:t>
      </w:r>
      <w:r w:rsidR="003A225F" w:rsidRPr="002045EC">
        <w:rPr>
          <w:rFonts w:ascii="Times New Roman" w:eastAsia="Calibri" w:hAnsi="Times New Roman" w:cs="Times New Roman"/>
          <w:sz w:val="24"/>
          <w:szCs w:val="24"/>
          <w:lang w:val="en-US"/>
        </w:rPr>
        <w:t xml:space="preserve">, indicating the need </w:t>
      </w:r>
      <w:r w:rsidR="00FB015D" w:rsidRPr="002045EC">
        <w:rPr>
          <w:rFonts w:ascii="Times New Roman" w:eastAsia="Calibri" w:hAnsi="Times New Roman" w:cs="Times New Roman"/>
          <w:sz w:val="24"/>
          <w:szCs w:val="24"/>
          <w:lang w:val="en-US"/>
        </w:rPr>
        <w:t>for</w:t>
      </w:r>
      <w:r w:rsidR="003A225F" w:rsidRPr="002045EC">
        <w:rPr>
          <w:rFonts w:ascii="Times New Roman" w:eastAsia="Calibri" w:hAnsi="Times New Roman" w:cs="Times New Roman"/>
          <w:sz w:val="24"/>
          <w:szCs w:val="24"/>
          <w:lang w:val="en-US"/>
        </w:rPr>
        <w:t xml:space="preserve"> future </w:t>
      </w:r>
      <w:r w:rsidR="0094144C" w:rsidRPr="002045EC">
        <w:rPr>
          <w:rFonts w:ascii="Times New Roman" w:eastAsia="Calibri" w:hAnsi="Times New Roman" w:cs="Times New Roman"/>
          <w:sz w:val="24"/>
          <w:szCs w:val="24"/>
          <w:lang w:val="en-US"/>
        </w:rPr>
        <w:t xml:space="preserve">research in this field. </w:t>
      </w:r>
      <w:r w:rsidR="00B7346A" w:rsidRPr="002045EC">
        <w:rPr>
          <w:rFonts w:ascii="Times New Roman" w:eastAsia="Calibri" w:hAnsi="Times New Roman" w:cs="Times New Roman"/>
          <w:sz w:val="24"/>
          <w:szCs w:val="24"/>
          <w:lang w:val="en-US"/>
        </w:rPr>
        <w:t>However, we can speculate regarding these data, at least from a pathophysiological point of view. First, it</w:t>
      </w:r>
      <w:r w:rsidRPr="002045EC">
        <w:rPr>
          <w:rFonts w:ascii="Times New Roman" w:eastAsia="Times New Roman" w:hAnsi="Times New Roman" w:cs="Times New Roman"/>
          <w:sz w:val="24"/>
          <w:szCs w:val="24"/>
          <w:lang w:val="en-US" w:eastAsia="it-IT"/>
        </w:rPr>
        <w:t xml:space="preserve"> is possible that </w:t>
      </w:r>
      <w:r w:rsidR="00657F0D" w:rsidRPr="002045EC">
        <w:rPr>
          <w:rFonts w:ascii="Times New Roman" w:eastAsia="Times New Roman" w:hAnsi="Times New Roman" w:cs="Times New Roman"/>
          <w:sz w:val="24"/>
          <w:szCs w:val="24"/>
          <w:lang w:val="en-US" w:eastAsia="it-IT"/>
        </w:rPr>
        <w:t>reactive oxygen species</w:t>
      </w:r>
      <w:r w:rsidRPr="002045EC">
        <w:rPr>
          <w:rFonts w:ascii="Times New Roman" w:eastAsia="Times New Roman" w:hAnsi="Times New Roman" w:cs="Times New Roman"/>
          <w:sz w:val="24"/>
          <w:szCs w:val="24"/>
          <w:lang w:val="en-US" w:eastAsia="it-IT"/>
        </w:rPr>
        <w:t xml:space="preserve"> </w:t>
      </w:r>
      <w:r w:rsidR="00657F0D" w:rsidRPr="002045EC">
        <w:rPr>
          <w:rFonts w:ascii="Times New Roman" w:eastAsia="Times New Roman" w:hAnsi="Times New Roman" w:cs="Times New Roman"/>
          <w:sz w:val="24"/>
          <w:szCs w:val="24"/>
          <w:lang w:val="en-US" w:eastAsia="it-IT"/>
        </w:rPr>
        <w:t xml:space="preserve">may partially explain the relationship between </w:t>
      </w:r>
      <w:r w:rsidRPr="002045EC">
        <w:rPr>
          <w:rFonts w:ascii="Times New Roman" w:eastAsia="Times New Roman" w:hAnsi="Times New Roman" w:cs="Times New Roman"/>
          <w:sz w:val="24"/>
          <w:szCs w:val="24"/>
          <w:lang w:val="en-US" w:eastAsia="it-IT"/>
        </w:rPr>
        <w:t xml:space="preserve">dietary acrylamide intake and </w:t>
      </w:r>
      <w:r w:rsidR="00B7346A" w:rsidRPr="002045EC">
        <w:rPr>
          <w:rFonts w:ascii="Times New Roman" w:eastAsia="Times New Roman" w:hAnsi="Times New Roman" w:cs="Times New Roman"/>
          <w:sz w:val="24"/>
          <w:szCs w:val="24"/>
          <w:lang w:val="en-US" w:eastAsia="it-IT"/>
        </w:rPr>
        <w:t>poor physical performance</w:t>
      </w:r>
      <w:r w:rsidRPr="002045EC">
        <w:rPr>
          <w:rFonts w:ascii="Times New Roman" w:eastAsia="Times New Roman" w:hAnsi="Times New Roman" w:cs="Times New Roman"/>
          <w:sz w:val="24"/>
          <w:szCs w:val="24"/>
          <w:lang w:val="en-US" w:eastAsia="it-IT"/>
        </w:rPr>
        <w:t xml:space="preserve">. </w:t>
      </w:r>
      <w:r w:rsidR="00657F0D" w:rsidRPr="002045EC">
        <w:rPr>
          <w:rFonts w:ascii="Times New Roman" w:eastAsia="Times New Roman" w:hAnsi="Times New Roman" w:cs="Times New Roman"/>
          <w:sz w:val="24"/>
          <w:szCs w:val="24"/>
          <w:lang w:val="en-US" w:eastAsia="it-IT"/>
        </w:rPr>
        <w:t xml:space="preserve">Indeed, a previous study observed that </w:t>
      </w:r>
      <w:r w:rsidRPr="002045EC">
        <w:rPr>
          <w:rFonts w:ascii="Times New Roman" w:eastAsia="Times New Roman" w:hAnsi="Times New Roman" w:cs="Times New Roman"/>
          <w:sz w:val="24"/>
          <w:szCs w:val="24"/>
          <w:lang w:val="en-US" w:eastAsia="it-IT"/>
        </w:rPr>
        <w:t xml:space="preserve">acrylamide </w:t>
      </w:r>
      <w:r w:rsidRPr="002045EC">
        <w:rPr>
          <w:rFonts w:ascii="Times New Roman" w:eastAsia="Times New Roman" w:hAnsi="Times New Roman" w:cs="Times New Roman"/>
          <w:color w:val="000000"/>
          <w:sz w:val="24"/>
          <w:szCs w:val="24"/>
          <w:shd w:val="clear" w:color="auto" w:fill="FFFFFF"/>
          <w:lang w:val="en-US"/>
        </w:rPr>
        <w:t xml:space="preserve">exposure </w:t>
      </w:r>
      <w:r w:rsidR="00657F0D" w:rsidRPr="002045EC">
        <w:rPr>
          <w:rFonts w:ascii="Times New Roman" w:eastAsia="Times New Roman" w:hAnsi="Times New Roman" w:cs="Times New Roman"/>
          <w:color w:val="000000"/>
          <w:sz w:val="24"/>
          <w:szCs w:val="24"/>
          <w:shd w:val="clear" w:color="auto" w:fill="FFFFFF"/>
          <w:lang w:val="en-US"/>
        </w:rPr>
        <w:t xml:space="preserve">was associated with an </w:t>
      </w:r>
      <w:r w:rsidRPr="002045EC">
        <w:rPr>
          <w:rFonts w:ascii="Times New Roman" w:eastAsia="Times New Roman" w:hAnsi="Times New Roman" w:cs="Times New Roman"/>
          <w:color w:val="000000"/>
          <w:sz w:val="24"/>
          <w:szCs w:val="24"/>
          <w:shd w:val="clear" w:color="auto" w:fill="FFFFFF"/>
          <w:lang w:val="en-US"/>
        </w:rPr>
        <w:t>increase</w:t>
      </w:r>
      <w:r w:rsidR="00657F0D" w:rsidRPr="002045EC">
        <w:rPr>
          <w:rFonts w:ascii="Times New Roman" w:eastAsia="Times New Roman" w:hAnsi="Times New Roman" w:cs="Times New Roman"/>
          <w:color w:val="000000"/>
          <w:sz w:val="24"/>
          <w:szCs w:val="24"/>
          <w:shd w:val="clear" w:color="auto" w:fill="FFFFFF"/>
          <w:lang w:val="en-US"/>
        </w:rPr>
        <w:t xml:space="preserve"> in</w:t>
      </w:r>
      <w:r w:rsidR="00B7346A"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t>reactive oxygen species</w:t>
      </w:r>
      <w:r w:rsidR="00961B1D" w:rsidRPr="002045EC">
        <w:rPr>
          <w:rFonts w:ascii="Times New Roman" w:eastAsia="Times New Roman" w:hAnsi="Times New Roman" w:cs="Times New Roman"/>
          <w:color w:val="000000"/>
          <w:sz w:val="24"/>
          <w:szCs w:val="24"/>
          <w:shd w:val="clear" w:color="auto" w:fill="FFFFFF"/>
          <w:lang w:val="en-US"/>
        </w:rPr>
        <w:t xml:space="preserve"> </w:t>
      </w:r>
      <w:r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&lt;EndNote&gt;&lt;Cite&gt;&lt;Author&gt;Pan&lt;/Author&gt;&lt;Year&gt;2018&lt;/Year&gt;&lt;RecNum&gt;8357&lt;/RecNum&gt;&lt;DisplayText&gt;[8]&lt;/DisplayText&gt;&lt;record&gt;&lt;rec-number&gt;8357&lt;/rec-number&gt;&lt;foreign-keys&gt;&lt;key app="EN" db-id="t2wadffz0tdfane25rb50ezte9zwtdwpseft"&gt;8357&lt;/key&gt;&lt;/foreign-keys&gt;&lt;ref-type name="Journal Article"&gt;17&lt;/ref-type&gt;&lt;contributors&gt;&lt;authors&gt;&lt;author&gt;Pan, Xiaoqi&lt;/author&gt;&lt;author&gt;Wu, Xu&lt;/author&gt;&lt;author&gt;Yan, Dandan&lt;/author&gt;&lt;author&gt;Peng, Cheng&lt;/author&gt;&lt;author&gt;Rao, Chaolong&lt;/author&gt;&lt;author&gt;Yan, Hong&lt;/author&gt;&lt;/authors&gt;&lt;/contributors&gt;&lt;titles&gt;&lt;title&gt;Acrylamide-induced oxidative stress and inflammatory response are alleviated by N-acetylcysteine in PC12 cells: Involvement of the crosstalk between Nrf2 and NF-κB pathways regulated by MAPKs&lt;/title&gt;&lt;secondary-title&gt;Toxicology letters&lt;/secondary-title&gt;&lt;/titles&gt;&lt;periodical&gt;&lt;full-title&gt;Toxicology letters&lt;/full-title&gt;&lt;/periodical&gt;&lt;pages&gt;55-64&lt;/pages&gt;&lt;volume&gt;288&lt;/volume&gt;&lt;dates&gt;&lt;year&gt;2018&lt;/year&gt;&lt;/dates&gt;&lt;isbn&gt;0378-4274&lt;/isbn&gt;&lt;urls&gt;&lt;/urls&gt;&lt;/record&gt;&lt;/Cite&gt;&lt;/EndNote&gt;</w:instrText>
      </w:r>
      <w:r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[8]</w:t>
      </w:r>
      <w:r w:rsidRPr="002045EC">
        <w:rPr>
          <w:rFonts w:ascii="Times New Roman" w:eastAsia="Times New Roman" w:hAnsi="Times New Roman" w:cs="Times New Roman"/>
          <w:color w:val="000000"/>
          <w:sz w:val="24"/>
          <w:szCs w:val="24"/>
          <w:shd w:val="clear" w:color="auto" w:fill="FFFFFF"/>
          <w:lang w:val="en-US"/>
        </w:rPr>
        <w:fldChar w:fldCharType="end"/>
      </w:r>
      <w:r w:rsidR="00961B1D" w:rsidRPr="002045EC">
        <w:rPr>
          <w:rFonts w:ascii="Times New Roman" w:eastAsia="Times New Roman" w:hAnsi="Times New Roman" w:cs="Times New Roman"/>
          <w:color w:val="000000"/>
          <w:sz w:val="24"/>
          <w:szCs w:val="24"/>
          <w:shd w:val="clear" w:color="auto" w:fill="FFFFFF"/>
          <w:lang w:val="en-US"/>
        </w:rPr>
        <w:t>.</w:t>
      </w:r>
      <w:r w:rsidR="00657F0D" w:rsidRPr="002045EC">
        <w:rPr>
          <w:rFonts w:ascii="Times New Roman" w:eastAsia="Times New Roman" w:hAnsi="Times New Roman" w:cs="Times New Roman"/>
          <w:color w:val="000000"/>
          <w:sz w:val="24"/>
          <w:szCs w:val="24"/>
          <w:shd w:val="clear" w:color="auto" w:fill="FFFFFF"/>
          <w:lang w:val="en-US"/>
        </w:rPr>
        <w:t xml:space="preserve"> Second</w:t>
      </w:r>
      <w:r w:rsidR="004A7AAF" w:rsidRPr="002045EC">
        <w:rPr>
          <w:rFonts w:ascii="Times New Roman" w:eastAsia="Times New Roman" w:hAnsi="Times New Roman" w:cs="Times New Roman"/>
          <w:color w:val="000000"/>
          <w:sz w:val="24"/>
          <w:szCs w:val="24"/>
          <w:shd w:val="clear" w:color="auto" w:fill="FFFFFF"/>
          <w:lang w:val="en-US"/>
        </w:rPr>
        <w:t>, in experimental animal</w:t>
      </w:r>
      <w:r w:rsidR="00657F0D" w:rsidRPr="002045EC">
        <w:rPr>
          <w:rFonts w:ascii="Times New Roman" w:eastAsia="Times New Roman" w:hAnsi="Times New Roman" w:cs="Times New Roman"/>
          <w:color w:val="000000"/>
          <w:sz w:val="24"/>
          <w:szCs w:val="24"/>
          <w:shd w:val="clear" w:color="auto" w:fill="FFFFFF"/>
          <w:lang w:val="en-US"/>
        </w:rPr>
        <w:t xml:space="preserve"> models</w:t>
      </w:r>
      <w:r w:rsidR="004A7AAF" w:rsidRPr="002045EC">
        <w:rPr>
          <w:rFonts w:ascii="Times New Roman" w:eastAsia="Times New Roman" w:hAnsi="Times New Roman" w:cs="Times New Roman"/>
          <w:color w:val="000000"/>
          <w:sz w:val="24"/>
          <w:szCs w:val="24"/>
          <w:shd w:val="clear" w:color="auto" w:fill="FFFFFF"/>
          <w:lang w:val="en-US"/>
        </w:rPr>
        <w:t xml:space="preserve">, acrylamide increases inflammatory and pro-apoptosis </w:t>
      </w:r>
      <w:r w:rsidR="00697033" w:rsidRPr="002045EC">
        <w:rPr>
          <w:rFonts w:ascii="Times New Roman" w:eastAsia="Times New Roman" w:hAnsi="Times New Roman" w:cs="Times New Roman"/>
          <w:color w:val="000000"/>
          <w:sz w:val="24"/>
          <w:szCs w:val="24"/>
          <w:shd w:val="clear" w:color="auto" w:fill="FFFFFF"/>
          <w:lang w:val="en-US"/>
        </w:rPr>
        <w:t xml:space="preserve">markers </w:t>
      </w:r>
      <w:r w:rsidR="00D53C71" w:rsidRPr="002045EC">
        <w:rPr>
          <w:rFonts w:ascii="Times New Roman" w:eastAsia="Times New Roman" w:hAnsi="Times New Roman" w:cs="Times New Roman"/>
          <w:color w:val="000000"/>
          <w:sz w:val="24"/>
          <w:szCs w:val="24"/>
          <w:shd w:val="clear" w:color="auto" w:fill="FFFFFF"/>
          <w:lang w:val="en-US"/>
        </w:rPr>
        <w:fldChar w:fldCharType="begin"/>
      </w:r>
      <w:r w:rsidR="002C6FEC" w:rsidRPr="002045EC">
        <w:rPr>
          <w:rFonts w:ascii="Times New Roman" w:eastAsia="Times New Roman" w:hAnsi="Times New Roman" w:cs="Times New Roman"/>
          <w:color w:val="000000"/>
          <w:sz w:val="24"/>
          <w:szCs w:val="24"/>
          <w:shd w:val="clear" w:color="auto" w:fill="FFFFFF"/>
          <w:lang w:val="en-US"/>
        </w:rPr>
        <w:instrText xml:space="preserve"> ADDIN EN.CITE &lt;EndNote&gt;&lt;Cite&gt;&lt;Author&gt;Song&lt;/Author&gt;&lt;Year&gt;2021&lt;/Year&gt;&lt;RecNum&gt;10478&lt;/RecNum&gt;&lt;DisplayText&gt;[26]&lt;/DisplayText&gt;&lt;record&gt;&lt;rec-number&gt;10478&lt;/rec-number&gt;&lt;foreign-keys&gt;&lt;key app="EN" db-id="drpew5wfywra50esazbxawda2f59zaves90z" timestamp="1622902061"&gt;10478&lt;/key&gt;&lt;/foreign-keys&gt;&lt;ref-type name="Journal Article"&gt;17&lt;/ref-type&gt;&lt;contributors&gt;&lt;authors&gt;&lt;author&gt;Song, Dan&lt;/author&gt;&lt;author&gt;Xu, Chao&lt;/author&gt;&lt;author&gt;Holck, Askild L&lt;/author&gt;&lt;author&gt;Liu, Rong&lt;/author&gt;&lt;/authors&gt;&lt;/contributors&gt;&lt;titles&gt;&lt;title&gt;Acrylamide inhibits autophagy, induces apoptosis and alters cellular metabolic profiles&lt;/title&gt;&lt;secondary-title&gt;Ecotoxicology and environmental safety&lt;/secondary-title&gt;&lt;/titles&gt;&lt;periodical&gt;&lt;full-title&gt;Ecotoxicology and environmental safety&lt;/full-title&gt;&lt;/periodical&gt;&lt;pages&gt;111543&lt;/pages&gt;&lt;volume&gt;208&lt;/volume&gt;&lt;dates&gt;&lt;year&gt;2021&lt;/year&gt;&lt;/dates&gt;&lt;isbn&gt;0147-6513&lt;/isbn&gt;&lt;urls&gt;&lt;/urls&gt;&lt;/record&gt;&lt;/Cite&gt;&lt;/EndNote&gt;</w:instrText>
      </w:r>
      <w:r w:rsidR="00D53C71" w:rsidRPr="002045EC">
        <w:rPr>
          <w:rFonts w:ascii="Times New Roman" w:eastAsia="Times New Roman" w:hAnsi="Times New Roman" w:cs="Times New Roman"/>
          <w:color w:val="000000"/>
          <w:sz w:val="24"/>
          <w:szCs w:val="24"/>
          <w:shd w:val="clear" w:color="auto" w:fill="FFFFFF"/>
          <w:lang w:val="en-US"/>
        </w:rPr>
        <w:fldChar w:fldCharType="separate"/>
      </w:r>
      <w:r w:rsidR="002C6FEC" w:rsidRPr="002045EC">
        <w:rPr>
          <w:rFonts w:ascii="Times New Roman" w:eastAsia="Times New Roman" w:hAnsi="Times New Roman" w:cs="Times New Roman"/>
          <w:noProof/>
          <w:color w:val="000000"/>
          <w:sz w:val="24"/>
          <w:szCs w:val="24"/>
          <w:shd w:val="clear" w:color="auto" w:fill="FFFFFF"/>
          <w:lang w:val="en-US"/>
        </w:rPr>
        <w:t>[26]</w:t>
      </w:r>
      <w:r w:rsidR="00D53C71" w:rsidRPr="002045EC">
        <w:rPr>
          <w:rFonts w:ascii="Times New Roman" w:eastAsia="Times New Roman" w:hAnsi="Times New Roman" w:cs="Times New Roman"/>
          <w:color w:val="000000"/>
          <w:sz w:val="24"/>
          <w:szCs w:val="24"/>
          <w:shd w:val="clear" w:color="auto" w:fill="FFFFFF"/>
          <w:lang w:val="en-US"/>
        </w:rPr>
        <w:fldChar w:fldCharType="end"/>
      </w:r>
      <w:r w:rsidR="00915346" w:rsidRPr="002045EC">
        <w:rPr>
          <w:rFonts w:ascii="Times New Roman" w:eastAsia="Times New Roman" w:hAnsi="Times New Roman" w:cs="Times New Roman"/>
          <w:color w:val="000000"/>
          <w:sz w:val="24"/>
          <w:szCs w:val="24"/>
          <w:shd w:val="clear" w:color="auto" w:fill="FFFFFF"/>
          <w:lang w:val="en-US"/>
        </w:rPr>
        <w:t xml:space="preserve">, further contributing to muscle loss and, therefore, to poor physical performance. </w:t>
      </w:r>
    </w:p>
    <w:p w14:paraId="12A47836" w14:textId="77777777" w:rsidR="00DB0BCC" w:rsidRPr="002045EC" w:rsidRDefault="00DB0BCC" w:rsidP="00DB0BCC">
      <w:pPr>
        <w:spacing w:after="0" w:line="480" w:lineRule="auto"/>
        <w:jc w:val="both"/>
        <w:rPr>
          <w:rFonts w:ascii="Times New Roman" w:eastAsia="Times New Roman" w:hAnsi="Times New Roman" w:cs="Times New Roman"/>
          <w:sz w:val="24"/>
          <w:szCs w:val="24"/>
          <w:lang w:val="en-US" w:eastAsia="it-IT"/>
        </w:rPr>
      </w:pPr>
    </w:p>
    <w:p w14:paraId="2096F497" w14:textId="77777777" w:rsidR="00DB0BCC" w:rsidRPr="002045EC" w:rsidRDefault="00DB0BCC" w:rsidP="00DB0BCC">
      <w:pPr>
        <w:spacing w:after="0" w:line="480" w:lineRule="auto"/>
        <w:jc w:val="both"/>
        <w:rPr>
          <w:rFonts w:ascii="Times New Roman" w:eastAsia="Calibri" w:hAnsi="Times New Roman" w:cs="Times New Roman"/>
          <w:sz w:val="24"/>
          <w:szCs w:val="24"/>
          <w:lang w:val="en-US"/>
        </w:rPr>
      </w:pPr>
    </w:p>
    <w:p w14:paraId="5A3205E4" w14:textId="5D559F2E" w:rsidR="00DB0BCC" w:rsidRPr="002045EC" w:rsidRDefault="00A37F50" w:rsidP="00DB0BCC">
      <w:pPr>
        <w:spacing w:after="0" w:line="480" w:lineRule="auto"/>
        <w:jc w:val="both"/>
        <w:rPr>
          <w:rFonts w:ascii="Times New Roman" w:eastAsia="Calibri" w:hAnsi="Times New Roman" w:cs="Times New Roman"/>
          <w:sz w:val="24"/>
          <w:szCs w:val="24"/>
          <w:lang w:val="en-US"/>
        </w:rPr>
      </w:pPr>
      <w:r w:rsidRPr="002045EC">
        <w:rPr>
          <w:rFonts w:ascii="Times New Roman" w:eastAsia="Calibri" w:hAnsi="Times New Roman" w:cs="Times New Roman"/>
          <w:sz w:val="24"/>
          <w:szCs w:val="24"/>
          <w:lang w:val="en-US"/>
        </w:rPr>
        <w:t>The f</w:t>
      </w:r>
      <w:r w:rsidR="00DB0BCC" w:rsidRPr="002045EC">
        <w:rPr>
          <w:rFonts w:ascii="Times New Roman" w:eastAsia="Calibri" w:hAnsi="Times New Roman" w:cs="Times New Roman"/>
          <w:sz w:val="24"/>
          <w:szCs w:val="24"/>
          <w:lang w:val="en-US"/>
        </w:rPr>
        <w:t xml:space="preserve">indings from this study should be interpreted </w:t>
      </w:r>
      <w:r w:rsidR="00961B1D" w:rsidRPr="002045EC">
        <w:rPr>
          <w:rFonts w:ascii="Times New Roman" w:eastAsia="Calibri" w:hAnsi="Times New Roman" w:cs="Times New Roman"/>
          <w:sz w:val="24"/>
          <w:szCs w:val="24"/>
          <w:lang w:val="en-US"/>
        </w:rPr>
        <w:t>considering</w:t>
      </w:r>
      <w:r w:rsidR="00657F0D" w:rsidRPr="002045EC">
        <w:rPr>
          <w:rFonts w:ascii="Times New Roman" w:eastAsia="Calibri" w:hAnsi="Times New Roman" w:cs="Times New Roman"/>
          <w:sz w:val="24"/>
          <w:szCs w:val="24"/>
          <w:lang w:val="en-US"/>
        </w:rPr>
        <w:t xml:space="preserve"> i</w:t>
      </w:r>
      <w:r w:rsidR="00DB0BCC" w:rsidRPr="002045EC">
        <w:rPr>
          <w:rFonts w:ascii="Times New Roman" w:eastAsia="Calibri" w:hAnsi="Times New Roman" w:cs="Times New Roman"/>
          <w:sz w:val="24"/>
          <w:szCs w:val="24"/>
          <w:lang w:val="en-US"/>
        </w:rPr>
        <w:t xml:space="preserve">ts limitations. First, </w:t>
      </w:r>
      <w:r w:rsidRPr="002045EC">
        <w:rPr>
          <w:rFonts w:ascii="Times New Roman" w:eastAsia="Calibri" w:hAnsi="Times New Roman" w:cs="Times New Roman"/>
          <w:sz w:val="24"/>
          <w:szCs w:val="24"/>
          <w:lang w:val="en-US"/>
        </w:rPr>
        <w:t xml:space="preserve">the </w:t>
      </w:r>
      <w:r w:rsidR="00DB0BCC" w:rsidRPr="002045EC">
        <w:rPr>
          <w:rFonts w:ascii="Times New Roman" w:eastAsia="Calibri" w:hAnsi="Times New Roman" w:cs="Times New Roman"/>
          <w:sz w:val="24"/>
          <w:szCs w:val="24"/>
          <w:lang w:val="en-US"/>
        </w:rPr>
        <w:t xml:space="preserve">OAI included only participants with knee osteoarthritis or at high risk of this condition, likely introducing a selection bias. </w:t>
      </w:r>
      <w:r w:rsidRPr="002045EC">
        <w:rPr>
          <w:rFonts w:ascii="Times New Roman" w:eastAsia="Calibri" w:hAnsi="Times New Roman" w:cs="Times New Roman"/>
          <w:sz w:val="24"/>
          <w:szCs w:val="24"/>
          <w:lang w:val="en-US"/>
        </w:rPr>
        <w:t xml:space="preserve">Second, the cross-sectional nature of the study </w:t>
      </w:r>
      <w:r w:rsidR="00356723" w:rsidRPr="002045EC">
        <w:rPr>
          <w:rFonts w:ascii="Times New Roman" w:eastAsia="Calibri" w:hAnsi="Times New Roman" w:cs="Times New Roman"/>
          <w:sz w:val="24"/>
          <w:szCs w:val="24"/>
          <w:lang w:val="en-US"/>
        </w:rPr>
        <w:t xml:space="preserve">can introduce a potential reverse causation issue, i.e., people with worse physical performance tests can report higher dietary acrylamide intake (e.g., they are more obese). </w:t>
      </w:r>
      <w:r w:rsidR="0038307E" w:rsidRPr="002045EC">
        <w:rPr>
          <w:rFonts w:ascii="Times New Roman" w:eastAsia="Calibri" w:hAnsi="Times New Roman" w:cs="Times New Roman"/>
          <w:sz w:val="24"/>
          <w:szCs w:val="24"/>
          <w:lang w:val="en-US"/>
        </w:rPr>
        <w:t>Finally, in the OAI, no muscle mass quality assessment</w:t>
      </w:r>
      <w:r w:rsidR="00657F0D" w:rsidRPr="002045EC">
        <w:rPr>
          <w:rFonts w:ascii="Times New Roman" w:eastAsia="Calibri" w:hAnsi="Times New Roman" w:cs="Times New Roman"/>
          <w:sz w:val="24"/>
          <w:szCs w:val="24"/>
          <w:lang w:val="en-US"/>
        </w:rPr>
        <w:t xml:space="preserve"> was carried out and</w:t>
      </w:r>
      <w:r w:rsidR="0038307E" w:rsidRPr="002045EC">
        <w:rPr>
          <w:rFonts w:ascii="Times New Roman" w:eastAsia="Calibri" w:hAnsi="Times New Roman" w:cs="Times New Roman"/>
          <w:sz w:val="24"/>
          <w:szCs w:val="24"/>
          <w:lang w:val="en-US"/>
        </w:rPr>
        <w:t xml:space="preserve"> these data could be important for better understanding the association between acrylamide and poor physical performance. </w:t>
      </w:r>
    </w:p>
    <w:p w14:paraId="4C18EF24" w14:textId="77777777" w:rsidR="00DB0BCC" w:rsidRPr="002045EC" w:rsidRDefault="00DB0BCC" w:rsidP="00DB0BCC">
      <w:pPr>
        <w:spacing w:after="0" w:line="480" w:lineRule="auto"/>
        <w:jc w:val="both"/>
        <w:rPr>
          <w:rFonts w:ascii="Times New Roman" w:eastAsia="Calibri" w:hAnsi="Times New Roman" w:cs="Times New Roman"/>
          <w:sz w:val="24"/>
          <w:szCs w:val="24"/>
          <w:lang w:val="en-US"/>
        </w:rPr>
      </w:pPr>
    </w:p>
    <w:p w14:paraId="739B26D2" w14:textId="79B6A3C2" w:rsidR="00DB0BCC" w:rsidRPr="002045EC" w:rsidRDefault="00DB0BCC" w:rsidP="00DB0BCC">
      <w:pPr>
        <w:spacing w:after="0" w:line="480" w:lineRule="auto"/>
        <w:jc w:val="both"/>
        <w:rPr>
          <w:rFonts w:ascii="Times New Roman" w:eastAsia="Calibri" w:hAnsi="Times New Roman" w:cs="Times New Roman"/>
          <w:sz w:val="24"/>
          <w:szCs w:val="24"/>
          <w:lang w:val="en-US"/>
        </w:rPr>
      </w:pPr>
      <w:r w:rsidRPr="002045EC">
        <w:rPr>
          <w:rFonts w:ascii="Times New Roman" w:eastAsia="Calibri" w:hAnsi="Times New Roman" w:cs="Times New Roman"/>
          <w:sz w:val="24"/>
          <w:szCs w:val="24"/>
          <w:lang w:val="en-US"/>
        </w:rPr>
        <w:t xml:space="preserve">In conclusion, higher dietary acrylamide intake was significantly associated with </w:t>
      </w:r>
      <w:r w:rsidR="0038307E" w:rsidRPr="002045EC">
        <w:rPr>
          <w:rFonts w:ascii="Times New Roman" w:eastAsia="Calibri" w:hAnsi="Times New Roman" w:cs="Times New Roman"/>
          <w:sz w:val="24"/>
          <w:szCs w:val="24"/>
          <w:lang w:val="en-US"/>
        </w:rPr>
        <w:t>poor physical performance</w:t>
      </w:r>
      <w:r w:rsidRPr="002045EC">
        <w:rPr>
          <w:rFonts w:ascii="Times New Roman" w:eastAsia="Calibri" w:hAnsi="Times New Roman" w:cs="Times New Roman"/>
          <w:sz w:val="24"/>
          <w:szCs w:val="24"/>
          <w:lang w:val="en-US"/>
        </w:rPr>
        <w:t xml:space="preserve">, also after accounting for potential confounders, suggesting a role for this food contaminant as a possible risk factor for </w:t>
      </w:r>
      <w:r w:rsidR="0038307E" w:rsidRPr="002045EC">
        <w:rPr>
          <w:rFonts w:ascii="Times New Roman" w:eastAsia="Calibri" w:hAnsi="Times New Roman" w:cs="Times New Roman"/>
          <w:sz w:val="24"/>
          <w:szCs w:val="24"/>
          <w:lang w:val="en-US"/>
        </w:rPr>
        <w:t>sarcopenia</w:t>
      </w:r>
      <w:r w:rsidRPr="002045EC">
        <w:rPr>
          <w:rFonts w:ascii="Times New Roman" w:eastAsia="Calibri" w:hAnsi="Times New Roman" w:cs="Times New Roman"/>
          <w:sz w:val="24"/>
          <w:szCs w:val="24"/>
          <w:lang w:val="en-US"/>
        </w:rPr>
        <w:t xml:space="preserve">. </w:t>
      </w:r>
      <w:r w:rsidR="0038307E" w:rsidRPr="002045EC">
        <w:rPr>
          <w:rFonts w:ascii="Times New Roman" w:eastAsia="Calibri" w:hAnsi="Times New Roman" w:cs="Times New Roman"/>
          <w:sz w:val="24"/>
          <w:szCs w:val="24"/>
          <w:lang w:val="en-US"/>
        </w:rPr>
        <w:t>Future</w:t>
      </w:r>
      <w:r w:rsidRPr="002045EC">
        <w:rPr>
          <w:rFonts w:ascii="Times New Roman" w:eastAsia="Calibri" w:hAnsi="Times New Roman" w:cs="Times New Roman"/>
          <w:sz w:val="24"/>
          <w:szCs w:val="24"/>
          <w:lang w:val="en-US"/>
        </w:rPr>
        <w:t xml:space="preserve"> longitudinal studies are however needed to confirm or refute the present findings.</w:t>
      </w:r>
    </w:p>
    <w:p w14:paraId="4B8F226D" w14:textId="59881616" w:rsidR="00353700" w:rsidRPr="002045EC" w:rsidRDefault="00353700" w:rsidP="00DB0BCC">
      <w:pPr>
        <w:jc w:val="both"/>
        <w:rPr>
          <w:rFonts w:ascii="Times New Roman" w:hAnsi="Times New Roman" w:cs="Times New Roman"/>
          <w:b/>
          <w:bCs/>
          <w:sz w:val="24"/>
          <w:szCs w:val="24"/>
          <w:lang w:val="en-US"/>
        </w:rPr>
      </w:pPr>
      <w:r w:rsidRPr="002045EC">
        <w:rPr>
          <w:rFonts w:ascii="Times New Roman" w:hAnsi="Times New Roman" w:cs="Times New Roman"/>
          <w:b/>
          <w:bCs/>
          <w:sz w:val="24"/>
          <w:szCs w:val="24"/>
          <w:lang w:val="en-US"/>
        </w:rPr>
        <w:br w:type="page"/>
      </w:r>
    </w:p>
    <w:p w14:paraId="389AD9E3" w14:textId="34F48942" w:rsidR="00CB487B" w:rsidRPr="002045EC" w:rsidRDefault="00532906" w:rsidP="00EA2099">
      <w:pPr>
        <w:pStyle w:val="Heading1"/>
      </w:pPr>
      <w:r w:rsidRPr="002045EC">
        <w:lastRenderedPageBreak/>
        <w:t>References</w:t>
      </w:r>
    </w:p>
    <w:p w14:paraId="69DDAE54" w14:textId="77777777" w:rsidR="002C6FEC" w:rsidRPr="002045EC" w:rsidRDefault="00CB487B" w:rsidP="002C6FEC">
      <w:pPr>
        <w:pStyle w:val="EndNoteBibliography"/>
        <w:spacing w:after="0"/>
        <w:ind w:left="720" w:hanging="720"/>
      </w:pPr>
      <w:r w:rsidRPr="002045EC">
        <w:rPr>
          <w:rFonts w:ascii="Times New Roman" w:hAnsi="Times New Roman" w:cs="Times New Roman"/>
          <w:sz w:val="24"/>
          <w:szCs w:val="24"/>
        </w:rPr>
        <w:fldChar w:fldCharType="begin"/>
      </w:r>
      <w:r w:rsidRPr="002045EC">
        <w:rPr>
          <w:rFonts w:ascii="Times New Roman" w:hAnsi="Times New Roman" w:cs="Times New Roman"/>
          <w:sz w:val="24"/>
          <w:szCs w:val="24"/>
        </w:rPr>
        <w:instrText xml:space="preserve"> ADDIN EN.REFLIST </w:instrText>
      </w:r>
      <w:r w:rsidRPr="002045EC">
        <w:rPr>
          <w:rFonts w:ascii="Times New Roman" w:hAnsi="Times New Roman" w:cs="Times New Roman"/>
          <w:sz w:val="24"/>
          <w:szCs w:val="24"/>
        </w:rPr>
        <w:fldChar w:fldCharType="separate"/>
      </w:r>
      <w:r w:rsidR="002C6FEC" w:rsidRPr="002045EC">
        <w:t>1. Stadler RH, Blank I, Varga N, Robert F, Hau J, et al. (2002) Food chemistry: acrylamide from Maillard reaction products. Nature 419: 449.</w:t>
      </w:r>
    </w:p>
    <w:p w14:paraId="5630AF12" w14:textId="77777777" w:rsidR="002C6FEC" w:rsidRPr="002045EC" w:rsidRDefault="002C6FEC" w:rsidP="002C6FEC">
      <w:pPr>
        <w:pStyle w:val="EndNoteBibliography"/>
        <w:spacing w:after="0"/>
        <w:ind w:left="720" w:hanging="720"/>
      </w:pPr>
      <w:r w:rsidRPr="002045EC">
        <w:t>2. Tornquist M (2002) A cooking carcinogen. Chemical Research in Toxicology 13: 517-522.</w:t>
      </w:r>
    </w:p>
    <w:p w14:paraId="1B3C6FDD" w14:textId="77777777" w:rsidR="002C6FEC" w:rsidRPr="002045EC" w:rsidRDefault="002C6FEC" w:rsidP="002C6FEC">
      <w:pPr>
        <w:pStyle w:val="EndNoteBibliography"/>
        <w:spacing w:after="0"/>
        <w:ind w:left="720" w:hanging="720"/>
      </w:pPr>
      <w:r w:rsidRPr="002045EC">
        <w:t>3. Sun G, Qu S, Wang S, Shao Y, Sun J (2018) Taurine attenuates acrylamide-induced axonal and myelinated damage through the Akt/GSK3β-dependent pathway. International journal of immunopathology and pharmacology 32: 2058738418805322.</w:t>
      </w:r>
    </w:p>
    <w:p w14:paraId="5ACE83E2" w14:textId="77777777" w:rsidR="002C6FEC" w:rsidRPr="002045EC" w:rsidRDefault="002C6FEC" w:rsidP="002C6FEC">
      <w:pPr>
        <w:pStyle w:val="EndNoteBibliography"/>
        <w:spacing w:after="0"/>
        <w:ind w:left="720" w:hanging="720"/>
      </w:pPr>
      <w:r w:rsidRPr="002045EC">
        <w:t>4. Elmore JS, Koutsidis G, Dodson AT, Mottram DS, Wedzicha BL (2005) The effect of cooking on acrylamide and its precursors in potato, wheat and rye. Chemistry and safety of acrylamide in food: Springer. pp. 255-269.</w:t>
      </w:r>
    </w:p>
    <w:p w14:paraId="0471CE9A" w14:textId="77777777" w:rsidR="002C6FEC" w:rsidRPr="002045EC" w:rsidRDefault="002C6FEC" w:rsidP="002C6FEC">
      <w:pPr>
        <w:pStyle w:val="EndNoteBibliography"/>
        <w:spacing w:after="0"/>
        <w:ind w:left="720" w:hanging="720"/>
      </w:pPr>
      <w:r w:rsidRPr="002045EC">
        <w:t>5. Törnqvist M (2005) Acrylamide in food: The discovery and its implications. Chemistry and safety of acrylamide in food: Springer. pp. 1-19.</w:t>
      </w:r>
    </w:p>
    <w:p w14:paraId="79341FA1" w14:textId="77777777" w:rsidR="002C6FEC" w:rsidRPr="002045EC" w:rsidRDefault="002C6FEC" w:rsidP="002C6FEC">
      <w:pPr>
        <w:pStyle w:val="EndNoteBibliography"/>
        <w:spacing w:after="0"/>
        <w:ind w:left="720" w:hanging="720"/>
      </w:pPr>
      <w:r w:rsidRPr="002045EC">
        <w:t>6. Organization WH (2019) International agency for research on cancer.</w:t>
      </w:r>
    </w:p>
    <w:p w14:paraId="4C5FD1C0" w14:textId="77777777" w:rsidR="002C6FEC" w:rsidRPr="002045EC" w:rsidRDefault="002C6FEC" w:rsidP="002C6FEC">
      <w:pPr>
        <w:pStyle w:val="EndNoteBibliography"/>
        <w:spacing w:after="0"/>
        <w:ind w:left="720" w:hanging="720"/>
      </w:pPr>
      <w:r w:rsidRPr="002045EC">
        <w:t>7. Li D, Wang P, Liu Y, Hu X, Chen F (2016) Metabolism of acrylamide: interindividual and interspecies differences as well as the application as biomarkers. Current drug metabolism 17: 317-326.</w:t>
      </w:r>
    </w:p>
    <w:p w14:paraId="5423C78D" w14:textId="77777777" w:rsidR="002C6FEC" w:rsidRPr="002045EC" w:rsidRDefault="002C6FEC" w:rsidP="002C6FEC">
      <w:pPr>
        <w:pStyle w:val="EndNoteBibliography"/>
        <w:spacing w:after="0"/>
        <w:ind w:left="720" w:hanging="720"/>
      </w:pPr>
      <w:r w:rsidRPr="002045EC">
        <w:t>8. Pan X, Wu X, Yan D, Peng C, Rao C, et al. (2018) Acrylamide-induced oxidative stress and inflammatory response are alleviated by N-acetylcysteine in PC12 cells: Involvement of the crosstalk between Nrf2 and NF-κB pathways regulated by MAPKs. Toxicology letters 288: 55-64.</w:t>
      </w:r>
    </w:p>
    <w:p w14:paraId="57F5A419" w14:textId="77777777" w:rsidR="002C6FEC" w:rsidRPr="002045EC" w:rsidRDefault="002C6FEC" w:rsidP="002C6FEC">
      <w:pPr>
        <w:pStyle w:val="EndNoteBibliography"/>
        <w:spacing w:after="0"/>
        <w:ind w:left="720" w:hanging="720"/>
      </w:pPr>
      <w:r w:rsidRPr="002045EC">
        <w:t>9. Acaroz U, Ince S, Arslan-Acaroz D, Gurler Z, Kucukkurt I, et al. (2018) The ameliorative effects of boron against acrylamide-induced oxidative stress, inflammatory response, and metabolic changes in rats. Food and chemical toxicology 118: 745-752.</w:t>
      </w:r>
    </w:p>
    <w:p w14:paraId="2FA489C8" w14:textId="77777777" w:rsidR="002C6FEC" w:rsidRPr="002045EC" w:rsidRDefault="002C6FEC" w:rsidP="002C6FEC">
      <w:pPr>
        <w:pStyle w:val="EndNoteBibliography"/>
        <w:spacing w:after="0"/>
        <w:ind w:left="720" w:hanging="720"/>
        <w:rPr>
          <w:lang w:val="it-IT"/>
        </w:rPr>
      </w:pPr>
      <w:r w:rsidRPr="002045EC">
        <w:t xml:space="preserve">10. Bano G, Trevisan C, Carraro S, Solmi M, Luchini C, et al. (2017) Inflammation and sarcopenia: a systematic review and meta-analysis. </w:t>
      </w:r>
      <w:r w:rsidRPr="002045EC">
        <w:rPr>
          <w:lang w:val="it-IT"/>
        </w:rPr>
        <w:t>Maturitas 96: 10-15.</w:t>
      </w:r>
    </w:p>
    <w:p w14:paraId="201BAB50" w14:textId="77777777" w:rsidR="002C6FEC" w:rsidRPr="002045EC" w:rsidRDefault="002C6FEC" w:rsidP="002C6FEC">
      <w:pPr>
        <w:pStyle w:val="EndNoteBibliography"/>
        <w:spacing w:after="0"/>
        <w:ind w:left="720" w:hanging="720"/>
        <w:rPr>
          <w:lang w:val="it-IT"/>
        </w:rPr>
      </w:pPr>
      <w:r w:rsidRPr="002045EC">
        <w:rPr>
          <w:lang w:val="it-IT"/>
        </w:rPr>
        <w:t xml:space="preserve">11. Bellanti F, Romano AD, Buglio AL, Castriotta V, Guglielmi G, et al. </w:t>
      </w:r>
      <w:r w:rsidRPr="002045EC">
        <w:t xml:space="preserve">(2018) Oxidative stress is increased in sarcopenia and associated with cardiovascular disease risk in sarcopenic obesity. </w:t>
      </w:r>
      <w:r w:rsidRPr="002045EC">
        <w:rPr>
          <w:lang w:val="it-IT"/>
        </w:rPr>
        <w:t>Maturitas 109: 6-12.</w:t>
      </w:r>
    </w:p>
    <w:p w14:paraId="358BBAAA" w14:textId="77777777" w:rsidR="002C6FEC" w:rsidRPr="002045EC" w:rsidRDefault="002C6FEC" w:rsidP="002C6FEC">
      <w:pPr>
        <w:pStyle w:val="EndNoteBibliography"/>
        <w:spacing w:after="0"/>
        <w:ind w:left="720" w:hanging="720"/>
      </w:pPr>
      <w:r w:rsidRPr="002045EC">
        <w:rPr>
          <w:lang w:val="it-IT"/>
        </w:rPr>
        <w:t xml:space="preserve">12. Soysal P, Stubbs B, Lucato P, Luchini C, Solmi M, et al. </w:t>
      </w:r>
      <w:r w:rsidRPr="002045EC">
        <w:t>Inflammation and frailty in the elderly: A systematic review and meta-analysis. Ageing Research Reviews.</w:t>
      </w:r>
    </w:p>
    <w:p w14:paraId="6FB36422" w14:textId="77777777" w:rsidR="002C6FEC" w:rsidRPr="002045EC" w:rsidRDefault="002C6FEC" w:rsidP="002C6FEC">
      <w:pPr>
        <w:pStyle w:val="EndNoteBibliography"/>
        <w:spacing w:after="0"/>
        <w:ind w:left="720" w:hanging="720"/>
      </w:pPr>
      <w:r w:rsidRPr="002045EC">
        <w:t>13. Soysal P, Isik AT, Carvalho AF, Fernandes BS, Solmi M, et al. (2017) Oxidative stress and frailty: a systematic review and synthesis of the best evidence. Maturitas 99: 66-72.</w:t>
      </w:r>
    </w:p>
    <w:p w14:paraId="60E1161B" w14:textId="77777777" w:rsidR="002C6FEC" w:rsidRPr="002045EC" w:rsidRDefault="002C6FEC" w:rsidP="002C6FEC">
      <w:pPr>
        <w:pStyle w:val="EndNoteBibliography"/>
        <w:spacing w:after="0"/>
        <w:ind w:left="720" w:hanging="720"/>
      </w:pPr>
      <w:r w:rsidRPr="002045EC">
        <w:t>14. Marx W, Veronese N, Kelly JT, Smith L, Hockey M, et al. (2021) The Dietary Inflammatory Index and Human Health: An Umbrella Review of Meta-Analyses of Observational Studies. Advances in Nutrition.</w:t>
      </w:r>
    </w:p>
    <w:p w14:paraId="24C6549E" w14:textId="77777777" w:rsidR="002C6FEC" w:rsidRPr="002045EC" w:rsidRDefault="002C6FEC" w:rsidP="002C6FEC">
      <w:pPr>
        <w:pStyle w:val="EndNoteBibliography"/>
        <w:spacing w:after="0"/>
        <w:ind w:left="720" w:hanging="720"/>
      </w:pPr>
      <w:r w:rsidRPr="002045EC">
        <w:t>15. Felson DT, Nevitt MC (2004) Epidemiologic studies for osteoarthritis: New versus conventional study design approaches. pp. 783-797.</w:t>
      </w:r>
    </w:p>
    <w:p w14:paraId="45E899AC" w14:textId="77777777" w:rsidR="002C6FEC" w:rsidRPr="002045EC" w:rsidRDefault="002C6FEC" w:rsidP="002C6FEC">
      <w:pPr>
        <w:pStyle w:val="EndNoteBibliography"/>
        <w:spacing w:after="0"/>
        <w:ind w:left="720" w:hanging="720"/>
      </w:pPr>
      <w:r w:rsidRPr="002045EC">
        <w:rPr>
          <w:lang w:val="it-IT"/>
        </w:rPr>
        <w:t xml:space="preserve">16. Pfrimer K, Sartorelli DS, Rosa FT, Resende CMM, Viera DVP, et al. </w:t>
      </w:r>
      <w:r w:rsidRPr="002045EC">
        <w:t>(2013) Calibration of the food list and portion sizes of a food frequency questionnaire applied to free-living elderly people. Nutrition 29: 760-764.</w:t>
      </w:r>
    </w:p>
    <w:p w14:paraId="3A6F5185" w14:textId="77777777" w:rsidR="002C6FEC" w:rsidRPr="002045EC" w:rsidRDefault="002C6FEC" w:rsidP="002C6FEC">
      <w:pPr>
        <w:pStyle w:val="EndNoteBibliography"/>
        <w:spacing w:after="0"/>
        <w:ind w:left="720" w:hanging="720"/>
      </w:pPr>
      <w:r w:rsidRPr="002045EC">
        <w:t>17. Santos-Eggimann B, Ballan K, Fustinoni S, Büla C (2020) Measuring Slowness in Old Age: Times to Perform Moberg Picking-Up and Walking Speed Tests. Journal of the American Medical Directors Association 21: 1729-1734. e1722.</w:t>
      </w:r>
    </w:p>
    <w:p w14:paraId="513961A5" w14:textId="77777777" w:rsidR="002C6FEC" w:rsidRPr="002045EC" w:rsidRDefault="002C6FEC" w:rsidP="002C6FEC">
      <w:pPr>
        <w:pStyle w:val="EndNoteBibliography"/>
        <w:spacing w:after="0"/>
        <w:ind w:left="720" w:hanging="720"/>
      </w:pPr>
      <w:r w:rsidRPr="002045EC">
        <w:t>18. Rolland YM, Cesari M, Miller ME, Penninx BW, Atkinson HH, et al. (2004) Reliability of the 400‐m usual‐pace walk test as an assessment of mobility limitation in older adults. Journal of the American Geriatrics Society 52: 972-976.</w:t>
      </w:r>
    </w:p>
    <w:p w14:paraId="0C30C723" w14:textId="77777777" w:rsidR="002C6FEC" w:rsidRPr="002045EC" w:rsidRDefault="002C6FEC" w:rsidP="002C6FEC">
      <w:pPr>
        <w:pStyle w:val="EndNoteBibliography"/>
        <w:spacing w:after="0"/>
        <w:ind w:left="720" w:hanging="720"/>
      </w:pPr>
      <w:r w:rsidRPr="002045EC">
        <w:t>19. Bohannon RW (1995) Sit-to-stand test for measuring performance of lower extremity muscles. Perceptual and motor skills 80: 163-166.</w:t>
      </w:r>
    </w:p>
    <w:p w14:paraId="389EF073" w14:textId="77777777" w:rsidR="002C6FEC" w:rsidRPr="002045EC" w:rsidRDefault="002C6FEC" w:rsidP="002C6FEC">
      <w:pPr>
        <w:pStyle w:val="EndNoteBibliography"/>
        <w:spacing w:after="0"/>
        <w:ind w:left="720" w:hanging="720"/>
      </w:pPr>
      <w:r w:rsidRPr="002045EC">
        <w:t>20. Katz JN, Chang LC, Sangha O, Fossel AH, Bates DW (1996) Can comorbidity be measured by questionnaire rather than medical record review? Medical care 34: 73-84.</w:t>
      </w:r>
    </w:p>
    <w:p w14:paraId="497E266D" w14:textId="77777777" w:rsidR="002C6FEC" w:rsidRPr="002045EC" w:rsidRDefault="002C6FEC" w:rsidP="002C6FEC">
      <w:pPr>
        <w:pStyle w:val="EndNoteBibliography"/>
        <w:spacing w:after="0"/>
        <w:ind w:left="720" w:hanging="720"/>
      </w:pPr>
      <w:r w:rsidRPr="002045EC">
        <w:t>21. Washburn RA, Smith KW, Jette AM, Janney CA (1993) The Physical Activity Scale for the Elderly (PASE): development and evaluation. Journal of clinical epidemiology 46: 153-162.</w:t>
      </w:r>
    </w:p>
    <w:p w14:paraId="7869F343" w14:textId="77777777" w:rsidR="002C6FEC" w:rsidRPr="002045EC" w:rsidRDefault="002C6FEC" w:rsidP="002C6FEC">
      <w:pPr>
        <w:pStyle w:val="EndNoteBibliography"/>
        <w:spacing w:after="0"/>
        <w:ind w:left="720" w:hanging="720"/>
      </w:pPr>
      <w:r w:rsidRPr="002045EC">
        <w:lastRenderedPageBreak/>
        <w:t>22. Veronese N, Koyanagi A, Stubbs B, Cooper C, Guglielmi G, et al. (2019) Mediterranean diet and knee osteoarthritis outcomes: A longitudinal cohort study. Clinical Nutrition 38: 2735-2739.</w:t>
      </w:r>
    </w:p>
    <w:p w14:paraId="79AD8C7D" w14:textId="77777777" w:rsidR="002C6FEC" w:rsidRPr="002045EC" w:rsidRDefault="002C6FEC" w:rsidP="002C6FEC">
      <w:pPr>
        <w:pStyle w:val="EndNoteBibliography"/>
        <w:spacing w:after="0"/>
        <w:ind w:left="720" w:hanging="720"/>
      </w:pPr>
      <w:r w:rsidRPr="002045EC">
        <w:t>23. Jonckheere AR (1954) A distribution-free k-sample test against ordered alternatives. Biometrika 41: 133-145.</w:t>
      </w:r>
    </w:p>
    <w:p w14:paraId="4620D568" w14:textId="77777777" w:rsidR="002C6FEC" w:rsidRPr="002045EC" w:rsidRDefault="002C6FEC" w:rsidP="002C6FEC">
      <w:pPr>
        <w:pStyle w:val="EndNoteBibliography"/>
        <w:spacing w:after="0"/>
        <w:ind w:left="720" w:hanging="720"/>
      </w:pPr>
      <w:r w:rsidRPr="002045EC">
        <w:t>24. Miles J (2009) Tolerance and variance inflation factor. Wiley StatsRef: Statistics Reference Online.</w:t>
      </w:r>
    </w:p>
    <w:p w14:paraId="0C44D537" w14:textId="77777777" w:rsidR="002C6FEC" w:rsidRPr="002045EC" w:rsidRDefault="002C6FEC" w:rsidP="002C6FEC">
      <w:pPr>
        <w:pStyle w:val="EndNoteBibliography"/>
        <w:spacing w:after="0"/>
        <w:ind w:left="720" w:hanging="720"/>
      </w:pPr>
      <w:r w:rsidRPr="002045EC">
        <w:t>25. Health UDo, Services H (2017) Dietary guidelines for Americans 2015-2020: Skyhorse Publishing Inc.</w:t>
      </w:r>
    </w:p>
    <w:p w14:paraId="6DF6EB37" w14:textId="77777777" w:rsidR="002C6FEC" w:rsidRPr="002045EC" w:rsidRDefault="002C6FEC" w:rsidP="002C6FEC">
      <w:pPr>
        <w:pStyle w:val="EndNoteBibliography"/>
        <w:ind w:left="720" w:hanging="720"/>
      </w:pPr>
      <w:r w:rsidRPr="002045EC">
        <w:t>26. Song D, Xu C, Holck AL, Liu R (2021) Acrylamide inhibits autophagy, induces apoptosis and alters cellular metabolic profiles. Ecotoxicology and environmental safety 208: 111543.</w:t>
      </w:r>
    </w:p>
    <w:p w14:paraId="54D0FBBF" w14:textId="47B460EB" w:rsidR="007E7A48" w:rsidRDefault="00CB487B" w:rsidP="00915F97">
      <w:pPr>
        <w:spacing w:line="480" w:lineRule="auto"/>
        <w:jc w:val="both"/>
        <w:rPr>
          <w:rFonts w:ascii="Times New Roman" w:hAnsi="Times New Roman" w:cs="Times New Roman"/>
          <w:sz w:val="24"/>
          <w:szCs w:val="24"/>
          <w:lang w:val="en-US"/>
        </w:rPr>
      </w:pPr>
      <w:r w:rsidRPr="002045EC">
        <w:rPr>
          <w:rFonts w:ascii="Times New Roman" w:hAnsi="Times New Roman" w:cs="Times New Roman"/>
          <w:sz w:val="24"/>
          <w:szCs w:val="24"/>
          <w:lang w:val="en-US"/>
        </w:rPr>
        <w:fldChar w:fldCharType="end"/>
      </w:r>
    </w:p>
    <w:p w14:paraId="27589739" w14:textId="6C6EF48E" w:rsidR="00CB487B" w:rsidRDefault="00C72310" w:rsidP="00C72310">
      <w:pPr>
        <w:spacing w:after="0" w:line="480" w:lineRule="auto"/>
        <w:jc w:val="both"/>
        <w:rPr>
          <w:rFonts w:ascii="Times New Roman" w:hAnsi="Times New Roman" w:cs="Times New Roman"/>
          <w:sz w:val="24"/>
          <w:szCs w:val="24"/>
          <w:lang w:val="en-US"/>
        </w:rPr>
      </w:pPr>
      <w:r w:rsidRPr="00C72310">
        <w:rPr>
          <w:rFonts w:ascii="Times New Roman" w:hAnsi="Times New Roman" w:cs="Times New Roman"/>
          <w:sz w:val="24"/>
          <w:szCs w:val="24"/>
          <w:lang w:val="en-US"/>
        </w:rPr>
        <w:tab/>
      </w:r>
      <w:r w:rsidRPr="00C72310">
        <w:rPr>
          <w:rFonts w:ascii="Times New Roman" w:hAnsi="Times New Roman" w:cs="Times New Roman"/>
          <w:sz w:val="24"/>
          <w:szCs w:val="24"/>
          <w:lang w:val="en-US"/>
        </w:rPr>
        <w:tab/>
      </w:r>
      <w:r w:rsidRPr="00C72310">
        <w:rPr>
          <w:rFonts w:ascii="Times New Roman" w:hAnsi="Times New Roman" w:cs="Times New Roman"/>
          <w:sz w:val="24"/>
          <w:szCs w:val="24"/>
          <w:lang w:val="en-US"/>
        </w:rPr>
        <w:tab/>
      </w:r>
      <w:r w:rsidRPr="00C72310">
        <w:rPr>
          <w:rFonts w:ascii="Times New Roman" w:hAnsi="Times New Roman" w:cs="Times New Roman"/>
          <w:sz w:val="24"/>
          <w:szCs w:val="24"/>
          <w:lang w:val="en-US"/>
        </w:rPr>
        <w:tab/>
      </w:r>
      <w:r w:rsidRPr="00C72310">
        <w:rPr>
          <w:rFonts w:ascii="Times New Roman" w:hAnsi="Times New Roman" w:cs="Times New Roman"/>
          <w:sz w:val="24"/>
          <w:szCs w:val="24"/>
          <w:lang w:val="en-US"/>
        </w:rPr>
        <w:tab/>
      </w:r>
    </w:p>
    <w:p w14:paraId="115A2D87" w14:textId="77777777" w:rsidR="00CB487B" w:rsidRDefault="00CB487B" w:rsidP="00C72310">
      <w:pPr>
        <w:spacing w:after="0" w:line="480" w:lineRule="auto"/>
        <w:jc w:val="both"/>
        <w:rPr>
          <w:rFonts w:ascii="Times New Roman" w:hAnsi="Times New Roman" w:cs="Times New Roman"/>
          <w:sz w:val="24"/>
          <w:szCs w:val="24"/>
          <w:lang w:val="en-US"/>
        </w:rPr>
      </w:pPr>
    </w:p>
    <w:p w14:paraId="529262FF" w14:textId="478FB3C0" w:rsidR="00C72310" w:rsidRPr="00C72310" w:rsidRDefault="00C72310" w:rsidP="00C72310">
      <w:pPr>
        <w:spacing w:after="0" w:line="480" w:lineRule="auto"/>
        <w:jc w:val="both"/>
        <w:rPr>
          <w:rFonts w:ascii="Times New Roman" w:hAnsi="Times New Roman" w:cs="Times New Roman"/>
          <w:sz w:val="24"/>
          <w:szCs w:val="24"/>
          <w:lang w:val="en-US"/>
        </w:rPr>
      </w:pPr>
    </w:p>
    <w:sectPr w:rsidR="00C72310" w:rsidRPr="00C72310" w:rsidSect="004C1ECF">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F56E" w14:textId="77777777" w:rsidR="00C54AFC" w:rsidRDefault="00C54AFC" w:rsidP="00F57CE8">
      <w:pPr>
        <w:spacing w:after="0" w:line="240" w:lineRule="auto"/>
      </w:pPr>
      <w:r>
        <w:separator/>
      </w:r>
    </w:p>
  </w:endnote>
  <w:endnote w:type="continuationSeparator" w:id="0">
    <w:p w14:paraId="3F2B720C" w14:textId="77777777" w:rsidR="00C54AFC" w:rsidRDefault="00C54AFC" w:rsidP="00F5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OTa9103878">
    <w:altName w:val="Times New Roman"/>
    <w:charset w:val="00"/>
    <w:family w:val="roman"/>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440800"/>
      <w:docPartObj>
        <w:docPartGallery w:val="Page Numbers (Bottom of Page)"/>
        <w:docPartUnique/>
      </w:docPartObj>
    </w:sdtPr>
    <w:sdtEndPr>
      <w:rPr>
        <w:noProof/>
      </w:rPr>
    </w:sdtEndPr>
    <w:sdtContent>
      <w:p w14:paraId="58716A25" w14:textId="6F68AE70" w:rsidR="00F57CE8" w:rsidRDefault="00F57CE8">
        <w:pPr>
          <w:pStyle w:val="Footer"/>
          <w:jc w:val="right"/>
        </w:pPr>
        <w:r>
          <w:fldChar w:fldCharType="begin"/>
        </w:r>
        <w:r>
          <w:instrText xml:space="preserve"> PAGE   \* MERGEFORMAT </w:instrText>
        </w:r>
        <w:r>
          <w:fldChar w:fldCharType="separate"/>
        </w:r>
        <w:r w:rsidR="00657F0D">
          <w:rPr>
            <w:noProof/>
          </w:rPr>
          <w:t>1</w:t>
        </w:r>
        <w:r>
          <w:rPr>
            <w:noProof/>
          </w:rPr>
          <w:fldChar w:fldCharType="end"/>
        </w:r>
      </w:p>
    </w:sdtContent>
  </w:sdt>
  <w:p w14:paraId="79167159" w14:textId="77777777" w:rsidR="00F57CE8" w:rsidRDefault="00F57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3AE3F" w14:textId="77777777" w:rsidR="00C54AFC" w:rsidRDefault="00C54AFC" w:rsidP="00F57CE8">
      <w:pPr>
        <w:spacing w:after="0" w:line="240" w:lineRule="auto"/>
      </w:pPr>
      <w:r>
        <w:separator/>
      </w:r>
    </w:p>
  </w:footnote>
  <w:footnote w:type="continuationSeparator" w:id="0">
    <w:p w14:paraId="380FF010" w14:textId="77777777" w:rsidR="00C54AFC" w:rsidRDefault="00C54AFC" w:rsidP="00F57CE8">
      <w:pPr>
        <w:spacing w:after="0" w:line="240" w:lineRule="auto"/>
      </w:pPr>
      <w:r>
        <w:continuationSeparator/>
      </w:r>
    </w:p>
  </w:footnote>
  <w:footnote w:id="1">
    <w:p w14:paraId="74AC19CE" w14:textId="77777777" w:rsidR="00823031" w:rsidRPr="00B516F1" w:rsidRDefault="00823031" w:rsidP="00823031">
      <w:pPr>
        <w:pStyle w:val="FootnoteText"/>
        <w:spacing w:line="480" w:lineRule="auto"/>
        <w:jc w:val="both"/>
        <w:rPr>
          <w:rFonts w:ascii="Times New Roman" w:hAnsi="Times New Roman" w:cs="Times New Roman"/>
          <w:sz w:val="24"/>
          <w:szCs w:val="24"/>
          <w:lang w:val="en-US"/>
        </w:rPr>
      </w:pPr>
      <w:r w:rsidRPr="00B516F1">
        <w:rPr>
          <w:rStyle w:val="FootnoteReference"/>
          <w:rFonts w:ascii="Times New Roman" w:hAnsi="Times New Roman" w:cs="Times New Roman"/>
          <w:sz w:val="24"/>
          <w:szCs w:val="24"/>
        </w:rPr>
        <w:footnoteRef/>
      </w:r>
      <w:r w:rsidRPr="00B516F1">
        <w:rPr>
          <w:rFonts w:ascii="Times New Roman" w:hAnsi="Times New Roman" w:cs="Times New Roman"/>
          <w:sz w:val="24"/>
          <w:szCs w:val="24"/>
          <w:lang w:val="en-US"/>
        </w:rPr>
        <w:t xml:space="preserve"> </w:t>
      </w:r>
      <w:r w:rsidRPr="00B516F1">
        <w:rPr>
          <w:rFonts w:ascii="Times New Roman" w:hAnsi="Times New Roman" w:cs="Times New Roman"/>
          <w:b/>
          <w:bCs/>
          <w:sz w:val="24"/>
          <w:szCs w:val="24"/>
          <w:lang w:val="en-US"/>
        </w:rPr>
        <w:t xml:space="preserve">Abbreviations: </w:t>
      </w:r>
      <w:r w:rsidRPr="00B516F1">
        <w:rPr>
          <w:rFonts w:ascii="Times New Roman" w:hAnsi="Times New Roman" w:cs="Times New Roman"/>
          <w:bCs/>
          <w:sz w:val="24"/>
          <w:szCs w:val="24"/>
          <w:lang w:val="en-US"/>
        </w:rPr>
        <w:t>BMI: body mass index; OA: osteoarthritis; PASE: physical activity scale for elderly SD: standard deviation</w:t>
      </w:r>
    </w:p>
  </w:footnote>
  <w:footnote w:id="2">
    <w:p w14:paraId="2D37F95C" w14:textId="77777777" w:rsidR="00823031" w:rsidRPr="00073FB3" w:rsidRDefault="00823031" w:rsidP="00823031">
      <w:pPr>
        <w:spacing w:after="0" w:line="480" w:lineRule="auto"/>
        <w:jc w:val="both"/>
        <w:rPr>
          <w:lang w:val="en-US"/>
        </w:rPr>
      </w:pPr>
      <w:r>
        <w:rPr>
          <w:rStyle w:val="FootnoteReference"/>
        </w:rPr>
        <w:footnoteRef/>
      </w:r>
      <w:r w:rsidRPr="00073FB3">
        <w:rPr>
          <w:lang w:val="en-US"/>
        </w:rPr>
        <w:t xml:space="preserve"> </w:t>
      </w:r>
      <w:r w:rsidRPr="00C72310">
        <w:rPr>
          <w:rFonts w:ascii="Times New Roman" w:hAnsi="Times New Roman" w:cs="Times New Roman"/>
          <w:sz w:val="24"/>
          <w:szCs w:val="24"/>
          <w:lang w:val="en-US"/>
        </w:rPr>
        <w:t xml:space="preserve">Data are reported as </w:t>
      </w:r>
      <w:r>
        <w:rPr>
          <w:rFonts w:ascii="Times New Roman" w:hAnsi="Times New Roman" w:cs="Times New Roman"/>
          <w:sz w:val="24"/>
          <w:szCs w:val="24"/>
          <w:lang w:val="en-US"/>
        </w:rPr>
        <w:t>s</w:t>
      </w:r>
      <w:r w:rsidRPr="00C72310">
        <w:rPr>
          <w:rFonts w:ascii="Times New Roman" w:hAnsi="Times New Roman" w:cs="Times New Roman"/>
          <w:sz w:val="24"/>
          <w:szCs w:val="24"/>
          <w:lang w:val="en-US"/>
        </w:rPr>
        <w:t>tandardized betas with their 95% confidence intervals</w:t>
      </w:r>
      <w:r>
        <w:rPr>
          <w:rFonts w:ascii="Times New Roman" w:hAnsi="Times New Roman" w:cs="Times New Roman"/>
          <w:sz w:val="24"/>
          <w:szCs w:val="24"/>
          <w:lang w:val="en-US"/>
        </w:rPr>
        <w:t xml:space="preserve"> and correspondent p-values. </w:t>
      </w:r>
      <w:r w:rsidRPr="00C7231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Basic-adjusted model includes age and gender; fully adjusted model includes, other than age and sex: smoking status, presence and of comorbidities, educational level, ethnicity, body mass index, yearly income, total energy intake, </w:t>
      </w:r>
      <w:r>
        <w:rPr>
          <w:rFonts w:ascii="Times New Roman" w:hAnsi="Times New Roman" w:cs="Times New Roman"/>
          <w:bCs/>
          <w:sz w:val="24"/>
          <w:szCs w:val="24"/>
          <w:lang w:val="en-US"/>
        </w:rPr>
        <w:t xml:space="preserve">physical activity scale for elderly values, presence of radiological knee osteoarthritis.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ptzepf8fe2f2ead9cxf2vww2vpfr5wdzez&quot;&gt;trombocitopenia case report&lt;record-ids&gt;&lt;item&gt;349&lt;/item&gt;&lt;item&gt;350&lt;/item&gt;&lt;/record-ids&gt;&lt;/item&gt;&lt;/Libraries&gt;"/>
  </w:docVars>
  <w:rsids>
    <w:rsidRoot w:val="004C1ECF"/>
    <w:rsid w:val="00014AE5"/>
    <w:rsid w:val="00026EAB"/>
    <w:rsid w:val="00042A23"/>
    <w:rsid w:val="0004638A"/>
    <w:rsid w:val="000478A4"/>
    <w:rsid w:val="00057264"/>
    <w:rsid w:val="00073FB3"/>
    <w:rsid w:val="000923FC"/>
    <w:rsid w:val="00096E19"/>
    <w:rsid w:val="000D0019"/>
    <w:rsid w:val="000D6D6F"/>
    <w:rsid w:val="000E085C"/>
    <w:rsid w:val="000F5F4D"/>
    <w:rsid w:val="001012BA"/>
    <w:rsid w:val="00102817"/>
    <w:rsid w:val="00103244"/>
    <w:rsid w:val="00133A7B"/>
    <w:rsid w:val="00152A00"/>
    <w:rsid w:val="00164E96"/>
    <w:rsid w:val="001814DF"/>
    <w:rsid w:val="001846EA"/>
    <w:rsid w:val="00187DAF"/>
    <w:rsid w:val="001950D3"/>
    <w:rsid w:val="00197300"/>
    <w:rsid w:val="001A074F"/>
    <w:rsid w:val="001A3724"/>
    <w:rsid w:val="001D587E"/>
    <w:rsid w:val="001E2AEE"/>
    <w:rsid w:val="001E764B"/>
    <w:rsid w:val="001E7936"/>
    <w:rsid w:val="002045EC"/>
    <w:rsid w:val="002052FD"/>
    <w:rsid w:val="00207EFA"/>
    <w:rsid w:val="002168AA"/>
    <w:rsid w:val="00220C28"/>
    <w:rsid w:val="002227D9"/>
    <w:rsid w:val="002410BD"/>
    <w:rsid w:val="00284A08"/>
    <w:rsid w:val="00293140"/>
    <w:rsid w:val="002B1D90"/>
    <w:rsid w:val="002B4F33"/>
    <w:rsid w:val="002C6FEC"/>
    <w:rsid w:val="002F4E00"/>
    <w:rsid w:val="003041FF"/>
    <w:rsid w:val="00312EB1"/>
    <w:rsid w:val="00313C7F"/>
    <w:rsid w:val="00353700"/>
    <w:rsid w:val="00356723"/>
    <w:rsid w:val="00356A16"/>
    <w:rsid w:val="00357615"/>
    <w:rsid w:val="00357CD8"/>
    <w:rsid w:val="0038307E"/>
    <w:rsid w:val="00391907"/>
    <w:rsid w:val="003A225F"/>
    <w:rsid w:val="003A4B9E"/>
    <w:rsid w:val="003B2173"/>
    <w:rsid w:val="003E1FCA"/>
    <w:rsid w:val="003F4BD5"/>
    <w:rsid w:val="00400B12"/>
    <w:rsid w:val="00400D46"/>
    <w:rsid w:val="00412B9A"/>
    <w:rsid w:val="00432699"/>
    <w:rsid w:val="00433447"/>
    <w:rsid w:val="00463508"/>
    <w:rsid w:val="0047219F"/>
    <w:rsid w:val="004950BD"/>
    <w:rsid w:val="004A1509"/>
    <w:rsid w:val="004A7AAF"/>
    <w:rsid w:val="004B0306"/>
    <w:rsid w:val="004C1ECF"/>
    <w:rsid w:val="004C7CEE"/>
    <w:rsid w:val="004F4A12"/>
    <w:rsid w:val="005032D4"/>
    <w:rsid w:val="00530B23"/>
    <w:rsid w:val="00532906"/>
    <w:rsid w:val="00551F72"/>
    <w:rsid w:val="005721D3"/>
    <w:rsid w:val="005A6CCC"/>
    <w:rsid w:val="005B74A6"/>
    <w:rsid w:val="005D2A19"/>
    <w:rsid w:val="005D725C"/>
    <w:rsid w:val="005E7CF2"/>
    <w:rsid w:val="006066B8"/>
    <w:rsid w:val="00610C04"/>
    <w:rsid w:val="00657F0D"/>
    <w:rsid w:val="00662E6B"/>
    <w:rsid w:val="00675D66"/>
    <w:rsid w:val="00676B66"/>
    <w:rsid w:val="00692952"/>
    <w:rsid w:val="00697033"/>
    <w:rsid w:val="006A0FEC"/>
    <w:rsid w:val="006B286E"/>
    <w:rsid w:val="006B78E2"/>
    <w:rsid w:val="006C6ACA"/>
    <w:rsid w:val="006C75FF"/>
    <w:rsid w:val="00704722"/>
    <w:rsid w:val="00735BF8"/>
    <w:rsid w:val="0073789B"/>
    <w:rsid w:val="00770F15"/>
    <w:rsid w:val="00776CF3"/>
    <w:rsid w:val="0078190C"/>
    <w:rsid w:val="00792E76"/>
    <w:rsid w:val="007A72AB"/>
    <w:rsid w:val="007C66E2"/>
    <w:rsid w:val="007D2DEA"/>
    <w:rsid w:val="007E7A48"/>
    <w:rsid w:val="007F163E"/>
    <w:rsid w:val="007F5C54"/>
    <w:rsid w:val="0082127F"/>
    <w:rsid w:val="00823031"/>
    <w:rsid w:val="00831AF0"/>
    <w:rsid w:val="00836B31"/>
    <w:rsid w:val="0085151F"/>
    <w:rsid w:val="0085293B"/>
    <w:rsid w:val="00861F96"/>
    <w:rsid w:val="0087292A"/>
    <w:rsid w:val="0089358B"/>
    <w:rsid w:val="00895E17"/>
    <w:rsid w:val="008B5ECC"/>
    <w:rsid w:val="008C77E3"/>
    <w:rsid w:val="008F1A7E"/>
    <w:rsid w:val="008F63C5"/>
    <w:rsid w:val="00915346"/>
    <w:rsid w:val="00915F97"/>
    <w:rsid w:val="00933495"/>
    <w:rsid w:val="0094144C"/>
    <w:rsid w:val="00961B1D"/>
    <w:rsid w:val="00964BC6"/>
    <w:rsid w:val="009C0A4C"/>
    <w:rsid w:val="009C76B2"/>
    <w:rsid w:val="00A02B0B"/>
    <w:rsid w:val="00A30212"/>
    <w:rsid w:val="00A33A0F"/>
    <w:rsid w:val="00A37F50"/>
    <w:rsid w:val="00A404CC"/>
    <w:rsid w:val="00A62215"/>
    <w:rsid w:val="00A70A7D"/>
    <w:rsid w:val="00A80EDF"/>
    <w:rsid w:val="00A941FC"/>
    <w:rsid w:val="00AA4B0B"/>
    <w:rsid w:val="00AB203D"/>
    <w:rsid w:val="00AB2B04"/>
    <w:rsid w:val="00AB4A74"/>
    <w:rsid w:val="00AE2A13"/>
    <w:rsid w:val="00B01D73"/>
    <w:rsid w:val="00B067B6"/>
    <w:rsid w:val="00B43DFF"/>
    <w:rsid w:val="00B516F1"/>
    <w:rsid w:val="00B70749"/>
    <w:rsid w:val="00B7346A"/>
    <w:rsid w:val="00B84DE5"/>
    <w:rsid w:val="00B96106"/>
    <w:rsid w:val="00B97C83"/>
    <w:rsid w:val="00BB0425"/>
    <w:rsid w:val="00BD5164"/>
    <w:rsid w:val="00BD6DCA"/>
    <w:rsid w:val="00C44946"/>
    <w:rsid w:val="00C54AFC"/>
    <w:rsid w:val="00C670D9"/>
    <w:rsid w:val="00C71529"/>
    <w:rsid w:val="00C72310"/>
    <w:rsid w:val="00C93A8C"/>
    <w:rsid w:val="00CB487B"/>
    <w:rsid w:val="00CC65C6"/>
    <w:rsid w:val="00CE1A7B"/>
    <w:rsid w:val="00D10718"/>
    <w:rsid w:val="00D15E4B"/>
    <w:rsid w:val="00D248C9"/>
    <w:rsid w:val="00D404DF"/>
    <w:rsid w:val="00D40B16"/>
    <w:rsid w:val="00D5185E"/>
    <w:rsid w:val="00D53C71"/>
    <w:rsid w:val="00D82A14"/>
    <w:rsid w:val="00D905C7"/>
    <w:rsid w:val="00D90EF8"/>
    <w:rsid w:val="00DA6C9E"/>
    <w:rsid w:val="00DA7D3C"/>
    <w:rsid w:val="00DB0BCC"/>
    <w:rsid w:val="00DB2BA5"/>
    <w:rsid w:val="00DC0AAB"/>
    <w:rsid w:val="00DC1688"/>
    <w:rsid w:val="00DD01D5"/>
    <w:rsid w:val="00E27D07"/>
    <w:rsid w:val="00E52C38"/>
    <w:rsid w:val="00E82181"/>
    <w:rsid w:val="00E86B05"/>
    <w:rsid w:val="00EA2099"/>
    <w:rsid w:val="00EA5D02"/>
    <w:rsid w:val="00EC254C"/>
    <w:rsid w:val="00EC3DB3"/>
    <w:rsid w:val="00EE2A24"/>
    <w:rsid w:val="00EE71DB"/>
    <w:rsid w:val="00F50523"/>
    <w:rsid w:val="00F557DF"/>
    <w:rsid w:val="00F57CE8"/>
    <w:rsid w:val="00F6587C"/>
    <w:rsid w:val="00F70E27"/>
    <w:rsid w:val="00F81F4B"/>
    <w:rsid w:val="00FB015D"/>
    <w:rsid w:val="00FB1723"/>
    <w:rsid w:val="00FB43F4"/>
    <w:rsid w:val="00FC4C3C"/>
    <w:rsid w:val="00FD5682"/>
    <w:rsid w:val="00FD6E78"/>
    <w:rsid w:val="00FD726A"/>
    <w:rsid w:val="00FE3FA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6474F"/>
  <w15:chartTrackingRefBased/>
  <w15:docId w15:val="{FECE0F43-E8A6-492E-AE93-605F8282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ECF"/>
  </w:style>
  <w:style w:type="paragraph" w:styleId="Heading1">
    <w:name w:val="heading 1"/>
    <w:basedOn w:val="Normal"/>
    <w:next w:val="Normal"/>
    <w:link w:val="Heading1Char"/>
    <w:uiPriority w:val="9"/>
    <w:qFormat/>
    <w:rsid w:val="00EA2099"/>
    <w:pPr>
      <w:spacing w:after="0" w:line="480" w:lineRule="auto"/>
      <w:outlineLvl w:val="0"/>
    </w:pPr>
    <w:rPr>
      <w:rFonts w:ascii="Times New Roman" w:hAnsi="Times New Roman" w:cs="Times New Roman"/>
      <w:b/>
      <w:bCs/>
      <w:sz w:val="36"/>
      <w:szCs w:val="36"/>
      <w:lang w:val="en-US"/>
    </w:rPr>
  </w:style>
  <w:style w:type="paragraph" w:styleId="Heading2">
    <w:name w:val="heading 2"/>
    <w:basedOn w:val="Normal"/>
    <w:next w:val="Normal"/>
    <w:link w:val="Heading2Char"/>
    <w:uiPriority w:val="9"/>
    <w:unhideWhenUsed/>
    <w:qFormat/>
    <w:rsid w:val="00EA2099"/>
    <w:pPr>
      <w:suppressAutoHyphens/>
      <w:spacing w:after="0" w:line="480" w:lineRule="auto"/>
      <w:outlineLvl w:val="1"/>
    </w:pPr>
    <w:rPr>
      <w:rFonts w:ascii="Times New Roman" w:eastAsia="Times New Roman" w:hAnsi="Times New Roman" w:cs="Times New Roman"/>
      <w:b/>
      <w:iCs/>
      <w:sz w:val="32"/>
      <w:szCs w:val="32"/>
      <w:lang w:val="en-US" w:eastAsia="ar-SA"/>
    </w:rPr>
  </w:style>
  <w:style w:type="paragraph" w:styleId="Heading3">
    <w:name w:val="heading 3"/>
    <w:basedOn w:val="Normal"/>
    <w:next w:val="Normal"/>
    <w:link w:val="Heading3Char"/>
    <w:uiPriority w:val="9"/>
    <w:unhideWhenUsed/>
    <w:qFormat/>
    <w:rsid w:val="00EA2099"/>
    <w:pPr>
      <w:suppressAutoHyphens/>
      <w:spacing w:after="0" w:line="480" w:lineRule="auto"/>
      <w:jc w:val="both"/>
      <w:outlineLvl w:val="2"/>
    </w:pPr>
    <w:rPr>
      <w:rFonts w:ascii="Times New Roman" w:eastAsia="Times New Roman" w:hAnsi="Times New Roman" w:cs="Times New Roman"/>
      <w:b/>
      <w:i/>
      <w:sz w:val="32"/>
      <w:szCs w:val="3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1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7C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7CE8"/>
  </w:style>
  <w:style w:type="paragraph" w:styleId="Footer">
    <w:name w:val="footer"/>
    <w:basedOn w:val="Normal"/>
    <w:link w:val="FooterChar"/>
    <w:uiPriority w:val="99"/>
    <w:unhideWhenUsed/>
    <w:rsid w:val="00F57C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7CE8"/>
  </w:style>
  <w:style w:type="paragraph" w:customStyle="1" w:styleId="EndNoteBibliographyTitle">
    <w:name w:val="EndNote Bibliography Title"/>
    <w:basedOn w:val="Normal"/>
    <w:link w:val="EndNoteBibliographyTitleChar"/>
    <w:rsid w:val="00CB487B"/>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487B"/>
    <w:rPr>
      <w:rFonts w:ascii="Calibri" w:hAnsi="Calibri" w:cs="Calibri"/>
      <w:noProof/>
      <w:lang w:val="en-US"/>
    </w:rPr>
  </w:style>
  <w:style w:type="paragraph" w:customStyle="1" w:styleId="EndNoteBibliography">
    <w:name w:val="EndNote Bibliography"/>
    <w:basedOn w:val="Normal"/>
    <w:link w:val="EndNoteBibliographyChar"/>
    <w:rsid w:val="00CB487B"/>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CB487B"/>
    <w:rPr>
      <w:rFonts w:ascii="Calibri" w:hAnsi="Calibri" w:cs="Calibri"/>
      <w:noProof/>
      <w:lang w:val="en-US"/>
    </w:rPr>
  </w:style>
  <w:style w:type="paragraph" w:styleId="BalloonText">
    <w:name w:val="Balloon Text"/>
    <w:basedOn w:val="Normal"/>
    <w:link w:val="BalloonTextChar"/>
    <w:uiPriority w:val="99"/>
    <w:semiHidden/>
    <w:unhideWhenUsed/>
    <w:rsid w:val="005D2A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A19"/>
    <w:rPr>
      <w:rFonts w:ascii="Segoe UI" w:hAnsi="Segoe UI" w:cs="Segoe UI"/>
      <w:sz w:val="18"/>
      <w:szCs w:val="18"/>
    </w:rPr>
  </w:style>
  <w:style w:type="character" w:styleId="Hyperlink">
    <w:name w:val="Hyperlink"/>
    <w:basedOn w:val="DefaultParagraphFont"/>
    <w:uiPriority w:val="99"/>
    <w:unhideWhenUsed/>
    <w:rsid w:val="00F50523"/>
    <w:rPr>
      <w:color w:val="0563C1" w:themeColor="hyperlink"/>
      <w:u w:val="single"/>
    </w:rPr>
  </w:style>
  <w:style w:type="character" w:styleId="UnresolvedMention">
    <w:name w:val="Unresolved Mention"/>
    <w:basedOn w:val="DefaultParagraphFont"/>
    <w:uiPriority w:val="99"/>
    <w:semiHidden/>
    <w:unhideWhenUsed/>
    <w:rsid w:val="00F50523"/>
    <w:rPr>
      <w:color w:val="605E5C"/>
      <w:shd w:val="clear" w:color="auto" w:fill="E1DFDD"/>
    </w:rPr>
  </w:style>
  <w:style w:type="paragraph" w:styleId="FootnoteText">
    <w:name w:val="footnote text"/>
    <w:basedOn w:val="Normal"/>
    <w:link w:val="FootnoteTextChar"/>
    <w:uiPriority w:val="99"/>
    <w:semiHidden/>
    <w:unhideWhenUsed/>
    <w:rsid w:val="00073F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3FB3"/>
    <w:rPr>
      <w:sz w:val="20"/>
      <w:szCs w:val="20"/>
    </w:rPr>
  </w:style>
  <w:style w:type="character" w:styleId="FootnoteReference">
    <w:name w:val="footnote reference"/>
    <w:basedOn w:val="DefaultParagraphFont"/>
    <w:uiPriority w:val="99"/>
    <w:semiHidden/>
    <w:unhideWhenUsed/>
    <w:rsid w:val="00073FB3"/>
    <w:rPr>
      <w:vertAlign w:val="superscript"/>
    </w:rPr>
  </w:style>
  <w:style w:type="paragraph" w:styleId="Title">
    <w:name w:val="Title"/>
    <w:basedOn w:val="Normal"/>
    <w:next w:val="Normal"/>
    <w:link w:val="TitleChar"/>
    <w:uiPriority w:val="10"/>
    <w:qFormat/>
    <w:rsid w:val="00EA2099"/>
    <w:pPr>
      <w:spacing w:after="0" w:line="480" w:lineRule="auto"/>
      <w:jc w:val="center"/>
    </w:pPr>
    <w:rPr>
      <w:rFonts w:ascii="Times New Roman" w:hAnsi="Times New Roman" w:cs="Times New Roman"/>
      <w:b/>
      <w:bCs/>
      <w:sz w:val="24"/>
      <w:szCs w:val="24"/>
      <w:lang w:val="en-US"/>
    </w:rPr>
  </w:style>
  <w:style w:type="character" w:customStyle="1" w:styleId="TitleChar">
    <w:name w:val="Title Char"/>
    <w:basedOn w:val="DefaultParagraphFont"/>
    <w:link w:val="Title"/>
    <w:uiPriority w:val="10"/>
    <w:rsid w:val="00EA2099"/>
    <w:rPr>
      <w:rFonts w:ascii="Times New Roman" w:hAnsi="Times New Roman" w:cs="Times New Roman"/>
      <w:b/>
      <w:bCs/>
      <w:sz w:val="24"/>
      <w:szCs w:val="24"/>
      <w:lang w:val="en-US"/>
    </w:rPr>
  </w:style>
  <w:style w:type="character" w:customStyle="1" w:styleId="Heading1Char">
    <w:name w:val="Heading 1 Char"/>
    <w:basedOn w:val="DefaultParagraphFont"/>
    <w:link w:val="Heading1"/>
    <w:uiPriority w:val="9"/>
    <w:rsid w:val="00EA2099"/>
    <w:rPr>
      <w:rFonts w:ascii="Times New Roman" w:hAnsi="Times New Roman" w:cs="Times New Roman"/>
      <w:b/>
      <w:bCs/>
      <w:sz w:val="36"/>
      <w:szCs w:val="36"/>
      <w:lang w:val="en-US"/>
    </w:rPr>
  </w:style>
  <w:style w:type="character" w:customStyle="1" w:styleId="Heading2Char">
    <w:name w:val="Heading 2 Char"/>
    <w:basedOn w:val="DefaultParagraphFont"/>
    <w:link w:val="Heading2"/>
    <w:uiPriority w:val="9"/>
    <w:rsid w:val="00EA2099"/>
    <w:rPr>
      <w:rFonts w:ascii="Times New Roman" w:eastAsia="Times New Roman" w:hAnsi="Times New Roman" w:cs="Times New Roman"/>
      <w:b/>
      <w:iCs/>
      <w:sz w:val="32"/>
      <w:szCs w:val="32"/>
      <w:lang w:val="en-US" w:eastAsia="ar-SA"/>
    </w:rPr>
  </w:style>
  <w:style w:type="character" w:customStyle="1" w:styleId="Heading3Char">
    <w:name w:val="Heading 3 Char"/>
    <w:basedOn w:val="DefaultParagraphFont"/>
    <w:link w:val="Heading3"/>
    <w:uiPriority w:val="9"/>
    <w:rsid w:val="00EA2099"/>
    <w:rPr>
      <w:rFonts w:ascii="Times New Roman" w:eastAsia="Times New Roman" w:hAnsi="Times New Roman" w:cs="Times New Roman"/>
      <w:b/>
      <w:i/>
      <w:sz w:val="32"/>
      <w:szCs w:val="3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7020">
      <w:bodyDiv w:val="1"/>
      <w:marLeft w:val="0"/>
      <w:marRight w:val="0"/>
      <w:marTop w:val="0"/>
      <w:marBottom w:val="0"/>
      <w:divBdr>
        <w:top w:val="none" w:sz="0" w:space="0" w:color="auto"/>
        <w:left w:val="none" w:sz="0" w:space="0" w:color="auto"/>
        <w:bottom w:val="none" w:sz="0" w:space="0" w:color="auto"/>
        <w:right w:val="none" w:sz="0" w:space="0" w:color="auto"/>
      </w:divBdr>
      <w:divsChild>
        <w:div w:id="1688364097">
          <w:marLeft w:val="0"/>
          <w:marRight w:val="0"/>
          <w:marTop w:val="0"/>
          <w:marBottom w:val="0"/>
          <w:divBdr>
            <w:top w:val="none" w:sz="0" w:space="0" w:color="auto"/>
            <w:left w:val="none" w:sz="0" w:space="0" w:color="auto"/>
            <w:bottom w:val="none" w:sz="0" w:space="0" w:color="auto"/>
            <w:right w:val="none" w:sz="0" w:space="0" w:color="auto"/>
          </w:divBdr>
        </w:div>
        <w:div w:id="638725820">
          <w:marLeft w:val="0"/>
          <w:marRight w:val="0"/>
          <w:marTop w:val="0"/>
          <w:marBottom w:val="0"/>
          <w:divBdr>
            <w:top w:val="none" w:sz="0" w:space="0" w:color="auto"/>
            <w:left w:val="none" w:sz="0" w:space="0" w:color="auto"/>
            <w:bottom w:val="none" w:sz="0" w:space="0" w:color="auto"/>
            <w:right w:val="none" w:sz="0" w:space="0" w:color="auto"/>
          </w:divBdr>
        </w:div>
      </w:divsChild>
    </w:div>
    <w:div w:id="1181889768">
      <w:bodyDiv w:val="1"/>
      <w:marLeft w:val="0"/>
      <w:marRight w:val="0"/>
      <w:marTop w:val="0"/>
      <w:marBottom w:val="0"/>
      <w:divBdr>
        <w:top w:val="none" w:sz="0" w:space="0" w:color="auto"/>
        <w:left w:val="none" w:sz="0" w:space="0" w:color="auto"/>
        <w:bottom w:val="none" w:sz="0" w:space="0" w:color="auto"/>
        <w:right w:val="none" w:sz="0" w:space="0" w:color="auto"/>
      </w:divBdr>
    </w:div>
    <w:div w:id="1696619426">
      <w:bodyDiv w:val="1"/>
      <w:marLeft w:val="0"/>
      <w:marRight w:val="0"/>
      <w:marTop w:val="0"/>
      <w:marBottom w:val="0"/>
      <w:divBdr>
        <w:top w:val="none" w:sz="0" w:space="0" w:color="auto"/>
        <w:left w:val="none" w:sz="0" w:space="0" w:color="auto"/>
        <w:bottom w:val="none" w:sz="0" w:space="0" w:color="auto"/>
        <w:right w:val="none" w:sz="0" w:space="0" w:color="auto"/>
      </w:divBdr>
      <w:divsChild>
        <w:div w:id="1410737477">
          <w:marLeft w:val="0"/>
          <w:marRight w:val="0"/>
          <w:marTop w:val="0"/>
          <w:marBottom w:val="0"/>
          <w:divBdr>
            <w:top w:val="none" w:sz="0" w:space="0" w:color="auto"/>
            <w:left w:val="none" w:sz="0" w:space="0" w:color="auto"/>
            <w:bottom w:val="none" w:sz="0" w:space="0" w:color="auto"/>
            <w:right w:val="none" w:sz="0" w:space="0" w:color="auto"/>
          </w:divBdr>
        </w:div>
        <w:div w:id="1300764646">
          <w:marLeft w:val="0"/>
          <w:marRight w:val="0"/>
          <w:marTop w:val="0"/>
          <w:marBottom w:val="0"/>
          <w:divBdr>
            <w:top w:val="none" w:sz="0" w:space="0" w:color="auto"/>
            <w:left w:val="none" w:sz="0" w:space="0" w:color="auto"/>
            <w:bottom w:val="none" w:sz="0" w:space="0" w:color="auto"/>
            <w:right w:val="none" w:sz="0" w:space="0" w:color="auto"/>
          </w:divBdr>
        </w:div>
        <w:div w:id="1541818936">
          <w:marLeft w:val="0"/>
          <w:marRight w:val="0"/>
          <w:marTop w:val="0"/>
          <w:marBottom w:val="0"/>
          <w:divBdr>
            <w:top w:val="none" w:sz="0" w:space="0" w:color="auto"/>
            <w:left w:val="none" w:sz="0" w:space="0" w:color="auto"/>
            <w:bottom w:val="none" w:sz="0" w:space="0" w:color="auto"/>
            <w:right w:val="none" w:sz="0" w:space="0" w:color="auto"/>
          </w:divBdr>
        </w:div>
      </w:divsChild>
    </w:div>
    <w:div w:id="2079327209">
      <w:bodyDiv w:val="1"/>
      <w:marLeft w:val="0"/>
      <w:marRight w:val="0"/>
      <w:marTop w:val="0"/>
      <w:marBottom w:val="0"/>
      <w:divBdr>
        <w:top w:val="none" w:sz="0" w:space="0" w:color="auto"/>
        <w:left w:val="none" w:sz="0" w:space="0" w:color="auto"/>
        <w:bottom w:val="none" w:sz="0" w:space="0" w:color="auto"/>
        <w:right w:val="none" w:sz="0" w:space="0" w:color="auto"/>
      </w:divBdr>
      <w:divsChild>
        <w:div w:id="2098554227">
          <w:marLeft w:val="0"/>
          <w:marRight w:val="0"/>
          <w:marTop w:val="0"/>
          <w:marBottom w:val="0"/>
          <w:divBdr>
            <w:top w:val="none" w:sz="0" w:space="0" w:color="auto"/>
            <w:left w:val="none" w:sz="0" w:space="0" w:color="auto"/>
            <w:bottom w:val="none" w:sz="0" w:space="0" w:color="auto"/>
            <w:right w:val="none" w:sz="0" w:space="0" w:color="auto"/>
          </w:divBdr>
        </w:div>
        <w:div w:id="112091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fda.gov/food/chemicals/survey-data-acrylamide-foo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icola.veronese@unip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7139</Words>
  <Characters>40695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Veronese</dc:creator>
  <cp:keywords/>
  <dc:description/>
  <cp:lastModifiedBy>Blanshard, Lisa</cp:lastModifiedBy>
  <cp:revision>3</cp:revision>
  <cp:lastPrinted>2021-06-04T15:21:00Z</cp:lastPrinted>
  <dcterms:created xsi:type="dcterms:W3CDTF">2021-10-18T19:27:00Z</dcterms:created>
  <dcterms:modified xsi:type="dcterms:W3CDTF">2021-10-19T14:12:00Z</dcterms:modified>
</cp:coreProperties>
</file>