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3.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4.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5.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7.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9.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20.xml" ContentType="application/vnd.openxmlformats-officedocument.themeOverrid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21.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22.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23.xml" ContentType="application/vnd.openxmlformats-officedocument.themeOverrid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24.xml" ContentType="application/vnd.openxmlformats-officedocument.themeOverrid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25.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26.xml" ContentType="application/vnd.openxmlformats-officedocument.themeOverrid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27.xml" ContentType="application/vnd.openxmlformats-officedocument.themeOverrid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28.xml" ContentType="application/vnd.openxmlformats-officedocument.themeOverrid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29.xml" ContentType="application/vnd.openxmlformats-officedocument.themeOverrid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30.xml" ContentType="application/vnd.openxmlformats-officedocument.themeOverrid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31.xml" ContentType="application/vnd.openxmlformats-officedocument.themeOverrid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theme/themeOverride32.xml" ContentType="application/vnd.openxmlformats-officedocument.themeOverrid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theme/themeOverride33.xml" ContentType="application/vnd.openxmlformats-officedocument.themeOverrid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theme/themeOverride34.xml" ContentType="application/vnd.openxmlformats-officedocument.themeOverrid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theme/themeOverride35.xml" ContentType="application/vnd.openxmlformats-officedocument.themeOverrid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theme/themeOverride36.xml" ContentType="application/vnd.openxmlformats-officedocument.themeOverrid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theme/themeOverride3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B04C" w14:textId="0E77469C" w:rsidR="00742840" w:rsidRPr="0060234B" w:rsidRDefault="00742840" w:rsidP="00742840">
      <w:pPr>
        <w:pStyle w:val="Title"/>
        <w:rPr>
          <w:rFonts w:asciiTheme="minorHAnsi" w:eastAsia="Calibri" w:hAnsiTheme="minorHAnsi" w:cstheme="minorHAnsi"/>
        </w:rPr>
      </w:pPr>
      <w:r>
        <w:rPr>
          <w:rFonts w:asciiTheme="minorHAnsi" w:eastAsia="Calibri" w:hAnsiTheme="minorHAnsi" w:cstheme="minorHAnsi"/>
        </w:rPr>
        <w:t xml:space="preserve">Modelling the macroeconomic implications of a ‘closing the green finance gap’ </w:t>
      </w:r>
      <w:r w:rsidR="00D47E61">
        <w:rPr>
          <w:rFonts w:asciiTheme="minorHAnsi" w:eastAsia="Calibri" w:hAnsiTheme="minorHAnsi" w:cstheme="minorHAnsi"/>
        </w:rPr>
        <w:t xml:space="preserve">policy </w:t>
      </w:r>
      <w:r>
        <w:rPr>
          <w:rFonts w:asciiTheme="minorHAnsi" w:eastAsia="Calibri" w:hAnsiTheme="minorHAnsi" w:cstheme="minorHAnsi"/>
        </w:rPr>
        <w:t>scenario within a low-carbon energy transition</w:t>
      </w:r>
    </w:p>
    <w:p w14:paraId="1C9F41E5" w14:textId="77777777" w:rsidR="002D6902" w:rsidRPr="0099228F" w:rsidRDefault="002D6902" w:rsidP="002D6902">
      <w:pPr>
        <w:rPr>
          <w:rFonts w:cstheme="minorHAnsi"/>
          <w:sz w:val="2"/>
          <w:szCs w:val="2"/>
        </w:rPr>
      </w:pPr>
    </w:p>
    <w:p w14:paraId="3F77CBCB" w14:textId="03FD8CFC" w:rsidR="00AF5F18" w:rsidRPr="00B8367E" w:rsidRDefault="00AF5F18" w:rsidP="002D6902">
      <w:pPr>
        <w:pStyle w:val="Title"/>
        <w:rPr>
          <w:rFonts w:asciiTheme="minorHAnsi" w:hAnsiTheme="minorHAnsi" w:cstheme="minorHAnsi"/>
        </w:rPr>
      </w:pPr>
      <w:r w:rsidRPr="00B8367E">
        <w:rPr>
          <w:rFonts w:asciiTheme="minorHAnsi" w:hAnsiTheme="minorHAnsi" w:cstheme="minorHAnsi"/>
        </w:rPr>
        <w:t>Abstract</w:t>
      </w:r>
    </w:p>
    <w:p w14:paraId="10607E2C" w14:textId="6670C527" w:rsidR="009A674E" w:rsidRPr="00FC1125" w:rsidRDefault="00B264D4" w:rsidP="00610EDE">
      <w:pPr>
        <w:rPr>
          <w:rFonts w:eastAsia="Calibri" w:cstheme="minorHAnsi"/>
          <w:szCs w:val="21"/>
        </w:rPr>
      </w:pPr>
      <w:bookmarkStart w:id="0" w:name="_Hlk52564485"/>
      <w:r w:rsidRPr="0099228F">
        <w:rPr>
          <w:rFonts w:eastAsia="Calibri" w:cstheme="minorHAnsi"/>
          <w:szCs w:val="21"/>
        </w:rPr>
        <w:t xml:space="preserve">Reaching </w:t>
      </w:r>
      <w:r w:rsidR="00873F27" w:rsidRPr="009C05A3">
        <w:rPr>
          <w:rFonts w:eastAsia="Calibri" w:cstheme="minorHAnsi"/>
          <w:szCs w:val="21"/>
        </w:rPr>
        <w:t xml:space="preserve">the </w:t>
      </w:r>
      <w:r w:rsidR="001726CB" w:rsidRPr="009C05A3">
        <w:rPr>
          <w:rFonts w:eastAsia="Calibri" w:cstheme="minorHAnsi"/>
          <w:szCs w:val="21"/>
        </w:rPr>
        <w:t xml:space="preserve">UK </w:t>
      </w:r>
      <w:r w:rsidR="00873F27" w:rsidRPr="009C05A3">
        <w:rPr>
          <w:rFonts w:eastAsia="Calibri" w:cstheme="minorHAnsi"/>
          <w:szCs w:val="21"/>
        </w:rPr>
        <w:t xml:space="preserve">net-zero emissions </w:t>
      </w:r>
      <w:r w:rsidRPr="00967105">
        <w:rPr>
          <w:rFonts w:eastAsia="Calibri" w:cstheme="minorHAnsi"/>
          <w:szCs w:val="21"/>
        </w:rPr>
        <w:t xml:space="preserve">target translates into </w:t>
      </w:r>
      <w:r w:rsidR="00A24E35" w:rsidRPr="00967105">
        <w:rPr>
          <w:rFonts w:eastAsia="Calibri" w:cstheme="minorHAnsi"/>
          <w:szCs w:val="21"/>
        </w:rPr>
        <w:t xml:space="preserve">substantial investment </w:t>
      </w:r>
      <w:r w:rsidRPr="00967105">
        <w:rPr>
          <w:rFonts w:eastAsia="Calibri" w:cstheme="minorHAnsi"/>
          <w:szCs w:val="21"/>
        </w:rPr>
        <w:t xml:space="preserve">requirement </w:t>
      </w:r>
      <w:r w:rsidR="00A24E35" w:rsidRPr="00967105">
        <w:rPr>
          <w:rFonts w:eastAsia="Calibri" w:cstheme="minorHAnsi"/>
          <w:szCs w:val="21"/>
        </w:rPr>
        <w:t>in</w:t>
      </w:r>
      <w:r w:rsidRPr="00967105">
        <w:rPr>
          <w:rFonts w:eastAsia="Calibri" w:cstheme="minorHAnsi"/>
          <w:szCs w:val="21"/>
        </w:rPr>
        <w:t xml:space="preserve"> low-carbon </w:t>
      </w:r>
      <w:r w:rsidR="00E54E82" w:rsidRPr="004C48F6">
        <w:rPr>
          <w:rFonts w:eastAsia="Calibri" w:cstheme="minorHAnsi"/>
          <w:szCs w:val="21"/>
        </w:rPr>
        <w:t>energy</w:t>
      </w:r>
      <w:r w:rsidRPr="004C48F6">
        <w:rPr>
          <w:rFonts w:eastAsia="Calibri" w:cstheme="minorHAnsi"/>
          <w:szCs w:val="21"/>
        </w:rPr>
        <w:t xml:space="preserve"> infrastructure. However, investors are </w:t>
      </w:r>
      <w:r w:rsidR="008167A4" w:rsidRPr="004C48F6">
        <w:rPr>
          <w:rFonts w:eastAsia="Calibri" w:cstheme="minorHAnsi"/>
          <w:szCs w:val="21"/>
        </w:rPr>
        <w:t xml:space="preserve">currently </w:t>
      </w:r>
      <w:r w:rsidRPr="004C48F6">
        <w:rPr>
          <w:rFonts w:eastAsia="Calibri" w:cstheme="minorHAnsi"/>
          <w:szCs w:val="21"/>
        </w:rPr>
        <w:t xml:space="preserve">not investing at sufficient scale and pace in renewable </w:t>
      </w:r>
      <w:r w:rsidR="00E54E82" w:rsidRPr="004C48F6">
        <w:rPr>
          <w:rFonts w:eastAsia="Calibri" w:cstheme="minorHAnsi"/>
          <w:szCs w:val="21"/>
        </w:rPr>
        <w:t>energy</w:t>
      </w:r>
      <w:r w:rsidRPr="004C48F6">
        <w:rPr>
          <w:rFonts w:eastAsia="Calibri" w:cstheme="minorHAnsi"/>
          <w:szCs w:val="21"/>
        </w:rPr>
        <w:t xml:space="preserve"> </w:t>
      </w:r>
      <w:r w:rsidR="001726CB" w:rsidRPr="004C48F6">
        <w:rPr>
          <w:rFonts w:eastAsia="Calibri" w:cstheme="minorHAnsi"/>
          <w:szCs w:val="21"/>
        </w:rPr>
        <w:t>capacity</w:t>
      </w:r>
      <w:r w:rsidRPr="009A2FE1">
        <w:rPr>
          <w:rFonts w:eastAsia="Calibri" w:cstheme="minorHAnsi"/>
          <w:szCs w:val="21"/>
        </w:rPr>
        <w:t xml:space="preserve">, leading to the so-called green finance gap. </w:t>
      </w:r>
      <w:r w:rsidR="00A24E35" w:rsidRPr="009A2FE1">
        <w:rPr>
          <w:rFonts w:eastAsia="Calibri" w:cstheme="minorHAnsi"/>
          <w:szCs w:val="21"/>
        </w:rPr>
        <w:t xml:space="preserve">While current </w:t>
      </w:r>
      <w:r w:rsidR="00E54E82" w:rsidRPr="009A2FE1">
        <w:rPr>
          <w:rFonts w:eastAsia="Calibri" w:cstheme="minorHAnsi"/>
          <w:szCs w:val="21"/>
        </w:rPr>
        <w:t>energy</w:t>
      </w:r>
      <w:r w:rsidR="00A24E35" w:rsidRPr="009A2FE1">
        <w:rPr>
          <w:rFonts w:eastAsia="Calibri" w:cstheme="minorHAnsi"/>
          <w:szCs w:val="21"/>
        </w:rPr>
        <w:t>-economy model</w:t>
      </w:r>
      <w:r w:rsidR="001A791A" w:rsidRPr="00FC1125">
        <w:rPr>
          <w:rFonts w:eastAsia="Calibri" w:cstheme="minorHAnsi"/>
          <w:szCs w:val="21"/>
        </w:rPr>
        <w:t>s</w:t>
      </w:r>
      <w:r w:rsidR="00A24E35" w:rsidRPr="00FC1125">
        <w:rPr>
          <w:rFonts w:eastAsia="Calibri" w:cstheme="minorHAnsi"/>
          <w:szCs w:val="21"/>
        </w:rPr>
        <w:t xml:space="preserve"> reveal key macroeconomic implications of low-carbon </w:t>
      </w:r>
      <w:r w:rsidR="00E54E82" w:rsidRPr="00810ED7">
        <w:rPr>
          <w:rFonts w:eastAsia="Calibri" w:cstheme="minorHAnsi"/>
          <w:szCs w:val="21"/>
        </w:rPr>
        <w:t>energy</w:t>
      </w:r>
      <w:r w:rsidR="00A24E35" w:rsidRPr="004857A9">
        <w:rPr>
          <w:rFonts w:eastAsia="Calibri" w:cstheme="minorHAnsi"/>
          <w:szCs w:val="21"/>
        </w:rPr>
        <w:t xml:space="preserve"> transition</w:t>
      </w:r>
      <w:r w:rsidR="00F87FA9" w:rsidRPr="004857A9">
        <w:rPr>
          <w:rFonts w:eastAsia="Calibri" w:cstheme="minorHAnsi"/>
          <w:szCs w:val="21"/>
        </w:rPr>
        <w:t>s</w:t>
      </w:r>
      <w:r w:rsidR="00A24E35" w:rsidRPr="004857A9">
        <w:rPr>
          <w:rFonts w:eastAsia="Calibri" w:cstheme="minorHAnsi"/>
          <w:szCs w:val="21"/>
        </w:rPr>
        <w:t xml:space="preserve">, they </w:t>
      </w:r>
      <w:r w:rsidR="003C3C28">
        <w:rPr>
          <w:rFonts w:eastAsia="Calibri" w:cstheme="minorHAnsi"/>
          <w:szCs w:val="21"/>
        </w:rPr>
        <w:t xml:space="preserve">mostly </w:t>
      </w:r>
      <w:r w:rsidR="00A24E35" w:rsidRPr="004857A9">
        <w:rPr>
          <w:rFonts w:eastAsia="Calibri" w:cstheme="minorHAnsi"/>
          <w:szCs w:val="21"/>
        </w:rPr>
        <w:t>do</w:t>
      </w:r>
      <w:r w:rsidR="001726CB" w:rsidRPr="004857A9">
        <w:rPr>
          <w:rFonts w:eastAsia="Calibri" w:cstheme="minorHAnsi"/>
          <w:szCs w:val="21"/>
        </w:rPr>
        <w:t xml:space="preserve"> </w:t>
      </w:r>
      <w:r w:rsidR="00080AC8">
        <w:rPr>
          <w:rFonts w:eastAsia="Calibri" w:cstheme="minorHAnsi"/>
          <w:szCs w:val="21"/>
        </w:rPr>
        <w:t>not test</w:t>
      </w:r>
      <w:r w:rsidR="00A24E35" w:rsidRPr="009A2FE1">
        <w:rPr>
          <w:rFonts w:eastAsia="Calibri" w:cstheme="minorHAnsi"/>
          <w:szCs w:val="21"/>
        </w:rPr>
        <w:t xml:space="preserve"> </w:t>
      </w:r>
      <w:r w:rsidR="000A638B">
        <w:rPr>
          <w:rFonts w:eastAsia="Calibri" w:cstheme="minorHAnsi"/>
          <w:szCs w:val="21"/>
        </w:rPr>
        <w:t>policies</w:t>
      </w:r>
      <w:r w:rsidR="009A2FE1" w:rsidRPr="009A2FE1">
        <w:rPr>
          <w:rFonts w:eastAsia="Calibri" w:cstheme="minorHAnsi"/>
          <w:szCs w:val="21"/>
        </w:rPr>
        <w:t xml:space="preserve"> </w:t>
      </w:r>
      <w:r w:rsidR="00A24E35" w:rsidRPr="009A2FE1">
        <w:rPr>
          <w:rFonts w:eastAsia="Calibri" w:cstheme="minorHAnsi"/>
          <w:szCs w:val="21"/>
        </w:rPr>
        <w:t xml:space="preserve">designed to </w:t>
      </w:r>
      <w:r w:rsidR="00BC3F23">
        <w:rPr>
          <w:rFonts w:eastAsia="Calibri" w:cstheme="minorHAnsi"/>
          <w:szCs w:val="21"/>
        </w:rPr>
        <w:t>scale-up finance</w:t>
      </w:r>
      <w:r w:rsidR="00A24E35" w:rsidRPr="009A2FE1">
        <w:rPr>
          <w:rFonts w:eastAsia="Calibri" w:cstheme="minorHAnsi"/>
          <w:szCs w:val="21"/>
        </w:rPr>
        <w:t xml:space="preserve">. </w:t>
      </w:r>
      <w:r w:rsidRPr="009A2FE1">
        <w:rPr>
          <w:rFonts w:eastAsia="Calibri" w:cstheme="minorHAnsi"/>
          <w:szCs w:val="21"/>
        </w:rPr>
        <w:t>In the light of this background</w:t>
      </w:r>
      <w:r w:rsidR="00AD6E76" w:rsidRPr="009A2FE1">
        <w:rPr>
          <w:rFonts w:eastAsia="Calibri" w:cstheme="minorHAnsi"/>
          <w:szCs w:val="21"/>
        </w:rPr>
        <w:t xml:space="preserve">, we </w:t>
      </w:r>
      <w:bookmarkStart w:id="1" w:name="_Hlk52542553"/>
      <w:r w:rsidR="00920D94" w:rsidRPr="009A2FE1">
        <w:rPr>
          <w:rFonts w:eastAsia="Calibri" w:cstheme="minorHAnsi"/>
          <w:szCs w:val="21"/>
        </w:rPr>
        <w:t>extend</w:t>
      </w:r>
      <w:r w:rsidR="0059500C" w:rsidRPr="009A2FE1">
        <w:rPr>
          <w:rFonts w:eastAsia="Calibri" w:cstheme="minorHAnsi"/>
          <w:szCs w:val="21"/>
        </w:rPr>
        <w:t xml:space="preserve"> </w:t>
      </w:r>
      <w:r w:rsidR="00A24E35" w:rsidRPr="009A2FE1">
        <w:rPr>
          <w:rFonts w:eastAsia="Calibri" w:cstheme="minorHAnsi"/>
          <w:szCs w:val="21"/>
        </w:rPr>
        <w:t xml:space="preserve">the </w:t>
      </w:r>
      <w:r w:rsidR="00AD6E76" w:rsidRPr="009A2FE1">
        <w:rPr>
          <w:rFonts w:eastAsia="Calibri" w:cstheme="minorHAnsi"/>
          <w:szCs w:val="21"/>
        </w:rPr>
        <w:t>energy-economy Green Investment Barrier Model (GIBM)</w:t>
      </w:r>
      <w:r w:rsidRPr="009A2FE1">
        <w:rPr>
          <w:rFonts w:eastAsia="Calibri" w:cstheme="minorHAnsi"/>
          <w:szCs w:val="21"/>
        </w:rPr>
        <w:t xml:space="preserve"> </w:t>
      </w:r>
      <w:r w:rsidR="00E546D7">
        <w:rPr>
          <w:rFonts w:eastAsia="Calibri" w:cstheme="minorHAnsi"/>
          <w:szCs w:val="21"/>
        </w:rPr>
        <w:t xml:space="preserve">with the insights from a qualitative study </w:t>
      </w:r>
      <w:r w:rsidR="00AD6E76" w:rsidRPr="009A2FE1">
        <w:rPr>
          <w:rFonts w:eastAsia="Calibri" w:cstheme="minorHAnsi"/>
          <w:szCs w:val="21"/>
        </w:rPr>
        <w:t xml:space="preserve">to investigate the </w:t>
      </w:r>
      <w:r w:rsidR="00841677">
        <w:rPr>
          <w:rFonts w:eastAsia="Calibri" w:cstheme="minorHAnsi"/>
          <w:szCs w:val="21"/>
        </w:rPr>
        <w:t>macro</w:t>
      </w:r>
      <w:r w:rsidR="009A2FE1">
        <w:rPr>
          <w:rFonts w:eastAsia="Calibri" w:cstheme="minorHAnsi"/>
          <w:szCs w:val="21"/>
        </w:rPr>
        <w:t>economic implications</w:t>
      </w:r>
      <w:r w:rsidR="00AD6E76" w:rsidRPr="009A2FE1">
        <w:rPr>
          <w:rFonts w:eastAsia="Calibri" w:cstheme="minorHAnsi"/>
          <w:szCs w:val="21"/>
        </w:rPr>
        <w:t xml:space="preserve"> </w:t>
      </w:r>
      <w:r w:rsidR="002D5CE3" w:rsidRPr="009A2FE1">
        <w:rPr>
          <w:rFonts w:eastAsia="Calibri" w:cstheme="minorHAnsi"/>
          <w:szCs w:val="21"/>
        </w:rPr>
        <w:t xml:space="preserve">of </w:t>
      </w:r>
      <w:r w:rsidR="00612BD4">
        <w:rPr>
          <w:rFonts w:eastAsia="Calibri" w:cstheme="minorHAnsi"/>
          <w:szCs w:val="21"/>
        </w:rPr>
        <w:t xml:space="preserve">a </w:t>
      </w:r>
      <w:r w:rsidR="00F57E63">
        <w:rPr>
          <w:rFonts w:eastAsia="Calibri" w:cstheme="minorHAnsi"/>
          <w:szCs w:val="21"/>
        </w:rPr>
        <w:t>policy scenario desig</w:t>
      </w:r>
      <w:r w:rsidR="00F3366C">
        <w:rPr>
          <w:rFonts w:eastAsia="Calibri" w:cstheme="minorHAnsi"/>
          <w:szCs w:val="21"/>
        </w:rPr>
        <w:t>n</w:t>
      </w:r>
      <w:r w:rsidR="00F57E63">
        <w:rPr>
          <w:rFonts w:eastAsia="Calibri" w:cstheme="minorHAnsi"/>
          <w:szCs w:val="21"/>
        </w:rPr>
        <w:t>ed to close the green finance gap</w:t>
      </w:r>
      <w:r w:rsidR="00A17347" w:rsidRPr="009A2FE1">
        <w:rPr>
          <w:rFonts w:eastAsia="Calibri" w:cstheme="minorHAnsi"/>
          <w:szCs w:val="21"/>
        </w:rPr>
        <w:t xml:space="preserve"> </w:t>
      </w:r>
      <w:r w:rsidR="0059500C" w:rsidRPr="009A2FE1">
        <w:rPr>
          <w:rFonts w:eastAsia="Calibri" w:cstheme="minorHAnsi"/>
          <w:szCs w:val="21"/>
        </w:rPr>
        <w:t>in the UK</w:t>
      </w:r>
      <w:r w:rsidR="00612BD4">
        <w:rPr>
          <w:rFonts w:eastAsia="Calibri" w:cstheme="minorHAnsi"/>
          <w:szCs w:val="21"/>
        </w:rPr>
        <w:t xml:space="preserve"> </w:t>
      </w:r>
      <w:r w:rsidR="0025737B">
        <w:rPr>
          <w:rFonts w:eastAsia="Calibri" w:cstheme="minorHAnsi"/>
          <w:szCs w:val="21"/>
        </w:rPr>
        <w:t xml:space="preserve">in combination </w:t>
      </w:r>
      <w:r w:rsidR="00612BD4">
        <w:rPr>
          <w:rFonts w:eastAsia="Calibri" w:cstheme="minorHAnsi"/>
          <w:szCs w:val="21"/>
        </w:rPr>
        <w:t>with and without a scenario to decarbonise the power sector</w:t>
      </w:r>
      <w:r w:rsidR="0035503C" w:rsidRPr="009A2FE1">
        <w:rPr>
          <w:rFonts w:eastAsia="Calibri" w:cstheme="minorHAnsi"/>
          <w:szCs w:val="21"/>
        </w:rPr>
        <w:t xml:space="preserve">. </w:t>
      </w:r>
      <w:bookmarkEnd w:id="1"/>
      <w:r w:rsidR="00F45CD8">
        <w:rPr>
          <w:rFonts w:eastAsia="Calibri" w:cstheme="minorHAnsi"/>
          <w:szCs w:val="21"/>
        </w:rPr>
        <w:t>We also compare the achieved results with results simulated by other model</w:t>
      </w:r>
      <w:r w:rsidR="003C3C28">
        <w:rPr>
          <w:rFonts w:eastAsia="Calibri" w:cstheme="minorHAnsi"/>
          <w:szCs w:val="21"/>
        </w:rPr>
        <w:t>s</w:t>
      </w:r>
      <w:r w:rsidR="00F45CD8">
        <w:rPr>
          <w:rFonts w:eastAsia="Calibri" w:cstheme="minorHAnsi"/>
          <w:szCs w:val="21"/>
        </w:rPr>
        <w:t xml:space="preserve"> that focus on the financing </w:t>
      </w:r>
      <w:r w:rsidR="008A134E">
        <w:rPr>
          <w:rFonts w:eastAsia="Calibri" w:cstheme="minorHAnsi"/>
          <w:szCs w:val="21"/>
        </w:rPr>
        <w:t xml:space="preserve">the </w:t>
      </w:r>
      <w:r w:rsidR="00F45CD8">
        <w:rPr>
          <w:rFonts w:eastAsia="Calibri" w:cstheme="minorHAnsi"/>
          <w:szCs w:val="21"/>
        </w:rPr>
        <w:t xml:space="preserve">low-carbon transition. </w:t>
      </w:r>
      <w:r w:rsidR="00873F27" w:rsidRPr="00343B5D">
        <w:rPr>
          <w:rFonts w:eastAsia="Calibri" w:cstheme="minorHAnsi"/>
          <w:szCs w:val="21"/>
        </w:rPr>
        <w:t>W</w:t>
      </w:r>
      <w:r w:rsidR="004D1E18" w:rsidRPr="00343B5D">
        <w:rPr>
          <w:rFonts w:eastAsia="Calibri" w:cstheme="minorHAnsi"/>
          <w:szCs w:val="21"/>
        </w:rPr>
        <w:t xml:space="preserve">e </w:t>
      </w:r>
      <w:r w:rsidR="003C3C28" w:rsidRPr="00343B5D">
        <w:rPr>
          <w:rFonts w:eastAsia="Calibri" w:cstheme="minorHAnsi"/>
          <w:szCs w:val="21"/>
        </w:rPr>
        <w:t>find that</w:t>
      </w:r>
      <w:r w:rsidR="009A2FE1" w:rsidRPr="00343B5D">
        <w:rPr>
          <w:rFonts w:eastAsia="Calibri" w:cstheme="minorHAnsi"/>
          <w:szCs w:val="21"/>
        </w:rPr>
        <w:t xml:space="preserve"> </w:t>
      </w:r>
      <w:r w:rsidR="00E546D7" w:rsidRPr="00343B5D">
        <w:rPr>
          <w:rFonts w:eastAsia="Calibri" w:cstheme="minorHAnsi"/>
          <w:szCs w:val="21"/>
        </w:rPr>
        <w:t>clos</w:t>
      </w:r>
      <w:r w:rsidR="00462537" w:rsidRPr="00343B5D">
        <w:rPr>
          <w:rFonts w:eastAsia="Calibri" w:cstheme="minorHAnsi"/>
          <w:szCs w:val="21"/>
        </w:rPr>
        <w:t>ing</w:t>
      </w:r>
      <w:r w:rsidR="0029547F" w:rsidRPr="00343B5D">
        <w:rPr>
          <w:rFonts w:eastAsia="Calibri" w:cstheme="minorHAnsi"/>
          <w:szCs w:val="21"/>
        </w:rPr>
        <w:t xml:space="preserve"> the green finance gap </w:t>
      </w:r>
      <w:r w:rsidR="003056DA" w:rsidRPr="00343B5D">
        <w:rPr>
          <w:rFonts w:eastAsia="Calibri" w:cstheme="minorHAnsi"/>
          <w:szCs w:val="21"/>
        </w:rPr>
        <w:t>based on a systems</w:t>
      </w:r>
      <w:r w:rsidR="00A947EC">
        <w:rPr>
          <w:rFonts w:eastAsia="Calibri" w:cstheme="minorHAnsi"/>
          <w:szCs w:val="21"/>
        </w:rPr>
        <w:t xml:space="preserve"> policy</w:t>
      </w:r>
      <w:r w:rsidR="003056DA" w:rsidRPr="00343B5D">
        <w:rPr>
          <w:rFonts w:eastAsia="Calibri" w:cstheme="minorHAnsi"/>
          <w:szCs w:val="21"/>
        </w:rPr>
        <w:t xml:space="preserve"> approach </w:t>
      </w:r>
      <w:r w:rsidR="00F3366C" w:rsidRPr="00343B5D">
        <w:rPr>
          <w:rFonts w:eastAsia="Calibri" w:cstheme="minorHAnsi"/>
          <w:szCs w:val="21"/>
        </w:rPr>
        <w:t xml:space="preserve">alongside </w:t>
      </w:r>
      <w:r w:rsidR="00612BD4" w:rsidRPr="00343B5D">
        <w:rPr>
          <w:rFonts w:eastAsia="Calibri" w:cstheme="minorHAnsi"/>
          <w:szCs w:val="21"/>
        </w:rPr>
        <w:t>a low-carbon power scenario</w:t>
      </w:r>
      <w:r w:rsidR="00F3366C" w:rsidRPr="00343B5D">
        <w:rPr>
          <w:rFonts w:eastAsia="Calibri" w:cstheme="minorHAnsi"/>
          <w:szCs w:val="21"/>
        </w:rPr>
        <w:t xml:space="preserve"> </w:t>
      </w:r>
      <w:r w:rsidR="00462537" w:rsidRPr="00343B5D">
        <w:rPr>
          <w:rFonts w:eastAsia="Calibri" w:cstheme="minorHAnsi"/>
          <w:szCs w:val="21"/>
        </w:rPr>
        <w:t xml:space="preserve">leads </w:t>
      </w:r>
      <w:r w:rsidR="00FA7A07" w:rsidRPr="00343B5D">
        <w:rPr>
          <w:rFonts w:eastAsia="Calibri" w:cstheme="minorHAnsi"/>
          <w:szCs w:val="21"/>
        </w:rPr>
        <w:t xml:space="preserve">to the co-benefits </w:t>
      </w:r>
      <w:r w:rsidR="00F87FA9" w:rsidRPr="00343B5D">
        <w:rPr>
          <w:rFonts w:eastAsia="Calibri" w:cstheme="minorHAnsi"/>
          <w:szCs w:val="21"/>
        </w:rPr>
        <w:t>of</w:t>
      </w:r>
      <w:r w:rsidR="001726CB" w:rsidRPr="00343B5D">
        <w:rPr>
          <w:rFonts w:eastAsia="Calibri" w:cstheme="minorHAnsi"/>
          <w:szCs w:val="21"/>
        </w:rPr>
        <w:t xml:space="preserve"> </w:t>
      </w:r>
      <w:r w:rsidR="00FA7A07" w:rsidRPr="00343B5D">
        <w:rPr>
          <w:rFonts w:eastAsia="Calibri" w:cstheme="minorHAnsi"/>
          <w:szCs w:val="21"/>
        </w:rPr>
        <w:t>lower</w:t>
      </w:r>
      <w:r w:rsidR="00950633" w:rsidRPr="00343B5D">
        <w:rPr>
          <w:rFonts w:eastAsia="Calibri" w:cstheme="minorHAnsi"/>
          <w:szCs w:val="21"/>
        </w:rPr>
        <w:t xml:space="preserve"> </w:t>
      </w:r>
      <w:r w:rsidR="008D63D9" w:rsidRPr="00B8367E">
        <w:rPr>
          <w:rFonts w:eastAsia="Calibri" w:cstheme="minorHAnsi"/>
          <w:szCs w:val="21"/>
        </w:rPr>
        <w:t>power</w:t>
      </w:r>
      <w:r w:rsidR="00DF1523" w:rsidRPr="00343B5D">
        <w:rPr>
          <w:rFonts w:eastAsia="Calibri" w:cstheme="minorHAnsi"/>
          <w:szCs w:val="21"/>
        </w:rPr>
        <w:t xml:space="preserve"> </w:t>
      </w:r>
      <w:r w:rsidR="001726CB" w:rsidRPr="00343B5D">
        <w:rPr>
          <w:rFonts w:eastAsia="Calibri" w:cstheme="minorHAnsi"/>
          <w:szCs w:val="21"/>
        </w:rPr>
        <w:t xml:space="preserve">system costs and </w:t>
      </w:r>
      <w:r w:rsidR="00950633" w:rsidRPr="00343B5D">
        <w:rPr>
          <w:rFonts w:eastAsia="Calibri" w:cstheme="minorHAnsi"/>
          <w:szCs w:val="21"/>
        </w:rPr>
        <w:t>unemployment, and</w:t>
      </w:r>
      <w:r w:rsidR="002E4513" w:rsidRPr="00343B5D">
        <w:rPr>
          <w:rFonts w:eastAsia="Calibri" w:cstheme="minorHAnsi"/>
          <w:szCs w:val="21"/>
        </w:rPr>
        <w:t xml:space="preserve"> </w:t>
      </w:r>
      <w:r w:rsidR="001726CB" w:rsidRPr="00343B5D">
        <w:rPr>
          <w:rFonts w:eastAsia="Calibri" w:cstheme="minorHAnsi"/>
          <w:szCs w:val="21"/>
        </w:rPr>
        <w:t>i</w:t>
      </w:r>
      <w:r w:rsidR="00FA7A07" w:rsidRPr="00343B5D">
        <w:rPr>
          <w:rFonts w:eastAsia="Calibri" w:cstheme="minorHAnsi"/>
          <w:szCs w:val="21"/>
        </w:rPr>
        <w:t xml:space="preserve">ncreases in </w:t>
      </w:r>
      <w:r w:rsidR="00950633" w:rsidRPr="00343B5D">
        <w:rPr>
          <w:rFonts w:eastAsia="Calibri" w:cstheme="minorHAnsi"/>
          <w:szCs w:val="21"/>
        </w:rPr>
        <w:t>GDP.</w:t>
      </w:r>
      <w:r w:rsidR="00950633" w:rsidRPr="00FC1125">
        <w:rPr>
          <w:rFonts w:eastAsia="Calibri" w:cstheme="minorHAnsi"/>
          <w:szCs w:val="21"/>
        </w:rPr>
        <w:t xml:space="preserve"> </w:t>
      </w:r>
    </w:p>
    <w:bookmarkEnd w:id="0"/>
    <w:p w14:paraId="7BB32EA4" w14:textId="6ADEB0EC" w:rsidR="00994D99" w:rsidRPr="005E5158" w:rsidRDefault="00994D99" w:rsidP="00610EDE">
      <w:pPr>
        <w:rPr>
          <w:rFonts w:eastAsia="Calibri" w:cstheme="minorHAnsi"/>
          <w:szCs w:val="21"/>
        </w:rPr>
      </w:pPr>
      <w:r w:rsidRPr="007C0A4D">
        <w:rPr>
          <w:rFonts w:eastAsia="Calibri" w:cstheme="minorHAnsi"/>
          <w:b/>
          <w:szCs w:val="21"/>
        </w:rPr>
        <w:t>Keywords</w:t>
      </w:r>
      <w:r w:rsidRPr="007C0A4D">
        <w:rPr>
          <w:rFonts w:eastAsia="Calibri" w:cstheme="minorHAnsi"/>
          <w:szCs w:val="21"/>
        </w:rPr>
        <w:t xml:space="preserve">: Green finance gap, </w:t>
      </w:r>
      <w:r w:rsidR="001B68A9" w:rsidRPr="0070461D">
        <w:rPr>
          <w:rFonts w:eastAsia="Calibri" w:cstheme="minorHAnsi"/>
          <w:szCs w:val="21"/>
        </w:rPr>
        <w:t>Energy transition</w:t>
      </w:r>
      <w:r w:rsidR="0035503C" w:rsidRPr="0070461D">
        <w:rPr>
          <w:rFonts w:eastAsia="Calibri" w:cstheme="minorHAnsi"/>
          <w:szCs w:val="21"/>
        </w:rPr>
        <w:t xml:space="preserve">, </w:t>
      </w:r>
      <w:r w:rsidR="001B68A9" w:rsidRPr="0070461D">
        <w:rPr>
          <w:rFonts w:eastAsia="Calibri" w:cstheme="minorHAnsi"/>
          <w:szCs w:val="21"/>
        </w:rPr>
        <w:t>E</w:t>
      </w:r>
      <w:r w:rsidR="0035503C" w:rsidRPr="0070461D">
        <w:rPr>
          <w:rFonts w:eastAsia="Calibri" w:cstheme="minorHAnsi"/>
          <w:szCs w:val="21"/>
        </w:rPr>
        <w:t xml:space="preserve">nergy-economy model, </w:t>
      </w:r>
      <w:r w:rsidR="001B68A9" w:rsidRPr="0070461D">
        <w:rPr>
          <w:rFonts w:eastAsia="Calibri" w:cstheme="minorHAnsi"/>
          <w:szCs w:val="21"/>
        </w:rPr>
        <w:t xml:space="preserve">System dynamics, </w:t>
      </w:r>
      <w:r w:rsidR="00D47E61">
        <w:rPr>
          <w:rFonts w:eastAsia="Calibri" w:cstheme="minorHAnsi"/>
          <w:szCs w:val="21"/>
        </w:rPr>
        <w:t>Policy scenario</w:t>
      </w:r>
    </w:p>
    <w:p w14:paraId="52E98C6C" w14:textId="375BA5D6" w:rsidR="00610EDE" w:rsidRPr="0099228F" w:rsidRDefault="00610EDE" w:rsidP="002B08E1">
      <w:pPr>
        <w:pStyle w:val="Heading1"/>
      </w:pPr>
      <w:r w:rsidRPr="0099228F">
        <w:t>Introduction</w:t>
      </w:r>
    </w:p>
    <w:p w14:paraId="2BC8618A" w14:textId="7C36416C" w:rsidR="00BF4E58" w:rsidRPr="00E546D7" w:rsidRDefault="00FA7A07" w:rsidP="00FA7A07">
      <w:pPr>
        <w:rPr>
          <w:rFonts w:cstheme="minorHAnsi"/>
        </w:rPr>
      </w:pPr>
      <w:r w:rsidRPr="0099228F">
        <w:rPr>
          <w:rFonts w:cstheme="minorHAnsi"/>
        </w:rPr>
        <w:t>T</w:t>
      </w:r>
      <w:r w:rsidR="008173BD" w:rsidRPr="009C05A3">
        <w:rPr>
          <w:rFonts w:eastAsia="Calibri" w:cstheme="minorHAnsi"/>
          <w:szCs w:val="21"/>
        </w:rPr>
        <w:t xml:space="preserve">he UK </w:t>
      </w:r>
      <w:r w:rsidR="0034278A" w:rsidRPr="009C05A3">
        <w:rPr>
          <w:rFonts w:eastAsia="Calibri" w:cstheme="minorHAnsi"/>
          <w:szCs w:val="21"/>
        </w:rPr>
        <w:t>aims at decarbon</w:t>
      </w:r>
      <w:r w:rsidR="00D64A04" w:rsidRPr="009C05A3">
        <w:rPr>
          <w:rFonts w:eastAsia="Calibri" w:cstheme="minorHAnsi"/>
          <w:szCs w:val="21"/>
        </w:rPr>
        <w:t xml:space="preserve">ising its </w:t>
      </w:r>
      <w:r w:rsidR="00E54E82" w:rsidRPr="00967105">
        <w:rPr>
          <w:rFonts w:eastAsia="Calibri" w:cstheme="minorHAnsi"/>
          <w:szCs w:val="21"/>
        </w:rPr>
        <w:t>electricity</w:t>
      </w:r>
      <w:r w:rsidR="00D64A04" w:rsidRPr="00967105">
        <w:rPr>
          <w:rFonts w:eastAsia="Calibri" w:cstheme="minorHAnsi"/>
          <w:szCs w:val="21"/>
        </w:rPr>
        <w:t xml:space="preserve"> sector</w:t>
      </w:r>
      <w:r w:rsidR="002A29E0" w:rsidRPr="00967105">
        <w:rPr>
          <w:rFonts w:eastAsia="Calibri" w:cstheme="minorHAnsi"/>
          <w:szCs w:val="21"/>
        </w:rPr>
        <w:t xml:space="preserve"> by 2050</w:t>
      </w:r>
      <w:r w:rsidR="000E5D76" w:rsidRPr="00967105">
        <w:rPr>
          <w:rFonts w:eastAsia="Calibri" w:cstheme="minorHAnsi"/>
          <w:szCs w:val="21"/>
        </w:rPr>
        <w:t xml:space="preserve"> (CCC, 2019)</w:t>
      </w:r>
      <w:r w:rsidR="002A29E0" w:rsidRPr="00967105">
        <w:rPr>
          <w:rFonts w:eastAsia="Calibri" w:cstheme="minorHAnsi"/>
          <w:szCs w:val="21"/>
        </w:rPr>
        <w:t>. This</w:t>
      </w:r>
      <w:r w:rsidR="00A20E32" w:rsidRPr="00967105">
        <w:rPr>
          <w:rFonts w:eastAsia="Calibri" w:cstheme="minorHAnsi"/>
          <w:szCs w:val="21"/>
        </w:rPr>
        <w:t xml:space="preserve"> </w:t>
      </w:r>
      <w:r w:rsidR="00297D82" w:rsidRPr="004C48F6">
        <w:rPr>
          <w:rFonts w:eastAsia="Calibri" w:cstheme="minorHAnsi"/>
          <w:szCs w:val="21"/>
        </w:rPr>
        <w:t>translates into</w:t>
      </w:r>
      <w:r w:rsidR="000E5D76" w:rsidRPr="004C48F6">
        <w:rPr>
          <w:rFonts w:eastAsia="Calibri" w:cstheme="minorHAnsi"/>
          <w:szCs w:val="21"/>
        </w:rPr>
        <w:t xml:space="preserve"> </w:t>
      </w:r>
      <w:r w:rsidR="00D64A04" w:rsidRPr="004C48F6">
        <w:rPr>
          <w:rFonts w:eastAsia="Calibri" w:cstheme="minorHAnsi"/>
          <w:szCs w:val="21"/>
        </w:rPr>
        <w:t xml:space="preserve">low-carbon </w:t>
      </w:r>
      <w:r w:rsidR="00E54E82" w:rsidRPr="004C48F6">
        <w:rPr>
          <w:rFonts w:eastAsia="Calibri" w:cstheme="minorHAnsi"/>
          <w:szCs w:val="21"/>
        </w:rPr>
        <w:t>electricity</w:t>
      </w:r>
      <w:r w:rsidR="00D64A04" w:rsidRPr="004C48F6">
        <w:rPr>
          <w:rFonts w:eastAsia="Calibri" w:cstheme="minorHAnsi"/>
          <w:szCs w:val="21"/>
        </w:rPr>
        <w:t xml:space="preserve"> infrastructure investment </w:t>
      </w:r>
      <w:r w:rsidR="0034278A" w:rsidRPr="004C48F6">
        <w:rPr>
          <w:rFonts w:eastAsia="Calibri" w:cstheme="minorHAnsi"/>
          <w:szCs w:val="21"/>
        </w:rPr>
        <w:t>requirement</w:t>
      </w:r>
      <w:r w:rsidR="00D64A04" w:rsidRPr="009A2FE1">
        <w:rPr>
          <w:rFonts w:eastAsia="Calibri" w:cstheme="minorHAnsi"/>
          <w:szCs w:val="21"/>
        </w:rPr>
        <w:t xml:space="preserve">s </w:t>
      </w:r>
      <w:r w:rsidR="00D64A04" w:rsidRPr="009A2FE1">
        <w:rPr>
          <w:rFonts w:cstheme="minorHAnsi"/>
        </w:rPr>
        <w:t>in the range of £300 b</w:t>
      </w:r>
      <w:r w:rsidR="002E6242">
        <w:rPr>
          <w:rFonts w:cstheme="minorHAnsi"/>
        </w:rPr>
        <w:t>illion</w:t>
      </w:r>
      <w:r w:rsidR="00D64A04" w:rsidRPr="009A2FE1">
        <w:rPr>
          <w:rFonts w:cstheme="minorHAnsi"/>
        </w:rPr>
        <w:t xml:space="preserve"> </w:t>
      </w:r>
      <w:r w:rsidR="00A20E32" w:rsidRPr="009A2FE1">
        <w:rPr>
          <w:rFonts w:cstheme="minorHAnsi"/>
        </w:rPr>
        <w:t>b</w:t>
      </w:r>
      <w:r w:rsidR="00D64A04" w:rsidRPr="009A2FE1">
        <w:rPr>
          <w:rFonts w:cstheme="minorHAnsi"/>
        </w:rPr>
        <w:t>y 2030 (</w:t>
      </w:r>
      <w:bookmarkStart w:id="2" w:name="_Hlk53340689"/>
      <w:r w:rsidR="00D64A04" w:rsidRPr="009A2FE1">
        <w:rPr>
          <w:rFonts w:cstheme="minorHAnsi"/>
        </w:rPr>
        <w:t>Vivid Economics, 2012</w:t>
      </w:r>
      <w:bookmarkEnd w:id="2"/>
      <w:r w:rsidR="00D64A04" w:rsidRPr="009A2FE1">
        <w:rPr>
          <w:rFonts w:cstheme="minorHAnsi"/>
        </w:rPr>
        <w:t xml:space="preserve">; CCC, </w:t>
      </w:r>
      <w:r w:rsidR="00F15D93" w:rsidRPr="00FC1125">
        <w:rPr>
          <w:rFonts w:cstheme="minorHAnsi"/>
        </w:rPr>
        <w:t>2019</w:t>
      </w:r>
      <w:r w:rsidR="00D64A04" w:rsidRPr="00FC1125">
        <w:rPr>
          <w:rFonts w:cstheme="minorHAnsi"/>
        </w:rPr>
        <w:t>).</w:t>
      </w:r>
      <w:r w:rsidR="002A29E0" w:rsidRPr="00FC1125">
        <w:rPr>
          <w:rFonts w:eastAsia="Calibri" w:cstheme="minorHAnsi"/>
          <w:szCs w:val="21"/>
        </w:rPr>
        <w:t xml:space="preserve"> </w:t>
      </w:r>
      <w:r w:rsidRPr="00810ED7">
        <w:rPr>
          <w:rFonts w:cstheme="minorHAnsi"/>
        </w:rPr>
        <w:t>The</w:t>
      </w:r>
      <w:r w:rsidR="002B44E0" w:rsidRPr="00810ED7">
        <w:rPr>
          <w:rFonts w:cstheme="minorHAnsi"/>
        </w:rPr>
        <w:t xml:space="preserve"> scale of </w:t>
      </w:r>
      <w:r w:rsidRPr="004857A9">
        <w:rPr>
          <w:rFonts w:cstheme="minorHAnsi"/>
        </w:rPr>
        <w:t>these</w:t>
      </w:r>
      <w:r w:rsidR="002B44E0" w:rsidRPr="004857A9">
        <w:rPr>
          <w:rFonts w:cstheme="minorHAnsi"/>
        </w:rPr>
        <w:t xml:space="preserve"> investment requirements significantly exceeds the funding possibilities of </w:t>
      </w:r>
      <w:r w:rsidR="000E5D76" w:rsidRPr="007C0A4D">
        <w:rPr>
          <w:rFonts w:cstheme="minorHAnsi"/>
        </w:rPr>
        <w:t xml:space="preserve">conventional funding sources (e.g. </w:t>
      </w:r>
      <w:r w:rsidR="00E54E82" w:rsidRPr="0070461D">
        <w:rPr>
          <w:rFonts w:cstheme="minorHAnsi"/>
        </w:rPr>
        <w:t>electricity</w:t>
      </w:r>
      <w:r w:rsidR="000E5D76" w:rsidRPr="0070461D">
        <w:rPr>
          <w:rFonts w:cstheme="minorHAnsi"/>
        </w:rPr>
        <w:t xml:space="preserve"> developers) </w:t>
      </w:r>
      <w:r w:rsidR="0029547F" w:rsidRPr="0070461D">
        <w:rPr>
          <w:rFonts w:cstheme="minorHAnsi"/>
        </w:rPr>
        <w:t>and</w:t>
      </w:r>
      <w:r w:rsidR="000E5D76" w:rsidRPr="0070461D">
        <w:rPr>
          <w:rFonts w:cstheme="minorHAnsi"/>
        </w:rPr>
        <w:t xml:space="preserve"> the UK government</w:t>
      </w:r>
      <w:r w:rsidR="002B44E0" w:rsidRPr="0070461D">
        <w:rPr>
          <w:rFonts w:cstheme="minorHAnsi"/>
        </w:rPr>
        <w:t xml:space="preserve">. Therefore, </w:t>
      </w:r>
      <w:r w:rsidR="002A29E0" w:rsidRPr="005E5158">
        <w:rPr>
          <w:rFonts w:cstheme="minorHAnsi"/>
        </w:rPr>
        <w:t>t</w:t>
      </w:r>
      <w:r w:rsidR="0034278A" w:rsidRPr="005E5158">
        <w:rPr>
          <w:rFonts w:cstheme="minorHAnsi"/>
        </w:rPr>
        <w:t xml:space="preserve">he financial sector has a crucial role to play in the transformative change of the </w:t>
      </w:r>
      <w:r w:rsidR="00E54E82" w:rsidRPr="005E5158">
        <w:rPr>
          <w:rFonts w:cstheme="minorHAnsi"/>
        </w:rPr>
        <w:t>electricity</w:t>
      </w:r>
      <w:r w:rsidR="0034278A" w:rsidRPr="00202D0C">
        <w:rPr>
          <w:rFonts w:cstheme="minorHAnsi"/>
        </w:rPr>
        <w:t xml:space="preserve"> sector towards a net-zero economy (</w:t>
      </w:r>
      <w:bookmarkStart w:id="3" w:name="_Hlk53340702"/>
      <w:r w:rsidR="0034278A" w:rsidRPr="00202D0C">
        <w:rPr>
          <w:rFonts w:cstheme="minorHAnsi"/>
        </w:rPr>
        <w:t>HM Treasury &amp; Department for Business, Energy &amp; Industrial Strategy, 2019</w:t>
      </w:r>
      <w:bookmarkEnd w:id="3"/>
      <w:r w:rsidR="0034278A" w:rsidRPr="00202D0C">
        <w:rPr>
          <w:rFonts w:cstheme="minorHAnsi"/>
        </w:rPr>
        <w:t>). However, the incre</w:t>
      </w:r>
      <w:r w:rsidR="0034278A" w:rsidRPr="004A4678">
        <w:rPr>
          <w:rFonts w:cstheme="minorHAnsi"/>
        </w:rPr>
        <w:t>ase of investment flows by private investors, institutional investors or banks is hampered by vari</w:t>
      </w:r>
      <w:r w:rsidR="000E5D76" w:rsidRPr="004A4678">
        <w:rPr>
          <w:rFonts w:cstheme="minorHAnsi"/>
        </w:rPr>
        <w:t xml:space="preserve">ous green investment barriers, </w:t>
      </w:r>
      <w:r w:rsidR="0034278A" w:rsidRPr="004A4678">
        <w:rPr>
          <w:rFonts w:cstheme="minorHAnsi"/>
        </w:rPr>
        <w:t xml:space="preserve">leading to the so-called green finance gap, </w:t>
      </w:r>
      <w:r w:rsidRPr="002E6242">
        <w:rPr>
          <w:rFonts w:cstheme="minorHAnsi"/>
        </w:rPr>
        <w:t>which describes</w:t>
      </w:r>
      <w:r w:rsidR="0034278A" w:rsidRPr="00170707">
        <w:rPr>
          <w:rFonts w:cstheme="minorHAnsi"/>
        </w:rPr>
        <w:t xml:space="preserve"> the</w:t>
      </w:r>
      <w:r w:rsidRPr="003D03D6">
        <w:rPr>
          <w:rFonts w:cstheme="minorHAnsi"/>
        </w:rPr>
        <w:t xml:space="preserve"> current</w:t>
      </w:r>
      <w:r w:rsidR="0034278A" w:rsidRPr="00793594">
        <w:rPr>
          <w:rFonts w:cstheme="minorHAnsi"/>
        </w:rPr>
        <w:t xml:space="preserve"> lack of investments required for the realisation of a g</w:t>
      </w:r>
      <w:r w:rsidR="0034278A" w:rsidRPr="008D06CA">
        <w:rPr>
          <w:rFonts w:cstheme="minorHAnsi"/>
        </w:rPr>
        <w:t>reen trajectory (</w:t>
      </w:r>
      <w:bookmarkStart w:id="4" w:name="_Hlk53340710"/>
      <w:r w:rsidR="00334603" w:rsidRPr="008D06CA">
        <w:rPr>
          <w:rFonts w:eastAsia="Calibri" w:cstheme="minorHAnsi"/>
          <w:szCs w:val="21"/>
        </w:rPr>
        <w:t>Hafner et al., 2019; 2020</w:t>
      </w:r>
      <w:r w:rsidR="0029547F" w:rsidRPr="00E546D7">
        <w:rPr>
          <w:rFonts w:eastAsia="Calibri" w:cstheme="minorHAnsi"/>
          <w:szCs w:val="21"/>
        </w:rPr>
        <w:t>a</w:t>
      </w:r>
      <w:bookmarkEnd w:id="4"/>
      <w:r w:rsidR="0034278A" w:rsidRPr="00E546D7">
        <w:rPr>
          <w:rFonts w:eastAsia="Calibri" w:cstheme="minorHAnsi"/>
          <w:szCs w:val="21"/>
        </w:rPr>
        <w:t>)</w:t>
      </w:r>
      <w:r w:rsidR="0034278A" w:rsidRPr="00E546D7">
        <w:rPr>
          <w:rFonts w:cstheme="minorHAnsi"/>
        </w:rPr>
        <w:t xml:space="preserve">. </w:t>
      </w:r>
    </w:p>
    <w:p w14:paraId="06A94344" w14:textId="1CE20027" w:rsidR="000E5D76" w:rsidRPr="00E6651C" w:rsidRDefault="002B44E0" w:rsidP="00FA7A07">
      <w:pPr>
        <w:rPr>
          <w:rFonts w:cstheme="minorHAnsi"/>
        </w:rPr>
      </w:pPr>
      <w:r w:rsidRPr="00476427">
        <w:rPr>
          <w:rFonts w:cstheme="minorHAnsi"/>
        </w:rPr>
        <w:t xml:space="preserve">In response to the UK’s commitment to reducing emissions by 2050, a growing number of research studies have explored low-emission strategies and their </w:t>
      </w:r>
      <w:r w:rsidR="000E5D76" w:rsidRPr="00462537">
        <w:rPr>
          <w:rFonts w:cstheme="minorHAnsi"/>
        </w:rPr>
        <w:t xml:space="preserve">economic impacts. </w:t>
      </w:r>
      <w:r w:rsidRPr="00462537">
        <w:rPr>
          <w:rFonts w:cstheme="minorHAnsi"/>
        </w:rPr>
        <w:t>Computable general equilibrium (CGE) energy-economy-environment (E</w:t>
      </w:r>
      <w:r w:rsidR="00C7598D" w:rsidRPr="00462537">
        <w:rPr>
          <w:rFonts w:cstheme="minorHAnsi"/>
        </w:rPr>
        <w:t>3</w:t>
      </w:r>
      <w:r w:rsidRPr="00462537">
        <w:rPr>
          <w:rFonts w:cstheme="minorHAnsi"/>
        </w:rPr>
        <w:t>) models are the predominant modelling approach applied for the UK climate policy analysis (e.g. UK Times model, HMRC model</w:t>
      </w:r>
      <w:r w:rsidR="00283D10" w:rsidRPr="00462537">
        <w:rPr>
          <w:rFonts w:cstheme="minorHAnsi"/>
        </w:rPr>
        <w:t xml:space="preserve"> or see </w:t>
      </w:r>
      <w:bookmarkStart w:id="5" w:name="_Hlk56412196"/>
      <w:proofErr w:type="spellStart"/>
      <w:r w:rsidR="00283D10" w:rsidRPr="00462537">
        <w:rPr>
          <w:rFonts w:cstheme="minorHAnsi"/>
        </w:rPr>
        <w:t>Vandyck</w:t>
      </w:r>
      <w:proofErr w:type="spellEnd"/>
      <w:r w:rsidR="00283D10" w:rsidRPr="00462537">
        <w:rPr>
          <w:rFonts w:cstheme="minorHAnsi"/>
        </w:rPr>
        <w:t xml:space="preserve"> et al., 2016 for an application on EU level</w:t>
      </w:r>
      <w:bookmarkEnd w:id="5"/>
      <w:r w:rsidRPr="00E6651C">
        <w:rPr>
          <w:rFonts w:cstheme="minorHAnsi"/>
        </w:rPr>
        <w:t>). However, in particular after the Great Financial Crisis in 2008, critic</w:t>
      </w:r>
      <w:r w:rsidRPr="003017BC">
        <w:rPr>
          <w:rFonts w:cstheme="minorHAnsi"/>
        </w:rPr>
        <w:t>ism of models based on a neoclassical or equilibrium framework emerged as these models involve a variety of rest</w:t>
      </w:r>
      <w:r w:rsidR="000E5D76" w:rsidRPr="00601E17">
        <w:rPr>
          <w:rFonts w:cstheme="minorHAnsi"/>
        </w:rPr>
        <w:t>rictive assumptions, including but not limited to</w:t>
      </w:r>
      <w:r w:rsidRPr="00601E17">
        <w:rPr>
          <w:rFonts w:cstheme="minorHAnsi"/>
        </w:rPr>
        <w:t xml:space="preserve"> the assumption of cleared markets</w:t>
      </w:r>
      <w:r w:rsidR="000E5D76" w:rsidRPr="00601E17">
        <w:rPr>
          <w:rFonts w:cstheme="minorHAnsi"/>
        </w:rPr>
        <w:t xml:space="preserve"> or </w:t>
      </w:r>
      <w:r w:rsidRPr="00601E17">
        <w:rPr>
          <w:rFonts w:cstheme="minorHAnsi"/>
        </w:rPr>
        <w:t xml:space="preserve">(bounded) rational </w:t>
      </w:r>
      <w:r w:rsidR="00E35CB2">
        <w:rPr>
          <w:rFonts w:cstheme="minorHAnsi"/>
        </w:rPr>
        <w:t xml:space="preserve">optimising </w:t>
      </w:r>
      <w:r w:rsidRPr="00601E17">
        <w:rPr>
          <w:rFonts w:cstheme="minorHAnsi"/>
        </w:rPr>
        <w:t>agents (Hafner et al., 2020b). Alternatively, UK policy recommendations are</w:t>
      </w:r>
      <w:r w:rsidR="00870B05" w:rsidRPr="00601E17">
        <w:rPr>
          <w:rFonts w:cstheme="minorHAnsi"/>
        </w:rPr>
        <w:t xml:space="preserve"> also</w:t>
      </w:r>
      <w:r w:rsidRPr="00601E17">
        <w:rPr>
          <w:rFonts w:cstheme="minorHAnsi"/>
        </w:rPr>
        <w:t xml:space="preserve"> derived based on </w:t>
      </w:r>
      <w:r w:rsidR="00870B05" w:rsidRPr="00601E17">
        <w:rPr>
          <w:rFonts w:cstheme="minorHAnsi"/>
        </w:rPr>
        <w:t>econometrically estimated</w:t>
      </w:r>
      <w:r w:rsidRPr="00601E17">
        <w:rPr>
          <w:rFonts w:cstheme="minorHAnsi"/>
        </w:rPr>
        <w:t xml:space="preserve"> macroeconomic model</w:t>
      </w:r>
      <w:r w:rsidR="00870B05" w:rsidRPr="00601E17">
        <w:rPr>
          <w:rFonts w:cstheme="minorHAnsi"/>
        </w:rPr>
        <w:t>s</w:t>
      </w:r>
      <w:r w:rsidRPr="00601E17">
        <w:rPr>
          <w:rFonts w:cstheme="minorHAnsi"/>
        </w:rPr>
        <w:t xml:space="preserve">, </w:t>
      </w:r>
      <w:r w:rsidR="00870B05" w:rsidRPr="00601E17">
        <w:rPr>
          <w:rFonts w:cstheme="minorHAnsi"/>
        </w:rPr>
        <w:t xml:space="preserve">such as </w:t>
      </w:r>
      <w:r w:rsidRPr="00601E17">
        <w:rPr>
          <w:rFonts w:cstheme="minorHAnsi"/>
        </w:rPr>
        <w:t>the Cambr</w:t>
      </w:r>
      <w:r w:rsidR="00334603" w:rsidRPr="00601E17">
        <w:rPr>
          <w:rFonts w:cstheme="minorHAnsi"/>
        </w:rPr>
        <w:t xml:space="preserve">idge Econometrics MDM-E3 model </w:t>
      </w:r>
      <w:r w:rsidRPr="00601E17">
        <w:rPr>
          <w:rFonts w:cstheme="minorHAnsi"/>
        </w:rPr>
        <w:t xml:space="preserve">(e.g. </w:t>
      </w:r>
      <w:bookmarkStart w:id="6" w:name="_Hlk53340740"/>
      <w:r w:rsidRPr="00601E17">
        <w:rPr>
          <w:rFonts w:cstheme="minorHAnsi"/>
        </w:rPr>
        <w:t>Ekins et al., 2011</w:t>
      </w:r>
      <w:bookmarkEnd w:id="6"/>
      <w:r w:rsidRPr="00601E17">
        <w:rPr>
          <w:rFonts w:cstheme="minorHAnsi"/>
        </w:rPr>
        <w:t xml:space="preserve">) or </w:t>
      </w:r>
      <w:r w:rsidR="00D10B92" w:rsidRPr="00601E17">
        <w:rPr>
          <w:rFonts w:cstheme="minorHAnsi"/>
        </w:rPr>
        <w:t xml:space="preserve">more recently </w:t>
      </w:r>
      <w:r w:rsidRPr="00601E17">
        <w:rPr>
          <w:rFonts w:cstheme="minorHAnsi"/>
        </w:rPr>
        <w:t>the</w:t>
      </w:r>
      <w:r w:rsidR="00D10B92" w:rsidRPr="00601E17">
        <w:rPr>
          <w:rFonts w:cstheme="minorHAnsi"/>
        </w:rPr>
        <w:t>ir</w:t>
      </w:r>
      <w:r w:rsidRPr="00601E17">
        <w:rPr>
          <w:rFonts w:cstheme="minorHAnsi"/>
        </w:rPr>
        <w:t xml:space="preserve"> E3ME</w:t>
      </w:r>
      <w:r w:rsidR="00870B05" w:rsidRPr="00601E17">
        <w:rPr>
          <w:rFonts w:cstheme="minorHAnsi"/>
        </w:rPr>
        <w:t xml:space="preserve"> </w:t>
      </w:r>
      <w:r w:rsidRPr="00601E17">
        <w:rPr>
          <w:rFonts w:cstheme="minorHAnsi"/>
        </w:rPr>
        <w:t>model (</w:t>
      </w:r>
      <w:bookmarkStart w:id="7" w:name="_Hlk53340749"/>
      <w:r w:rsidRPr="00601E17">
        <w:rPr>
          <w:rFonts w:cstheme="minorHAnsi"/>
        </w:rPr>
        <w:t>CE, 2019</w:t>
      </w:r>
      <w:bookmarkEnd w:id="7"/>
      <w:r w:rsidRPr="00601E17">
        <w:rPr>
          <w:rFonts w:cstheme="minorHAnsi"/>
        </w:rPr>
        <w:t>).</w:t>
      </w:r>
      <w:r w:rsidR="00334603" w:rsidRPr="00601E17">
        <w:rPr>
          <w:rFonts w:cstheme="minorHAnsi"/>
        </w:rPr>
        <w:t xml:space="preserve"> O</w:t>
      </w:r>
      <w:r w:rsidRPr="00601E17">
        <w:rPr>
          <w:rFonts w:cstheme="minorHAnsi"/>
        </w:rPr>
        <w:t xml:space="preserve">ther energy transition simulation models in the field of the ecological </w:t>
      </w:r>
      <w:r w:rsidRPr="00601E17">
        <w:rPr>
          <w:rFonts w:cstheme="minorHAnsi"/>
        </w:rPr>
        <w:lastRenderedPageBreak/>
        <w:t>macroeconomics</w:t>
      </w:r>
      <w:r w:rsidR="00AC573A">
        <w:rPr>
          <w:rFonts w:cstheme="minorHAnsi"/>
        </w:rPr>
        <w:t xml:space="preserve"> which </w:t>
      </w:r>
      <w:r w:rsidRPr="00601E17">
        <w:rPr>
          <w:rFonts w:cstheme="minorHAnsi"/>
        </w:rPr>
        <w:t>relax most of the restrictive assumptions highlighted above have been increasingly emerging</w:t>
      </w:r>
      <w:r w:rsidR="00A1263C" w:rsidRPr="00601E17">
        <w:rPr>
          <w:rFonts w:cstheme="minorHAnsi"/>
        </w:rPr>
        <w:t xml:space="preserve"> following the 200</w:t>
      </w:r>
      <w:r w:rsidR="00F70644" w:rsidRPr="00601E17">
        <w:rPr>
          <w:rFonts w:cstheme="minorHAnsi"/>
        </w:rPr>
        <w:t>8</w:t>
      </w:r>
      <w:r w:rsidR="00A1263C" w:rsidRPr="00601E17">
        <w:rPr>
          <w:rFonts w:cstheme="minorHAnsi"/>
        </w:rPr>
        <w:t xml:space="preserve"> financial crisis</w:t>
      </w:r>
      <w:r w:rsidRPr="00601E17">
        <w:rPr>
          <w:rFonts w:cstheme="minorHAnsi"/>
        </w:rPr>
        <w:t xml:space="preserve">. Examples of simulation models in this strand of literature include </w:t>
      </w:r>
      <w:r w:rsidR="0029547F" w:rsidRPr="00601E17">
        <w:rPr>
          <w:rFonts w:cstheme="minorHAnsi"/>
        </w:rPr>
        <w:t>EIRIN (</w:t>
      </w:r>
      <w:bookmarkStart w:id="8" w:name="_Hlk53340758"/>
      <w:proofErr w:type="spellStart"/>
      <w:r w:rsidR="0029547F" w:rsidRPr="00601E17">
        <w:rPr>
          <w:rFonts w:cstheme="minorHAnsi"/>
        </w:rPr>
        <w:t>Monasterolo</w:t>
      </w:r>
      <w:proofErr w:type="spellEnd"/>
      <w:r w:rsidR="0029547F" w:rsidRPr="00601E17">
        <w:rPr>
          <w:rFonts w:cstheme="minorHAnsi"/>
        </w:rPr>
        <w:t xml:space="preserve"> &amp; </w:t>
      </w:r>
      <w:proofErr w:type="spellStart"/>
      <w:r w:rsidR="0029547F" w:rsidRPr="00601E17">
        <w:rPr>
          <w:rFonts w:cstheme="minorHAnsi"/>
        </w:rPr>
        <w:t>Raberto</w:t>
      </w:r>
      <w:proofErr w:type="spellEnd"/>
      <w:r w:rsidR="0029547F" w:rsidRPr="00601E17">
        <w:rPr>
          <w:rFonts w:cstheme="minorHAnsi"/>
        </w:rPr>
        <w:t xml:space="preserve">, </w:t>
      </w:r>
      <w:r w:rsidR="00717C36">
        <w:rPr>
          <w:rFonts w:cstheme="minorHAnsi"/>
        </w:rPr>
        <w:t xml:space="preserve">2018, </w:t>
      </w:r>
      <w:r w:rsidR="0029547F" w:rsidRPr="00462537">
        <w:rPr>
          <w:rFonts w:cstheme="minorHAnsi"/>
        </w:rPr>
        <w:t>2019</w:t>
      </w:r>
      <w:bookmarkEnd w:id="8"/>
      <w:r w:rsidR="0029547F" w:rsidRPr="00462537">
        <w:rPr>
          <w:rFonts w:cstheme="minorHAnsi"/>
        </w:rPr>
        <w:t>)</w:t>
      </w:r>
      <w:r w:rsidR="00870B05" w:rsidRPr="00462537">
        <w:rPr>
          <w:rFonts w:cstheme="minorHAnsi"/>
        </w:rPr>
        <w:t>,</w:t>
      </w:r>
      <w:r w:rsidR="0029547F" w:rsidRPr="00462537">
        <w:rPr>
          <w:rFonts w:cstheme="minorHAnsi"/>
        </w:rPr>
        <w:t xml:space="preserve"> </w:t>
      </w:r>
      <w:r w:rsidRPr="00462537">
        <w:rPr>
          <w:rFonts w:cstheme="minorHAnsi"/>
        </w:rPr>
        <w:t>EUROGREEN (</w:t>
      </w:r>
      <w:bookmarkStart w:id="9" w:name="_Hlk53340765"/>
      <w:r w:rsidRPr="00462537">
        <w:rPr>
          <w:rFonts w:cstheme="minorHAnsi"/>
        </w:rPr>
        <w:t xml:space="preserve">D'Alessandro et al., </w:t>
      </w:r>
      <w:r w:rsidR="000E5D76" w:rsidRPr="00462537">
        <w:rPr>
          <w:rFonts w:cstheme="minorHAnsi"/>
        </w:rPr>
        <w:t>2020</w:t>
      </w:r>
      <w:bookmarkEnd w:id="9"/>
      <w:r w:rsidR="00D6304B" w:rsidRPr="00462537">
        <w:rPr>
          <w:rFonts w:cstheme="minorHAnsi"/>
        </w:rPr>
        <w:t>; Bernardo &amp; D'Alessandro, 2016</w:t>
      </w:r>
      <w:r w:rsidR="000E5D76" w:rsidRPr="00462537">
        <w:rPr>
          <w:rFonts w:cstheme="minorHAnsi"/>
        </w:rPr>
        <w:t xml:space="preserve">) or the </w:t>
      </w:r>
      <w:r w:rsidRPr="00462537">
        <w:rPr>
          <w:rFonts w:cstheme="minorHAnsi"/>
        </w:rPr>
        <w:t>EURACE (</w:t>
      </w:r>
      <w:bookmarkStart w:id="10" w:name="_Hlk53340772"/>
      <w:r w:rsidRPr="00462537">
        <w:rPr>
          <w:rFonts w:cstheme="minorHAnsi"/>
        </w:rPr>
        <w:t>Ponta et al., 2018</w:t>
      </w:r>
      <w:bookmarkEnd w:id="10"/>
      <w:r w:rsidRPr="00462537">
        <w:rPr>
          <w:rFonts w:cstheme="minorHAnsi"/>
        </w:rPr>
        <w:t xml:space="preserve">) </w:t>
      </w:r>
      <w:r w:rsidR="000E5D76" w:rsidRPr="00462537">
        <w:rPr>
          <w:rFonts w:cstheme="minorHAnsi"/>
        </w:rPr>
        <w:t xml:space="preserve">(see Hafner et al., 2020b for a review). </w:t>
      </w:r>
    </w:p>
    <w:p w14:paraId="70FFA1CB" w14:textId="5AF19D56" w:rsidR="008167A4" w:rsidRPr="00967105" w:rsidRDefault="002B44E0" w:rsidP="0099478A">
      <w:pPr>
        <w:rPr>
          <w:rFonts w:cstheme="minorHAnsi"/>
        </w:rPr>
      </w:pPr>
      <w:r w:rsidRPr="003017BC">
        <w:rPr>
          <w:rFonts w:cstheme="minorHAnsi"/>
        </w:rPr>
        <w:t xml:space="preserve">While current </w:t>
      </w:r>
      <w:r w:rsidR="0029547F" w:rsidRPr="003017BC">
        <w:rPr>
          <w:rFonts w:cstheme="minorHAnsi"/>
        </w:rPr>
        <w:t xml:space="preserve">energy-economy </w:t>
      </w:r>
      <w:r w:rsidRPr="003017BC">
        <w:rPr>
          <w:rFonts w:cstheme="minorHAnsi"/>
        </w:rPr>
        <w:t xml:space="preserve">models reveal a </w:t>
      </w:r>
      <w:r w:rsidRPr="00B80041">
        <w:rPr>
          <w:rFonts w:cstheme="minorHAnsi"/>
        </w:rPr>
        <w:t>variety of different aspects/implications</w:t>
      </w:r>
      <w:r w:rsidR="00334603" w:rsidRPr="007269DD">
        <w:rPr>
          <w:rFonts w:cstheme="minorHAnsi"/>
        </w:rPr>
        <w:t>,</w:t>
      </w:r>
      <w:r w:rsidRPr="001359C9">
        <w:rPr>
          <w:rFonts w:cstheme="minorHAnsi"/>
        </w:rPr>
        <w:t xml:space="preserve"> and apply </w:t>
      </w:r>
      <w:r w:rsidR="00334603" w:rsidRPr="001359C9">
        <w:rPr>
          <w:rFonts w:cstheme="minorHAnsi"/>
        </w:rPr>
        <w:t xml:space="preserve">a large range of different foci, </w:t>
      </w:r>
      <w:r w:rsidRPr="00601E17">
        <w:rPr>
          <w:rFonts w:cstheme="minorHAnsi"/>
        </w:rPr>
        <w:t>of low-carbon</w:t>
      </w:r>
      <w:r w:rsidR="00334603" w:rsidRPr="00601E17">
        <w:rPr>
          <w:rFonts w:cstheme="minorHAnsi"/>
        </w:rPr>
        <w:t xml:space="preserve"> </w:t>
      </w:r>
      <w:r w:rsidR="00A17347" w:rsidRPr="00601E17">
        <w:rPr>
          <w:rFonts w:cstheme="minorHAnsi"/>
        </w:rPr>
        <w:t>energy</w:t>
      </w:r>
      <w:r w:rsidRPr="00601E17">
        <w:rPr>
          <w:rFonts w:cstheme="minorHAnsi"/>
        </w:rPr>
        <w:t xml:space="preserve"> </w:t>
      </w:r>
      <w:r w:rsidR="00334603" w:rsidRPr="00601E17">
        <w:rPr>
          <w:rFonts w:cstheme="minorHAnsi"/>
        </w:rPr>
        <w:t>transitions</w:t>
      </w:r>
      <w:r w:rsidRPr="00601E17">
        <w:rPr>
          <w:rFonts w:cstheme="minorHAnsi"/>
        </w:rPr>
        <w:t xml:space="preserve">, to date to the author’s best knowledge none of them demonstrate </w:t>
      </w:r>
      <w:r w:rsidR="00052960" w:rsidRPr="009A2FE1">
        <w:rPr>
          <w:rFonts w:cstheme="minorHAnsi"/>
        </w:rPr>
        <w:t xml:space="preserve">what the related macroeconomic implications </w:t>
      </w:r>
      <w:r w:rsidR="002E6242">
        <w:rPr>
          <w:rFonts w:cstheme="minorHAnsi"/>
        </w:rPr>
        <w:t>of policy approaches</w:t>
      </w:r>
      <w:r w:rsidR="002E357A">
        <w:rPr>
          <w:rFonts w:cstheme="minorHAnsi"/>
        </w:rPr>
        <w:t>/scenarios</w:t>
      </w:r>
      <w:r w:rsidR="002E6242">
        <w:rPr>
          <w:rFonts w:cstheme="minorHAnsi"/>
        </w:rPr>
        <w:t xml:space="preserve"> aimed at scaling up the necessary green investment </w:t>
      </w:r>
      <w:r w:rsidR="00052960" w:rsidRPr="009A2FE1">
        <w:rPr>
          <w:rFonts w:cstheme="minorHAnsi"/>
        </w:rPr>
        <w:t>are</w:t>
      </w:r>
      <w:r w:rsidR="00697BF9" w:rsidRPr="0099228F">
        <w:rPr>
          <w:rStyle w:val="FootnoteReference"/>
          <w:rFonts w:cstheme="minorHAnsi"/>
        </w:rPr>
        <w:footnoteReference w:id="1"/>
      </w:r>
      <w:r w:rsidRPr="0099228F">
        <w:rPr>
          <w:rFonts w:cstheme="minorHAnsi"/>
        </w:rPr>
        <w:t xml:space="preserve">. Our study </w:t>
      </w:r>
      <w:r w:rsidRPr="009C05A3">
        <w:rPr>
          <w:rFonts w:cstheme="minorHAnsi"/>
        </w:rPr>
        <w:t>aims to fill this gap and thus to extend the current existing energy-economy modelling landscape</w:t>
      </w:r>
      <w:r w:rsidR="00052960" w:rsidRPr="009C05A3">
        <w:rPr>
          <w:rFonts w:cstheme="minorHAnsi"/>
        </w:rPr>
        <w:t xml:space="preserve">. We focus on </w:t>
      </w:r>
      <w:r w:rsidR="009D45DF">
        <w:rPr>
          <w:rFonts w:cstheme="minorHAnsi"/>
        </w:rPr>
        <w:t xml:space="preserve">the UK as case study and on </w:t>
      </w:r>
      <w:r w:rsidR="00052960" w:rsidRPr="009C05A3">
        <w:rPr>
          <w:rFonts w:cstheme="minorHAnsi"/>
        </w:rPr>
        <w:t>the following question</w:t>
      </w:r>
      <w:r w:rsidR="008167A4" w:rsidRPr="009C05A3">
        <w:rPr>
          <w:rFonts w:cstheme="minorHAnsi"/>
        </w:rPr>
        <w:t xml:space="preserve">: </w:t>
      </w:r>
    </w:p>
    <w:p w14:paraId="00DF4B32" w14:textId="032278F4" w:rsidR="008167A4" w:rsidRPr="004C48F6" w:rsidRDefault="00334603">
      <w:pPr>
        <w:ind w:left="720"/>
        <w:rPr>
          <w:rFonts w:cstheme="minorHAnsi"/>
          <w:i/>
          <w:iCs/>
        </w:rPr>
      </w:pPr>
      <w:r w:rsidRPr="00967105">
        <w:rPr>
          <w:rFonts w:cstheme="minorHAnsi"/>
          <w:i/>
          <w:iCs/>
        </w:rPr>
        <w:t xml:space="preserve">What are the macroeconomic implications of a </w:t>
      </w:r>
      <w:r w:rsidR="002E357A" w:rsidRPr="004C48F6">
        <w:rPr>
          <w:rFonts w:cstheme="minorHAnsi"/>
          <w:i/>
          <w:iCs/>
        </w:rPr>
        <w:t xml:space="preserve">policy </w:t>
      </w:r>
      <w:r w:rsidR="002E357A">
        <w:rPr>
          <w:rFonts w:cstheme="minorHAnsi"/>
          <w:i/>
          <w:iCs/>
        </w:rPr>
        <w:t xml:space="preserve">scenario </w:t>
      </w:r>
      <w:r w:rsidR="002E357A" w:rsidRPr="004C48F6">
        <w:rPr>
          <w:rFonts w:cstheme="minorHAnsi"/>
          <w:i/>
          <w:iCs/>
        </w:rPr>
        <w:t>designed to close the green finance gap</w:t>
      </w:r>
      <w:r w:rsidR="002E357A">
        <w:rPr>
          <w:rFonts w:cstheme="minorHAnsi"/>
          <w:i/>
          <w:iCs/>
        </w:rPr>
        <w:t xml:space="preserve"> with and without the </w:t>
      </w:r>
      <w:r w:rsidR="00DA5690">
        <w:rPr>
          <w:rFonts w:cstheme="minorHAnsi"/>
          <w:i/>
          <w:iCs/>
        </w:rPr>
        <w:t xml:space="preserve">additional implementation of </w:t>
      </w:r>
      <w:r w:rsidRPr="00967105">
        <w:rPr>
          <w:rFonts w:cstheme="minorHAnsi"/>
          <w:i/>
          <w:iCs/>
        </w:rPr>
        <w:t>low-carbon ene</w:t>
      </w:r>
      <w:r w:rsidR="00455E69" w:rsidRPr="00967105">
        <w:rPr>
          <w:rFonts w:cstheme="minorHAnsi"/>
          <w:i/>
          <w:iCs/>
        </w:rPr>
        <w:t>rgy transition</w:t>
      </w:r>
      <w:r w:rsidR="00D10B92" w:rsidRPr="00967105">
        <w:rPr>
          <w:rFonts w:cstheme="minorHAnsi"/>
          <w:i/>
          <w:iCs/>
        </w:rPr>
        <w:t xml:space="preserve"> </w:t>
      </w:r>
      <w:r w:rsidR="00DA5690">
        <w:rPr>
          <w:rFonts w:cstheme="minorHAnsi"/>
          <w:i/>
          <w:iCs/>
        </w:rPr>
        <w:t>scenario</w:t>
      </w:r>
      <w:r w:rsidRPr="004C48F6">
        <w:rPr>
          <w:rFonts w:cstheme="minorHAnsi"/>
          <w:i/>
          <w:iCs/>
        </w:rPr>
        <w:t xml:space="preserve">? </w:t>
      </w:r>
    </w:p>
    <w:p w14:paraId="04BD00C8" w14:textId="204E0082" w:rsidR="00052960" w:rsidRPr="002B3FF0" w:rsidRDefault="00455E69" w:rsidP="0099478A">
      <w:pPr>
        <w:rPr>
          <w:rFonts w:cstheme="minorHAnsi"/>
        </w:rPr>
      </w:pPr>
      <w:r w:rsidRPr="002B3FF0">
        <w:rPr>
          <w:rFonts w:cstheme="minorHAnsi"/>
        </w:rPr>
        <w:t xml:space="preserve">To address </w:t>
      </w:r>
      <w:r w:rsidR="00F87FA9" w:rsidRPr="002B3FF0">
        <w:rPr>
          <w:rFonts w:cstheme="minorHAnsi"/>
        </w:rPr>
        <w:t xml:space="preserve">this </w:t>
      </w:r>
      <w:r w:rsidRPr="002B3FF0">
        <w:rPr>
          <w:rFonts w:cstheme="minorHAnsi"/>
        </w:rPr>
        <w:t>question</w:t>
      </w:r>
      <w:r w:rsidR="00052960" w:rsidRPr="002B3FF0">
        <w:rPr>
          <w:rFonts w:cstheme="minorHAnsi"/>
        </w:rPr>
        <w:t xml:space="preserve">, we </w:t>
      </w:r>
      <w:r w:rsidR="0089384B" w:rsidRPr="002B3FF0">
        <w:rPr>
          <w:rFonts w:cstheme="minorHAnsi"/>
        </w:rPr>
        <w:t xml:space="preserve">extent </w:t>
      </w:r>
      <w:r w:rsidR="00043514" w:rsidRPr="002B3FF0">
        <w:rPr>
          <w:rFonts w:cstheme="minorHAnsi"/>
        </w:rPr>
        <w:t>and apply</w:t>
      </w:r>
      <w:r w:rsidR="00052960" w:rsidRPr="002B3FF0">
        <w:rPr>
          <w:rFonts w:cstheme="minorHAnsi"/>
        </w:rPr>
        <w:t xml:space="preserve"> the </w:t>
      </w:r>
      <w:r w:rsidR="004F2A3B" w:rsidRPr="002B3FF0">
        <w:rPr>
          <w:rFonts w:cstheme="minorHAnsi"/>
        </w:rPr>
        <w:t xml:space="preserve">UK </w:t>
      </w:r>
      <w:r w:rsidR="005D2AAB" w:rsidRPr="002B3FF0">
        <w:rPr>
          <w:rFonts w:cstheme="minorHAnsi"/>
        </w:rPr>
        <w:t>energy-econom</w:t>
      </w:r>
      <w:r w:rsidR="00C1776E" w:rsidRPr="00B8367E">
        <w:rPr>
          <w:rFonts w:cstheme="minorHAnsi"/>
        </w:rPr>
        <w:t>y</w:t>
      </w:r>
      <w:r w:rsidR="005D2AAB" w:rsidRPr="002B3FF0">
        <w:rPr>
          <w:rFonts w:cstheme="minorHAnsi"/>
        </w:rPr>
        <w:t xml:space="preserve"> Green Investment Barrier Model (GIBM) (</w:t>
      </w:r>
      <w:bookmarkStart w:id="11" w:name="_Hlk53340786"/>
      <w:r w:rsidR="00F70644" w:rsidRPr="002B3FF0">
        <w:rPr>
          <w:rFonts w:cstheme="minorHAnsi"/>
        </w:rPr>
        <w:t xml:space="preserve">presented in </w:t>
      </w:r>
      <w:r w:rsidR="005D2AAB" w:rsidRPr="002B3FF0">
        <w:rPr>
          <w:rFonts w:cstheme="minorHAnsi"/>
        </w:rPr>
        <w:t>Hafner et al</w:t>
      </w:r>
      <w:r w:rsidR="006D5340" w:rsidRPr="002B3FF0">
        <w:rPr>
          <w:rFonts w:cstheme="minorHAnsi"/>
        </w:rPr>
        <w:t>.</w:t>
      </w:r>
      <w:r w:rsidR="005D2AAB" w:rsidRPr="002B3FF0">
        <w:rPr>
          <w:rFonts w:cstheme="minorHAnsi"/>
        </w:rPr>
        <w:t xml:space="preserve">, </w:t>
      </w:r>
      <w:bookmarkEnd w:id="11"/>
      <w:r w:rsidR="00840A18" w:rsidRPr="002B3FF0">
        <w:rPr>
          <w:rFonts w:cstheme="minorHAnsi"/>
        </w:rPr>
        <w:t>2021</w:t>
      </w:r>
      <w:r w:rsidR="006D5340" w:rsidRPr="002B3FF0">
        <w:rPr>
          <w:rFonts w:cstheme="minorHAnsi"/>
        </w:rPr>
        <w:t>)</w:t>
      </w:r>
      <w:r w:rsidR="00F45CD8" w:rsidRPr="002B3FF0">
        <w:rPr>
          <w:rFonts w:cstheme="minorHAnsi"/>
        </w:rPr>
        <w:t>.</w:t>
      </w:r>
      <w:r w:rsidR="003E25C7" w:rsidRPr="00B8367E">
        <w:rPr>
          <w:rFonts w:cstheme="minorHAnsi"/>
        </w:rPr>
        <w:t xml:space="preserve"> </w:t>
      </w:r>
      <w:r w:rsidR="00C6278E" w:rsidRPr="00B8367E">
        <w:rPr>
          <w:rFonts w:cstheme="minorHAnsi"/>
        </w:rPr>
        <w:t xml:space="preserve">The original </w:t>
      </w:r>
      <w:r w:rsidR="00A0479B" w:rsidRPr="00B8367E">
        <w:rPr>
          <w:rFonts w:cstheme="minorHAnsi"/>
        </w:rPr>
        <w:t xml:space="preserve">energy-economy </w:t>
      </w:r>
      <w:r w:rsidR="00745931" w:rsidRPr="00B8367E">
        <w:rPr>
          <w:rFonts w:cstheme="minorHAnsi"/>
        </w:rPr>
        <w:t>model</w:t>
      </w:r>
      <w:r w:rsidR="003E25C7" w:rsidRPr="00B8367E">
        <w:rPr>
          <w:rFonts w:cstheme="minorHAnsi"/>
        </w:rPr>
        <w:t xml:space="preserve"> represents </w:t>
      </w:r>
      <w:r w:rsidR="00A0479B" w:rsidRPr="00B8367E">
        <w:rPr>
          <w:rFonts w:cstheme="minorHAnsi"/>
        </w:rPr>
        <w:t>the main</w:t>
      </w:r>
      <w:r w:rsidR="003E25C7" w:rsidRPr="00B8367E">
        <w:rPr>
          <w:rFonts w:cstheme="minorHAnsi"/>
        </w:rPr>
        <w:t xml:space="preserve"> macroeconomic </w:t>
      </w:r>
      <w:r w:rsidR="00292935" w:rsidRPr="00B8367E">
        <w:rPr>
          <w:rFonts w:cstheme="minorHAnsi"/>
        </w:rPr>
        <w:t>mechanisms</w:t>
      </w:r>
      <w:r w:rsidR="003E25C7" w:rsidRPr="00B8367E">
        <w:rPr>
          <w:rFonts w:cstheme="minorHAnsi"/>
        </w:rPr>
        <w:t xml:space="preserve"> as well as the diffusion process of renewable energy technologies </w:t>
      </w:r>
      <w:r w:rsidR="00C6278E" w:rsidRPr="00B8367E">
        <w:rPr>
          <w:rFonts w:cstheme="minorHAnsi"/>
        </w:rPr>
        <w:t xml:space="preserve">in the power sector </w:t>
      </w:r>
      <w:r w:rsidR="003E25C7" w:rsidRPr="00B8367E">
        <w:rPr>
          <w:rFonts w:cstheme="minorHAnsi"/>
        </w:rPr>
        <w:t>endogenously</w:t>
      </w:r>
      <w:r w:rsidR="00C6278E" w:rsidRPr="00B8367E">
        <w:rPr>
          <w:rFonts w:cstheme="minorHAnsi"/>
        </w:rPr>
        <w:t>.</w:t>
      </w:r>
      <w:r w:rsidR="00F679A2" w:rsidRPr="002B3FF0">
        <w:rPr>
          <w:rFonts w:cstheme="minorHAnsi"/>
        </w:rPr>
        <w:t xml:space="preserve"> </w:t>
      </w:r>
      <w:r w:rsidR="00A0479B" w:rsidRPr="00B8367E">
        <w:rPr>
          <w:rFonts w:cstheme="minorHAnsi"/>
        </w:rPr>
        <w:t xml:space="preserve">The </w:t>
      </w:r>
      <w:r w:rsidR="00AE7931" w:rsidRPr="00B8367E">
        <w:rPr>
          <w:rFonts w:cstheme="minorHAnsi"/>
        </w:rPr>
        <w:t xml:space="preserve">extended </w:t>
      </w:r>
      <w:r w:rsidR="00A0479B" w:rsidRPr="00B8367E">
        <w:rPr>
          <w:rFonts w:cstheme="minorHAnsi"/>
        </w:rPr>
        <w:t>model</w:t>
      </w:r>
      <w:r w:rsidR="00591B1F" w:rsidRPr="00B8367E">
        <w:rPr>
          <w:rFonts w:cstheme="minorHAnsi"/>
        </w:rPr>
        <w:t xml:space="preserve"> </w:t>
      </w:r>
      <w:r w:rsidR="00AE7931" w:rsidRPr="00B8367E">
        <w:rPr>
          <w:rFonts w:cstheme="minorHAnsi"/>
        </w:rPr>
        <w:t xml:space="preserve">applies different mark-ups for the interest rates of renewable energy technologies, which are also dependent on the key investment barriers found in Hafner et al. (2019; 2020a). </w:t>
      </w:r>
      <w:r w:rsidR="00292935" w:rsidRPr="00B8367E">
        <w:rPr>
          <w:rFonts w:cstheme="minorHAnsi"/>
        </w:rPr>
        <w:t>Relatedly</w:t>
      </w:r>
      <w:r w:rsidR="00690470" w:rsidRPr="00B8367E">
        <w:rPr>
          <w:rFonts w:cstheme="minorHAnsi"/>
        </w:rPr>
        <w:t>, the availability of green finance</w:t>
      </w:r>
      <w:r w:rsidR="00745931" w:rsidRPr="00B8367E">
        <w:rPr>
          <w:rFonts w:cstheme="minorHAnsi"/>
        </w:rPr>
        <w:t xml:space="preserve"> in GIBM</w:t>
      </w:r>
      <w:r w:rsidR="00690470" w:rsidRPr="00B8367E">
        <w:rPr>
          <w:rFonts w:cstheme="minorHAnsi"/>
        </w:rPr>
        <w:t xml:space="preserve"> is influenced by these green investment barriers. However, </w:t>
      </w:r>
      <w:r w:rsidR="00780011" w:rsidRPr="00B8367E">
        <w:rPr>
          <w:rFonts w:cstheme="minorHAnsi"/>
        </w:rPr>
        <w:t xml:space="preserve">GIBM </w:t>
      </w:r>
      <w:r w:rsidR="00591B1F" w:rsidRPr="00B8367E">
        <w:rPr>
          <w:rFonts w:cstheme="minorHAnsi"/>
        </w:rPr>
        <w:t xml:space="preserve">does not </w:t>
      </w:r>
      <w:r w:rsidR="00780011" w:rsidRPr="00B8367E">
        <w:rPr>
          <w:rFonts w:cstheme="minorHAnsi"/>
        </w:rPr>
        <w:t xml:space="preserve">include a </w:t>
      </w:r>
      <w:r w:rsidR="005E4DED" w:rsidRPr="00B8367E">
        <w:rPr>
          <w:rFonts w:cstheme="minorHAnsi"/>
        </w:rPr>
        <w:t xml:space="preserve">full </w:t>
      </w:r>
      <w:r w:rsidR="00780011" w:rsidRPr="00B8367E">
        <w:rPr>
          <w:rFonts w:cstheme="minorHAnsi"/>
        </w:rPr>
        <w:t xml:space="preserve">finance sector </w:t>
      </w:r>
      <w:r w:rsidR="00B21F49" w:rsidRPr="00B8367E">
        <w:rPr>
          <w:rFonts w:cstheme="minorHAnsi"/>
        </w:rPr>
        <w:t xml:space="preserve">(e.g. it </w:t>
      </w:r>
      <w:r w:rsidR="00566E31" w:rsidRPr="00B8367E">
        <w:rPr>
          <w:rFonts w:cstheme="minorHAnsi"/>
        </w:rPr>
        <w:t>does not track the finance flows</w:t>
      </w:r>
      <w:r w:rsidR="00B21F49" w:rsidRPr="00B8367E">
        <w:rPr>
          <w:rFonts w:cstheme="minorHAnsi"/>
        </w:rPr>
        <w:t>)</w:t>
      </w:r>
      <w:r w:rsidR="00566E31" w:rsidRPr="00B8367E">
        <w:rPr>
          <w:rFonts w:cstheme="minorHAnsi"/>
        </w:rPr>
        <w:t>. T</w:t>
      </w:r>
      <w:r w:rsidR="00780011" w:rsidRPr="00B8367E">
        <w:rPr>
          <w:rFonts w:cstheme="minorHAnsi"/>
        </w:rPr>
        <w:t xml:space="preserve">herefore </w:t>
      </w:r>
      <w:r w:rsidR="00566E31" w:rsidRPr="00B8367E">
        <w:rPr>
          <w:rFonts w:cstheme="minorHAnsi"/>
        </w:rPr>
        <w:t xml:space="preserve">the model </w:t>
      </w:r>
      <w:r w:rsidR="00780011" w:rsidRPr="00B8367E">
        <w:rPr>
          <w:rFonts w:cstheme="minorHAnsi"/>
        </w:rPr>
        <w:t xml:space="preserve">does not capture </w:t>
      </w:r>
      <w:r w:rsidR="007C64FB" w:rsidRPr="00B8367E">
        <w:rPr>
          <w:rFonts w:cstheme="minorHAnsi"/>
        </w:rPr>
        <w:t xml:space="preserve">possible </w:t>
      </w:r>
      <w:r w:rsidR="00F260CE" w:rsidRPr="00B8367E">
        <w:rPr>
          <w:rFonts w:cstheme="minorHAnsi"/>
        </w:rPr>
        <w:t xml:space="preserve">impacts of </w:t>
      </w:r>
      <w:r w:rsidR="007C64FB" w:rsidRPr="00B8367E">
        <w:rPr>
          <w:rFonts w:cstheme="minorHAnsi"/>
        </w:rPr>
        <w:t xml:space="preserve">tested </w:t>
      </w:r>
      <w:r w:rsidR="00F260CE" w:rsidRPr="00B8367E">
        <w:rPr>
          <w:rFonts w:cstheme="minorHAnsi"/>
        </w:rPr>
        <w:t xml:space="preserve">policy scenarios </w:t>
      </w:r>
      <w:r w:rsidR="00745931" w:rsidRPr="00B8367E">
        <w:rPr>
          <w:rFonts w:cstheme="minorHAnsi"/>
        </w:rPr>
        <w:t>on</w:t>
      </w:r>
      <w:r w:rsidR="00F260CE" w:rsidRPr="00B8367E">
        <w:rPr>
          <w:rFonts w:cstheme="minorHAnsi"/>
        </w:rPr>
        <w:t xml:space="preserve"> the finance sector</w:t>
      </w:r>
      <w:r w:rsidR="007C64FB" w:rsidRPr="00B8367E">
        <w:rPr>
          <w:rFonts w:cstheme="minorHAnsi"/>
        </w:rPr>
        <w:t xml:space="preserve"> </w:t>
      </w:r>
      <w:r w:rsidR="005E4DED" w:rsidRPr="00B8367E">
        <w:rPr>
          <w:rFonts w:cstheme="minorHAnsi"/>
        </w:rPr>
        <w:t xml:space="preserve">(other than on the interest rates and </w:t>
      </w:r>
      <w:r w:rsidR="00292935" w:rsidRPr="00B8367E">
        <w:rPr>
          <w:rFonts w:cstheme="minorHAnsi"/>
        </w:rPr>
        <w:t>availability</w:t>
      </w:r>
      <w:r w:rsidR="005E4DED" w:rsidRPr="00B8367E">
        <w:rPr>
          <w:rFonts w:cstheme="minorHAnsi"/>
        </w:rPr>
        <w:t xml:space="preserve"> of green finance) </w:t>
      </w:r>
      <w:r w:rsidR="00745931" w:rsidRPr="00B8367E">
        <w:rPr>
          <w:rFonts w:cstheme="minorHAnsi"/>
        </w:rPr>
        <w:t>and</w:t>
      </w:r>
      <w:r w:rsidR="00F260CE" w:rsidRPr="00B8367E">
        <w:rPr>
          <w:rFonts w:cstheme="minorHAnsi"/>
        </w:rPr>
        <w:t xml:space="preserve"> </w:t>
      </w:r>
      <w:r w:rsidR="007C64FB" w:rsidRPr="00B8367E">
        <w:rPr>
          <w:rFonts w:cstheme="minorHAnsi"/>
        </w:rPr>
        <w:t xml:space="preserve">neither </w:t>
      </w:r>
      <w:r w:rsidR="00F260CE" w:rsidRPr="00B8367E">
        <w:rPr>
          <w:rFonts w:cstheme="minorHAnsi"/>
        </w:rPr>
        <w:t xml:space="preserve">knock-on </w:t>
      </w:r>
      <w:r w:rsidR="007C64FB" w:rsidRPr="00B8367E">
        <w:rPr>
          <w:rFonts w:cstheme="minorHAnsi"/>
        </w:rPr>
        <w:t xml:space="preserve">effects </w:t>
      </w:r>
      <w:r w:rsidR="00745931" w:rsidRPr="00B8367E">
        <w:rPr>
          <w:rFonts w:cstheme="minorHAnsi"/>
        </w:rPr>
        <w:t xml:space="preserve">from the finance sector </w:t>
      </w:r>
      <w:r w:rsidR="00F260CE" w:rsidRPr="00B8367E">
        <w:rPr>
          <w:rFonts w:cstheme="minorHAnsi"/>
        </w:rPr>
        <w:t>on the economy.</w:t>
      </w:r>
      <w:r w:rsidR="0025186A" w:rsidRPr="002B3FF0">
        <w:rPr>
          <w:rFonts w:cstheme="minorHAnsi"/>
        </w:rPr>
        <w:t xml:space="preserve"> </w:t>
      </w:r>
      <w:r w:rsidR="00292935" w:rsidRPr="00B8367E">
        <w:rPr>
          <w:rFonts w:cstheme="minorHAnsi"/>
        </w:rPr>
        <w:t>Furthermore</w:t>
      </w:r>
      <w:r w:rsidR="00612BD4" w:rsidRPr="002B3FF0">
        <w:rPr>
          <w:rFonts w:cstheme="minorHAnsi"/>
        </w:rPr>
        <w:t>, the tested policy scenario</w:t>
      </w:r>
      <w:r w:rsidR="00663BE4" w:rsidRPr="002B3FF0">
        <w:rPr>
          <w:rFonts w:cstheme="minorHAnsi"/>
        </w:rPr>
        <w:t xml:space="preserve"> designed</w:t>
      </w:r>
      <w:r w:rsidR="0078350C" w:rsidRPr="002B3FF0">
        <w:rPr>
          <w:rFonts w:cstheme="minorHAnsi"/>
        </w:rPr>
        <w:t xml:space="preserve"> ‘to close the green finance gap’</w:t>
      </w:r>
      <w:r w:rsidR="00612BD4" w:rsidRPr="002B3FF0">
        <w:rPr>
          <w:rFonts w:cstheme="minorHAnsi"/>
        </w:rPr>
        <w:t xml:space="preserve"> </w:t>
      </w:r>
      <w:r w:rsidR="0078350C" w:rsidRPr="002B3FF0">
        <w:rPr>
          <w:rFonts w:cstheme="minorHAnsi"/>
        </w:rPr>
        <w:t>in this study is</w:t>
      </w:r>
      <w:r w:rsidR="00612BD4" w:rsidRPr="002B3FF0">
        <w:rPr>
          <w:rFonts w:cstheme="minorHAnsi"/>
        </w:rPr>
        <w:t xml:space="preserve"> based on the high-level </w:t>
      </w:r>
      <w:r w:rsidR="00F679A2" w:rsidRPr="00B8367E">
        <w:rPr>
          <w:rFonts w:cstheme="minorHAnsi"/>
        </w:rPr>
        <w:t xml:space="preserve">policy </w:t>
      </w:r>
      <w:r w:rsidR="00612BD4" w:rsidRPr="002B3FF0">
        <w:rPr>
          <w:rFonts w:cstheme="minorHAnsi"/>
        </w:rPr>
        <w:t xml:space="preserve">insights </w:t>
      </w:r>
      <w:r w:rsidR="00F679A2" w:rsidRPr="00B8367E">
        <w:rPr>
          <w:rFonts w:cstheme="minorHAnsi"/>
        </w:rPr>
        <w:t>of</w:t>
      </w:r>
      <w:r w:rsidR="00612BD4" w:rsidRPr="002B3FF0">
        <w:rPr>
          <w:rFonts w:cstheme="minorHAnsi"/>
        </w:rPr>
        <w:t xml:space="preserve"> Hafner et al. (2020a)</w:t>
      </w:r>
      <w:r w:rsidR="005C4F27" w:rsidRPr="002B3FF0">
        <w:rPr>
          <w:rFonts w:cstheme="minorHAnsi"/>
        </w:rPr>
        <w:t xml:space="preserve">. </w:t>
      </w:r>
      <w:r w:rsidR="00DF318D" w:rsidRPr="002B3FF0">
        <w:rPr>
          <w:rFonts w:cstheme="minorHAnsi"/>
        </w:rPr>
        <w:t xml:space="preserve">While </w:t>
      </w:r>
      <w:r w:rsidR="005C4F27" w:rsidRPr="002B3FF0">
        <w:rPr>
          <w:rFonts w:cstheme="minorHAnsi"/>
        </w:rPr>
        <w:t>Hafner et al</w:t>
      </w:r>
      <w:r w:rsidR="00DF318D" w:rsidRPr="002B3FF0">
        <w:rPr>
          <w:rFonts w:cstheme="minorHAnsi"/>
        </w:rPr>
        <w:t>. (2020a) point out the relevance of adopting</w:t>
      </w:r>
      <w:r w:rsidR="00663BE4" w:rsidRPr="002B3FF0">
        <w:rPr>
          <w:rFonts w:cstheme="minorHAnsi"/>
        </w:rPr>
        <w:t xml:space="preserve"> a systems perspective </w:t>
      </w:r>
      <w:r w:rsidR="00DF318D" w:rsidRPr="002B3FF0">
        <w:rPr>
          <w:rFonts w:cstheme="minorHAnsi"/>
        </w:rPr>
        <w:t>instead</w:t>
      </w:r>
      <w:r w:rsidR="00663BE4" w:rsidRPr="002B3FF0">
        <w:rPr>
          <w:rFonts w:cstheme="minorHAnsi"/>
        </w:rPr>
        <w:t xml:space="preserve"> </w:t>
      </w:r>
      <w:r w:rsidR="00DF318D" w:rsidRPr="002B3FF0">
        <w:rPr>
          <w:rFonts w:cstheme="minorHAnsi"/>
        </w:rPr>
        <w:t xml:space="preserve">of </w:t>
      </w:r>
      <w:r w:rsidR="00292935" w:rsidRPr="00B8367E">
        <w:rPr>
          <w:rFonts w:cstheme="minorHAnsi"/>
        </w:rPr>
        <w:t>focusing</w:t>
      </w:r>
      <w:r w:rsidR="00663BE4" w:rsidRPr="002B3FF0">
        <w:rPr>
          <w:rFonts w:cstheme="minorHAnsi"/>
        </w:rPr>
        <w:t xml:space="preserve"> on single sectors</w:t>
      </w:r>
      <w:r w:rsidR="00DF318D" w:rsidRPr="002B3FF0">
        <w:rPr>
          <w:rFonts w:cstheme="minorHAnsi"/>
        </w:rPr>
        <w:t xml:space="preserve"> or policy interventions</w:t>
      </w:r>
      <w:r w:rsidR="00663BE4" w:rsidRPr="002B3FF0">
        <w:rPr>
          <w:rFonts w:cstheme="minorHAnsi"/>
        </w:rPr>
        <w:t xml:space="preserve"> (e.g. energy regulations</w:t>
      </w:r>
      <w:r w:rsidR="005C4F27" w:rsidRPr="002B3FF0">
        <w:rPr>
          <w:rFonts w:cstheme="minorHAnsi"/>
        </w:rPr>
        <w:t xml:space="preserve">, </w:t>
      </w:r>
      <w:r w:rsidR="00DF318D" w:rsidRPr="002B3FF0">
        <w:rPr>
          <w:rFonts w:cstheme="minorHAnsi"/>
        </w:rPr>
        <w:t>carbon price</w:t>
      </w:r>
      <w:r w:rsidR="005C4F27" w:rsidRPr="002B3FF0">
        <w:rPr>
          <w:rFonts w:cstheme="minorHAnsi"/>
        </w:rPr>
        <w:t xml:space="preserve"> or </w:t>
      </w:r>
      <w:r w:rsidR="00B25FDB" w:rsidRPr="002B3FF0">
        <w:rPr>
          <w:rFonts w:cstheme="minorHAnsi"/>
        </w:rPr>
        <w:t>green supporting factor</w:t>
      </w:r>
      <w:r w:rsidR="005C4F27" w:rsidRPr="002B3FF0">
        <w:rPr>
          <w:rFonts w:cstheme="minorHAnsi"/>
        </w:rPr>
        <w:t xml:space="preserve">) </w:t>
      </w:r>
      <w:r w:rsidR="00DF318D" w:rsidRPr="002B3FF0">
        <w:rPr>
          <w:rFonts w:cstheme="minorHAnsi"/>
        </w:rPr>
        <w:t>in order to close the green finance gap, they do not propose specific policy interventions (</w:t>
      </w:r>
      <w:r w:rsidR="00903D10" w:rsidRPr="002B3FF0">
        <w:rPr>
          <w:rFonts w:cstheme="minorHAnsi"/>
        </w:rPr>
        <w:t>e.g. carbon price in combination with green supporting factor).</w:t>
      </w:r>
      <w:r w:rsidR="0025186A" w:rsidRPr="002B3FF0">
        <w:rPr>
          <w:rFonts w:cstheme="minorHAnsi"/>
        </w:rPr>
        <w:t xml:space="preserve"> </w:t>
      </w:r>
      <w:r w:rsidR="00E031E8" w:rsidRPr="002B3FF0">
        <w:rPr>
          <w:rFonts w:cstheme="minorHAnsi"/>
        </w:rPr>
        <w:t xml:space="preserve">Finally, </w:t>
      </w:r>
      <w:r w:rsidR="00F679A2" w:rsidRPr="002B3FF0">
        <w:rPr>
          <w:rFonts w:cstheme="minorHAnsi"/>
        </w:rPr>
        <w:t xml:space="preserve">GIBM </w:t>
      </w:r>
      <w:r w:rsidR="00E031E8" w:rsidRPr="002B3FF0">
        <w:rPr>
          <w:rFonts w:cstheme="minorHAnsi"/>
        </w:rPr>
        <w:t>uses the system dy</w:t>
      </w:r>
      <w:r w:rsidR="00E1336C" w:rsidRPr="002B3FF0">
        <w:rPr>
          <w:rFonts w:cstheme="minorHAnsi"/>
        </w:rPr>
        <w:t xml:space="preserve">namics </w:t>
      </w:r>
      <w:r w:rsidR="00292935" w:rsidRPr="00B8367E">
        <w:rPr>
          <w:rFonts w:cstheme="minorHAnsi"/>
        </w:rPr>
        <w:t>methodology</w:t>
      </w:r>
      <w:r w:rsidR="00E031E8" w:rsidRPr="002B3FF0">
        <w:rPr>
          <w:rFonts w:cstheme="minorHAnsi"/>
        </w:rPr>
        <w:t xml:space="preserve"> </w:t>
      </w:r>
      <w:r w:rsidR="00281801" w:rsidRPr="00B8367E">
        <w:rPr>
          <w:rFonts w:cstheme="minorHAnsi"/>
        </w:rPr>
        <w:t>which</w:t>
      </w:r>
      <w:r w:rsidR="00E031E8" w:rsidRPr="002B3FF0">
        <w:rPr>
          <w:rFonts w:cstheme="minorHAnsi"/>
        </w:rPr>
        <w:t xml:space="preserve"> </w:t>
      </w:r>
      <w:r w:rsidR="00E1336C" w:rsidRPr="002B3FF0">
        <w:rPr>
          <w:rFonts w:cstheme="minorHAnsi"/>
        </w:rPr>
        <w:t xml:space="preserve">is applied to complex problems and </w:t>
      </w:r>
      <w:r w:rsidR="00D94999" w:rsidRPr="00B8367E">
        <w:rPr>
          <w:rFonts w:cstheme="minorHAnsi"/>
        </w:rPr>
        <w:t>a</w:t>
      </w:r>
      <w:r w:rsidR="003E02A0" w:rsidRPr="00B8367E">
        <w:rPr>
          <w:rFonts w:cstheme="minorHAnsi"/>
        </w:rPr>
        <w:t xml:space="preserve"> </w:t>
      </w:r>
      <w:r w:rsidR="00A64254" w:rsidRPr="002B3FF0">
        <w:rPr>
          <w:rFonts w:cstheme="minorHAnsi"/>
        </w:rPr>
        <w:t xml:space="preserve">strength of </w:t>
      </w:r>
      <w:r w:rsidR="003E02A0" w:rsidRPr="00B8367E">
        <w:rPr>
          <w:rFonts w:cstheme="minorHAnsi"/>
        </w:rPr>
        <w:t xml:space="preserve">this </w:t>
      </w:r>
      <w:r w:rsidR="00292935" w:rsidRPr="00B8367E">
        <w:rPr>
          <w:rFonts w:cstheme="minorHAnsi"/>
        </w:rPr>
        <w:t>methodology</w:t>
      </w:r>
      <w:r w:rsidR="00A64254" w:rsidRPr="002B3FF0">
        <w:rPr>
          <w:rFonts w:cstheme="minorHAnsi"/>
        </w:rPr>
        <w:t xml:space="preserve"> </w:t>
      </w:r>
      <w:r w:rsidR="00D94999" w:rsidRPr="00B8367E">
        <w:rPr>
          <w:rFonts w:cstheme="minorHAnsi"/>
        </w:rPr>
        <w:t>lies</w:t>
      </w:r>
      <w:r w:rsidR="00E1336C" w:rsidRPr="002B3FF0">
        <w:rPr>
          <w:rFonts w:cstheme="minorHAnsi"/>
        </w:rPr>
        <w:t xml:space="preserve"> in the presentation </w:t>
      </w:r>
      <w:r w:rsidR="00E535E0" w:rsidRPr="002B3FF0">
        <w:rPr>
          <w:rFonts w:cstheme="minorHAnsi"/>
        </w:rPr>
        <w:t xml:space="preserve">of </w:t>
      </w:r>
      <w:r w:rsidR="00A64254" w:rsidRPr="002B3FF0">
        <w:rPr>
          <w:rFonts w:cstheme="minorHAnsi"/>
        </w:rPr>
        <w:t>so-called</w:t>
      </w:r>
      <w:r w:rsidR="00F45CD8" w:rsidRPr="002B3FF0">
        <w:rPr>
          <w:rFonts w:cstheme="minorHAnsi"/>
        </w:rPr>
        <w:t xml:space="preserve"> soft-parameters (</w:t>
      </w:r>
      <w:r w:rsidR="00A64254" w:rsidRPr="002B3FF0">
        <w:rPr>
          <w:rFonts w:cstheme="minorHAnsi"/>
        </w:rPr>
        <w:t>i.e. parameters that are difficult to measure</w:t>
      </w:r>
      <w:r w:rsidR="00F45CD8" w:rsidRPr="002B3FF0">
        <w:rPr>
          <w:rFonts w:cstheme="minorHAnsi"/>
        </w:rPr>
        <w:t xml:space="preserve">) and insights gained from qualitative research. </w:t>
      </w:r>
      <w:r w:rsidR="00C845B7" w:rsidRPr="002B3FF0">
        <w:rPr>
          <w:rFonts w:cstheme="minorHAnsi"/>
        </w:rPr>
        <w:t xml:space="preserve">This makes it a suitable for tool for our investigation. </w:t>
      </w:r>
    </w:p>
    <w:p w14:paraId="5FDCBDEC" w14:textId="15E942FB" w:rsidR="00020E69" w:rsidRPr="005E5158" w:rsidRDefault="00020E69" w:rsidP="00020E69">
      <w:pPr>
        <w:rPr>
          <w:rFonts w:cstheme="minorHAnsi"/>
        </w:rPr>
      </w:pPr>
      <w:r w:rsidRPr="007C0A4D">
        <w:rPr>
          <w:rFonts w:cstheme="minorHAnsi"/>
        </w:rPr>
        <w:t>The remainder of this article</w:t>
      </w:r>
      <w:r w:rsidRPr="0070461D">
        <w:rPr>
          <w:rFonts w:cstheme="minorHAnsi"/>
        </w:rPr>
        <w:t xml:space="preserve"> is organised as follows. Section 2 introduces the metho</w:t>
      </w:r>
      <w:r w:rsidR="00E535E0">
        <w:rPr>
          <w:rFonts w:cstheme="minorHAnsi"/>
        </w:rPr>
        <w:t>do</w:t>
      </w:r>
      <w:r w:rsidRPr="0070461D">
        <w:rPr>
          <w:rFonts w:cstheme="minorHAnsi"/>
        </w:rPr>
        <w:t>logy of our study. Section 3 highlights the main results and is followed by a discussion in sec</w:t>
      </w:r>
      <w:r w:rsidRPr="005E5158">
        <w:rPr>
          <w:rFonts w:cstheme="minorHAnsi"/>
        </w:rPr>
        <w:t>tion 4.</w:t>
      </w:r>
      <w:r w:rsidRPr="00601E17">
        <w:rPr>
          <w:rFonts w:cstheme="minorHAnsi"/>
        </w:rPr>
        <w:t xml:space="preserve"> </w:t>
      </w:r>
      <w:r w:rsidR="00FC5C0A">
        <w:rPr>
          <w:rFonts w:cstheme="minorHAnsi"/>
        </w:rPr>
        <w:t xml:space="preserve">In addition, </w:t>
      </w:r>
      <w:r w:rsidR="0033306F">
        <w:rPr>
          <w:rFonts w:cstheme="minorHAnsi"/>
        </w:rPr>
        <w:t xml:space="preserve">in section 4, </w:t>
      </w:r>
      <w:r w:rsidR="00893ABB">
        <w:rPr>
          <w:rFonts w:cstheme="minorHAnsi"/>
        </w:rPr>
        <w:t>we also show</w:t>
      </w:r>
      <w:r w:rsidR="00E535E0">
        <w:rPr>
          <w:rFonts w:cstheme="minorHAnsi"/>
        </w:rPr>
        <w:t xml:space="preserve"> </w:t>
      </w:r>
      <w:r w:rsidR="00FC5C0A">
        <w:rPr>
          <w:rFonts w:cstheme="minorHAnsi"/>
        </w:rPr>
        <w:t>comparison of the results achieved by GIBM with those of other models that a</w:t>
      </w:r>
      <w:r w:rsidR="00E535E0">
        <w:rPr>
          <w:rFonts w:cstheme="minorHAnsi"/>
        </w:rPr>
        <w:t>d</w:t>
      </w:r>
      <w:r w:rsidR="00FC5C0A">
        <w:rPr>
          <w:rFonts w:cstheme="minorHAnsi"/>
        </w:rPr>
        <w:t xml:space="preserve">dress similar questions. </w:t>
      </w:r>
      <w:r w:rsidR="00F45CD8" w:rsidRPr="00CB37CF">
        <w:rPr>
          <w:rFonts w:cstheme="minorHAnsi"/>
        </w:rPr>
        <w:t>Section 5 states conclusions and key policy implications.</w:t>
      </w:r>
      <w:r w:rsidR="00893ABB">
        <w:rPr>
          <w:rFonts w:cstheme="minorHAnsi"/>
        </w:rPr>
        <w:t xml:space="preserve"> </w:t>
      </w:r>
    </w:p>
    <w:p w14:paraId="3CF69214" w14:textId="77777777" w:rsidR="00793BA2" w:rsidRPr="009A2FE1" w:rsidRDefault="00793BA2" w:rsidP="002B08E1">
      <w:pPr>
        <w:pStyle w:val="Heading1"/>
      </w:pPr>
      <w:r w:rsidRPr="009A2FE1">
        <w:lastRenderedPageBreak/>
        <w:t>Methodology</w:t>
      </w:r>
    </w:p>
    <w:p w14:paraId="3AE9A53A" w14:textId="63D54E8F" w:rsidR="00FC1125" w:rsidRPr="0099228F" w:rsidRDefault="00793BA2" w:rsidP="00793BA2">
      <w:pPr>
        <w:rPr>
          <w:rFonts w:cstheme="minorHAnsi"/>
        </w:rPr>
      </w:pPr>
      <w:r w:rsidRPr="0099228F">
        <w:rPr>
          <w:rFonts w:cstheme="minorHAnsi"/>
        </w:rPr>
        <w:t xml:space="preserve">This study uses system dynamics </w:t>
      </w:r>
      <w:r w:rsidR="00492E2A">
        <w:rPr>
          <w:rFonts w:cstheme="minorHAnsi"/>
        </w:rPr>
        <w:t xml:space="preserve">(SD) </w:t>
      </w:r>
      <w:r w:rsidRPr="0099228F">
        <w:rPr>
          <w:rFonts w:cstheme="minorHAnsi"/>
        </w:rPr>
        <w:t>as researc</w:t>
      </w:r>
      <w:r w:rsidRPr="009C05A3">
        <w:rPr>
          <w:rFonts w:cstheme="minorHAnsi"/>
        </w:rPr>
        <w:t xml:space="preserve">h methodology. System dynamics is a modelling approach that was elaborated by Jay Forrester in the 1960s at MIT and </w:t>
      </w:r>
      <w:r w:rsidR="00492E2A">
        <w:rPr>
          <w:rFonts w:cstheme="minorHAnsi"/>
        </w:rPr>
        <w:t xml:space="preserve">that is </w:t>
      </w:r>
      <w:r w:rsidRPr="009C05A3">
        <w:rPr>
          <w:rFonts w:cstheme="minorHAnsi"/>
        </w:rPr>
        <w:t xml:space="preserve">grounded in the theory of non-linear dynamics and feedback control developed in mathematics, physics and engineering (Forrester, 1958). SD is a suitable tool to investigate key </w:t>
      </w:r>
      <w:proofErr w:type="spellStart"/>
      <w:r w:rsidR="00631794">
        <w:rPr>
          <w:rFonts w:cstheme="minorHAnsi"/>
        </w:rPr>
        <w:t>mechansims</w:t>
      </w:r>
      <w:proofErr w:type="spellEnd"/>
      <w:r w:rsidRPr="009C05A3">
        <w:rPr>
          <w:rFonts w:cstheme="minorHAnsi"/>
        </w:rPr>
        <w:t xml:space="preserve"> of complex systems that are characterised by feedback loops, uncertainty and path-dependency, and to manage and/or improve these systems by </w:t>
      </w:r>
      <w:r w:rsidR="008167A4" w:rsidRPr="00967105">
        <w:rPr>
          <w:rFonts w:cstheme="minorHAnsi"/>
        </w:rPr>
        <w:t>intervening</w:t>
      </w:r>
      <w:r w:rsidRPr="00967105">
        <w:rPr>
          <w:rFonts w:cstheme="minorHAnsi"/>
        </w:rPr>
        <w:t xml:space="preserve"> at leverage points that either strengthen desirable or weaken undesired feedback loops.</w:t>
      </w:r>
      <w:r w:rsidR="00893ABB">
        <w:rPr>
          <w:rFonts w:cstheme="minorHAnsi"/>
        </w:rPr>
        <w:t xml:space="preserve"> </w:t>
      </w:r>
      <w:r w:rsidRPr="00967105">
        <w:rPr>
          <w:rFonts w:cstheme="minorHAnsi"/>
        </w:rPr>
        <w:t>Mathematically, SD models are a set of linked differential equations simulated by algorithms and often shown visually through a stock-and-flow diagram (SFD) or a causal-loop diagram (</w:t>
      </w:r>
      <w:r w:rsidRPr="004C48F6">
        <w:rPr>
          <w:rFonts w:cstheme="minorHAnsi"/>
          <w:shd w:val="clear" w:color="auto" w:fill="FFFFFF" w:themeFill="background1"/>
        </w:rPr>
        <w:t>CLD) (</w:t>
      </w:r>
      <w:proofErr w:type="spellStart"/>
      <w:r w:rsidRPr="004C48F6">
        <w:rPr>
          <w:rFonts w:cstheme="minorHAnsi"/>
          <w:shd w:val="clear" w:color="auto" w:fill="FFFFFF" w:themeFill="background1"/>
        </w:rPr>
        <w:t>Sterman</w:t>
      </w:r>
      <w:proofErr w:type="spellEnd"/>
      <w:r w:rsidRPr="004C48F6">
        <w:rPr>
          <w:rFonts w:cstheme="minorHAnsi"/>
          <w:shd w:val="clear" w:color="auto" w:fill="FFFFFF" w:themeFill="background1"/>
        </w:rPr>
        <w:t xml:space="preserve">, 2000). </w:t>
      </w:r>
      <w:r w:rsidRPr="004C48F6">
        <w:rPr>
          <w:rFonts w:cstheme="minorHAnsi"/>
        </w:rPr>
        <w:t xml:space="preserve">This methodology </w:t>
      </w:r>
      <w:r w:rsidR="00A1263C" w:rsidRPr="004C48F6">
        <w:rPr>
          <w:rFonts w:cstheme="minorHAnsi"/>
        </w:rPr>
        <w:t>is well suited</w:t>
      </w:r>
      <w:r w:rsidRPr="004C48F6">
        <w:rPr>
          <w:rFonts w:cstheme="minorHAnsi"/>
        </w:rPr>
        <w:t xml:space="preserve"> to represent the underlying complexities in both the economy and the e</w:t>
      </w:r>
      <w:r w:rsidRPr="009A2FE1">
        <w:rPr>
          <w:rFonts w:cstheme="minorHAnsi"/>
        </w:rPr>
        <w:t xml:space="preserve">nergy system, and their interactions. </w:t>
      </w:r>
      <w:bookmarkStart w:id="12" w:name="_Hlk78638080"/>
      <w:r w:rsidRPr="009A2FE1">
        <w:rPr>
          <w:rFonts w:cstheme="minorHAnsi"/>
        </w:rPr>
        <w:t>In addition, the modelling environment of the system dynamics program is suitable for the inclusion of insights</w:t>
      </w:r>
      <w:r w:rsidR="00810ED7">
        <w:rPr>
          <w:rFonts w:cstheme="minorHAnsi"/>
        </w:rPr>
        <w:t>/soft-variables indicated in</w:t>
      </w:r>
      <w:r w:rsidRPr="009A2FE1">
        <w:rPr>
          <w:rFonts w:cstheme="minorHAnsi"/>
        </w:rPr>
        <w:t xml:space="preserve"> qualitative studies and for long-term simulation periods. </w:t>
      </w:r>
      <w:bookmarkEnd w:id="12"/>
      <w:r w:rsidR="00FC1125">
        <w:rPr>
          <w:rFonts w:cstheme="minorHAnsi"/>
        </w:rPr>
        <w:t>While the represen</w:t>
      </w:r>
      <w:r w:rsidR="00D831D6">
        <w:rPr>
          <w:rFonts w:cstheme="minorHAnsi"/>
        </w:rPr>
        <w:t>t</w:t>
      </w:r>
      <w:r w:rsidR="00FC1125">
        <w:rPr>
          <w:rFonts w:cstheme="minorHAnsi"/>
        </w:rPr>
        <w:t xml:space="preserve">ation of the key dynamics causing a particular research or policy challenge </w:t>
      </w:r>
      <w:r w:rsidR="00810ED7">
        <w:rPr>
          <w:rFonts w:cstheme="minorHAnsi"/>
        </w:rPr>
        <w:t xml:space="preserve">and so-called soft-variables </w:t>
      </w:r>
      <w:r w:rsidR="00FC1125">
        <w:rPr>
          <w:rFonts w:cstheme="minorHAnsi"/>
        </w:rPr>
        <w:t>is accepted as one of the key strength</w:t>
      </w:r>
      <w:r w:rsidR="00D831D6">
        <w:rPr>
          <w:rFonts w:cstheme="minorHAnsi"/>
        </w:rPr>
        <w:t>s</w:t>
      </w:r>
      <w:r w:rsidR="00FC1125">
        <w:rPr>
          <w:rFonts w:cstheme="minorHAnsi"/>
        </w:rPr>
        <w:t xml:space="preserve"> of system dynamics, </w:t>
      </w:r>
      <w:r w:rsidR="00FC1125">
        <w:rPr>
          <w:rFonts w:ascii="Calibri" w:eastAsia="Times New Roman" w:hAnsi="Calibri" w:cs="Calibri"/>
          <w:lang w:eastAsia="en-GB"/>
        </w:rPr>
        <w:t xml:space="preserve">we acknowledge that the model results are often not as precise as those from other models (e.g. econometric or CGE models). </w:t>
      </w:r>
      <w:r w:rsidR="00810ED7">
        <w:rPr>
          <w:rFonts w:ascii="Calibri" w:eastAsia="Times New Roman" w:hAnsi="Calibri" w:cs="Calibri"/>
          <w:lang w:eastAsia="en-GB"/>
        </w:rPr>
        <w:t xml:space="preserve">In addition, the estimation of exact values of so-called soft-variables (i.e. variables that are difficult to measure, such as personal preferences) is often based on expert-judgement, which may bias model results. That is, overall the </w:t>
      </w:r>
      <w:r w:rsidR="00B735FE">
        <w:rPr>
          <w:rFonts w:ascii="Calibri" w:eastAsia="Times New Roman" w:hAnsi="Calibri" w:cs="Calibri"/>
          <w:lang w:eastAsia="en-GB"/>
        </w:rPr>
        <w:t>strength</w:t>
      </w:r>
      <w:r w:rsidR="00FC1125">
        <w:rPr>
          <w:rFonts w:ascii="Calibri" w:eastAsia="Times New Roman" w:hAnsi="Calibri" w:cs="Calibri"/>
          <w:lang w:eastAsia="en-GB"/>
        </w:rPr>
        <w:t xml:space="preserve"> </w:t>
      </w:r>
      <w:r w:rsidR="00810ED7">
        <w:rPr>
          <w:rFonts w:ascii="Calibri" w:eastAsia="Times New Roman" w:hAnsi="Calibri" w:cs="Calibri"/>
          <w:lang w:eastAsia="en-GB"/>
        </w:rPr>
        <w:t xml:space="preserve">of system dynamics </w:t>
      </w:r>
      <w:r w:rsidR="00FC1125">
        <w:rPr>
          <w:rFonts w:ascii="Calibri" w:eastAsia="Times New Roman" w:hAnsi="Calibri" w:cs="Calibri"/>
          <w:lang w:eastAsia="en-GB"/>
        </w:rPr>
        <w:t xml:space="preserve">lies on the identification of the </w:t>
      </w:r>
      <w:r w:rsidR="00810ED7">
        <w:rPr>
          <w:rFonts w:ascii="Calibri" w:eastAsia="Times New Roman" w:hAnsi="Calibri" w:cs="Calibri"/>
          <w:lang w:eastAsia="en-GB"/>
        </w:rPr>
        <w:t>key mechan</w:t>
      </w:r>
      <w:r w:rsidR="00D831D6">
        <w:rPr>
          <w:rFonts w:ascii="Calibri" w:eastAsia="Times New Roman" w:hAnsi="Calibri" w:cs="Calibri"/>
          <w:lang w:eastAsia="en-GB"/>
        </w:rPr>
        <w:t>i</w:t>
      </w:r>
      <w:r w:rsidR="00810ED7">
        <w:rPr>
          <w:rFonts w:ascii="Calibri" w:eastAsia="Times New Roman" w:hAnsi="Calibri" w:cs="Calibri"/>
          <w:lang w:eastAsia="en-GB"/>
        </w:rPr>
        <w:t>sms</w:t>
      </w:r>
      <w:r w:rsidR="00FC1125">
        <w:rPr>
          <w:rFonts w:ascii="Calibri" w:eastAsia="Times New Roman" w:hAnsi="Calibri" w:cs="Calibri"/>
          <w:lang w:eastAsia="en-GB"/>
        </w:rPr>
        <w:t xml:space="preserve"> rather than the specification of exact parameter values (see Hafner et al., 2020b). </w:t>
      </w:r>
    </w:p>
    <w:p w14:paraId="1ECA5BBA" w14:textId="3E4DA57D" w:rsidR="00793BA2" w:rsidRPr="009C05A3" w:rsidRDefault="00793BA2" w:rsidP="00793BA2">
      <w:pPr>
        <w:rPr>
          <w:rFonts w:cstheme="minorHAnsi"/>
        </w:rPr>
      </w:pPr>
      <w:r w:rsidRPr="009C05A3">
        <w:rPr>
          <w:rFonts w:cstheme="minorHAnsi"/>
        </w:rPr>
        <w:t xml:space="preserve">The remainder of this section is </w:t>
      </w:r>
      <w:r w:rsidR="00020E69" w:rsidRPr="009C05A3">
        <w:rPr>
          <w:rFonts w:cstheme="minorHAnsi"/>
        </w:rPr>
        <w:t>structured</w:t>
      </w:r>
      <w:r w:rsidRPr="00967105">
        <w:rPr>
          <w:rFonts w:cstheme="minorHAnsi"/>
        </w:rPr>
        <w:t xml:space="preserve"> as follows: the first subsection introduces the qualitative investigation on the green finance gap</w:t>
      </w:r>
      <w:r w:rsidR="00020E69" w:rsidRPr="00967105">
        <w:rPr>
          <w:rFonts w:cstheme="minorHAnsi"/>
        </w:rPr>
        <w:t>,</w:t>
      </w:r>
      <w:r w:rsidRPr="00967105">
        <w:rPr>
          <w:rFonts w:cstheme="minorHAnsi"/>
        </w:rPr>
        <w:t xml:space="preserve"> and the second subsection presents the macroeconomic system dynamics Green Investment </w:t>
      </w:r>
      <w:r w:rsidR="003045AE" w:rsidRPr="00967105">
        <w:rPr>
          <w:rFonts w:cstheme="minorHAnsi"/>
        </w:rPr>
        <w:t>B</w:t>
      </w:r>
      <w:r w:rsidRPr="004C48F6">
        <w:rPr>
          <w:rFonts w:cstheme="minorHAnsi"/>
        </w:rPr>
        <w:t>arrier Model (GIBM)</w:t>
      </w:r>
      <w:r w:rsidR="00F94334">
        <w:rPr>
          <w:rFonts w:cstheme="minorHAnsi"/>
        </w:rPr>
        <w:t>, explains</w:t>
      </w:r>
      <w:r w:rsidRPr="004C48F6">
        <w:rPr>
          <w:rFonts w:cstheme="minorHAnsi"/>
        </w:rPr>
        <w:t xml:space="preserve"> how the qualitative investigation has been included in GIBM and introduces the tested policy scenarios</w:t>
      </w:r>
      <w:r w:rsidRPr="0099228F">
        <w:rPr>
          <w:rFonts w:cstheme="minorHAnsi"/>
        </w:rPr>
        <w:t xml:space="preserve">. </w:t>
      </w:r>
    </w:p>
    <w:p w14:paraId="542DA232" w14:textId="7B223D33" w:rsidR="00793BA2" w:rsidRPr="00E53664" w:rsidRDefault="00602E81" w:rsidP="00B8367E">
      <w:pPr>
        <w:pStyle w:val="Heading2"/>
        <w:numPr>
          <w:ilvl w:val="0"/>
          <w:numId w:val="0"/>
        </w:numPr>
        <w:ind w:left="792" w:hanging="432"/>
      </w:pPr>
      <w:r>
        <w:t>2.1</w:t>
      </w:r>
      <w:r w:rsidR="00EE42C6">
        <w:tab/>
      </w:r>
      <w:r w:rsidR="00793BA2" w:rsidRPr="00E53664">
        <w:t>Qualitative investigation on the green finance gap</w:t>
      </w:r>
    </w:p>
    <w:p w14:paraId="75B437C5" w14:textId="77777777" w:rsidR="00793BA2" w:rsidRPr="009C05A3" w:rsidRDefault="00793BA2" w:rsidP="00793BA2">
      <w:pPr>
        <w:rPr>
          <w:rFonts w:cstheme="minorHAnsi"/>
        </w:rPr>
      </w:pPr>
      <w:r w:rsidRPr="0099228F">
        <w:rPr>
          <w:rFonts w:cstheme="minorHAnsi"/>
        </w:rPr>
        <w:t>The qualitative investigation on the green</w:t>
      </w:r>
      <w:r w:rsidRPr="009C05A3">
        <w:rPr>
          <w:rFonts w:cstheme="minorHAnsi"/>
        </w:rPr>
        <w:t xml:space="preserve"> finance gap includes a systematic review of academic literature, an evaluation of policy reports, and the conduction of interviews with financial investors and investment experts. </w:t>
      </w:r>
    </w:p>
    <w:p w14:paraId="1DCC7814" w14:textId="77777777" w:rsidR="00793BA2" w:rsidRPr="00967105" w:rsidRDefault="00793BA2" w:rsidP="00793BA2">
      <w:pPr>
        <w:rPr>
          <w:rFonts w:cstheme="minorHAnsi"/>
          <w:b/>
          <w:bCs/>
          <w:i/>
        </w:rPr>
      </w:pPr>
      <w:r w:rsidRPr="009C05A3">
        <w:rPr>
          <w:rFonts w:cstheme="minorHAnsi"/>
          <w:b/>
          <w:bCs/>
          <w:i/>
        </w:rPr>
        <w:t>Policy reports</w:t>
      </w:r>
    </w:p>
    <w:p w14:paraId="48276651" w14:textId="77777777" w:rsidR="00793BA2" w:rsidRPr="00967105" w:rsidRDefault="00793BA2" w:rsidP="00793BA2">
      <w:pPr>
        <w:rPr>
          <w:rFonts w:cstheme="minorHAnsi"/>
        </w:rPr>
      </w:pPr>
      <w:r w:rsidRPr="00967105">
        <w:rPr>
          <w:rFonts w:cstheme="minorHAnsi"/>
        </w:rPr>
        <w:t xml:space="preserve">The policy reports were found by an internet search, using of the following set of keywords (see Hafner et al., 2019): </w:t>
      </w:r>
    </w:p>
    <w:p w14:paraId="2A8CFD1B" w14:textId="77777777" w:rsidR="00793BA2" w:rsidRPr="004C48F6" w:rsidRDefault="00793BA2" w:rsidP="00793BA2">
      <w:pPr>
        <w:rPr>
          <w:rFonts w:cstheme="minorHAnsi"/>
          <w:i/>
          <w:iCs/>
        </w:rPr>
      </w:pPr>
      <w:r w:rsidRPr="004C48F6">
        <w:rPr>
          <w:rFonts w:cstheme="minorHAnsi"/>
          <w:i/>
          <w:iCs/>
        </w:rPr>
        <w:t>(Investment OR invest OR finance) AND energy AND (renewable OR green OR “low-carbon” OR climate)</w:t>
      </w:r>
    </w:p>
    <w:p w14:paraId="7DD6B9D0" w14:textId="3F8DBF30" w:rsidR="00793BA2" w:rsidRPr="009A2FE1" w:rsidRDefault="00793BA2" w:rsidP="00793BA2">
      <w:pPr>
        <w:rPr>
          <w:rFonts w:cstheme="minorHAnsi"/>
        </w:rPr>
      </w:pPr>
      <w:r w:rsidRPr="004C48F6">
        <w:rPr>
          <w:rFonts w:cstheme="minorHAnsi"/>
        </w:rPr>
        <w:t xml:space="preserve">Moreover, the following criteria for inclusion of policy reports </w:t>
      </w:r>
      <w:r w:rsidR="003045AE" w:rsidRPr="004C48F6">
        <w:rPr>
          <w:rFonts w:cstheme="minorHAnsi"/>
        </w:rPr>
        <w:t>were</w:t>
      </w:r>
      <w:r w:rsidRPr="009A2FE1">
        <w:rPr>
          <w:rFonts w:cstheme="minorHAnsi"/>
        </w:rPr>
        <w:t xml:space="preserve"> applied (Hafner et al., 2019):</w:t>
      </w:r>
    </w:p>
    <w:p w14:paraId="31A36BEE" w14:textId="77777777" w:rsidR="00793BA2" w:rsidRPr="009A2FE1" w:rsidRDefault="00793BA2" w:rsidP="00793BA2">
      <w:pPr>
        <w:pStyle w:val="ListParagraph"/>
        <w:numPr>
          <w:ilvl w:val="0"/>
          <w:numId w:val="22"/>
        </w:numPr>
        <w:rPr>
          <w:rFonts w:cstheme="minorHAnsi"/>
        </w:rPr>
      </w:pPr>
      <w:r w:rsidRPr="009A2FE1">
        <w:rPr>
          <w:rFonts w:cstheme="minorHAnsi"/>
        </w:rPr>
        <w:t xml:space="preserve">Published since 2009 </w:t>
      </w:r>
    </w:p>
    <w:p w14:paraId="65705D9A" w14:textId="63DD54BE" w:rsidR="00793BA2" w:rsidRPr="00FC1125" w:rsidRDefault="004A04BB" w:rsidP="00793BA2">
      <w:pPr>
        <w:pStyle w:val="ListParagraph"/>
        <w:numPr>
          <w:ilvl w:val="0"/>
          <w:numId w:val="22"/>
        </w:numPr>
        <w:rPr>
          <w:rFonts w:cstheme="minorHAnsi"/>
        </w:rPr>
      </w:pPr>
      <w:r w:rsidRPr="00FC1125">
        <w:rPr>
          <w:rFonts w:cstheme="minorHAnsi"/>
        </w:rPr>
        <w:t>Applied to</w:t>
      </w:r>
      <w:r w:rsidR="00793BA2" w:rsidRPr="00FC1125">
        <w:rPr>
          <w:rFonts w:cstheme="minorHAnsi"/>
        </w:rPr>
        <w:t xml:space="preserve"> developed countries </w:t>
      </w:r>
    </w:p>
    <w:p w14:paraId="22C3DC7A" w14:textId="77777777" w:rsidR="00793BA2" w:rsidRPr="007C0A4D" w:rsidRDefault="00793BA2" w:rsidP="00793BA2">
      <w:pPr>
        <w:pStyle w:val="ListParagraph"/>
        <w:numPr>
          <w:ilvl w:val="0"/>
          <w:numId w:val="22"/>
        </w:numPr>
        <w:rPr>
          <w:rFonts w:cstheme="minorHAnsi"/>
        </w:rPr>
      </w:pPr>
      <w:r w:rsidRPr="007C0A4D">
        <w:rPr>
          <w:rFonts w:cstheme="minorHAnsi"/>
        </w:rPr>
        <w:t>Include specific reference to barriers in large-scale clean energy infrastructure investment</w:t>
      </w:r>
    </w:p>
    <w:p w14:paraId="4EEDEDA4" w14:textId="77777777" w:rsidR="00793BA2" w:rsidRPr="0099228F" w:rsidRDefault="00793BA2" w:rsidP="00793BA2">
      <w:pPr>
        <w:pStyle w:val="ListParagraph"/>
        <w:numPr>
          <w:ilvl w:val="0"/>
          <w:numId w:val="22"/>
        </w:numPr>
        <w:rPr>
          <w:rFonts w:cstheme="minorHAnsi"/>
        </w:rPr>
      </w:pPr>
      <w:r w:rsidRPr="0099228F">
        <w:rPr>
          <w:rFonts w:cstheme="minorHAnsi"/>
        </w:rPr>
        <w:t>Published by multi-stakeholder groups, or an organisation, either public or private, that regularly consults multiple parties across the investment community</w:t>
      </w:r>
    </w:p>
    <w:p w14:paraId="18C284B2" w14:textId="6B92C57C" w:rsidR="00793BA2" w:rsidRPr="004A4678" w:rsidRDefault="00793BA2" w:rsidP="00793BA2">
      <w:pPr>
        <w:rPr>
          <w:rFonts w:cstheme="minorHAnsi"/>
        </w:rPr>
      </w:pPr>
      <w:r w:rsidRPr="0099228F">
        <w:rPr>
          <w:rFonts w:cstheme="minorHAnsi"/>
        </w:rPr>
        <w:lastRenderedPageBreak/>
        <w:t xml:space="preserve">Overall, the identified sample of policy reports is representative for this type of literature and captures the current state (Hafner et al., 2019). </w:t>
      </w:r>
      <w:r w:rsidRPr="0070461D">
        <w:rPr>
          <w:rFonts w:cstheme="minorHAnsi"/>
        </w:rPr>
        <w:t xml:space="preserve">The evaluation of policy reports on the green finance gap identified a set of key investment barrier themes (see table </w:t>
      </w:r>
      <w:r w:rsidR="004742BB">
        <w:rPr>
          <w:rFonts w:cstheme="minorHAnsi"/>
        </w:rPr>
        <w:t>1</w:t>
      </w:r>
      <w:r w:rsidRPr="0070461D">
        <w:rPr>
          <w:rFonts w:cstheme="minorHAnsi"/>
        </w:rPr>
        <w:t xml:space="preserve">), which were used to derive a set of code words, describing each of the key investment barrier topics, and subsequently used for the identification </w:t>
      </w:r>
      <w:r w:rsidRPr="005E5158">
        <w:rPr>
          <w:rFonts w:cstheme="minorHAnsi"/>
        </w:rPr>
        <w:t>of green investment barrier topics in the systematic review of academic literature (see next section and Hafner et al., 20</w:t>
      </w:r>
      <w:r w:rsidR="003045AE" w:rsidRPr="00202D0C">
        <w:rPr>
          <w:rFonts w:cstheme="minorHAnsi"/>
        </w:rPr>
        <w:t>20a</w:t>
      </w:r>
      <w:r w:rsidRPr="004A4678">
        <w:rPr>
          <w:rFonts w:cstheme="minorHAnsi"/>
        </w:rPr>
        <w:t xml:space="preserve"> for further details). </w:t>
      </w:r>
    </w:p>
    <w:p w14:paraId="6D06B1E5" w14:textId="1E91FC8B" w:rsidR="008967C2" w:rsidRPr="009A2FE1" w:rsidRDefault="00793BA2" w:rsidP="008967C2">
      <w:pPr>
        <w:pStyle w:val="Caption"/>
        <w:keepNext/>
        <w:spacing w:after="0"/>
        <w:rPr>
          <w:rFonts w:asciiTheme="minorHAnsi" w:hAnsiTheme="minorHAnsi" w:cstheme="minorHAnsi"/>
          <w:b w:val="0"/>
          <w:bCs/>
          <w:sz w:val="22"/>
          <w:szCs w:val="22"/>
        </w:rPr>
      </w:pPr>
      <w:bookmarkStart w:id="13" w:name="_Hlk54086363"/>
      <w:r w:rsidRPr="009A2FE1">
        <w:rPr>
          <w:rFonts w:asciiTheme="minorHAnsi" w:hAnsiTheme="minorHAnsi" w:cstheme="minorHAnsi"/>
          <w:sz w:val="22"/>
          <w:szCs w:val="22"/>
        </w:rPr>
        <w:t xml:space="preserve">Table </w:t>
      </w:r>
      <w:r w:rsidRPr="009A2FE1">
        <w:rPr>
          <w:rFonts w:asciiTheme="minorHAnsi" w:hAnsiTheme="minorHAnsi" w:cstheme="minorHAnsi"/>
          <w:sz w:val="22"/>
          <w:szCs w:val="22"/>
        </w:rPr>
        <w:fldChar w:fldCharType="begin"/>
      </w:r>
      <w:r w:rsidRPr="009A2FE1">
        <w:rPr>
          <w:rFonts w:asciiTheme="minorHAnsi" w:hAnsiTheme="minorHAnsi" w:cstheme="minorHAnsi"/>
          <w:sz w:val="22"/>
          <w:szCs w:val="22"/>
        </w:rPr>
        <w:instrText xml:space="preserve"> SEQ Table \* ARABIC </w:instrText>
      </w:r>
      <w:r w:rsidRPr="009A2FE1">
        <w:rPr>
          <w:rFonts w:asciiTheme="minorHAnsi" w:hAnsiTheme="minorHAnsi" w:cstheme="minorHAnsi"/>
          <w:sz w:val="22"/>
          <w:szCs w:val="22"/>
        </w:rPr>
        <w:fldChar w:fldCharType="separate"/>
      </w:r>
      <w:r w:rsidR="00C9353F" w:rsidRPr="009A2FE1">
        <w:rPr>
          <w:rFonts w:asciiTheme="minorHAnsi" w:hAnsiTheme="minorHAnsi" w:cstheme="minorHAnsi"/>
          <w:noProof/>
          <w:sz w:val="22"/>
          <w:szCs w:val="22"/>
        </w:rPr>
        <w:t>1</w:t>
      </w:r>
      <w:r w:rsidRPr="009A2FE1">
        <w:rPr>
          <w:rFonts w:asciiTheme="minorHAnsi" w:hAnsiTheme="minorHAnsi" w:cstheme="minorHAnsi"/>
          <w:noProof/>
          <w:sz w:val="22"/>
          <w:szCs w:val="22"/>
        </w:rPr>
        <w:fldChar w:fldCharType="end"/>
      </w:r>
      <w:r w:rsidRPr="009A2FE1">
        <w:rPr>
          <w:rFonts w:asciiTheme="minorHAnsi" w:hAnsiTheme="minorHAnsi" w:cstheme="minorHAnsi"/>
          <w:sz w:val="22"/>
          <w:szCs w:val="22"/>
        </w:rPr>
        <w:t xml:space="preserve">: </w:t>
      </w:r>
      <w:r w:rsidRPr="009A2FE1">
        <w:rPr>
          <w:rFonts w:asciiTheme="minorHAnsi" w:hAnsiTheme="minorHAnsi" w:cstheme="minorHAnsi"/>
          <w:b w:val="0"/>
          <w:bCs/>
          <w:sz w:val="22"/>
          <w:szCs w:val="22"/>
        </w:rPr>
        <w:t>Themes and code words identified through the analysis of the practice policy reports</w:t>
      </w:r>
    </w:p>
    <w:tbl>
      <w:tblPr>
        <w:tblStyle w:val="TableGrid"/>
        <w:tblW w:w="9263" w:type="dxa"/>
        <w:tblInd w:w="-5" w:type="dxa"/>
        <w:tblLook w:val="04A0" w:firstRow="1" w:lastRow="0" w:firstColumn="1" w:lastColumn="0" w:noHBand="0" w:noVBand="1"/>
      </w:tblPr>
      <w:tblGrid>
        <w:gridCol w:w="488"/>
        <w:gridCol w:w="4190"/>
        <w:gridCol w:w="4585"/>
      </w:tblGrid>
      <w:tr w:rsidR="008967C2" w:rsidRPr="0099228F" w14:paraId="2290C61A" w14:textId="77777777" w:rsidTr="008967C2">
        <w:trPr>
          <w:trHeight w:val="124"/>
        </w:trPr>
        <w:tc>
          <w:tcPr>
            <w:tcW w:w="488" w:type="dxa"/>
          </w:tcPr>
          <w:p w14:paraId="34E39C5F" w14:textId="77777777" w:rsidR="008967C2" w:rsidRPr="009A2FE1" w:rsidRDefault="008967C2" w:rsidP="00BD2F69">
            <w:pPr>
              <w:spacing w:after="0" w:line="240" w:lineRule="auto"/>
              <w:jc w:val="center"/>
              <w:rPr>
                <w:rFonts w:cstheme="minorHAnsi"/>
                <w:b/>
                <w:i/>
                <w:sz w:val="21"/>
                <w:szCs w:val="21"/>
              </w:rPr>
            </w:pPr>
            <w:r w:rsidRPr="009A2FE1">
              <w:rPr>
                <w:rFonts w:cstheme="minorHAnsi"/>
                <w:b/>
                <w:i/>
                <w:sz w:val="21"/>
                <w:szCs w:val="21"/>
              </w:rPr>
              <w:t>Nr.</w:t>
            </w:r>
          </w:p>
        </w:tc>
        <w:tc>
          <w:tcPr>
            <w:tcW w:w="4190" w:type="dxa"/>
          </w:tcPr>
          <w:p w14:paraId="1AF2BDDC" w14:textId="77777777" w:rsidR="008967C2" w:rsidRPr="009A2FE1" w:rsidRDefault="008967C2" w:rsidP="00BD2F69">
            <w:pPr>
              <w:spacing w:after="0" w:line="240" w:lineRule="auto"/>
              <w:jc w:val="center"/>
              <w:rPr>
                <w:rFonts w:cstheme="minorHAnsi"/>
                <w:b/>
                <w:i/>
                <w:sz w:val="21"/>
                <w:szCs w:val="21"/>
              </w:rPr>
            </w:pPr>
            <w:r w:rsidRPr="009A2FE1">
              <w:rPr>
                <w:rFonts w:cstheme="minorHAnsi"/>
                <w:b/>
                <w:i/>
                <w:sz w:val="21"/>
                <w:szCs w:val="21"/>
              </w:rPr>
              <w:t>Theme</w:t>
            </w:r>
          </w:p>
        </w:tc>
        <w:tc>
          <w:tcPr>
            <w:tcW w:w="4585" w:type="dxa"/>
          </w:tcPr>
          <w:p w14:paraId="6D6A5020" w14:textId="77777777" w:rsidR="008967C2" w:rsidRPr="009A2FE1" w:rsidRDefault="008967C2" w:rsidP="00BD2F69">
            <w:pPr>
              <w:spacing w:after="0" w:line="240" w:lineRule="auto"/>
              <w:jc w:val="center"/>
              <w:rPr>
                <w:rFonts w:cstheme="minorHAnsi"/>
                <w:b/>
                <w:i/>
                <w:sz w:val="21"/>
                <w:szCs w:val="21"/>
              </w:rPr>
            </w:pPr>
            <w:r w:rsidRPr="009A2FE1">
              <w:rPr>
                <w:rFonts w:cstheme="minorHAnsi"/>
                <w:b/>
                <w:i/>
                <w:sz w:val="21"/>
                <w:szCs w:val="21"/>
              </w:rPr>
              <w:t>Code words</w:t>
            </w:r>
          </w:p>
        </w:tc>
      </w:tr>
      <w:tr w:rsidR="008967C2" w:rsidRPr="009A2FE1" w14:paraId="7FC834C5" w14:textId="77777777" w:rsidTr="008967C2">
        <w:trPr>
          <w:trHeight w:val="383"/>
        </w:trPr>
        <w:tc>
          <w:tcPr>
            <w:tcW w:w="488" w:type="dxa"/>
          </w:tcPr>
          <w:p w14:paraId="270C8B45" w14:textId="78AF1EE7" w:rsidR="008967C2" w:rsidRPr="009A2FE1" w:rsidRDefault="00861BFA" w:rsidP="00BD2F69">
            <w:pPr>
              <w:spacing w:after="0" w:line="240" w:lineRule="auto"/>
              <w:rPr>
                <w:rFonts w:cstheme="minorHAnsi"/>
                <w:sz w:val="21"/>
                <w:szCs w:val="21"/>
              </w:rPr>
            </w:pPr>
            <w:r>
              <w:rPr>
                <w:rFonts w:cstheme="minorHAnsi"/>
                <w:sz w:val="21"/>
                <w:szCs w:val="21"/>
              </w:rPr>
              <w:t>1</w:t>
            </w:r>
          </w:p>
        </w:tc>
        <w:tc>
          <w:tcPr>
            <w:tcW w:w="4190" w:type="dxa"/>
          </w:tcPr>
          <w:p w14:paraId="274795E8" w14:textId="77777777" w:rsidR="008967C2" w:rsidRPr="009A2FE1" w:rsidRDefault="008967C2" w:rsidP="00BD2F69">
            <w:pPr>
              <w:spacing w:after="0" w:line="240" w:lineRule="auto"/>
              <w:rPr>
                <w:rFonts w:eastAsia="Times New Roman" w:cstheme="minorHAnsi"/>
                <w:sz w:val="14"/>
                <w:szCs w:val="14"/>
                <w:lang w:eastAsia="en-GB"/>
              </w:rPr>
            </w:pPr>
            <w:r w:rsidRPr="009A2FE1">
              <w:rPr>
                <w:rFonts w:cstheme="minorHAnsi"/>
                <w:sz w:val="21"/>
                <w:szCs w:val="21"/>
              </w:rPr>
              <w:t>Lack of a stable climate change policy frameworks and policy direction</w:t>
            </w:r>
          </w:p>
          <w:p w14:paraId="004EB5D5" w14:textId="77777777" w:rsidR="008967C2" w:rsidRPr="009A2FE1" w:rsidRDefault="008967C2" w:rsidP="00BD2F69">
            <w:pPr>
              <w:spacing w:after="0" w:line="240" w:lineRule="auto"/>
              <w:rPr>
                <w:rFonts w:cstheme="minorHAnsi"/>
                <w:sz w:val="21"/>
                <w:szCs w:val="21"/>
              </w:rPr>
            </w:pPr>
          </w:p>
        </w:tc>
        <w:tc>
          <w:tcPr>
            <w:tcW w:w="4585" w:type="dxa"/>
          </w:tcPr>
          <w:p w14:paraId="66A269F8"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Policy framework; Policy direction; Long term; Policy uncertainty; Stable regulatory framework; Policy stability; Certainty</w:t>
            </w:r>
          </w:p>
        </w:tc>
      </w:tr>
      <w:tr w:rsidR="008967C2" w:rsidRPr="009A2FE1" w14:paraId="0916F60E" w14:textId="77777777" w:rsidTr="008967C2">
        <w:trPr>
          <w:trHeight w:val="256"/>
        </w:trPr>
        <w:tc>
          <w:tcPr>
            <w:tcW w:w="488" w:type="dxa"/>
          </w:tcPr>
          <w:p w14:paraId="3E9D6473" w14:textId="714183AB" w:rsidR="008967C2" w:rsidRPr="009A2FE1" w:rsidRDefault="00861BFA" w:rsidP="00BD2F69">
            <w:pPr>
              <w:spacing w:after="0" w:line="240" w:lineRule="auto"/>
              <w:rPr>
                <w:rFonts w:cstheme="minorHAnsi"/>
                <w:sz w:val="21"/>
                <w:szCs w:val="21"/>
              </w:rPr>
            </w:pPr>
            <w:r>
              <w:rPr>
                <w:rFonts w:cstheme="minorHAnsi"/>
                <w:sz w:val="21"/>
                <w:szCs w:val="21"/>
              </w:rPr>
              <w:t>2</w:t>
            </w:r>
          </w:p>
        </w:tc>
        <w:tc>
          <w:tcPr>
            <w:tcW w:w="4190" w:type="dxa"/>
          </w:tcPr>
          <w:p w14:paraId="3723656C"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Policies are in favour of 'brown' energy-infrastructure (e.g. fossil fuel subsidies or limited pricing of carbon emissions)</w:t>
            </w:r>
          </w:p>
        </w:tc>
        <w:tc>
          <w:tcPr>
            <w:tcW w:w="4585" w:type="dxa"/>
          </w:tcPr>
          <w:p w14:paraId="63F6AB50"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Fossil fuel subsidies; Carbon price; Perverse incentives; Distorted</w:t>
            </w:r>
          </w:p>
        </w:tc>
      </w:tr>
      <w:tr w:rsidR="008967C2" w:rsidRPr="009A2FE1" w14:paraId="2EA4B007" w14:textId="77777777" w:rsidTr="008967C2">
        <w:trPr>
          <w:trHeight w:val="256"/>
        </w:trPr>
        <w:tc>
          <w:tcPr>
            <w:tcW w:w="488" w:type="dxa"/>
          </w:tcPr>
          <w:p w14:paraId="50EA3055" w14:textId="79652BC8" w:rsidR="008967C2" w:rsidRPr="009A2FE1" w:rsidRDefault="00861BFA" w:rsidP="00BD2F69">
            <w:pPr>
              <w:spacing w:after="0" w:line="240" w:lineRule="auto"/>
              <w:rPr>
                <w:rFonts w:cstheme="minorHAnsi"/>
                <w:sz w:val="21"/>
                <w:szCs w:val="21"/>
              </w:rPr>
            </w:pPr>
            <w:r>
              <w:rPr>
                <w:rFonts w:cstheme="minorHAnsi"/>
                <w:sz w:val="21"/>
                <w:szCs w:val="21"/>
              </w:rPr>
              <w:t>3</w:t>
            </w:r>
          </w:p>
        </w:tc>
        <w:tc>
          <w:tcPr>
            <w:tcW w:w="4190" w:type="dxa"/>
          </w:tcPr>
          <w:p w14:paraId="434CFE07"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Constraints on decision making within investor companies </w:t>
            </w:r>
          </w:p>
        </w:tc>
        <w:tc>
          <w:tcPr>
            <w:tcW w:w="4585" w:type="dxa"/>
          </w:tcPr>
          <w:p w14:paraId="7BBA2184"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Fiduciary duty; Trust; Investor perceptions; Awareness; Short term; Accounting; Solvency</w:t>
            </w:r>
          </w:p>
        </w:tc>
      </w:tr>
      <w:tr w:rsidR="008967C2" w:rsidRPr="009A2FE1" w14:paraId="2F4B6E81" w14:textId="77777777" w:rsidTr="008967C2">
        <w:trPr>
          <w:trHeight w:val="383"/>
        </w:trPr>
        <w:tc>
          <w:tcPr>
            <w:tcW w:w="488" w:type="dxa"/>
          </w:tcPr>
          <w:p w14:paraId="7F01C5BF" w14:textId="394D90D1" w:rsidR="008967C2" w:rsidRPr="009A2FE1" w:rsidRDefault="00861BFA" w:rsidP="00BD2F69">
            <w:pPr>
              <w:spacing w:after="0" w:line="240" w:lineRule="auto"/>
              <w:rPr>
                <w:rFonts w:cstheme="minorHAnsi"/>
                <w:sz w:val="21"/>
                <w:szCs w:val="21"/>
              </w:rPr>
            </w:pPr>
            <w:r>
              <w:rPr>
                <w:rFonts w:cstheme="minorHAnsi"/>
                <w:sz w:val="21"/>
                <w:szCs w:val="21"/>
              </w:rPr>
              <w:t>4</w:t>
            </w:r>
          </w:p>
        </w:tc>
        <w:tc>
          <w:tcPr>
            <w:tcW w:w="4190" w:type="dxa"/>
          </w:tcPr>
          <w:p w14:paraId="020C1BFD"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Perceptions that returns of renewable infrastructure investments are too low and require high initial capital investment  </w:t>
            </w:r>
          </w:p>
        </w:tc>
        <w:tc>
          <w:tcPr>
            <w:tcW w:w="4585" w:type="dxa"/>
          </w:tcPr>
          <w:p w14:paraId="259A6618"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Risk return</w:t>
            </w:r>
          </w:p>
        </w:tc>
      </w:tr>
      <w:tr w:rsidR="008967C2" w:rsidRPr="009A2FE1" w14:paraId="162E1AA4" w14:textId="77777777" w:rsidTr="008967C2">
        <w:trPr>
          <w:trHeight w:val="256"/>
        </w:trPr>
        <w:tc>
          <w:tcPr>
            <w:tcW w:w="488" w:type="dxa"/>
          </w:tcPr>
          <w:p w14:paraId="7BDB15CA" w14:textId="6FB970D3" w:rsidR="008967C2" w:rsidRPr="009A2FE1" w:rsidRDefault="00861BFA" w:rsidP="00BD2F69">
            <w:pPr>
              <w:spacing w:after="0" w:line="240" w:lineRule="auto"/>
              <w:rPr>
                <w:rFonts w:cstheme="minorHAnsi"/>
                <w:sz w:val="21"/>
                <w:szCs w:val="21"/>
              </w:rPr>
            </w:pPr>
            <w:r>
              <w:rPr>
                <w:rFonts w:cstheme="minorHAnsi"/>
                <w:sz w:val="21"/>
                <w:szCs w:val="21"/>
              </w:rPr>
              <w:t>5</w:t>
            </w:r>
          </w:p>
        </w:tc>
        <w:tc>
          <w:tcPr>
            <w:tcW w:w="4190" w:type="dxa"/>
          </w:tcPr>
          <w:p w14:paraId="1EDFD8CD"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Requirement that projects need a certain credit rating so that it is possible to invest</w:t>
            </w:r>
          </w:p>
        </w:tc>
        <w:tc>
          <w:tcPr>
            <w:tcW w:w="4585" w:type="dxa"/>
          </w:tcPr>
          <w:p w14:paraId="0C8CF20A"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Credit rating; Risk rating; Credit worthy</w:t>
            </w:r>
          </w:p>
        </w:tc>
      </w:tr>
      <w:tr w:rsidR="008967C2" w:rsidRPr="009A2FE1" w14:paraId="4074AA62" w14:textId="77777777" w:rsidTr="008967C2">
        <w:trPr>
          <w:trHeight w:val="256"/>
        </w:trPr>
        <w:tc>
          <w:tcPr>
            <w:tcW w:w="488" w:type="dxa"/>
          </w:tcPr>
          <w:p w14:paraId="01C0B11E" w14:textId="382A32C2" w:rsidR="008967C2" w:rsidRPr="009A2FE1" w:rsidRDefault="00861BFA" w:rsidP="00BD2F69">
            <w:pPr>
              <w:spacing w:after="0" w:line="240" w:lineRule="auto"/>
              <w:rPr>
                <w:rFonts w:cstheme="minorHAnsi"/>
                <w:sz w:val="21"/>
                <w:szCs w:val="21"/>
              </w:rPr>
            </w:pPr>
            <w:r>
              <w:rPr>
                <w:rFonts w:cstheme="minorHAnsi"/>
                <w:sz w:val="21"/>
                <w:szCs w:val="21"/>
              </w:rPr>
              <w:t>6</w:t>
            </w:r>
          </w:p>
        </w:tc>
        <w:tc>
          <w:tcPr>
            <w:tcW w:w="4190" w:type="dxa"/>
          </w:tcPr>
          <w:p w14:paraId="58576D77"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Technology-risk associated with uncertain technologies </w:t>
            </w:r>
          </w:p>
        </w:tc>
        <w:tc>
          <w:tcPr>
            <w:tcW w:w="4585" w:type="dxa"/>
          </w:tcPr>
          <w:p w14:paraId="2D0F5676"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Technology risk</w:t>
            </w:r>
          </w:p>
        </w:tc>
      </w:tr>
      <w:tr w:rsidR="008967C2" w:rsidRPr="009A2FE1" w14:paraId="1B3F59FD" w14:textId="77777777" w:rsidTr="008967C2">
        <w:trPr>
          <w:trHeight w:val="250"/>
        </w:trPr>
        <w:tc>
          <w:tcPr>
            <w:tcW w:w="488" w:type="dxa"/>
          </w:tcPr>
          <w:p w14:paraId="56B9504F" w14:textId="45EA09BA" w:rsidR="008967C2" w:rsidRPr="009A2FE1" w:rsidRDefault="00861BFA" w:rsidP="00BD2F69">
            <w:pPr>
              <w:spacing w:after="0" w:line="240" w:lineRule="auto"/>
              <w:rPr>
                <w:rFonts w:cstheme="minorHAnsi"/>
                <w:sz w:val="21"/>
                <w:szCs w:val="21"/>
              </w:rPr>
            </w:pPr>
            <w:r>
              <w:rPr>
                <w:rFonts w:cstheme="minorHAnsi"/>
                <w:sz w:val="21"/>
                <w:szCs w:val="21"/>
              </w:rPr>
              <w:t>7</w:t>
            </w:r>
          </w:p>
        </w:tc>
        <w:tc>
          <w:tcPr>
            <w:tcW w:w="4190" w:type="dxa"/>
          </w:tcPr>
          <w:p w14:paraId="1E4AD752" w14:textId="77777777" w:rsidR="008967C2" w:rsidRPr="009A2FE1" w:rsidRDefault="008967C2" w:rsidP="00BD2F69">
            <w:pPr>
              <w:spacing w:after="0" w:line="240" w:lineRule="auto"/>
              <w:rPr>
                <w:rFonts w:cstheme="minorHAnsi"/>
                <w:sz w:val="21"/>
                <w:szCs w:val="21"/>
              </w:rPr>
            </w:pPr>
            <w:r w:rsidRPr="009A2FE1">
              <w:rPr>
                <w:rFonts w:eastAsia="Times New Roman" w:cstheme="minorHAnsi"/>
                <w:sz w:val="21"/>
                <w:szCs w:val="21"/>
                <w:lang w:eastAsia="en-GB"/>
              </w:rPr>
              <w:t xml:space="preserve">Disclosure on climate related risks and integrating them into financial decision-making </w:t>
            </w:r>
            <w:r w:rsidRPr="009A2FE1">
              <w:rPr>
                <w:rFonts w:eastAsia="Times New Roman" w:cstheme="minorHAnsi"/>
                <w:sz w:val="21"/>
                <w:szCs w:val="21"/>
              </w:rPr>
              <w:t>or a lack of standardised ESG-data</w:t>
            </w:r>
          </w:p>
        </w:tc>
        <w:tc>
          <w:tcPr>
            <w:tcW w:w="4585" w:type="dxa"/>
          </w:tcPr>
          <w:p w14:paraId="3833187E"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Climate disclosure; Standards; ESG; Benchmark</w:t>
            </w:r>
          </w:p>
        </w:tc>
      </w:tr>
      <w:tr w:rsidR="008967C2" w:rsidRPr="009A2FE1" w14:paraId="05E624AE" w14:textId="77777777" w:rsidTr="008967C2">
        <w:trPr>
          <w:trHeight w:val="256"/>
        </w:trPr>
        <w:tc>
          <w:tcPr>
            <w:tcW w:w="488" w:type="dxa"/>
          </w:tcPr>
          <w:p w14:paraId="686C0BEF" w14:textId="3E8408D3" w:rsidR="008967C2" w:rsidRPr="009A2FE1" w:rsidRDefault="00861BFA" w:rsidP="00BD2F69">
            <w:pPr>
              <w:spacing w:after="0" w:line="240" w:lineRule="auto"/>
              <w:rPr>
                <w:rFonts w:cstheme="minorHAnsi"/>
                <w:sz w:val="21"/>
                <w:szCs w:val="21"/>
              </w:rPr>
            </w:pPr>
            <w:r>
              <w:rPr>
                <w:rFonts w:cstheme="minorHAnsi"/>
                <w:sz w:val="21"/>
                <w:szCs w:val="21"/>
              </w:rPr>
              <w:t>8</w:t>
            </w:r>
          </w:p>
        </w:tc>
        <w:tc>
          <w:tcPr>
            <w:tcW w:w="4190" w:type="dxa"/>
          </w:tcPr>
          <w:p w14:paraId="1412C58A"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Limited projects with acceptable risk-return profiles or </w:t>
            </w:r>
            <w:r w:rsidRPr="009A2FE1">
              <w:rPr>
                <w:rFonts w:eastAsia="Times New Roman" w:cstheme="minorHAnsi"/>
                <w:sz w:val="21"/>
                <w:szCs w:val="21"/>
                <w:lang w:eastAsia="en-GB"/>
              </w:rPr>
              <w:t>lack of liquidity in markets</w:t>
            </w:r>
          </w:p>
        </w:tc>
        <w:tc>
          <w:tcPr>
            <w:tcW w:w="4585" w:type="dxa"/>
          </w:tcPr>
          <w:p w14:paraId="2F310052"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Liquidity; Liquid market; Scale</w:t>
            </w:r>
          </w:p>
        </w:tc>
      </w:tr>
      <w:tr w:rsidR="008967C2" w:rsidRPr="009A2FE1" w14:paraId="42F8F34E" w14:textId="77777777" w:rsidTr="008967C2">
        <w:trPr>
          <w:trHeight w:val="256"/>
        </w:trPr>
        <w:tc>
          <w:tcPr>
            <w:tcW w:w="488" w:type="dxa"/>
          </w:tcPr>
          <w:p w14:paraId="6919E759" w14:textId="6A5361D6" w:rsidR="008967C2" w:rsidRPr="009A2FE1" w:rsidRDefault="00861BFA" w:rsidP="00BD2F69">
            <w:pPr>
              <w:spacing w:after="0" w:line="240" w:lineRule="auto"/>
              <w:rPr>
                <w:rFonts w:cstheme="minorHAnsi"/>
                <w:sz w:val="21"/>
                <w:szCs w:val="21"/>
              </w:rPr>
            </w:pPr>
            <w:r>
              <w:rPr>
                <w:rFonts w:cstheme="minorHAnsi"/>
                <w:sz w:val="21"/>
                <w:szCs w:val="21"/>
              </w:rPr>
              <w:t>9</w:t>
            </w:r>
          </w:p>
        </w:tc>
        <w:tc>
          <w:tcPr>
            <w:tcW w:w="4190" w:type="dxa"/>
          </w:tcPr>
          <w:p w14:paraId="21CD2DC1"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Lack of suitable financial vehicles/financial instruments</w:t>
            </w:r>
          </w:p>
        </w:tc>
        <w:tc>
          <w:tcPr>
            <w:tcW w:w="4585" w:type="dxa"/>
          </w:tcPr>
          <w:p w14:paraId="57611895"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Financial vehicle; Financial instruments</w:t>
            </w:r>
          </w:p>
        </w:tc>
      </w:tr>
      <w:tr w:rsidR="008967C2" w:rsidRPr="009A2FE1" w14:paraId="08E495DA" w14:textId="77777777" w:rsidTr="008967C2">
        <w:trPr>
          <w:trHeight w:val="124"/>
        </w:trPr>
        <w:tc>
          <w:tcPr>
            <w:tcW w:w="488" w:type="dxa"/>
          </w:tcPr>
          <w:p w14:paraId="639AD5BE" w14:textId="1BDD511F" w:rsidR="008967C2" w:rsidRPr="009A2FE1" w:rsidRDefault="008967C2" w:rsidP="00BD2F69">
            <w:pPr>
              <w:spacing w:after="0" w:line="240" w:lineRule="auto"/>
              <w:rPr>
                <w:rFonts w:cstheme="minorHAnsi"/>
                <w:sz w:val="21"/>
                <w:szCs w:val="21"/>
              </w:rPr>
            </w:pPr>
            <w:r w:rsidRPr="009A2FE1">
              <w:rPr>
                <w:rFonts w:cstheme="minorHAnsi"/>
                <w:sz w:val="21"/>
                <w:szCs w:val="21"/>
              </w:rPr>
              <w:t>1</w:t>
            </w:r>
            <w:r w:rsidR="00861BFA">
              <w:rPr>
                <w:rFonts w:cstheme="minorHAnsi"/>
                <w:sz w:val="21"/>
                <w:szCs w:val="21"/>
              </w:rPr>
              <w:t>0</w:t>
            </w:r>
          </w:p>
        </w:tc>
        <w:tc>
          <w:tcPr>
            <w:tcW w:w="4190" w:type="dxa"/>
          </w:tcPr>
          <w:p w14:paraId="4606D521"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High transaction costs or fees</w:t>
            </w:r>
          </w:p>
        </w:tc>
        <w:tc>
          <w:tcPr>
            <w:tcW w:w="4585" w:type="dxa"/>
          </w:tcPr>
          <w:p w14:paraId="0F2B3D8A"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Transaction costs; High fees</w:t>
            </w:r>
          </w:p>
        </w:tc>
      </w:tr>
      <w:tr w:rsidR="008967C2" w:rsidRPr="009A2FE1" w14:paraId="7A6C6D67" w14:textId="77777777" w:rsidTr="008967C2">
        <w:trPr>
          <w:trHeight w:val="256"/>
        </w:trPr>
        <w:tc>
          <w:tcPr>
            <w:tcW w:w="488" w:type="dxa"/>
          </w:tcPr>
          <w:p w14:paraId="445580F2" w14:textId="147DC7D7" w:rsidR="008967C2" w:rsidRPr="009A2FE1" w:rsidRDefault="008967C2" w:rsidP="00BD2F69">
            <w:pPr>
              <w:spacing w:after="0" w:line="240" w:lineRule="auto"/>
              <w:rPr>
                <w:rFonts w:cstheme="minorHAnsi"/>
                <w:sz w:val="21"/>
                <w:szCs w:val="21"/>
              </w:rPr>
            </w:pPr>
            <w:r w:rsidRPr="009A2FE1">
              <w:rPr>
                <w:rFonts w:cstheme="minorHAnsi"/>
                <w:sz w:val="21"/>
                <w:szCs w:val="21"/>
              </w:rPr>
              <w:t>1</w:t>
            </w:r>
            <w:r w:rsidR="00861BFA">
              <w:rPr>
                <w:rFonts w:cstheme="minorHAnsi"/>
                <w:sz w:val="21"/>
                <w:szCs w:val="21"/>
              </w:rPr>
              <w:t>1</w:t>
            </w:r>
          </w:p>
        </w:tc>
        <w:tc>
          <w:tcPr>
            <w:tcW w:w="4190" w:type="dxa"/>
          </w:tcPr>
          <w:p w14:paraId="1F4098F6"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Lack of knowledge/technical advice on green infrastructure investment</w:t>
            </w:r>
          </w:p>
        </w:tc>
        <w:tc>
          <w:tcPr>
            <w:tcW w:w="4585" w:type="dxa"/>
          </w:tcPr>
          <w:p w14:paraId="0C38CF11"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Technical advice; Technical knowledge</w:t>
            </w:r>
          </w:p>
        </w:tc>
      </w:tr>
      <w:tr w:rsidR="008967C2" w:rsidRPr="009A2FE1" w14:paraId="35643635" w14:textId="77777777" w:rsidTr="008967C2">
        <w:trPr>
          <w:trHeight w:val="124"/>
        </w:trPr>
        <w:tc>
          <w:tcPr>
            <w:tcW w:w="488" w:type="dxa"/>
          </w:tcPr>
          <w:p w14:paraId="2CAE0B65" w14:textId="386831B6" w:rsidR="008967C2" w:rsidRPr="009A2FE1" w:rsidRDefault="008967C2" w:rsidP="00BD2F69">
            <w:pPr>
              <w:spacing w:after="0" w:line="240" w:lineRule="auto"/>
              <w:rPr>
                <w:rFonts w:cstheme="minorHAnsi"/>
                <w:sz w:val="21"/>
                <w:szCs w:val="21"/>
              </w:rPr>
            </w:pPr>
            <w:r w:rsidRPr="009A2FE1">
              <w:rPr>
                <w:rFonts w:cstheme="minorHAnsi"/>
                <w:sz w:val="21"/>
                <w:szCs w:val="21"/>
              </w:rPr>
              <w:t>1</w:t>
            </w:r>
            <w:r w:rsidR="00861BFA">
              <w:rPr>
                <w:rFonts w:cstheme="minorHAnsi"/>
                <w:sz w:val="21"/>
                <w:szCs w:val="21"/>
              </w:rPr>
              <w:t>2</w:t>
            </w:r>
          </w:p>
        </w:tc>
        <w:tc>
          <w:tcPr>
            <w:tcW w:w="4190" w:type="dxa"/>
          </w:tcPr>
          <w:p w14:paraId="2BF7E8A6"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Other barriers </w:t>
            </w:r>
          </w:p>
        </w:tc>
        <w:tc>
          <w:tcPr>
            <w:tcW w:w="4585" w:type="dxa"/>
          </w:tcPr>
          <w:p w14:paraId="60A502AB" w14:textId="77777777" w:rsidR="008967C2" w:rsidRPr="009A2FE1" w:rsidRDefault="008967C2" w:rsidP="00BD2F69">
            <w:pPr>
              <w:spacing w:after="0" w:line="240" w:lineRule="auto"/>
              <w:rPr>
                <w:rFonts w:cstheme="minorHAnsi"/>
                <w:sz w:val="21"/>
                <w:szCs w:val="21"/>
              </w:rPr>
            </w:pPr>
            <w:r w:rsidRPr="009A2FE1">
              <w:rPr>
                <w:rFonts w:cstheme="minorHAnsi"/>
                <w:sz w:val="21"/>
                <w:szCs w:val="21"/>
              </w:rPr>
              <w:t xml:space="preserve">Barrier </w:t>
            </w:r>
          </w:p>
        </w:tc>
      </w:tr>
    </w:tbl>
    <w:p w14:paraId="36C1FB60" w14:textId="76B230FE" w:rsidR="008967C2" w:rsidRPr="00FC1125" w:rsidRDefault="008967C2" w:rsidP="00020E69">
      <w:pPr>
        <w:spacing w:before="240"/>
        <w:rPr>
          <w:rFonts w:cstheme="minorHAnsi"/>
          <w:i/>
          <w:iCs/>
        </w:rPr>
      </w:pPr>
      <w:r w:rsidRPr="00FC1125">
        <w:rPr>
          <w:rFonts w:cstheme="minorHAnsi"/>
          <w:i/>
          <w:iCs/>
        </w:rPr>
        <w:t xml:space="preserve">Source: Retrieved with permission from Hafner et al. (2019) </w:t>
      </w:r>
      <w:bookmarkEnd w:id="13"/>
    </w:p>
    <w:p w14:paraId="59C82894" w14:textId="6300F4F3" w:rsidR="00793BA2" w:rsidRPr="007C0A4D" w:rsidRDefault="00793BA2" w:rsidP="00793BA2">
      <w:pPr>
        <w:rPr>
          <w:rFonts w:cstheme="minorHAnsi"/>
          <w:b/>
          <w:bCs/>
          <w:i/>
        </w:rPr>
      </w:pPr>
      <w:r w:rsidRPr="007C0A4D">
        <w:rPr>
          <w:rFonts w:cstheme="minorHAnsi"/>
          <w:b/>
          <w:bCs/>
          <w:i/>
        </w:rPr>
        <w:t>Systematic literature review</w:t>
      </w:r>
    </w:p>
    <w:p w14:paraId="6EC98C61" w14:textId="738CB9B2" w:rsidR="00793BA2" w:rsidRPr="004A4678" w:rsidRDefault="00793BA2" w:rsidP="00793BA2">
      <w:pPr>
        <w:rPr>
          <w:rFonts w:cstheme="minorHAnsi"/>
        </w:rPr>
      </w:pPr>
      <w:r w:rsidRPr="0070461D">
        <w:rPr>
          <w:rFonts w:cstheme="minorHAnsi"/>
        </w:rPr>
        <w:t xml:space="preserve">For this review, a similar set of </w:t>
      </w:r>
      <w:r w:rsidR="004A04BB" w:rsidRPr="0070461D">
        <w:rPr>
          <w:rFonts w:cstheme="minorHAnsi"/>
        </w:rPr>
        <w:t xml:space="preserve">criteria and </w:t>
      </w:r>
      <w:r w:rsidRPr="0070461D">
        <w:rPr>
          <w:rFonts w:cstheme="minorHAnsi"/>
        </w:rPr>
        <w:t xml:space="preserve">keywords as for the search of the policy reports was </w:t>
      </w:r>
      <w:r w:rsidR="002D5CE3" w:rsidRPr="0070461D">
        <w:rPr>
          <w:rFonts w:cstheme="minorHAnsi"/>
        </w:rPr>
        <w:t>used but</w:t>
      </w:r>
      <w:r w:rsidRPr="005E5158">
        <w:rPr>
          <w:rFonts w:cstheme="minorHAnsi"/>
        </w:rPr>
        <w:t xml:space="preserve"> was in addition combined with the code words </w:t>
      </w:r>
      <w:r w:rsidR="003045AE" w:rsidRPr="005E5158">
        <w:rPr>
          <w:rFonts w:cstheme="minorHAnsi"/>
        </w:rPr>
        <w:t xml:space="preserve">shown in table </w:t>
      </w:r>
      <w:r w:rsidR="00FF7CC4">
        <w:rPr>
          <w:rFonts w:cstheme="minorHAnsi"/>
        </w:rPr>
        <w:t>1</w:t>
      </w:r>
      <w:r w:rsidRPr="00202D0C">
        <w:rPr>
          <w:rFonts w:cstheme="minorHAnsi"/>
        </w:rPr>
        <w:t xml:space="preserve"> (see Hafner et al., 2020a for further details). Research articles were searched in the databases Isi Web of Science and Scopus and the following set of key words were used to search these databases: </w:t>
      </w:r>
    </w:p>
    <w:p w14:paraId="451B648B" w14:textId="77777777" w:rsidR="00793BA2" w:rsidRPr="00793594" w:rsidRDefault="00793BA2" w:rsidP="00793BA2">
      <w:pPr>
        <w:rPr>
          <w:rFonts w:cstheme="minorHAnsi"/>
          <w:i/>
          <w:iCs/>
        </w:rPr>
      </w:pPr>
      <w:r w:rsidRPr="00170707">
        <w:rPr>
          <w:rFonts w:cstheme="minorHAnsi"/>
          <w:i/>
          <w:iCs/>
        </w:rPr>
        <w:t>(Investment OR invest OR finance) AND energy AND (renewable OR green OR “low-carbon” OR climate) AND ("one of the code words")</w:t>
      </w:r>
    </w:p>
    <w:p w14:paraId="46ECF359" w14:textId="77777777" w:rsidR="00793BA2" w:rsidRPr="00E546D7" w:rsidRDefault="00793BA2" w:rsidP="00793BA2">
      <w:pPr>
        <w:rPr>
          <w:rFonts w:cstheme="minorHAnsi"/>
        </w:rPr>
      </w:pPr>
      <w:r w:rsidRPr="008D06CA">
        <w:rPr>
          <w:rFonts w:cstheme="minorHAnsi"/>
          <w:iCs/>
        </w:rPr>
        <w:t xml:space="preserve">Only, </w:t>
      </w:r>
      <w:r w:rsidRPr="00A034A4">
        <w:rPr>
          <w:rFonts w:cstheme="minorHAnsi"/>
        </w:rPr>
        <w:t xml:space="preserve">academic articles published since 2009 were considered. </w:t>
      </w:r>
    </w:p>
    <w:p w14:paraId="0B4088C8" w14:textId="77777777" w:rsidR="00793BA2" w:rsidRPr="0099228F" w:rsidRDefault="00793BA2" w:rsidP="00793BA2">
      <w:pPr>
        <w:rPr>
          <w:rFonts w:cstheme="minorHAnsi"/>
          <w:b/>
          <w:bCs/>
          <w:i/>
        </w:rPr>
      </w:pPr>
      <w:r w:rsidRPr="0099228F">
        <w:rPr>
          <w:rFonts w:cstheme="minorHAnsi"/>
          <w:b/>
          <w:bCs/>
          <w:i/>
        </w:rPr>
        <w:t>Interviews with financial investors and experts</w:t>
      </w:r>
    </w:p>
    <w:p w14:paraId="45CC2644" w14:textId="77777777" w:rsidR="00793BA2" w:rsidRPr="005E5158" w:rsidRDefault="00793BA2" w:rsidP="00793BA2">
      <w:pPr>
        <w:rPr>
          <w:rFonts w:cstheme="minorHAnsi"/>
        </w:rPr>
      </w:pPr>
      <w:r w:rsidRPr="0070461D">
        <w:rPr>
          <w:rFonts w:cstheme="minorHAnsi"/>
        </w:rPr>
        <w:lastRenderedPageBreak/>
        <w:t>Interviews were conducted with private investors, asset-owners and asset-managers, banks and pension funds representatives, actuaries, and academics with expertise in investment decisions. In total, 8 semi-structured and 9 structured interviews from December 2017 until December 2018 were performed (see Hafner et al., 2020 for d</w:t>
      </w:r>
      <w:r w:rsidRPr="005E5158">
        <w:rPr>
          <w:rFonts w:cstheme="minorHAnsi"/>
        </w:rPr>
        <w:t xml:space="preserve">etails). </w:t>
      </w:r>
    </w:p>
    <w:p w14:paraId="43E4CEBA" w14:textId="77777777" w:rsidR="00793BA2" w:rsidRPr="00202D0C" w:rsidRDefault="00793BA2" w:rsidP="00793BA2">
      <w:pPr>
        <w:rPr>
          <w:rFonts w:cstheme="minorHAnsi"/>
          <w:b/>
          <w:bCs/>
          <w:i/>
        </w:rPr>
      </w:pPr>
      <w:r w:rsidRPr="00202D0C">
        <w:rPr>
          <w:rFonts w:cstheme="minorHAnsi"/>
          <w:b/>
          <w:bCs/>
          <w:i/>
        </w:rPr>
        <w:t>Insights</w:t>
      </w:r>
    </w:p>
    <w:p w14:paraId="710E0155" w14:textId="78BCC5FD" w:rsidR="00793BA2" w:rsidRPr="009C05A3" w:rsidRDefault="00793BA2" w:rsidP="00020E69">
      <w:pPr>
        <w:spacing w:after="0"/>
        <w:contextualSpacing/>
        <w:rPr>
          <w:rFonts w:cstheme="minorHAnsi"/>
        </w:rPr>
      </w:pPr>
      <w:r w:rsidRPr="0099228F">
        <w:rPr>
          <w:rFonts w:cstheme="minorHAnsi"/>
        </w:rPr>
        <w:t>The qualitative investigation demonstrated that key green investment barriers include the ‘lack of a long-term climate change policy framework and lack of stable policies’</w:t>
      </w:r>
      <w:r w:rsidR="00F24C3B" w:rsidRPr="0099228F">
        <w:rPr>
          <w:rFonts w:cstheme="minorHAnsi"/>
        </w:rPr>
        <w:t xml:space="preserve"> (see also </w:t>
      </w:r>
      <w:bookmarkStart w:id="14" w:name="_Hlk56413218"/>
      <w:proofErr w:type="spellStart"/>
      <w:r w:rsidR="00F24C3B" w:rsidRPr="0099228F">
        <w:rPr>
          <w:rFonts w:cstheme="minorHAnsi"/>
        </w:rPr>
        <w:t>Nemet</w:t>
      </w:r>
      <w:proofErr w:type="spellEnd"/>
      <w:r w:rsidR="00F24C3B" w:rsidRPr="0099228F">
        <w:rPr>
          <w:rFonts w:cstheme="minorHAnsi"/>
        </w:rPr>
        <w:t xml:space="preserve"> et al., 2017</w:t>
      </w:r>
      <w:bookmarkEnd w:id="14"/>
      <w:r w:rsidR="00F24C3B" w:rsidRPr="0099228F">
        <w:rPr>
          <w:rFonts w:cstheme="minorHAnsi"/>
        </w:rPr>
        <w:t>)</w:t>
      </w:r>
      <w:r w:rsidRPr="0099228F">
        <w:rPr>
          <w:rFonts w:cstheme="minorHAnsi"/>
        </w:rPr>
        <w:t xml:space="preserve">, ‘the lack of appropriate projects or investment possibilities’, ‘constraints on decision making within investor companies’, ‘lack of knowledge/technical advice on green infrastructure investment’, the lack of suitable financial instruments’, ‘lack of liquidity in markets’ and ‘climate disclosure’. In addition, the qualitative study </w:t>
      </w:r>
      <w:r w:rsidRPr="0070461D">
        <w:rPr>
          <w:rFonts w:cstheme="minorHAnsi"/>
        </w:rPr>
        <w:t>found that the identified key green investment barriers form a complex system of interrelated barriers which is characterised by path-dependency, lock-in, delays and non-linear</w:t>
      </w:r>
      <w:r w:rsidRPr="005E5158">
        <w:rPr>
          <w:rFonts w:cstheme="minorHAnsi"/>
        </w:rPr>
        <w:t xml:space="preserve">ity, deterring the green finance gap from closing (Hafner et al., 2020a). Given </w:t>
      </w:r>
      <w:r w:rsidR="00020E69" w:rsidRPr="00202D0C">
        <w:rPr>
          <w:rFonts w:cstheme="minorHAnsi"/>
        </w:rPr>
        <w:t>this</w:t>
      </w:r>
      <w:r w:rsidRPr="004A4678">
        <w:rPr>
          <w:rFonts w:cstheme="minorHAnsi"/>
        </w:rPr>
        <w:t xml:space="preserve">, Hafner et al., (2020a) recommend the adoption of a systems </w:t>
      </w:r>
      <w:r w:rsidR="004C71DD">
        <w:rPr>
          <w:rFonts w:cstheme="minorHAnsi"/>
        </w:rPr>
        <w:t>perspective</w:t>
      </w:r>
      <w:r w:rsidRPr="004C71DD">
        <w:rPr>
          <w:rFonts w:cstheme="minorHAnsi"/>
        </w:rPr>
        <w:t xml:space="preserve"> as analytical framework for the investigation of the green finance policy challenge and in particular for the identification of key leverage-points</w:t>
      </w:r>
      <w:r w:rsidRPr="0099228F">
        <w:rPr>
          <w:rStyle w:val="FootnoteReference"/>
          <w:rFonts w:cstheme="minorHAnsi"/>
        </w:rPr>
        <w:footnoteReference w:id="2"/>
      </w:r>
      <w:r w:rsidRPr="0099228F">
        <w:rPr>
          <w:rFonts w:cstheme="minorHAnsi"/>
        </w:rPr>
        <w:t xml:space="preserve"> for an effective, holistic and long-term policy intervention (subsequently referred to as system’s policy</w:t>
      </w:r>
      <w:r w:rsidR="004C71DD">
        <w:rPr>
          <w:rFonts w:cstheme="minorHAnsi"/>
        </w:rPr>
        <w:t xml:space="preserve"> </w:t>
      </w:r>
      <w:r w:rsidR="00432733">
        <w:rPr>
          <w:rFonts w:cstheme="minorHAnsi"/>
        </w:rPr>
        <w:t xml:space="preserve">perspective </w:t>
      </w:r>
      <w:r w:rsidR="004C71DD">
        <w:rPr>
          <w:rFonts w:cstheme="minorHAnsi"/>
        </w:rPr>
        <w:t>or approach</w:t>
      </w:r>
      <w:r w:rsidRPr="0099228F">
        <w:rPr>
          <w:rFonts w:cstheme="minorHAnsi"/>
        </w:rPr>
        <w:t xml:space="preserve">) to close the green finance gap. </w:t>
      </w:r>
    </w:p>
    <w:p w14:paraId="415603C1" w14:textId="7EF92B44" w:rsidR="00793BA2" w:rsidRPr="00967105" w:rsidRDefault="007D5039" w:rsidP="00B8367E">
      <w:pPr>
        <w:pStyle w:val="Heading2"/>
        <w:numPr>
          <w:ilvl w:val="1"/>
          <w:numId w:val="74"/>
        </w:numPr>
      </w:pPr>
      <w:r>
        <w:t xml:space="preserve"> </w:t>
      </w:r>
      <w:r w:rsidR="00793BA2" w:rsidRPr="009C05A3">
        <w:t>The Green Investment Barrier Model (GIBM)</w:t>
      </w:r>
    </w:p>
    <w:p w14:paraId="1BDACFEB" w14:textId="7C05ABA2" w:rsidR="00793BA2" w:rsidRPr="008D06CA" w:rsidRDefault="007D5039" w:rsidP="00793BA2">
      <w:pPr>
        <w:rPr>
          <w:rFonts w:cstheme="minorHAnsi"/>
        </w:rPr>
      </w:pPr>
      <w:bookmarkStart w:id="15" w:name="_Ref39732945"/>
      <w:r>
        <w:rPr>
          <w:rFonts w:cstheme="minorHAnsi"/>
        </w:rPr>
        <w:t>The Green Investment Barrier Model (</w:t>
      </w:r>
      <w:r w:rsidR="00793BA2" w:rsidRPr="0099228F">
        <w:rPr>
          <w:rFonts w:cstheme="minorHAnsi"/>
        </w:rPr>
        <w:t>GIBM</w:t>
      </w:r>
      <w:r>
        <w:rPr>
          <w:rFonts w:cstheme="minorHAnsi"/>
        </w:rPr>
        <w:t>)</w:t>
      </w:r>
      <w:r w:rsidR="00793BA2" w:rsidRPr="0099228F">
        <w:rPr>
          <w:rFonts w:cstheme="minorHAnsi"/>
        </w:rPr>
        <w:t xml:space="preserve"> is a system dynamics energy-economy model built in </w:t>
      </w:r>
      <w:proofErr w:type="spellStart"/>
      <w:r w:rsidR="00793BA2" w:rsidRPr="0099228F">
        <w:rPr>
          <w:rFonts w:cstheme="minorHAnsi"/>
        </w:rPr>
        <w:t>Ve</w:t>
      </w:r>
      <w:r w:rsidR="00793BA2" w:rsidRPr="009C05A3">
        <w:rPr>
          <w:rFonts w:cstheme="minorHAnsi"/>
        </w:rPr>
        <w:t>nsim</w:t>
      </w:r>
      <w:proofErr w:type="spellEnd"/>
      <w:r w:rsidR="00793BA2" w:rsidRPr="009C05A3">
        <w:rPr>
          <w:rFonts w:cstheme="minorHAnsi"/>
        </w:rPr>
        <w:t xml:space="preserve"> 7</w:t>
      </w:r>
      <w:r w:rsidR="00793BA2" w:rsidRPr="0099228F">
        <w:rPr>
          <w:rStyle w:val="FootnoteReference"/>
          <w:rFonts w:cstheme="minorHAnsi"/>
        </w:rPr>
        <w:footnoteReference w:id="3"/>
      </w:r>
      <w:r w:rsidR="00793BA2" w:rsidRPr="0099228F">
        <w:rPr>
          <w:rFonts w:cstheme="minorHAnsi"/>
        </w:rPr>
        <w:t>.</w:t>
      </w:r>
      <w:r w:rsidR="00793BA2" w:rsidRPr="009C05A3">
        <w:rPr>
          <w:rFonts w:cstheme="minorHAnsi"/>
          <w:color w:val="464646"/>
        </w:rPr>
        <w:t xml:space="preserve"> </w:t>
      </w:r>
      <w:r w:rsidR="00793BA2" w:rsidRPr="009C05A3">
        <w:rPr>
          <w:rFonts w:cstheme="minorHAnsi"/>
        </w:rPr>
        <w:t xml:space="preserve">GIBM is calibrated to </w:t>
      </w:r>
      <w:r w:rsidR="00255D80" w:rsidRPr="00601E17">
        <w:rPr>
          <w:rFonts w:cstheme="minorHAnsi"/>
        </w:rPr>
        <w:t>the UK</w:t>
      </w:r>
      <w:r w:rsidR="00793BA2" w:rsidRPr="00601E17">
        <w:rPr>
          <w:rFonts w:cstheme="minorHAnsi"/>
        </w:rPr>
        <w:t xml:space="preserve">. We choose to focus </w:t>
      </w:r>
      <w:r w:rsidR="003B4836">
        <w:rPr>
          <w:rFonts w:cstheme="minorHAnsi"/>
        </w:rPr>
        <w:t>on</w:t>
      </w:r>
      <w:r w:rsidR="003B4836" w:rsidRPr="004A4678">
        <w:rPr>
          <w:rFonts w:cstheme="minorHAnsi"/>
        </w:rPr>
        <w:t xml:space="preserve"> </w:t>
      </w:r>
      <w:r w:rsidR="00170707">
        <w:rPr>
          <w:rFonts w:cstheme="minorHAnsi"/>
        </w:rPr>
        <w:t xml:space="preserve">a </w:t>
      </w:r>
      <w:r w:rsidR="00793BA2" w:rsidRPr="004A4678">
        <w:rPr>
          <w:rFonts w:cstheme="minorHAnsi"/>
        </w:rPr>
        <w:t>country scale since national governments are the main decision takers on energy and climate policies and, as explained previously, the UK is the first c</w:t>
      </w:r>
      <w:r w:rsidR="00793BA2" w:rsidRPr="00793594">
        <w:rPr>
          <w:rFonts w:cstheme="minorHAnsi"/>
        </w:rPr>
        <w:t xml:space="preserve">ountry that has adopted a net-zero carbon target for 2050 (CCC, 2019). </w:t>
      </w:r>
    </w:p>
    <w:p w14:paraId="346724D1" w14:textId="4001FA08" w:rsidR="00793BA2" w:rsidRPr="00601E17" w:rsidRDefault="00793BA2" w:rsidP="00793BA2">
      <w:pPr>
        <w:rPr>
          <w:rFonts w:cstheme="minorHAnsi"/>
        </w:rPr>
      </w:pPr>
      <w:r w:rsidRPr="00E546D7">
        <w:rPr>
          <w:rFonts w:cstheme="minorHAnsi"/>
        </w:rPr>
        <w:t xml:space="preserve">The initial </w:t>
      </w:r>
      <w:r w:rsidR="00A1263C" w:rsidRPr="00E546D7">
        <w:rPr>
          <w:rFonts w:cstheme="minorHAnsi"/>
        </w:rPr>
        <w:t xml:space="preserve">model </w:t>
      </w:r>
      <w:r w:rsidR="00255D80" w:rsidRPr="00E546D7">
        <w:rPr>
          <w:rFonts w:cstheme="minorHAnsi"/>
        </w:rPr>
        <w:t>input</w:t>
      </w:r>
      <w:r w:rsidR="00A1263C" w:rsidRPr="00E546D7">
        <w:rPr>
          <w:rFonts w:cstheme="minorHAnsi"/>
        </w:rPr>
        <w:t xml:space="preserve"> </w:t>
      </w:r>
      <w:r w:rsidRPr="00E546D7">
        <w:rPr>
          <w:rFonts w:cstheme="minorHAnsi"/>
        </w:rPr>
        <w:t xml:space="preserve">data is from 2016 as the analytical input/output tables are only available until 2016. However, the input to the </w:t>
      </w:r>
      <w:r w:rsidR="002D5CE3" w:rsidRPr="00476427">
        <w:rPr>
          <w:rFonts w:cstheme="minorHAnsi"/>
        </w:rPr>
        <w:t>electricity</w:t>
      </w:r>
      <w:r w:rsidRPr="00476427">
        <w:rPr>
          <w:rFonts w:cstheme="minorHAnsi"/>
        </w:rPr>
        <w:t xml:space="preserve"> sector is an exception as the most recent available data from 2019 has been used. The main data sources used to calibrate the initial conditions for the UK eco</w:t>
      </w:r>
      <w:r w:rsidRPr="00462537">
        <w:rPr>
          <w:rFonts w:cstheme="minorHAnsi"/>
        </w:rPr>
        <w:t>nomy are from ONS</w:t>
      </w:r>
      <w:r w:rsidR="00255D80" w:rsidRPr="00462537">
        <w:rPr>
          <w:rFonts w:cstheme="minorHAnsi"/>
        </w:rPr>
        <w:t xml:space="preserve"> and </w:t>
      </w:r>
      <w:r w:rsidRPr="00462537">
        <w:rPr>
          <w:rFonts w:cstheme="minorHAnsi"/>
        </w:rPr>
        <w:t>EUROSTAT</w:t>
      </w:r>
      <w:r w:rsidR="00255D80" w:rsidRPr="00462537">
        <w:rPr>
          <w:rFonts w:cstheme="minorHAnsi"/>
        </w:rPr>
        <w:t>,</w:t>
      </w:r>
      <w:r w:rsidRPr="00462537">
        <w:rPr>
          <w:rFonts w:cstheme="minorHAnsi"/>
        </w:rPr>
        <w:t xml:space="preserve"> and policy reports for the </w:t>
      </w:r>
      <w:r w:rsidR="00255D80" w:rsidRPr="00E6651C">
        <w:rPr>
          <w:rFonts w:cstheme="minorHAnsi"/>
        </w:rPr>
        <w:t>electricity</w:t>
      </w:r>
      <w:r w:rsidRPr="00E6651C">
        <w:rPr>
          <w:rFonts w:cstheme="minorHAnsi"/>
        </w:rPr>
        <w:t xml:space="preserve"> system</w:t>
      </w:r>
      <w:r w:rsidR="000B5FBB" w:rsidRPr="003017BC">
        <w:rPr>
          <w:rFonts w:cstheme="minorHAnsi"/>
        </w:rPr>
        <w:t xml:space="preserve"> (</w:t>
      </w:r>
      <w:bookmarkStart w:id="16" w:name="_Hlk78633804"/>
      <w:r w:rsidR="000B5FBB" w:rsidRPr="003017BC">
        <w:rPr>
          <w:rFonts w:cstheme="minorHAnsi"/>
        </w:rPr>
        <w:t>further details on t</w:t>
      </w:r>
      <w:r w:rsidR="000B5FBB" w:rsidRPr="007269DD">
        <w:rPr>
          <w:rFonts w:cstheme="minorHAnsi"/>
        </w:rPr>
        <w:t xml:space="preserve">he </w:t>
      </w:r>
      <w:r w:rsidR="004C48F6">
        <w:rPr>
          <w:rFonts w:cstheme="minorHAnsi"/>
        </w:rPr>
        <w:t xml:space="preserve">model building process and the </w:t>
      </w:r>
      <w:r w:rsidR="000B5FBB" w:rsidRPr="004C48F6">
        <w:rPr>
          <w:rFonts w:cstheme="minorHAnsi"/>
        </w:rPr>
        <w:t>calibration are stated in the appendix</w:t>
      </w:r>
      <w:r w:rsidR="006F7530" w:rsidRPr="004C48F6">
        <w:rPr>
          <w:rFonts w:cstheme="minorHAnsi"/>
        </w:rPr>
        <w:t xml:space="preserve"> A</w:t>
      </w:r>
      <w:r w:rsidR="004C48F6">
        <w:rPr>
          <w:rFonts w:cstheme="minorHAnsi"/>
        </w:rPr>
        <w:t>; model validation tests are shown in the supplementary material in Hafner et al., 2021</w:t>
      </w:r>
      <w:r w:rsidR="000B5FBB" w:rsidRPr="004C48F6">
        <w:rPr>
          <w:rFonts w:cstheme="minorHAnsi"/>
        </w:rPr>
        <w:t>)</w:t>
      </w:r>
      <w:bookmarkEnd w:id="16"/>
      <w:r w:rsidRPr="004C48F6">
        <w:rPr>
          <w:rFonts w:cstheme="minorHAnsi"/>
        </w:rPr>
        <w:t>. The simulation horizon for this study is from 2016 to 2050, with time steps of 0.25 years. GIBM is smaller than a large-scale model but is larger than a stylised mathematical model</w:t>
      </w:r>
      <w:r w:rsidRPr="0099228F">
        <w:rPr>
          <w:rStyle w:val="FootnoteReference"/>
          <w:rFonts w:cstheme="minorHAnsi"/>
        </w:rPr>
        <w:footnoteReference w:id="4"/>
      </w:r>
      <w:r w:rsidRPr="0099228F">
        <w:rPr>
          <w:rFonts w:cstheme="minorHAnsi"/>
        </w:rPr>
        <w:t xml:space="preserve">. Specifically, it includes </w:t>
      </w:r>
      <w:r w:rsidR="00171453">
        <w:rPr>
          <w:rFonts w:cstheme="minorHAnsi"/>
        </w:rPr>
        <w:t xml:space="preserve">more than </w:t>
      </w:r>
      <w:r w:rsidRPr="0099228F">
        <w:rPr>
          <w:rFonts w:cstheme="minorHAnsi"/>
        </w:rPr>
        <w:t>3</w:t>
      </w:r>
      <w:r w:rsidR="00171453">
        <w:rPr>
          <w:rFonts w:cstheme="minorHAnsi"/>
        </w:rPr>
        <w:t>00</w:t>
      </w:r>
      <w:r w:rsidRPr="0099228F">
        <w:rPr>
          <w:rFonts w:cstheme="minorHAnsi"/>
        </w:rPr>
        <w:t xml:space="preserve"> stock variabl</w:t>
      </w:r>
      <w:r w:rsidRPr="009C05A3">
        <w:rPr>
          <w:rFonts w:cstheme="minorHAnsi"/>
        </w:rPr>
        <w:t xml:space="preserve">es and </w:t>
      </w:r>
      <w:r w:rsidR="00DA455C">
        <w:rPr>
          <w:rFonts w:cstheme="minorHAnsi"/>
        </w:rPr>
        <w:t>around</w:t>
      </w:r>
      <w:r w:rsidRPr="009C05A3">
        <w:rPr>
          <w:rFonts w:cstheme="minorHAnsi"/>
        </w:rPr>
        <w:t xml:space="preserve"> 3000 variables in total (see Hafner et al., </w:t>
      </w:r>
      <w:r w:rsidR="006F7530" w:rsidRPr="00601E17">
        <w:rPr>
          <w:rFonts w:cstheme="minorHAnsi"/>
        </w:rPr>
        <w:t xml:space="preserve">2021 </w:t>
      </w:r>
      <w:r w:rsidRPr="00601E17">
        <w:rPr>
          <w:rFonts w:cstheme="minorHAnsi"/>
        </w:rPr>
        <w:t xml:space="preserve">for details). </w:t>
      </w:r>
    </w:p>
    <w:p w14:paraId="73FC3379" w14:textId="4F4D40A9" w:rsidR="00793BA2" w:rsidRPr="00E546D7" w:rsidRDefault="00793BA2" w:rsidP="00793BA2">
      <w:pPr>
        <w:rPr>
          <w:rFonts w:cstheme="minorHAnsi"/>
        </w:rPr>
      </w:pPr>
      <w:r w:rsidRPr="00601E17">
        <w:rPr>
          <w:rFonts w:cstheme="minorHAnsi"/>
        </w:rPr>
        <w:t xml:space="preserve">GIBM’s economic model sectors are </w:t>
      </w:r>
      <w:r w:rsidR="00717C36">
        <w:rPr>
          <w:rFonts w:cstheme="minorHAnsi"/>
        </w:rPr>
        <w:t>rooted in</w:t>
      </w:r>
      <w:r w:rsidR="00717C36" w:rsidRPr="00462537">
        <w:rPr>
          <w:rFonts w:cstheme="minorHAnsi"/>
        </w:rPr>
        <w:t xml:space="preserve"> </w:t>
      </w:r>
      <w:r w:rsidRPr="00601E17">
        <w:rPr>
          <w:rFonts w:cstheme="minorHAnsi"/>
        </w:rPr>
        <w:t>a post-Keynesian</w:t>
      </w:r>
      <w:r w:rsidR="00717C36">
        <w:rPr>
          <w:rFonts w:cstheme="minorHAnsi"/>
        </w:rPr>
        <w:t xml:space="preserve">, </w:t>
      </w:r>
      <w:r w:rsidRPr="00601E17">
        <w:rPr>
          <w:rFonts w:cstheme="minorHAnsi"/>
        </w:rPr>
        <w:t>ecological macroeconomic framework (</w:t>
      </w:r>
      <w:bookmarkStart w:id="17" w:name="_Hlk53340983"/>
      <w:r w:rsidRPr="00601E17">
        <w:rPr>
          <w:rFonts w:cstheme="minorHAnsi"/>
        </w:rPr>
        <w:t>Sawyer &amp; Fontana, 2016; Hardt &amp; O’Neill, 2017</w:t>
      </w:r>
      <w:bookmarkEnd w:id="17"/>
      <w:r w:rsidRPr="00601E17">
        <w:rPr>
          <w:rFonts w:cstheme="minorHAnsi"/>
        </w:rPr>
        <w:t>). Specific model equations generally build on non-equilibrium</w:t>
      </w:r>
      <w:r w:rsidR="00DA455C">
        <w:rPr>
          <w:rFonts w:cstheme="minorHAnsi"/>
        </w:rPr>
        <w:t>/simulation</w:t>
      </w:r>
      <w:r w:rsidRPr="00601E17">
        <w:rPr>
          <w:rFonts w:cstheme="minorHAnsi"/>
        </w:rPr>
        <w:t xml:space="preserve"> modelling approaches, including post-Keynesian economics, ecological economics or system dynamics (e.g. </w:t>
      </w:r>
      <w:bookmarkStart w:id="18" w:name="_Hlk53340992"/>
      <w:proofErr w:type="spellStart"/>
      <w:r w:rsidRPr="00601E17">
        <w:rPr>
          <w:rFonts w:cstheme="minorHAnsi"/>
        </w:rPr>
        <w:t>Sterman</w:t>
      </w:r>
      <w:proofErr w:type="spellEnd"/>
      <w:r w:rsidRPr="00601E17">
        <w:rPr>
          <w:rFonts w:cstheme="minorHAnsi"/>
        </w:rPr>
        <w:t>, 200</w:t>
      </w:r>
      <w:bookmarkEnd w:id="18"/>
      <w:r w:rsidRPr="00601E17">
        <w:rPr>
          <w:rFonts w:cstheme="minorHAnsi"/>
        </w:rPr>
        <w:t>0</w:t>
      </w:r>
      <w:r w:rsidR="00DA455C">
        <w:rPr>
          <w:rFonts w:cstheme="minorHAnsi"/>
        </w:rPr>
        <w:t>; Lavoie, 2014</w:t>
      </w:r>
      <w:r w:rsidRPr="00601E17">
        <w:rPr>
          <w:rFonts w:cstheme="minorHAnsi"/>
        </w:rPr>
        <w:t xml:space="preserve">). Non-equilibrium (simulation) </w:t>
      </w:r>
      <w:r w:rsidRPr="00601E17">
        <w:rPr>
          <w:rFonts w:cstheme="minorHAnsi"/>
        </w:rPr>
        <w:lastRenderedPageBreak/>
        <w:t>models are underpinned by a similar analytical framework, influenced by a shared set of common presuppositions or metaphysical beliefs</w:t>
      </w:r>
      <w:r w:rsidRPr="00462537">
        <w:rPr>
          <w:rFonts w:cstheme="minorHAnsi"/>
        </w:rPr>
        <w:t xml:space="preserve"> (</w:t>
      </w:r>
      <w:bookmarkStart w:id="19" w:name="_Hlk53340998"/>
      <w:r w:rsidRPr="00462537">
        <w:rPr>
          <w:rFonts w:cstheme="minorHAnsi"/>
        </w:rPr>
        <w:t>Lavoie, 2014; Mercure et al., 2019</w:t>
      </w:r>
      <w:bookmarkEnd w:id="19"/>
      <w:r w:rsidRPr="00462537">
        <w:rPr>
          <w:rFonts w:cstheme="minorHAnsi"/>
        </w:rPr>
        <w:t xml:space="preserve">). </w:t>
      </w:r>
      <w:r w:rsidR="00953416">
        <w:rPr>
          <w:rFonts w:cstheme="minorHAnsi"/>
        </w:rPr>
        <w:t>N</w:t>
      </w:r>
      <w:r w:rsidRPr="00462537">
        <w:rPr>
          <w:rFonts w:cstheme="minorHAnsi"/>
        </w:rPr>
        <w:t>on-equilibrium modelling approaches</w:t>
      </w:r>
      <w:r w:rsidR="00953416">
        <w:rPr>
          <w:rFonts w:cstheme="minorHAnsi"/>
        </w:rPr>
        <w:t xml:space="preserve"> consider </w:t>
      </w:r>
      <w:r w:rsidRPr="00601E17">
        <w:rPr>
          <w:rFonts w:cstheme="minorHAnsi"/>
        </w:rPr>
        <w:t xml:space="preserve">the economic environment </w:t>
      </w:r>
      <w:r w:rsidR="00953416">
        <w:rPr>
          <w:rFonts w:cstheme="minorHAnsi"/>
        </w:rPr>
        <w:t>as</w:t>
      </w:r>
      <w:r w:rsidR="00953416" w:rsidRPr="00462537">
        <w:rPr>
          <w:rFonts w:cstheme="minorHAnsi"/>
        </w:rPr>
        <w:t xml:space="preserve"> </w:t>
      </w:r>
      <w:r w:rsidRPr="00462537">
        <w:rPr>
          <w:rFonts w:cstheme="minorHAnsi"/>
        </w:rPr>
        <w:t xml:space="preserve">complex and dynamic, and </w:t>
      </w:r>
      <w:r w:rsidR="00B37D20">
        <w:rPr>
          <w:rFonts w:cstheme="minorHAnsi"/>
        </w:rPr>
        <w:t xml:space="preserve">are </w:t>
      </w:r>
      <w:r w:rsidRPr="00462537">
        <w:rPr>
          <w:rFonts w:cstheme="minorHAnsi"/>
        </w:rPr>
        <w:t>characterised by two-way linkages with other sectors (e.g. institutional setting, governance)</w:t>
      </w:r>
      <w:r w:rsidR="00953416">
        <w:rPr>
          <w:rFonts w:cstheme="minorHAnsi"/>
        </w:rPr>
        <w:t xml:space="preserve">. In addition, </w:t>
      </w:r>
      <w:r w:rsidR="00B37D20">
        <w:rPr>
          <w:rFonts w:cstheme="minorHAnsi"/>
        </w:rPr>
        <w:t>they</w:t>
      </w:r>
      <w:r w:rsidR="00953416">
        <w:rPr>
          <w:rFonts w:cstheme="minorHAnsi"/>
        </w:rPr>
        <w:t xml:space="preserve"> </w:t>
      </w:r>
      <w:r w:rsidR="00B37D20">
        <w:rPr>
          <w:rFonts w:cstheme="minorHAnsi"/>
        </w:rPr>
        <w:t xml:space="preserve">may </w:t>
      </w:r>
      <w:r w:rsidR="00953416">
        <w:rPr>
          <w:rFonts w:cstheme="minorHAnsi"/>
        </w:rPr>
        <w:t xml:space="preserve">consider the </w:t>
      </w:r>
      <w:r w:rsidRPr="00170707">
        <w:rPr>
          <w:rFonts w:cstheme="minorHAnsi"/>
        </w:rPr>
        <w:t>deep uncertainty (i.e. probabilities cannot be assessed</w:t>
      </w:r>
      <w:r w:rsidRPr="00793594">
        <w:rPr>
          <w:rFonts w:cstheme="minorHAnsi"/>
        </w:rPr>
        <w:t>), non-linearity and by path-dependency or lock-in</w:t>
      </w:r>
      <w:r w:rsidR="00953416">
        <w:rPr>
          <w:rFonts w:cstheme="minorHAnsi"/>
        </w:rPr>
        <w:t xml:space="preserve"> that characterise the economy-environment relation</w:t>
      </w:r>
      <w:r w:rsidRPr="00793594">
        <w:rPr>
          <w:rFonts w:cstheme="minorHAnsi"/>
        </w:rPr>
        <w:t xml:space="preserve">. </w:t>
      </w:r>
      <w:r w:rsidR="00953416">
        <w:rPr>
          <w:rFonts w:cstheme="minorHAnsi"/>
        </w:rPr>
        <w:t>In this context</w:t>
      </w:r>
      <w:r w:rsidRPr="00793594">
        <w:rPr>
          <w:rFonts w:cstheme="minorHAnsi"/>
        </w:rPr>
        <w:t xml:space="preserve">, agents </w:t>
      </w:r>
      <w:r w:rsidR="00953416">
        <w:rPr>
          <w:rFonts w:cstheme="minorHAnsi"/>
        </w:rPr>
        <w:t xml:space="preserve">are subject to limited information and do not have perfect foresight. </w:t>
      </w:r>
      <w:r w:rsidR="008F623C">
        <w:rPr>
          <w:rFonts w:cstheme="minorHAnsi"/>
        </w:rPr>
        <w:t>Therefore</w:t>
      </w:r>
      <w:r w:rsidR="00953416">
        <w:rPr>
          <w:rFonts w:cstheme="minorHAnsi"/>
        </w:rPr>
        <w:t xml:space="preserve">, agents are not </w:t>
      </w:r>
      <w:r w:rsidR="00601E17">
        <w:rPr>
          <w:rFonts w:cstheme="minorHAnsi"/>
        </w:rPr>
        <w:t>outcome</w:t>
      </w:r>
      <w:r w:rsidR="008915D7">
        <w:rPr>
          <w:rFonts w:cstheme="minorHAnsi"/>
        </w:rPr>
        <w:t>-</w:t>
      </w:r>
      <w:r w:rsidR="00953416">
        <w:rPr>
          <w:rFonts w:cstheme="minorHAnsi"/>
        </w:rPr>
        <w:t xml:space="preserve">maximizing </w:t>
      </w:r>
      <w:r w:rsidRPr="008D06CA">
        <w:rPr>
          <w:rFonts w:cstheme="minorHAnsi"/>
        </w:rPr>
        <w:t xml:space="preserve">but apply simple decision-rules to operate in the complex economic environment (e.g. Mercure et al. 2019). </w:t>
      </w:r>
    </w:p>
    <w:p w14:paraId="2D4FA916" w14:textId="126A55BF" w:rsidR="00793BA2" w:rsidRPr="00462537" w:rsidRDefault="00793BA2" w:rsidP="00793BA2">
      <w:pPr>
        <w:rPr>
          <w:rFonts w:cstheme="minorHAnsi"/>
        </w:rPr>
      </w:pPr>
      <w:r w:rsidRPr="00E546D7">
        <w:rPr>
          <w:rFonts w:cstheme="minorHAnsi"/>
        </w:rPr>
        <w:t xml:space="preserve">GIBM includes key macroeconomic sectors, notably the production, consumption, labour market, interest- and exchange rate sector, and a government and an </w:t>
      </w:r>
      <w:r w:rsidR="00BD2F69" w:rsidRPr="00476427">
        <w:rPr>
          <w:rFonts w:cstheme="minorHAnsi"/>
        </w:rPr>
        <w:t>electricity</w:t>
      </w:r>
      <w:r w:rsidRPr="00476427">
        <w:rPr>
          <w:rFonts w:cstheme="minorHAnsi"/>
        </w:rPr>
        <w:t xml:space="preserve"> supply sector. The production process at the macroeconomic level is represented with a </w:t>
      </w:r>
      <w:r w:rsidR="002D5CE3" w:rsidRPr="00462537">
        <w:rPr>
          <w:rFonts w:cstheme="minorHAnsi"/>
        </w:rPr>
        <w:t>demand led</w:t>
      </w:r>
      <w:r w:rsidRPr="00462537">
        <w:rPr>
          <w:rFonts w:cstheme="minorHAnsi"/>
        </w:rPr>
        <w:t xml:space="preserve"> CES production function, implying that the production inputs, labour, capital, energy and intermediate inputs are not (necessarily always) fully utilised. The production sector also includes a sub-sector that simulates prices; the consumption sector models household consumption per product group; the labour market sector determines employment and simulates unemployment as the difference between labour demand</w:t>
      </w:r>
      <w:r w:rsidR="002A58F2">
        <w:rPr>
          <w:rFonts w:cstheme="minorHAnsi"/>
        </w:rPr>
        <w:t xml:space="preserve"> (</w:t>
      </w:r>
      <w:r w:rsidRPr="00601E17">
        <w:rPr>
          <w:rFonts w:cstheme="minorHAnsi"/>
        </w:rPr>
        <w:t>simulated in production sector</w:t>
      </w:r>
      <w:r w:rsidR="002A58F2">
        <w:rPr>
          <w:rFonts w:cstheme="minorHAnsi"/>
        </w:rPr>
        <w:t>)</w:t>
      </w:r>
      <w:r w:rsidRPr="00601E17">
        <w:rPr>
          <w:rFonts w:cstheme="minorHAnsi"/>
        </w:rPr>
        <w:t xml:space="preserve"> and the labour force. The labour market also simulates the wage level and includes a sub-sector that represents the UK working population endogenously; the exchange and interest rate sector simulates the exchange rate between the UK and its main trading partners, and the relevant interest rate for credits of UK firms; the government sector tracks state income and expenditures. Finally, the </w:t>
      </w:r>
      <w:r w:rsidR="00BD2F69" w:rsidRPr="00601E17">
        <w:rPr>
          <w:rFonts w:cstheme="minorHAnsi"/>
        </w:rPr>
        <w:t xml:space="preserve">electricity </w:t>
      </w:r>
      <w:r w:rsidRPr="00601E17">
        <w:rPr>
          <w:rFonts w:cstheme="minorHAnsi"/>
        </w:rPr>
        <w:t xml:space="preserve">supply sector includes representation of the UK </w:t>
      </w:r>
      <w:r w:rsidR="00BD2F69" w:rsidRPr="00601E17">
        <w:rPr>
          <w:rFonts w:cstheme="minorHAnsi"/>
        </w:rPr>
        <w:t xml:space="preserve">electricity </w:t>
      </w:r>
      <w:r w:rsidRPr="00601E17">
        <w:rPr>
          <w:rFonts w:cstheme="minorHAnsi"/>
        </w:rPr>
        <w:t xml:space="preserve">infrastructure, differentiated by 12 </w:t>
      </w:r>
      <w:r w:rsidR="00255D80" w:rsidRPr="00601E17">
        <w:rPr>
          <w:rFonts w:cstheme="minorHAnsi"/>
        </w:rPr>
        <w:t>electricity</w:t>
      </w:r>
      <w:r w:rsidRPr="00601E17">
        <w:rPr>
          <w:rFonts w:cstheme="minorHAnsi"/>
        </w:rPr>
        <w:t xml:space="preserve"> production technologies</w:t>
      </w:r>
      <w:r w:rsidR="00020E69" w:rsidRPr="00601E17">
        <w:rPr>
          <w:rFonts w:cstheme="minorHAnsi"/>
        </w:rPr>
        <w:t xml:space="preserve">, namely coal, gas, CCS gas, nuclear, onshore and offshore wind, solar, </w:t>
      </w:r>
      <w:r w:rsidR="00A17347" w:rsidRPr="00601E17">
        <w:rPr>
          <w:rFonts w:cstheme="minorHAnsi"/>
        </w:rPr>
        <w:t>biomass,</w:t>
      </w:r>
      <w:r w:rsidRPr="00601E17">
        <w:rPr>
          <w:rFonts w:cstheme="minorHAnsi"/>
        </w:rPr>
        <w:t xml:space="preserve"> </w:t>
      </w:r>
      <w:r w:rsidR="00A17347" w:rsidRPr="00601E17">
        <w:rPr>
          <w:rFonts w:cstheme="minorHAnsi"/>
        </w:rPr>
        <w:t xml:space="preserve">hydro, marine, other thermal and a category ‘other renewables’, </w:t>
      </w:r>
      <w:r w:rsidRPr="00601E17">
        <w:rPr>
          <w:rFonts w:cstheme="minorHAnsi"/>
        </w:rPr>
        <w:t xml:space="preserve">and simulates </w:t>
      </w:r>
      <w:r w:rsidR="00BD2F69" w:rsidRPr="00601E17">
        <w:rPr>
          <w:rFonts w:cstheme="minorHAnsi"/>
        </w:rPr>
        <w:t xml:space="preserve">electricity </w:t>
      </w:r>
      <w:r w:rsidRPr="00601E17">
        <w:rPr>
          <w:rFonts w:cstheme="minorHAnsi"/>
        </w:rPr>
        <w:t xml:space="preserve">production in the UK (see Hafner et al., </w:t>
      </w:r>
      <w:r w:rsidR="00840A18" w:rsidRPr="00601E17">
        <w:rPr>
          <w:rFonts w:cstheme="minorHAnsi"/>
        </w:rPr>
        <w:t xml:space="preserve">2021 </w:t>
      </w:r>
      <w:r w:rsidRPr="00601E17">
        <w:rPr>
          <w:rFonts w:cstheme="minorHAnsi"/>
        </w:rPr>
        <w:t>for details</w:t>
      </w:r>
      <w:r w:rsidRPr="00462537">
        <w:rPr>
          <w:rFonts w:cstheme="minorHAnsi"/>
        </w:rPr>
        <w:t xml:space="preserve">). </w:t>
      </w:r>
    </w:p>
    <w:p w14:paraId="462C3B60" w14:textId="7311DFA9" w:rsidR="00760E61" w:rsidRPr="002B3FF0" w:rsidRDefault="00255D80">
      <w:pPr>
        <w:rPr>
          <w:rFonts w:cstheme="minorHAnsi"/>
        </w:rPr>
      </w:pPr>
      <w:r w:rsidRPr="002B3FF0">
        <w:rPr>
          <w:rFonts w:cstheme="minorHAnsi"/>
        </w:rPr>
        <w:t>The</w:t>
      </w:r>
      <w:r w:rsidR="00793BA2" w:rsidRPr="002B3FF0">
        <w:rPr>
          <w:rFonts w:cstheme="minorHAnsi"/>
        </w:rPr>
        <w:t xml:space="preserve"> version of GIBM </w:t>
      </w:r>
      <w:r w:rsidRPr="002B3FF0">
        <w:rPr>
          <w:rFonts w:cstheme="minorHAnsi"/>
        </w:rPr>
        <w:t xml:space="preserve">presented in this study </w:t>
      </w:r>
      <w:r w:rsidR="00793BA2" w:rsidRPr="002B3FF0">
        <w:rPr>
          <w:rFonts w:cstheme="minorHAnsi"/>
        </w:rPr>
        <w:t>is extended in its structure</w:t>
      </w:r>
      <w:r w:rsidRPr="002B3FF0">
        <w:rPr>
          <w:rFonts w:cstheme="minorHAnsi"/>
        </w:rPr>
        <w:t xml:space="preserve"> when compared to GIBM presented in Hafner et al. (</w:t>
      </w:r>
      <w:r w:rsidR="00840A18" w:rsidRPr="002B3FF0">
        <w:rPr>
          <w:rFonts w:cstheme="minorHAnsi"/>
        </w:rPr>
        <w:t>2021</w:t>
      </w:r>
      <w:r w:rsidRPr="002B3FF0">
        <w:rPr>
          <w:rFonts w:cstheme="minorHAnsi"/>
        </w:rPr>
        <w:t xml:space="preserve">). Specifically, the extended structure enables </w:t>
      </w:r>
      <w:r w:rsidR="00793BA2" w:rsidRPr="002B3FF0">
        <w:rPr>
          <w:rFonts w:cstheme="minorHAnsi"/>
        </w:rPr>
        <w:t xml:space="preserve">the testing of a </w:t>
      </w:r>
      <w:r w:rsidR="004C71DD" w:rsidRPr="002B3FF0">
        <w:rPr>
          <w:rFonts w:cstheme="minorHAnsi"/>
        </w:rPr>
        <w:t xml:space="preserve">policy scenario </w:t>
      </w:r>
      <w:r w:rsidR="00793BA2" w:rsidRPr="002B3FF0">
        <w:rPr>
          <w:rFonts w:cstheme="minorHAnsi"/>
        </w:rPr>
        <w:t>that is designed to close the green finance gap</w:t>
      </w:r>
      <w:r w:rsidR="00893ABB" w:rsidRPr="002B3FF0">
        <w:rPr>
          <w:rFonts w:cstheme="minorHAnsi"/>
        </w:rPr>
        <w:t xml:space="preserve"> and that is based on </w:t>
      </w:r>
      <w:r w:rsidR="00DA733B" w:rsidRPr="002B3FF0">
        <w:rPr>
          <w:rFonts w:cstheme="minorHAnsi"/>
        </w:rPr>
        <w:t xml:space="preserve">a </w:t>
      </w:r>
      <w:r w:rsidR="00893ABB" w:rsidRPr="002B3FF0">
        <w:rPr>
          <w:rFonts w:cstheme="minorHAnsi"/>
        </w:rPr>
        <w:t>systems approach</w:t>
      </w:r>
      <w:r w:rsidR="00DA733B" w:rsidRPr="002B3FF0">
        <w:rPr>
          <w:rFonts w:cstheme="minorHAnsi"/>
        </w:rPr>
        <w:t xml:space="preserve"> (as recommended in Hafner et al., 2020a)</w:t>
      </w:r>
      <w:r w:rsidR="00793BA2" w:rsidRPr="002B3FF0">
        <w:rPr>
          <w:rFonts w:cstheme="minorHAnsi"/>
        </w:rPr>
        <w:t xml:space="preserve">. </w:t>
      </w:r>
      <w:r w:rsidRPr="002B3FF0">
        <w:rPr>
          <w:rFonts w:cstheme="minorHAnsi"/>
        </w:rPr>
        <w:t xml:space="preserve">That is, </w:t>
      </w:r>
      <w:r w:rsidR="005B2BFE" w:rsidRPr="00B8367E">
        <w:rPr>
          <w:rFonts w:cstheme="minorHAnsi"/>
        </w:rPr>
        <w:t xml:space="preserve">first, </w:t>
      </w:r>
      <w:r w:rsidR="007A7E9E" w:rsidRPr="00B8367E">
        <w:rPr>
          <w:rFonts w:cstheme="minorHAnsi"/>
        </w:rPr>
        <w:t xml:space="preserve">the extended GIBM model version represents technology-specific mark-ups on the interest rates for renewable electricity technologies that are dependent on the key green investment barriers identified in the qualitative investigation (Hafner et al., 2020a) and on the average </w:t>
      </w:r>
      <w:proofErr w:type="spellStart"/>
      <w:r w:rsidR="007A7E9E" w:rsidRPr="00B8367E">
        <w:rPr>
          <w:rFonts w:cstheme="minorHAnsi"/>
        </w:rPr>
        <w:t>interst</w:t>
      </w:r>
      <w:proofErr w:type="spellEnd"/>
      <w:r w:rsidR="007A7E9E" w:rsidRPr="00B8367E">
        <w:rPr>
          <w:rFonts w:cstheme="minorHAnsi"/>
        </w:rPr>
        <w:t xml:space="preserve"> rate simulated in GIBM. </w:t>
      </w:r>
      <w:bookmarkStart w:id="20" w:name="_Hlk78638449"/>
      <w:r w:rsidR="005D79E7" w:rsidRPr="00B8367E">
        <w:rPr>
          <w:rFonts w:cstheme="minorHAnsi"/>
        </w:rPr>
        <w:t>Second</w:t>
      </w:r>
      <w:r w:rsidR="00793BA2" w:rsidRPr="002B3FF0">
        <w:rPr>
          <w:rFonts w:cstheme="minorHAnsi"/>
        </w:rPr>
        <w:t xml:space="preserve">, </w:t>
      </w:r>
      <w:r w:rsidR="007A7E9E" w:rsidRPr="00B8367E">
        <w:rPr>
          <w:rFonts w:cstheme="minorHAnsi"/>
        </w:rPr>
        <w:t>compared to the earlier version of GIBM (Hafner et al., 2021), here, GIBM’s electricity supply sector includes – when the respective scenario is chosen – a green finance gap, implying that there is not enough green investment for a low-carbon energy-transition in the power sector and that some of the desired renewable electricity production has to be covered with electricity imports instead (see appendix B).</w:t>
      </w:r>
      <w:r w:rsidR="00760E61" w:rsidRPr="00B8367E">
        <w:rPr>
          <w:rFonts w:cstheme="minorHAnsi"/>
        </w:rPr>
        <w:t xml:space="preserve"> </w:t>
      </w:r>
      <w:r w:rsidR="00900F95" w:rsidRPr="00B8367E">
        <w:rPr>
          <w:rFonts w:cstheme="minorHAnsi"/>
        </w:rPr>
        <w:t>In other words</w:t>
      </w:r>
      <w:r w:rsidR="00760E61" w:rsidRPr="00B8367E">
        <w:rPr>
          <w:rFonts w:cstheme="minorHAnsi"/>
        </w:rPr>
        <w:t>, t</w:t>
      </w:r>
      <w:r w:rsidR="00760E61" w:rsidRPr="002B3FF0">
        <w:rPr>
          <w:rFonts w:cstheme="minorHAnsi"/>
        </w:rPr>
        <w:t xml:space="preserve">he representation of the green finance gap is introduced in a simplified way due to a lack of accurate numbers on this gap (Hafner et al., 2020a). In particular, </w:t>
      </w:r>
      <w:r w:rsidR="00900F95" w:rsidRPr="002B3FF0">
        <w:rPr>
          <w:rFonts w:cstheme="minorHAnsi"/>
        </w:rPr>
        <w:t>when</w:t>
      </w:r>
      <w:r w:rsidR="00760E61" w:rsidRPr="002B3FF0">
        <w:rPr>
          <w:rFonts w:cstheme="minorHAnsi"/>
        </w:rPr>
        <w:t xml:space="preserve"> the green finance gap is introduced in the Green Investment Barrier Model only 90%</w:t>
      </w:r>
      <w:r w:rsidR="00760E61" w:rsidRPr="002B3FF0">
        <w:rPr>
          <w:rStyle w:val="FootnoteReference"/>
          <w:rFonts w:cstheme="minorHAnsi"/>
        </w:rPr>
        <w:footnoteReference w:id="5"/>
      </w:r>
      <w:r w:rsidR="00760E61" w:rsidRPr="002B3FF0">
        <w:rPr>
          <w:rFonts w:cstheme="minorHAnsi"/>
        </w:rPr>
        <w:t xml:space="preserve"> of the required financing for the installation of </w:t>
      </w:r>
      <w:r w:rsidR="00760E61" w:rsidRPr="002B3FF0">
        <w:rPr>
          <w:rFonts w:cstheme="minorHAnsi"/>
        </w:rPr>
        <w:lastRenderedPageBreak/>
        <w:t xml:space="preserve">renewable electricity capacity in the base-run will be available and the other part of the planned renewable electricity capacity installations will be covered by electricity imports (or high-carbon electricity generated in the UK if chosen by the model user, please refer to appendix B for the equations of these parts of the model). </w:t>
      </w:r>
      <w:r w:rsidR="00900F95" w:rsidRPr="002B3FF0">
        <w:rPr>
          <w:rFonts w:cstheme="minorHAnsi"/>
        </w:rPr>
        <w:t>That is</w:t>
      </w:r>
      <w:r w:rsidR="00760E61" w:rsidRPr="002B3FF0">
        <w:rPr>
          <w:rFonts w:cstheme="minorHAnsi"/>
        </w:rPr>
        <w:t xml:space="preserve">, the difference between the desired and planned renewable capacity additions - occurring due to the green finance gap - are covered by electricity imports from abroad (or if chosen by the model user by high-carbon electricity from the UK). Importantly, following the approach of the E3ME model – which was used to assess the impacts of stranded assets on the economy (Mercure et al., 2018) - GIBM does not represent finance explicitly i.e. does not track financial flows. Similarly as E3ME it follows an endogenous money supply approach in the sense that it assumes full availability of finance through credit creation by banks, which means that </w:t>
      </w:r>
      <w:r w:rsidR="00760E61" w:rsidRPr="002B3FF0">
        <w:rPr>
          <w:rFonts w:cstheme="minorHAnsi"/>
          <w:i/>
          <w:iCs/>
        </w:rPr>
        <w:t>if</w:t>
      </w:r>
      <w:r w:rsidR="00760E61" w:rsidRPr="002B3FF0">
        <w:rPr>
          <w:rFonts w:cstheme="minorHAnsi"/>
        </w:rPr>
        <w:t xml:space="preserve"> finance is available (e.g. by private investors that opt to invest in green assets or banks willing to provide credit) an increase in investments in one sector (e.g. energy) does not imply a decrease in investments in other sectors. </w:t>
      </w:r>
    </w:p>
    <w:p w14:paraId="237BD5F4" w14:textId="7D8359F9" w:rsidR="001B4BA8" w:rsidRPr="00B8367E" w:rsidRDefault="00760E61" w:rsidP="00760E61">
      <w:pPr>
        <w:rPr>
          <w:rFonts w:cstheme="minorHAnsi"/>
        </w:rPr>
      </w:pPr>
      <w:r w:rsidRPr="002B3FF0">
        <w:rPr>
          <w:rFonts w:cstheme="minorHAnsi"/>
        </w:rPr>
        <w:t xml:space="preserve">The features of </w:t>
      </w:r>
      <w:r w:rsidR="00996DE0" w:rsidRPr="002B3FF0">
        <w:rPr>
          <w:rFonts w:cstheme="minorHAnsi"/>
        </w:rPr>
        <w:t xml:space="preserve">(the extended) </w:t>
      </w:r>
      <w:r w:rsidRPr="002B3FF0">
        <w:rPr>
          <w:rFonts w:cstheme="minorHAnsi"/>
        </w:rPr>
        <w:t>GIBM allow us to understand what the direct and indirect macroeconomic implications and electricity system costs of different low-carbon electricity-transitions are</w:t>
      </w:r>
      <w:r w:rsidRPr="002B3FF0">
        <w:rPr>
          <w:rStyle w:val="FootnoteReference"/>
          <w:rFonts w:cstheme="minorHAnsi"/>
        </w:rPr>
        <w:footnoteReference w:id="6"/>
      </w:r>
      <w:r w:rsidRPr="002B3FF0">
        <w:rPr>
          <w:rFonts w:cstheme="minorHAnsi"/>
        </w:rPr>
        <w:t xml:space="preserve">. </w:t>
      </w:r>
      <w:r w:rsidR="0050506F" w:rsidRPr="002B3FF0">
        <w:rPr>
          <w:rFonts w:cstheme="minorHAnsi"/>
        </w:rPr>
        <w:t>F</w:t>
      </w:r>
      <w:r w:rsidRPr="00B8367E">
        <w:rPr>
          <w:rFonts w:cstheme="minorHAnsi"/>
        </w:rPr>
        <w:t xml:space="preserve">igure 1 presents a stylised overview of the extended version of GIBM and table 2 gives an overview on the included model variables in GIBM. </w:t>
      </w:r>
    </w:p>
    <w:p w14:paraId="4D99F8EA" w14:textId="450E553A" w:rsidR="00793BA2" w:rsidRPr="004C71DD" w:rsidRDefault="00793BA2" w:rsidP="00B8367E">
      <w:pPr>
        <w:jc w:val="left"/>
        <w:rPr>
          <w:rFonts w:cstheme="minorHAnsi"/>
          <w:i/>
          <w:iCs/>
          <w:sz w:val="18"/>
          <w:szCs w:val="18"/>
        </w:rPr>
      </w:pPr>
      <w:bookmarkStart w:id="21" w:name="_Hlk54086472"/>
      <w:bookmarkEnd w:id="20"/>
      <w:r w:rsidRPr="004C71DD">
        <w:rPr>
          <w:rFonts w:cstheme="minorHAnsi"/>
          <w:b/>
          <w:sz w:val="18"/>
          <w:szCs w:val="18"/>
        </w:rPr>
        <w:t xml:space="preserve">Figure </w:t>
      </w:r>
      <w:r w:rsidR="008020E0" w:rsidRPr="004C71DD">
        <w:rPr>
          <w:rFonts w:cstheme="minorHAnsi"/>
          <w:b/>
          <w:sz w:val="18"/>
          <w:szCs w:val="18"/>
        </w:rPr>
        <w:fldChar w:fldCharType="begin"/>
      </w:r>
      <w:r w:rsidR="008020E0" w:rsidRPr="004C71DD">
        <w:rPr>
          <w:rFonts w:cstheme="minorHAnsi"/>
          <w:b/>
          <w:sz w:val="18"/>
          <w:szCs w:val="18"/>
        </w:rPr>
        <w:instrText xml:space="preserve"> SEQ Figure \* ARABIC </w:instrText>
      </w:r>
      <w:r w:rsidR="008020E0" w:rsidRPr="004C71DD">
        <w:rPr>
          <w:rFonts w:cstheme="minorHAnsi"/>
          <w:b/>
          <w:sz w:val="18"/>
          <w:szCs w:val="18"/>
        </w:rPr>
        <w:fldChar w:fldCharType="separate"/>
      </w:r>
      <w:r w:rsidR="008020E0" w:rsidRPr="004C71DD">
        <w:rPr>
          <w:rFonts w:cstheme="minorHAnsi"/>
          <w:b/>
          <w:noProof/>
          <w:sz w:val="18"/>
          <w:szCs w:val="18"/>
        </w:rPr>
        <w:t>1</w:t>
      </w:r>
      <w:r w:rsidR="008020E0" w:rsidRPr="004C71DD">
        <w:rPr>
          <w:rFonts w:cstheme="minorHAnsi"/>
          <w:b/>
          <w:sz w:val="18"/>
          <w:szCs w:val="18"/>
        </w:rPr>
        <w:fldChar w:fldCharType="end"/>
      </w:r>
      <w:bookmarkEnd w:id="15"/>
      <w:r w:rsidRPr="004C71DD">
        <w:rPr>
          <w:rFonts w:cstheme="minorHAnsi"/>
          <w:b/>
          <w:sz w:val="18"/>
          <w:szCs w:val="18"/>
        </w:rPr>
        <w:t>: Overview of</w:t>
      </w:r>
      <w:r w:rsidRPr="004C71DD">
        <w:rPr>
          <w:rFonts w:cstheme="minorHAnsi"/>
          <w:sz w:val="18"/>
          <w:szCs w:val="18"/>
        </w:rPr>
        <w:t xml:space="preserve"> </w:t>
      </w:r>
      <w:r w:rsidRPr="004C71DD">
        <w:rPr>
          <w:rFonts w:cstheme="minorHAnsi"/>
          <w:b/>
          <w:sz w:val="18"/>
          <w:szCs w:val="18"/>
        </w:rPr>
        <w:t>GIBM</w:t>
      </w:r>
      <w:r w:rsidRPr="004C71DD">
        <w:rPr>
          <w:rFonts w:cstheme="minorHAnsi"/>
          <w:sz w:val="18"/>
          <w:szCs w:val="18"/>
        </w:rPr>
        <w:t xml:space="preserve"> –</w:t>
      </w:r>
      <w:r w:rsidRPr="004C71DD">
        <w:rPr>
          <w:rFonts w:cstheme="minorHAnsi"/>
          <w:i/>
          <w:iCs/>
          <w:sz w:val="18"/>
          <w:szCs w:val="18"/>
        </w:rPr>
        <w:t>The main causal relationships between model sectors. GIBM is visualised in the dashed box. I.e. the rest of the world is outside the GIBM. The model sectors in the parenthesis in the ‘Rest of the world’ box indicate that additional exogenous inputs from the rest of the world enter the model.</w:t>
      </w:r>
    </w:p>
    <w:p w14:paraId="710B866E" w14:textId="77777777" w:rsidR="0050506F" w:rsidRPr="00B8367E" w:rsidRDefault="008967C2" w:rsidP="001B4BA8">
      <w:pPr>
        <w:spacing w:before="240"/>
        <w:rPr>
          <w:rFonts w:cstheme="minorHAnsi"/>
          <w:i/>
          <w:iCs/>
          <w:sz w:val="4"/>
          <w:szCs w:val="4"/>
        </w:rPr>
      </w:pPr>
      <w:r w:rsidRPr="0099228F">
        <w:rPr>
          <w:rFonts w:cstheme="minorHAnsi"/>
          <w:noProof/>
          <w:lang w:eastAsia="en-GB"/>
        </w:rPr>
        <w:drawing>
          <wp:inline distT="0" distB="0" distL="0" distR="0" wp14:anchorId="07F5A5A2" wp14:editId="306BFC85">
            <wp:extent cx="3484245" cy="3465830"/>
            <wp:effectExtent l="0" t="0" r="190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8523" cy="3499694"/>
                    </a:xfrm>
                    <a:prstGeom prst="rect">
                      <a:avLst/>
                    </a:prstGeom>
                    <a:noFill/>
                  </pic:spPr>
                </pic:pic>
              </a:graphicData>
            </a:graphic>
          </wp:inline>
        </w:drawing>
      </w:r>
      <w:r w:rsidR="00893ABB">
        <w:rPr>
          <w:rFonts w:cstheme="minorHAnsi"/>
          <w:i/>
          <w:iCs/>
          <w:sz w:val="18"/>
          <w:szCs w:val="18"/>
        </w:rPr>
        <w:br w:type="textWrapping" w:clear="all"/>
      </w:r>
    </w:p>
    <w:p w14:paraId="7EDA8D41" w14:textId="7A2ED0C1" w:rsidR="008967C2" w:rsidRPr="001B4BA8" w:rsidRDefault="00B673DD" w:rsidP="00B8367E">
      <w:pPr>
        <w:spacing w:before="240"/>
        <w:rPr>
          <w:rFonts w:cstheme="minorHAnsi"/>
          <w:i/>
          <w:iCs/>
          <w:sz w:val="18"/>
          <w:szCs w:val="18"/>
        </w:rPr>
      </w:pPr>
      <w:r w:rsidRPr="00B8367E">
        <w:rPr>
          <w:rFonts w:cstheme="minorHAnsi"/>
          <w:i/>
          <w:iCs/>
        </w:rPr>
        <w:t>Source: adapted from Hafner et al. (2021)</w:t>
      </w:r>
    </w:p>
    <w:bookmarkEnd w:id="21"/>
    <w:p w14:paraId="3CC45D1A" w14:textId="77777777" w:rsidR="00AC4BCD" w:rsidRDefault="00AC4BCD" w:rsidP="00AC4BCD">
      <w:pPr>
        <w:pStyle w:val="Caption"/>
        <w:keepNext/>
      </w:pPr>
      <w:r>
        <w:lastRenderedPageBreak/>
        <w:t xml:space="preserve">Table </w:t>
      </w:r>
      <w:r w:rsidR="00021507">
        <w:fldChar w:fldCharType="begin"/>
      </w:r>
      <w:r w:rsidR="00021507">
        <w:instrText xml:space="preserve"> SEQ Table \* ARABIC </w:instrText>
      </w:r>
      <w:r w:rsidR="00021507">
        <w:fldChar w:fldCharType="separate"/>
      </w:r>
      <w:r>
        <w:rPr>
          <w:noProof/>
        </w:rPr>
        <w:t>2</w:t>
      </w:r>
      <w:r w:rsidR="00021507">
        <w:rPr>
          <w:noProof/>
        </w:rPr>
        <w:fldChar w:fldCharType="end"/>
      </w:r>
      <w:r>
        <w:t xml:space="preserve">: </w:t>
      </w:r>
      <w:r w:rsidRPr="0050430E">
        <w:t>Overview on endogenously and exogenously key variables in the Green Investment Barrier Model</w:t>
      </w:r>
    </w:p>
    <w:tbl>
      <w:tblPr>
        <w:tblStyle w:val="GridTable5Dark-Accent3"/>
        <w:tblW w:w="5000" w:type="pct"/>
        <w:tblLook w:val="04A0" w:firstRow="1" w:lastRow="0" w:firstColumn="1" w:lastColumn="0" w:noHBand="0" w:noVBand="1"/>
      </w:tblPr>
      <w:tblGrid>
        <w:gridCol w:w="1106"/>
        <w:gridCol w:w="3992"/>
        <w:gridCol w:w="3918"/>
      </w:tblGrid>
      <w:tr w:rsidR="008C46DB" w:rsidRPr="00B673DD" w14:paraId="03163867" w14:textId="77777777" w:rsidTr="00B836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 w:type="pct"/>
            <w:shd w:val="clear" w:color="auto" w:fill="auto"/>
          </w:tcPr>
          <w:p w14:paraId="54349266" w14:textId="77777777" w:rsidR="00AC4BCD" w:rsidRPr="00B8367E" w:rsidRDefault="00AC4BCD" w:rsidP="00E546D7">
            <w:pPr>
              <w:rPr>
                <w:rFonts w:ascii="Calibri" w:hAnsi="Calibri" w:cs="Calibri"/>
                <w:sz w:val="16"/>
                <w:szCs w:val="16"/>
              </w:rPr>
            </w:pPr>
          </w:p>
        </w:tc>
        <w:tc>
          <w:tcPr>
            <w:tcW w:w="2214" w:type="pct"/>
            <w:vAlign w:val="center"/>
          </w:tcPr>
          <w:p w14:paraId="7FE138BB" w14:textId="77777777" w:rsidR="00AC4BCD" w:rsidRPr="00B8367E" w:rsidRDefault="00AC4BCD" w:rsidP="00E546D7">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Endogenously represented</w:t>
            </w:r>
          </w:p>
        </w:tc>
        <w:tc>
          <w:tcPr>
            <w:tcW w:w="2173" w:type="pct"/>
            <w:vAlign w:val="center"/>
          </w:tcPr>
          <w:p w14:paraId="7E4A4A6D" w14:textId="77777777" w:rsidR="00AC4BCD" w:rsidRPr="00B8367E" w:rsidRDefault="00AC4BCD" w:rsidP="00E546D7">
            <w:pPr>
              <w:spacing w:after="0"/>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Exogenously represented / Exogenous inputs</w:t>
            </w:r>
          </w:p>
        </w:tc>
      </w:tr>
      <w:tr w:rsidR="008C46DB" w:rsidRPr="00B673DD" w14:paraId="6F256C75" w14:textId="77777777" w:rsidTr="00B83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 w:type="pct"/>
          </w:tcPr>
          <w:p w14:paraId="067E8430" w14:textId="77777777" w:rsidR="00AC4BCD" w:rsidRPr="00B8367E" w:rsidRDefault="00AC4BCD" w:rsidP="00E546D7">
            <w:pPr>
              <w:jc w:val="center"/>
              <w:rPr>
                <w:rFonts w:ascii="Calibri" w:hAnsi="Calibri" w:cs="Calibri"/>
                <w:sz w:val="16"/>
                <w:szCs w:val="16"/>
              </w:rPr>
            </w:pPr>
            <w:r w:rsidRPr="00B8367E">
              <w:rPr>
                <w:rFonts w:ascii="Calibri" w:hAnsi="Calibri" w:cs="Calibri"/>
                <w:sz w:val="16"/>
                <w:szCs w:val="16"/>
              </w:rPr>
              <w:t>Production sector and price sub-sector</w:t>
            </w:r>
          </w:p>
        </w:tc>
        <w:tc>
          <w:tcPr>
            <w:tcW w:w="2214" w:type="pct"/>
          </w:tcPr>
          <w:p w14:paraId="3EA1E4D4"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GDP</w:t>
            </w:r>
          </w:p>
          <w:p w14:paraId="63D47D1C"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Production output</w:t>
            </w:r>
          </w:p>
          <w:p w14:paraId="69D07F80"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Aggregate Demand</w:t>
            </w:r>
          </w:p>
          <w:p w14:paraId="7EB833A7"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Demand for production domestic inputs, notably energy, labour, capital and intermediate inputs</w:t>
            </w:r>
          </w:p>
          <w:p w14:paraId="7BA28BEB"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Intermediate inputs imports</w:t>
            </w:r>
          </w:p>
          <w:p w14:paraId="25DEB91F"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Total factor productivity</w:t>
            </w:r>
          </w:p>
          <w:p w14:paraId="6C70B2C0"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Prices of production inputs and aggregate price level</w:t>
            </w:r>
          </w:p>
        </w:tc>
        <w:tc>
          <w:tcPr>
            <w:tcW w:w="2173" w:type="pct"/>
          </w:tcPr>
          <w:p w14:paraId="3A865D72"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Commodity prices of other countries</w:t>
            </w:r>
          </w:p>
          <w:p w14:paraId="4FBBB541" w14:textId="77777777" w:rsidR="00AC4BCD" w:rsidRPr="00B8367E" w:rsidRDefault="00AC4BCD" w:rsidP="00AC4BCD">
            <w:pPr>
              <w:pStyle w:val="ListParagraph"/>
              <w:numPr>
                <w:ilvl w:val="0"/>
                <w:numId w:val="59"/>
              </w:numPr>
              <w:spacing w:after="160" w:line="259" w:lineRule="auto"/>
              <w:jc w:val="left"/>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Parameters of substitution</w:t>
            </w:r>
          </w:p>
        </w:tc>
      </w:tr>
      <w:tr w:rsidR="008C46DB" w:rsidRPr="00B673DD" w14:paraId="27E30C0E" w14:textId="77777777" w:rsidTr="00B8367E">
        <w:tc>
          <w:tcPr>
            <w:cnfStyle w:val="001000000000" w:firstRow="0" w:lastRow="0" w:firstColumn="1" w:lastColumn="0" w:oddVBand="0" w:evenVBand="0" w:oddHBand="0" w:evenHBand="0" w:firstRowFirstColumn="0" w:firstRowLastColumn="0" w:lastRowFirstColumn="0" w:lastRowLastColumn="0"/>
            <w:tcW w:w="613" w:type="pct"/>
          </w:tcPr>
          <w:p w14:paraId="09BEA949" w14:textId="77777777" w:rsidR="00AC4BCD" w:rsidRPr="00B8367E" w:rsidRDefault="00AC4BCD" w:rsidP="00E546D7">
            <w:pPr>
              <w:jc w:val="center"/>
              <w:rPr>
                <w:rFonts w:ascii="Calibri" w:hAnsi="Calibri" w:cs="Calibri"/>
                <w:sz w:val="16"/>
                <w:szCs w:val="16"/>
              </w:rPr>
            </w:pPr>
            <w:r w:rsidRPr="00B8367E">
              <w:rPr>
                <w:rFonts w:ascii="Calibri" w:hAnsi="Calibri" w:cs="Calibri"/>
                <w:sz w:val="16"/>
                <w:szCs w:val="16"/>
              </w:rPr>
              <w:t>Consumption sector</w:t>
            </w:r>
          </w:p>
        </w:tc>
        <w:tc>
          <w:tcPr>
            <w:tcW w:w="2214" w:type="pct"/>
          </w:tcPr>
          <w:p w14:paraId="727114D5" w14:textId="77777777" w:rsidR="00AC4BCD" w:rsidRPr="00B8367E" w:rsidRDefault="00AC4BCD" w:rsidP="00AC4BCD">
            <w:pPr>
              <w:pStyle w:val="ListParagraph"/>
              <w:numPr>
                <w:ilvl w:val="0"/>
                <w:numId w:val="60"/>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 xml:space="preserve">Household consumption (on sectoral level and </w:t>
            </w:r>
            <w:proofErr w:type="spellStart"/>
            <w:r w:rsidRPr="00B8367E">
              <w:rPr>
                <w:rFonts w:ascii="Calibri" w:hAnsi="Calibri" w:cs="Calibri"/>
                <w:sz w:val="16"/>
                <w:szCs w:val="16"/>
              </w:rPr>
              <w:t>differenciated</w:t>
            </w:r>
            <w:proofErr w:type="spellEnd"/>
            <w:r w:rsidRPr="00B8367E">
              <w:rPr>
                <w:rFonts w:ascii="Calibri" w:hAnsi="Calibri" w:cs="Calibri"/>
                <w:sz w:val="16"/>
                <w:szCs w:val="16"/>
              </w:rPr>
              <w:t xml:space="preserve"> between domestic and abroad)</w:t>
            </w:r>
          </w:p>
          <w:p w14:paraId="77391BDF" w14:textId="77777777" w:rsidR="00AC4BCD" w:rsidRPr="00B8367E" w:rsidRDefault="00AC4BCD" w:rsidP="00AC4BCD">
            <w:pPr>
              <w:pStyle w:val="ListParagraph"/>
              <w:numPr>
                <w:ilvl w:val="0"/>
                <w:numId w:val="60"/>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Propensity to consume</w:t>
            </w:r>
          </w:p>
        </w:tc>
        <w:tc>
          <w:tcPr>
            <w:tcW w:w="2173" w:type="pct"/>
          </w:tcPr>
          <w:p w14:paraId="64EF3AD0" w14:textId="77777777" w:rsidR="00AC4BCD" w:rsidRPr="00B8367E" w:rsidRDefault="00AC4BCD" w:rsidP="00AC4BCD">
            <w:pPr>
              <w:pStyle w:val="ListParagraph"/>
              <w:numPr>
                <w:ilvl w:val="0"/>
                <w:numId w:val="60"/>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Commodity prices of other countries</w:t>
            </w:r>
          </w:p>
          <w:p w14:paraId="48B020B1" w14:textId="77777777" w:rsidR="00AC4BCD" w:rsidRPr="00B8367E" w:rsidRDefault="00AC4BCD" w:rsidP="00AC4BCD">
            <w:pPr>
              <w:pStyle w:val="ListParagraph"/>
              <w:numPr>
                <w:ilvl w:val="0"/>
                <w:numId w:val="60"/>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Parameters of substitution (of income and prices)</w:t>
            </w:r>
          </w:p>
        </w:tc>
      </w:tr>
      <w:tr w:rsidR="008C46DB" w:rsidRPr="00B673DD" w14:paraId="5C24CD94" w14:textId="77777777" w:rsidTr="00B83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 w:type="pct"/>
          </w:tcPr>
          <w:p w14:paraId="4C524230" w14:textId="77777777" w:rsidR="00AC4BCD" w:rsidRPr="00B8367E" w:rsidRDefault="00AC4BCD" w:rsidP="00E546D7">
            <w:pPr>
              <w:jc w:val="center"/>
              <w:rPr>
                <w:rFonts w:ascii="Calibri" w:hAnsi="Calibri" w:cs="Calibri"/>
                <w:sz w:val="16"/>
                <w:szCs w:val="16"/>
              </w:rPr>
            </w:pPr>
            <w:r w:rsidRPr="00B8367E">
              <w:rPr>
                <w:rFonts w:ascii="Calibri" w:hAnsi="Calibri" w:cs="Calibri"/>
                <w:sz w:val="16"/>
                <w:szCs w:val="16"/>
              </w:rPr>
              <w:t>Labour Market</w:t>
            </w:r>
          </w:p>
        </w:tc>
        <w:tc>
          <w:tcPr>
            <w:tcW w:w="2214" w:type="pct"/>
          </w:tcPr>
          <w:p w14:paraId="0AC201C2"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Wage-level</w:t>
            </w:r>
          </w:p>
          <w:p w14:paraId="4FCA2C8B"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Employment</w:t>
            </w:r>
          </w:p>
          <w:p w14:paraId="1A1BABC3"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Unemployment</w:t>
            </w:r>
          </w:p>
          <w:p w14:paraId="32991475"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Labour supply / Labour force</w:t>
            </w:r>
          </w:p>
          <w:p w14:paraId="35B2A452"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Working age population</w:t>
            </w:r>
          </w:p>
          <w:p w14:paraId="2156B322"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roofErr w:type="spellStart"/>
            <w:r w:rsidRPr="00B8367E">
              <w:rPr>
                <w:rFonts w:ascii="Calibri" w:hAnsi="Calibri" w:cs="Calibri"/>
                <w:sz w:val="16"/>
                <w:szCs w:val="16"/>
              </w:rPr>
              <w:t>Pensioniers</w:t>
            </w:r>
            <w:proofErr w:type="spellEnd"/>
          </w:p>
        </w:tc>
        <w:tc>
          <w:tcPr>
            <w:tcW w:w="2173" w:type="pct"/>
          </w:tcPr>
          <w:p w14:paraId="1622F4EC"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Birth rate</w:t>
            </w:r>
          </w:p>
          <w:p w14:paraId="561AC5D8" w14:textId="77777777" w:rsidR="00AC4BCD" w:rsidRPr="00B8367E" w:rsidRDefault="00AC4BCD" w:rsidP="00AC4BCD">
            <w:pPr>
              <w:pStyle w:val="ListParagraph"/>
              <w:numPr>
                <w:ilvl w:val="0"/>
                <w:numId w:val="61"/>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Various elasticities</w:t>
            </w:r>
          </w:p>
        </w:tc>
      </w:tr>
      <w:tr w:rsidR="008C46DB" w:rsidRPr="00B673DD" w14:paraId="515086FD" w14:textId="77777777" w:rsidTr="00B8367E">
        <w:tc>
          <w:tcPr>
            <w:cnfStyle w:val="001000000000" w:firstRow="0" w:lastRow="0" w:firstColumn="1" w:lastColumn="0" w:oddVBand="0" w:evenVBand="0" w:oddHBand="0" w:evenHBand="0" w:firstRowFirstColumn="0" w:firstRowLastColumn="0" w:lastRowFirstColumn="0" w:lastRowLastColumn="0"/>
            <w:tcW w:w="613" w:type="pct"/>
          </w:tcPr>
          <w:p w14:paraId="0AEF8601" w14:textId="77777777" w:rsidR="00AC4BCD" w:rsidRPr="00B8367E" w:rsidRDefault="00AC4BCD" w:rsidP="00E546D7">
            <w:pPr>
              <w:jc w:val="center"/>
              <w:rPr>
                <w:rFonts w:ascii="Calibri" w:hAnsi="Calibri" w:cs="Calibri"/>
                <w:sz w:val="16"/>
                <w:szCs w:val="16"/>
              </w:rPr>
            </w:pPr>
            <w:r w:rsidRPr="00B8367E">
              <w:rPr>
                <w:rFonts w:ascii="Calibri" w:hAnsi="Calibri" w:cs="Calibri"/>
                <w:sz w:val="16"/>
                <w:szCs w:val="16"/>
              </w:rPr>
              <w:t>Government sector</w:t>
            </w:r>
          </w:p>
        </w:tc>
        <w:tc>
          <w:tcPr>
            <w:tcW w:w="2214" w:type="pct"/>
          </w:tcPr>
          <w:p w14:paraId="21F482AC"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Government tax income</w:t>
            </w:r>
          </w:p>
          <w:p w14:paraId="3C45BDB4"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Government tax expenses</w:t>
            </w:r>
          </w:p>
          <w:p w14:paraId="5A8B653A"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VAT income</w:t>
            </w:r>
          </w:p>
          <w:p w14:paraId="30B73CCF"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Production tax income</w:t>
            </w:r>
          </w:p>
          <w:p w14:paraId="00A4A9C5"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Income tax income</w:t>
            </w:r>
          </w:p>
          <w:p w14:paraId="48119281"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Corporate tax income</w:t>
            </w:r>
          </w:p>
          <w:p w14:paraId="652E3195"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Expenses for unemployed and pensioneers</w:t>
            </w:r>
          </w:p>
          <w:p w14:paraId="38311AD0"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Depreciation of government infrastructure</w:t>
            </w:r>
          </w:p>
          <w:p w14:paraId="4EDE76CD" w14:textId="77777777" w:rsidR="00AC4BCD" w:rsidRPr="00B8367E" w:rsidRDefault="00AC4BCD" w:rsidP="00AC4BCD">
            <w:pPr>
              <w:pStyle w:val="ListParagraph"/>
              <w:numPr>
                <w:ilvl w:val="0"/>
                <w:numId w:val="62"/>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Interest payments of the govt. for its debt</w:t>
            </w:r>
          </w:p>
        </w:tc>
        <w:tc>
          <w:tcPr>
            <w:tcW w:w="2173" w:type="pct"/>
          </w:tcPr>
          <w:p w14:paraId="47807D20" w14:textId="77777777" w:rsidR="00AC4BCD" w:rsidRPr="00B8367E" w:rsidRDefault="00AC4BCD" w:rsidP="00AC4BCD">
            <w:pPr>
              <w:pStyle w:val="ListParagraph"/>
              <w:numPr>
                <w:ilvl w:val="0"/>
                <w:numId w:val="62"/>
              </w:num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Various tax rates</w:t>
            </w:r>
          </w:p>
          <w:p w14:paraId="274D089F" w14:textId="77777777" w:rsidR="00AC4BCD" w:rsidRPr="00B8367E" w:rsidRDefault="00AC4BCD" w:rsidP="00AC4BCD">
            <w:pPr>
              <w:pStyle w:val="ListParagraph"/>
              <w:numPr>
                <w:ilvl w:val="0"/>
                <w:numId w:val="62"/>
              </w:numPr>
              <w:spacing w:after="160" w:line="259"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Emission tax income (excl. emission tax income from energy supply emissions)</w:t>
            </w:r>
          </w:p>
        </w:tc>
      </w:tr>
      <w:tr w:rsidR="008C46DB" w:rsidRPr="00B673DD" w14:paraId="4672662A" w14:textId="77777777" w:rsidTr="00B83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 w:type="pct"/>
          </w:tcPr>
          <w:p w14:paraId="19577FD7" w14:textId="77777777" w:rsidR="00AC4BCD" w:rsidRPr="00B8367E" w:rsidRDefault="00AC4BCD" w:rsidP="00E546D7">
            <w:pPr>
              <w:jc w:val="center"/>
              <w:rPr>
                <w:rFonts w:ascii="Calibri" w:hAnsi="Calibri" w:cs="Calibri"/>
                <w:sz w:val="16"/>
                <w:szCs w:val="16"/>
              </w:rPr>
            </w:pPr>
            <w:r w:rsidRPr="00B8367E">
              <w:rPr>
                <w:rFonts w:ascii="Calibri" w:hAnsi="Calibri" w:cs="Calibri"/>
                <w:sz w:val="16"/>
                <w:szCs w:val="16"/>
              </w:rPr>
              <w:t>Interest and exchange rate sector</w:t>
            </w:r>
          </w:p>
        </w:tc>
        <w:tc>
          <w:tcPr>
            <w:tcW w:w="2214" w:type="pct"/>
          </w:tcPr>
          <w:p w14:paraId="4CD00C1C" w14:textId="77777777" w:rsidR="00AC4BCD" w:rsidRPr="00B8367E" w:rsidRDefault="00AC4BCD" w:rsidP="00AC4BCD">
            <w:pPr>
              <w:pStyle w:val="ListParagraph"/>
              <w:numPr>
                <w:ilvl w:val="0"/>
                <w:numId w:val="63"/>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Policy interest rate</w:t>
            </w:r>
          </w:p>
          <w:p w14:paraId="646D6011" w14:textId="77777777" w:rsidR="00AC4BCD" w:rsidRPr="00B8367E" w:rsidRDefault="00AC4BCD" w:rsidP="00AC4BCD">
            <w:pPr>
              <w:pStyle w:val="ListParagraph"/>
              <w:numPr>
                <w:ilvl w:val="0"/>
                <w:numId w:val="63"/>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Avg. interest rate</w:t>
            </w:r>
          </w:p>
          <w:p w14:paraId="530B5A78" w14:textId="77777777" w:rsidR="00AC4BCD" w:rsidRPr="00B8367E" w:rsidRDefault="00AC4BCD" w:rsidP="00AC4BCD">
            <w:pPr>
              <w:pStyle w:val="ListParagraph"/>
              <w:numPr>
                <w:ilvl w:val="0"/>
                <w:numId w:val="63"/>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Exchange rate</w:t>
            </w:r>
          </w:p>
        </w:tc>
        <w:tc>
          <w:tcPr>
            <w:tcW w:w="2173" w:type="pct"/>
          </w:tcPr>
          <w:p w14:paraId="7AF30748" w14:textId="77777777" w:rsidR="00AC4BCD" w:rsidRPr="00B8367E" w:rsidRDefault="00AC4BCD" w:rsidP="00AC4BCD">
            <w:pPr>
              <w:pStyle w:val="ListParagraph"/>
              <w:numPr>
                <w:ilvl w:val="0"/>
                <w:numId w:val="63"/>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Output gap</w:t>
            </w:r>
          </w:p>
          <w:p w14:paraId="759A95D1" w14:textId="3A1BA953" w:rsidR="00893ABB" w:rsidRPr="00B8367E" w:rsidRDefault="00893ABB" w:rsidP="00AC4BCD">
            <w:pPr>
              <w:pStyle w:val="ListParagraph"/>
              <w:numPr>
                <w:ilvl w:val="0"/>
                <w:numId w:val="63"/>
              </w:numPr>
              <w:spacing w:after="160" w:line="259"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 xml:space="preserve">Investment barriers </w:t>
            </w:r>
          </w:p>
        </w:tc>
      </w:tr>
      <w:tr w:rsidR="008C46DB" w:rsidRPr="00B673DD" w14:paraId="5773430B" w14:textId="77777777" w:rsidTr="00B8367E">
        <w:tc>
          <w:tcPr>
            <w:cnfStyle w:val="001000000000" w:firstRow="0" w:lastRow="0" w:firstColumn="1" w:lastColumn="0" w:oddVBand="0" w:evenVBand="0" w:oddHBand="0" w:evenHBand="0" w:firstRowFirstColumn="0" w:firstRowLastColumn="0" w:lastRowFirstColumn="0" w:lastRowLastColumn="0"/>
            <w:tcW w:w="613" w:type="pct"/>
          </w:tcPr>
          <w:p w14:paraId="2DC6412F" w14:textId="2C926674" w:rsidR="00AC4BCD" w:rsidRPr="00B8367E" w:rsidRDefault="00E86C0F" w:rsidP="00E546D7">
            <w:pPr>
              <w:jc w:val="center"/>
              <w:rPr>
                <w:rFonts w:ascii="Calibri" w:hAnsi="Calibri" w:cs="Calibri"/>
                <w:sz w:val="16"/>
                <w:szCs w:val="16"/>
              </w:rPr>
            </w:pPr>
            <w:r>
              <w:rPr>
                <w:rFonts w:ascii="Calibri" w:hAnsi="Calibri" w:cs="Calibri"/>
                <w:sz w:val="16"/>
                <w:szCs w:val="16"/>
              </w:rPr>
              <w:t>Power</w:t>
            </w:r>
            <w:r w:rsidR="00AC4BCD" w:rsidRPr="00B8367E">
              <w:rPr>
                <w:rFonts w:ascii="Calibri" w:hAnsi="Calibri" w:cs="Calibri"/>
                <w:sz w:val="16"/>
                <w:szCs w:val="16"/>
              </w:rPr>
              <w:t xml:space="preserve"> supply sector</w:t>
            </w:r>
          </w:p>
        </w:tc>
        <w:tc>
          <w:tcPr>
            <w:tcW w:w="2214" w:type="pct"/>
          </w:tcPr>
          <w:p w14:paraId="67117E78" w14:textId="25944B84" w:rsidR="00CB44A2" w:rsidRDefault="00E86C0F"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 xml:space="preserve">Technology-specific </w:t>
            </w:r>
            <w:r w:rsidR="00CB44A2">
              <w:rPr>
                <w:rFonts w:ascii="Calibri" w:hAnsi="Calibri" w:cs="Calibri"/>
                <w:sz w:val="16"/>
                <w:szCs w:val="16"/>
              </w:rPr>
              <w:t>interest rates for renewable power technologies (only influenced by the ‘green finance gap’ policy scenario)</w:t>
            </w:r>
          </w:p>
          <w:p w14:paraId="29BF7F71" w14:textId="580F8942"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Investment choices between eleven different energy production technologies</w:t>
            </w:r>
          </w:p>
          <w:p w14:paraId="3288E3F3"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Cost decreases in energy technologies (on national level)</w:t>
            </w:r>
          </w:p>
          <w:p w14:paraId="489DA935"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 xml:space="preserve">Energy infrastructure </w:t>
            </w:r>
            <w:proofErr w:type="spellStart"/>
            <w:r w:rsidRPr="00B8367E">
              <w:rPr>
                <w:rFonts w:ascii="Calibri" w:hAnsi="Calibri" w:cs="Calibri"/>
                <w:sz w:val="16"/>
                <w:szCs w:val="16"/>
              </w:rPr>
              <w:t>capapcity</w:t>
            </w:r>
            <w:proofErr w:type="spellEnd"/>
            <w:r w:rsidRPr="00B8367E">
              <w:rPr>
                <w:rFonts w:ascii="Calibri" w:hAnsi="Calibri" w:cs="Calibri"/>
                <w:sz w:val="16"/>
                <w:szCs w:val="16"/>
              </w:rPr>
              <w:t xml:space="preserve">, </w:t>
            </w:r>
            <w:proofErr w:type="spellStart"/>
            <w:r w:rsidRPr="00B8367E">
              <w:rPr>
                <w:rFonts w:ascii="Calibri" w:hAnsi="Calibri" w:cs="Calibri"/>
                <w:sz w:val="16"/>
                <w:szCs w:val="16"/>
              </w:rPr>
              <w:t>differenciated</w:t>
            </w:r>
            <w:proofErr w:type="spellEnd"/>
            <w:r w:rsidRPr="00B8367E">
              <w:rPr>
                <w:rFonts w:ascii="Calibri" w:hAnsi="Calibri" w:cs="Calibri"/>
                <w:sz w:val="16"/>
                <w:szCs w:val="16"/>
              </w:rPr>
              <w:t xml:space="preserve"> by elven technologies</w:t>
            </w:r>
          </w:p>
          <w:p w14:paraId="63713E7A"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 xml:space="preserve">LCOE of energy technologies, </w:t>
            </w:r>
            <w:proofErr w:type="spellStart"/>
            <w:r w:rsidRPr="00B8367E">
              <w:rPr>
                <w:rFonts w:ascii="Calibri" w:hAnsi="Calibri" w:cs="Calibri"/>
                <w:sz w:val="16"/>
                <w:szCs w:val="16"/>
              </w:rPr>
              <w:t>differenciated</w:t>
            </w:r>
            <w:proofErr w:type="spellEnd"/>
            <w:r w:rsidRPr="00B8367E">
              <w:rPr>
                <w:rFonts w:ascii="Calibri" w:hAnsi="Calibri" w:cs="Calibri"/>
                <w:sz w:val="16"/>
                <w:szCs w:val="16"/>
              </w:rPr>
              <w:t xml:space="preserve"> by eleven different technologies</w:t>
            </w:r>
          </w:p>
          <w:p w14:paraId="0A76C190"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Energy storage and Grid- and transmission requirements and costs</w:t>
            </w:r>
          </w:p>
        </w:tc>
        <w:tc>
          <w:tcPr>
            <w:tcW w:w="2173" w:type="pct"/>
          </w:tcPr>
          <w:p w14:paraId="08EC72BB"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 xml:space="preserve">Operational costs of energy supply technologies (per MW), </w:t>
            </w:r>
            <w:proofErr w:type="spellStart"/>
            <w:r w:rsidRPr="00B8367E">
              <w:rPr>
                <w:rFonts w:ascii="Calibri" w:hAnsi="Calibri" w:cs="Calibri"/>
                <w:sz w:val="16"/>
                <w:szCs w:val="16"/>
              </w:rPr>
              <w:t>differenciated</w:t>
            </w:r>
            <w:proofErr w:type="spellEnd"/>
            <w:r w:rsidRPr="00B8367E">
              <w:rPr>
                <w:rFonts w:ascii="Calibri" w:hAnsi="Calibri" w:cs="Calibri"/>
                <w:sz w:val="16"/>
                <w:szCs w:val="16"/>
              </w:rPr>
              <w:t xml:space="preserve"> by eleven different technologies</w:t>
            </w:r>
          </w:p>
          <w:p w14:paraId="71FA12FF"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Energy storage and Grid- and transmission costs (per MW)</w:t>
            </w:r>
          </w:p>
          <w:p w14:paraId="21B7C124"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Cost decreases in energy technologies (on international level)</w:t>
            </w:r>
          </w:p>
          <w:p w14:paraId="21794956"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UK carbon price level and ETS price of carbon emissions</w:t>
            </w:r>
          </w:p>
          <w:p w14:paraId="44FF381E"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Learning rates</w:t>
            </w:r>
          </w:p>
          <w:p w14:paraId="0E18A281"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Energy imports</w:t>
            </w:r>
          </w:p>
          <w:p w14:paraId="07B82CFD" w14:textId="77777777" w:rsidR="00AC4BCD" w:rsidRPr="00B8367E" w:rsidRDefault="00AC4BCD"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Changes in Exergy efficiency</w:t>
            </w:r>
          </w:p>
          <w:p w14:paraId="057363EC" w14:textId="77777777" w:rsidR="00893ABB" w:rsidRPr="00B8367E" w:rsidRDefault="00893ABB"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Green investment barriers</w:t>
            </w:r>
          </w:p>
          <w:p w14:paraId="621EECE7" w14:textId="60A5F978" w:rsidR="00893ABB" w:rsidRPr="00B8367E" w:rsidRDefault="00893ABB" w:rsidP="00AC4BCD">
            <w:pPr>
              <w:pStyle w:val="ListParagraph"/>
              <w:numPr>
                <w:ilvl w:val="0"/>
                <w:numId w:val="64"/>
              </w:numPr>
              <w:spacing w:after="160" w:line="259" w:lineRule="auto"/>
              <w:jc w:val="left"/>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8367E">
              <w:rPr>
                <w:rFonts w:ascii="Calibri" w:hAnsi="Calibri" w:cs="Calibri"/>
                <w:sz w:val="16"/>
                <w:szCs w:val="16"/>
              </w:rPr>
              <w:t>Green finance gap</w:t>
            </w:r>
          </w:p>
        </w:tc>
      </w:tr>
    </w:tbl>
    <w:p w14:paraId="3BABD03B" w14:textId="77777777" w:rsidR="00AC4BCD" w:rsidRPr="00B8367E" w:rsidRDefault="00AC4BCD" w:rsidP="00793BA2">
      <w:pPr>
        <w:rPr>
          <w:rFonts w:cstheme="minorHAnsi"/>
          <w:sz w:val="14"/>
          <w:szCs w:val="14"/>
        </w:rPr>
      </w:pPr>
    </w:p>
    <w:p w14:paraId="250F7285" w14:textId="208A231B" w:rsidR="007B6192" w:rsidRPr="0099228F" w:rsidRDefault="00881CAD" w:rsidP="002B08E1">
      <w:pPr>
        <w:pStyle w:val="Heading1"/>
      </w:pPr>
      <w:r w:rsidRPr="0099228F">
        <w:t>Results</w:t>
      </w:r>
    </w:p>
    <w:p w14:paraId="6D1DDBAF" w14:textId="0480D40A" w:rsidR="00E05B44" w:rsidRPr="00601E17" w:rsidRDefault="00C7598D" w:rsidP="00E05B44">
      <w:pPr>
        <w:rPr>
          <w:rFonts w:cstheme="minorHAnsi"/>
        </w:rPr>
      </w:pPr>
      <w:r w:rsidRPr="0099228F">
        <w:rPr>
          <w:rFonts w:cstheme="minorHAnsi"/>
        </w:rPr>
        <w:t>W</w:t>
      </w:r>
      <w:r w:rsidR="00E05B44" w:rsidRPr="009C05A3">
        <w:rPr>
          <w:rFonts w:cstheme="minorHAnsi"/>
        </w:rPr>
        <w:t>e simulate and c</w:t>
      </w:r>
      <w:r w:rsidR="00455E69" w:rsidRPr="009C05A3">
        <w:rPr>
          <w:rFonts w:cstheme="minorHAnsi"/>
        </w:rPr>
        <w:t xml:space="preserve">ompare the following </w:t>
      </w:r>
      <w:r w:rsidR="008445F2" w:rsidRPr="009C05A3">
        <w:rPr>
          <w:rFonts w:cstheme="minorHAnsi"/>
        </w:rPr>
        <w:t xml:space="preserve">two </w:t>
      </w:r>
      <w:r w:rsidR="00285C16">
        <w:rPr>
          <w:rFonts w:cstheme="minorHAnsi"/>
        </w:rPr>
        <w:t xml:space="preserve">(policy) </w:t>
      </w:r>
      <w:r w:rsidR="00455E69" w:rsidRPr="00967105">
        <w:rPr>
          <w:rFonts w:cstheme="minorHAnsi"/>
        </w:rPr>
        <w:t>scenarios</w:t>
      </w:r>
      <w:r w:rsidR="00691B4D" w:rsidRPr="00967105">
        <w:rPr>
          <w:rFonts w:cstheme="minorHAnsi"/>
        </w:rPr>
        <w:t>,</w:t>
      </w:r>
      <w:r w:rsidR="00455E69" w:rsidRPr="00967105">
        <w:rPr>
          <w:rFonts w:cstheme="minorHAnsi"/>
        </w:rPr>
        <w:t xml:space="preserve"> </w:t>
      </w:r>
      <w:r w:rsidRPr="00967105">
        <w:rPr>
          <w:rFonts w:cstheme="minorHAnsi"/>
        </w:rPr>
        <w:t xml:space="preserve">building </w:t>
      </w:r>
      <w:r w:rsidR="00455E69" w:rsidRPr="00967105">
        <w:rPr>
          <w:rFonts w:cstheme="minorHAnsi"/>
        </w:rPr>
        <w:t>the current UK context</w:t>
      </w:r>
      <w:r w:rsidR="00F80097">
        <w:rPr>
          <w:rFonts w:cstheme="minorHAnsi"/>
        </w:rPr>
        <w:t xml:space="preserve">: </w:t>
      </w:r>
      <w:r w:rsidRPr="00967105">
        <w:rPr>
          <w:rFonts w:cstheme="minorHAnsi"/>
        </w:rPr>
        <w:t xml:space="preserve"> </w:t>
      </w:r>
    </w:p>
    <w:p w14:paraId="0FD0CF3F" w14:textId="74C9A90D" w:rsidR="0003196B" w:rsidRPr="0070461D" w:rsidRDefault="0003196B" w:rsidP="0003196B">
      <w:pPr>
        <w:pStyle w:val="ListParagraph"/>
        <w:numPr>
          <w:ilvl w:val="0"/>
          <w:numId w:val="23"/>
        </w:numPr>
        <w:rPr>
          <w:rFonts w:cstheme="minorHAnsi"/>
        </w:rPr>
      </w:pPr>
      <w:r w:rsidRPr="00601E17">
        <w:rPr>
          <w:rFonts w:cstheme="minorHAnsi"/>
        </w:rPr>
        <w:t xml:space="preserve">The </w:t>
      </w:r>
      <w:r w:rsidR="001B024A">
        <w:rPr>
          <w:rFonts w:cstheme="minorHAnsi"/>
          <w:b/>
        </w:rPr>
        <w:t>L</w:t>
      </w:r>
      <w:r w:rsidRPr="00601E17">
        <w:rPr>
          <w:rFonts w:cstheme="minorHAnsi"/>
          <w:b/>
        </w:rPr>
        <w:t xml:space="preserve">ow-carbon </w:t>
      </w:r>
      <w:r w:rsidR="001B024A">
        <w:rPr>
          <w:rFonts w:cstheme="minorHAnsi"/>
          <w:b/>
        </w:rPr>
        <w:t>E</w:t>
      </w:r>
      <w:r w:rsidR="00E54E82" w:rsidRPr="00601E17">
        <w:rPr>
          <w:rFonts w:cstheme="minorHAnsi"/>
          <w:b/>
        </w:rPr>
        <w:t>lectricity</w:t>
      </w:r>
      <w:r w:rsidRPr="00601E17">
        <w:rPr>
          <w:rFonts w:cstheme="minorHAnsi"/>
          <w:b/>
        </w:rPr>
        <w:t xml:space="preserve"> </w:t>
      </w:r>
      <w:r w:rsidR="001B024A">
        <w:rPr>
          <w:rFonts w:cstheme="minorHAnsi"/>
          <w:b/>
        </w:rPr>
        <w:t>T</w:t>
      </w:r>
      <w:r w:rsidRPr="00601E17">
        <w:rPr>
          <w:rFonts w:cstheme="minorHAnsi"/>
          <w:b/>
        </w:rPr>
        <w:t xml:space="preserve">ransition </w:t>
      </w:r>
      <w:r w:rsidR="00DF755F">
        <w:rPr>
          <w:rFonts w:cstheme="minorHAnsi"/>
          <w:b/>
        </w:rPr>
        <w:t xml:space="preserve">policy </w:t>
      </w:r>
      <w:r w:rsidR="001B024A">
        <w:rPr>
          <w:rFonts w:cstheme="minorHAnsi"/>
          <w:b/>
        </w:rPr>
        <w:t>S</w:t>
      </w:r>
      <w:r w:rsidRPr="004C71DD">
        <w:rPr>
          <w:rFonts w:cstheme="minorHAnsi"/>
          <w:b/>
        </w:rPr>
        <w:t>cenario (LETS)</w:t>
      </w:r>
      <w:r w:rsidRPr="004C71DD">
        <w:rPr>
          <w:rFonts w:cstheme="minorHAnsi"/>
        </w:rPr>
        <w:t xml:space="preserve"> influences variables in the </w:t>
      </w:r>
      <w:r w:rsidR="00E54E82" w:rsidRPr="004C71DD">
        <w:rPr>
          <w:rFonts w:cstheme="minorHAnsi"/>
        </w:rPr>
        <w:t>electricity</w:t>
      </w:r>
      <w:r w:rsidRPr="004C71DD">
        <w:rPr>
          <w:rFonts w:cstheme="minorHAnsi"/>
        </w:rPr>
        <w:t xml:space="preserve"> sector of the model as it implies that only renewable </w:t>
      </w:r>
      <w:r w:rsidR="00E54E82" w:rsidRPr="004C71DD">
        <w:rPr>
          <w:rFonts w:cstheme="minorHAnsi"/>
        </w:rPr>
        <w:t>e</w:t>
      </w:r>
      <w:r w:rsidR="00E54E82" w:rsidRPr="00787C9A">
        <w:rPr>
          <w:rFonts w:cstheme="minorHAnsi"/>
        </w:rPr>
        <w:t>lectricity</w:t>
      </w:r>
      <w:r w:rsidRPr="00787C9A">
        <w:rPr>
          <w:rFonts w:cstheme="minorHAnsi"/>
        </w:rPr>
        <w:t xml:space="preserve"> sources are chosen for new installations. In addition, it also implies linear </w:t>
      </w:r>
      <w:r w:rsidR="00B25A04">
        <w:rPr>
          <w:rFonts w:cstheme="minorHAnsi"/>
        </w:rPr>
        <w:t xml:space="preserve">step-wise </w:t>
      </w:r>
      <w:r w:rsidRPr="00787C9A">
        <w:rPr>
          <w:rFonts w:cstheme="minorHAnsi"/>
        </w:rPr>
        <w:t xml:space="preserve">decrease of installed </w:t>
      </w:r>
      <w:r w:rsidR="004857A9">
        <w:rPr>
          <w:rFonts w:cstheme="minorHAnsi"/>
        </w:rPr>
        <w:t>high-carbon</w:t>
      </w:r>
      <w:r w:rsidR="004857A9" w:rsidRPr="00787C9A">
        <w:rPr>
          <w:rFonts w:cstheme="minorHAnsi"/>
        </w:rPr>
        <w:t xml:space="preserve"> </w:t>
      </w:r>
      <w:r w:rsidR="00E54E82" w:rsidRPr="00FC1125">
        <w:rPr>
          <w:rFonts w:cstheme="minorHAnsi"/>
        </w:rPr>
        <w:t>electricity</w:t>
      </w:r>
      <w:r w:rsidRPr="00FC1125">
        <w:rPr>
          <w:rFonts w:cstheme="minorHAnsi"/>
        </w:rPr>
        <w:t xml:space="preserve"> capacity from 2020 onwards, leading to zero emissions by 2050 in the </w:t>
      </w:r>
      <w:r w:rsidR="00E54E82" w:rsidRPr="004857A9">
        <w:rPr>
          <w:rFonts w:cstheme="minorHAnsi"/>
        </w:rPr>
        <w:lastRenderedPageBreak/>
        <w:t>electricity</w:t>
      </w:r>
      <w:r w:rsidRPr="004857A9">
        <w:rPr>
          <w:rFonts w:cstheme="minorHAnsi"/>
        </w:rPr>
        <w:t xml:space="preserve"> sector. </w:t>
      </w:r>
      <w:r w:rsidRPr="007C0A4D">
        <w:rPr>
          <w:rFonts w:cstheme="minorHAnsi"/>
          <w:szCs w:val="21"/>
        </w:rPr>
        <w:t xml:space="preserve">The </w:t>
      </w:r>
      <w:r w:rsidR="001B024A">
        <w:rPr>
          <w:rFonts w:cstheme="minorHAnsi"/>
          <w:szCs w:val="21"/>
        </w:rPr>
        <w:t>LETS</w:t>
      </w:r>
      <w:r w:rsidRPr="007C0A4D">
        <w:rPr>
          <w:rFonts w:cstheme="minorHAnsi"/>
          <w:szCs w:val="21"/>
        </w:rPr>
        <w:t xml:space="preserve"> is </w:t>
      </w:r>
      <w:r w:rsidRPr="007C0A4D">
        <w:rPr>
          <w:rFonts w:cstheme="minorHAnsi"/>
        </w:rPr>
        <w:t>introduced by assumption a</w:t>
      </w:r>
      <w:r w:rsidRPr="0070461D">
        <w:rPr>
          <w:rFonts w:cstheme="minorHAnsi"/>
        </w:rPr>
        <w:t xml:space="preserve">nd the </w:t>
      </w:r>
      <w:r w:rsidR="00EE144F">
        <w:rPr>
          <w:rFonts w:cstheme="minorHAnsi"/>
        </w:rPr>
        <w:t>related</w:t>
      </w:r>
      <w:r w:rsidR="00EE144F" w:rsidRPr="0070461D">
        <w:rPr>
          <w:rFonts w:cstheme="minorHAnsi"/>
        </w:rPr>
        <w:t xml:space="preserve"> </w:t>
      </w:r>
      <w:r w:rsidRPr="0070461D">
        <w:rPr>
          <w:rFonts w:cstheme="minorHAnsi"/>
        </w:rPr>
        <w:t xml:space="preserve">policies </w:t>
      </w:r>
      <w:r w:rsidR="00EE144F">
        <w:rPr>
          <w:rFonts w:cstheme="minorHAnsi"/>
        </w:rPr>
        <w:t xml:space="preserve">that would implement this scenario </w:t>
      </w:r>
      <w:r w:rsidRPr="0070461D">
        <w:rPr>
          <w:rFonts w:cstheme="minorHAnsi"/>
        </w:rPr>
        <w:t xml:space="preserve">are not specified. </w:t>
      </w:r>
    </w:p>
    <w:p w14:paraId="2D81B55F" w14:textId="0B62AAC1" w:rsidR="00E05B44" w:rsidRPr="00FC1125" w:rsidRDefault="00E05B44" w:rsidP="00E05B44">
      <w:pPr>
        <w:pStyle w:val="ListParagraph"/>
        <w:numPr>
          <w:ilvl w:val="0"/>
          <w:numId w:val="23"/>
        </w:numPr>
        <w:rPr>
          <w:rFonts w:cstheme="minorHAnsi"/>
        </w:rPr>
      </w:pPr>
      <w:r w:rsidRPr="005E5158">
        <w:rPr>
          <w:rFonts w:cstheme="minorHAnsi"/>
        </w:rPr>
        <w:t xml:space="preserve">The </w:t>
      </w:r>
      <w:bookmarkStart w:id="22" w:name="_Hlk79419563"/>
      <w:r w:rsidR="00CD755D">
        <w:rPr>
          <w:rFonts w:cstheme="minorHAnsi"/>
          <w:b/>
        </w:rPr>
        <w:t xml:space="preserve">closing the </w:t>
      </w:r>
      <w:r w:rsidR="001B024A">
        <w:rPr>
          <w:rFonts w:cstheme="minorHAnsi"/>
          <w:b/>
        </w:rPr>
        <w:t>G</w:t>
      </w:r>
      <w:r w:rsidR="00CD755D">
        <w:rPr>
          <w:rFonts w:cstheme="minorHAnsi"/>
          <w:b/>
        </w:rPr>
        <w:t xml:space="preserve">reen </w:t>
      </w:r>
      <w:r w:rsidR="001B024A">
        <w:rPr>
          <w:rFonts w:cstheme="minorHAnsi"/>
          <w:b/>
        </w:rPr>
        <w:t>F</w:t>
      </w:r>
      <w:r w:rsidR="00CD755D">
        <w:rPr>
          <w:rFonts w:cstheme="minorHAnsi"/>
          <w:b/>
        </w:rPr>
        <w:t xml:space="preserve">inance </w:t>
      </w:r>
      <w:r w:rsidR="001B024A">
        <w:rPr>
          <w:rFonts w:cstheme="minorHAnsi"/>
          <w:b/>
        </w:rPr>
        <w:t>G</w:t>
      </w:r>
      <w:r w:rsidR="00CD755D">
        <w:rPr>
          <w:rFonts w:cstheme="minorHAnsi"/>
          <w:b/>
        </w:rPr>
        <w:t>ap</w:t>
      </w:r>
      <w:r w:rsidR="0059094C" w:rsidRPr="004A4678">
        <w:rPr>
          <w:rFonts w:cstheme="minorHAnsi"/>
          <w:b/>
        </w:rPr>
        <w:t xml:space="preserve"> </w:t>
      </w:r>
      <w:r w:rsidR="001B024A">
        <w:rPr>
          <w:rFonts w:cstheme="minorHAnsi"/>
          <w:b/>
        </w:rPr>
        <w:t>policy S</w:t>
      </w:r>
      <w:r w:rsidR="0059094C" w:rsidRPr="004A4678">
        <w:rPr>
          <w:rFonts w:cstheme="minorHAnsi"/>
          <w:b/>
        </w:rPr>
        <w:t>cenario</w:t>
      </w:r>
      <w:r w:rsidRPr="004A4678">
        <w:rPr>
          <w:rFonts w:cstheme="minorHAnsi"/>
          <w:b/>
        </w:rPr>
        <w:t xml:space="preserve"> </w:t>
      </w:r>
      <w:bookmarkEnd w:id="22"/>
      <w:r w:rsidR="00EB7F85" w:rsidRPr="00F14205">
        <w:rPr>
          <w:rFonts w:cstheme="minorHAnsi"/>
          <w:b/>
        </w:rPr>
        <w:t>(</w:t>
      </w:r>
      <w:r w:rsidR="007269DD">
        <w:rPr>
          <w:rFonts w:cstheme="minorHAnsi"/>
          <w:b/>
        </w:rPr>
        <w:t>GFGS</w:t>
      </w:r>
      <w:r w:rsidR="00EB7F85" w:rsidRPr="003C3C28">
        <w:rPr>
          <w:rFonts w:cstheme="minorHAnsi"/>
          <w:b/>
        </w:rPr>
        <w:t>)</w:t>
      </w:r>
      <w:r w:rsidRPr="002E6242">
        <w:rPr>
          <w:rFonts w:cstheme="minorHAnsi"/>
        </w:rPr>
        <w:t xml:space="preserve"> </w:t>
      </w:r>
      <w:r w:rsidR="00CD755D" w:rsidRPr="00793594">
        <w:rPr>
          <w:rFonts w:cstheme="minorHAnsi"/>
        </w:rPr>
        <w:t>assume</w:t>
      </w:r>
      <w:r w:rsidR="00CD755D">
        <w:rPr>
          <w:rFonts w:cstheme="minorHAnsi"/>
        </w:rPr>
        <w:t>s</w:t>
      </w:r>
      <w:r w:rsidR="00CD755D" w:rsidRPr="00793594">
        <w:rPr>
          <w:rFonts w:cstheme="minorHAnsi"/>
        </w:rPr>
        <w:t xml:space="preserve"> </w:t>
      </w:r>
      <w:r w:rsidR="00CD755D">
        <w:rPr>
          <w:rFonts w:cstheme="minorHAnsi"/>
        </w:rPr>
        <w:t>that</w:t>
      </w:r>
      <w:r w:rsidRPr="008D06CA">
        <w:rPr>
          <w:rFonts w:cstheme="minorHAnsi"/>
        </w:rPr>
        <w:t xml:space="preserve"> key green investment barriers </w:t>
      </w:r>
      <w:r w:rsidR="00CD755D">
        <w:rPr>
          <w:rFonts w:cstheme="minorHAnsi"/>
        </w:rPr>
        <w:t xml:space="preserve">are tackled </w:t>
      </w:r>
      <w:r w:rsidRPr="008D06CA">
        <w:rPr>
          <w:rFonts w:cstheme="minorHAnsi"/>
        </w:rPr>
        <w:t xml:space="preserve">in an </w:t>
      </w:r>
      <w:r w:rsidR="003056DA">
        <w:rPr>
          <w:rFonts w:cstheme="minorHAnsi"/>
        </w:rPr>
        <w:t>systemic</w:t>
      </w:r>
      <w:r w:rsidR="002B08E1" w:rsidRPr="008D06CA">
        <w:rPr>
          <w:rFonts w:cstheme="minorHAnsi"/>
        </w:rPr>
        <w:t xml:space="preserve"> </w:t>
      </w:r>
      <w:r w:rsidRPr="008D06CA">
        <w:rPr>
          <w:rFonts w:cstheme="minorHAnsi"/>
        </w:rPr>
        <w:t>and holistic way</w:t>
      </w:r>
      <w:r w:rsidR="00812644">
        <w:rPr>
          <w:rFonts w:cstheme="minorHAnsi"/>
        </w:rPr>
        <w:t xml:space="preserve">. </w:t>
      </w:r>
      <w:r w:rsidR="008042D6" w:rsidRPr="00E546D7">
        <w:rPr>
          <w:rFonts w:cstheme="minorHAnsi"/>
        </w:rPr>
        <w:t>Importantly,</w:t>
      </w:r>
      <w:r w:rsidR="00455E69" w:rsidRPr="00E546D7">
        <w:rPr>
          <w:rFonts w:cstheme="minorHAnsi"/>
        </w:rPr>
        <w:t xml:space="preserve"> we note that </w:t>
      </w:r>
      <w:r w:rsidR="00455E69" w:rsidRPr="00E546D7">
        <w:rPr>
          <w:rFonts w:cstheme="minorHAnsi"/>
          <w:szCs w:val="21"/>
        </w:rPr>
        <w:t xml:space="preserve">while the details of </w:t>
      </w:r>
      <w:r w:rsidR="00B32EC4" w:rsidRPr="00E546D7">
        <w:rPr>
          <w:rFonts w:cstheme="minorHAnsi"/>
          <w:szCs w:val="21"/>
        </w:rPr>
        <w:t xml:space="preserve">the </w:t>
      </w:r>
      <w:r w:rsidR="003056DA">
        <w:rPr>
          <w:rFonts w:cstheme="minorHAnsi"/>
          <w:szCs w:val="21"/>
        </w:rPr>
        <w:t>closing the green finance gap</w:t>
      </w:r>
      <w:r w:rsidR="00455E69" w:rsidRPr="00476427">
        <w:rPr>
          <w:rFonts w:cstheme="minorHAnsi"/>
          <w:szCs w:val="21"/>
        </w:rPr>
        <w:t xml:space="preserve"> </w:t>
      </w:r>
      <w:r w:rsidR="00B32EC4" w:rsidRPr="00476427">
        <w:rPr>
          <w:rFonts w:cstheme="minorHAnsi"/>
          <w:szCs w:val="21"/>
        </w:rPr>
        <w:t xml:space="preserve">scenario </w:t>
      </w:r>
      <w:r w:rsidR="00455E69" w:rsidRPr="00476427">
        <w:rPr>
          <w:rFonts w:cstheme="minorHAnsi"/>
          <w:szCs w:val="21"/>
        </w:rPr>
        <w:t xml:space="preserve">are not specified in this study, we assume that </w:t>
      </w:r>
      <w:r w:rsidR="00B32EC4" w:rsidRPr="00476427">
        <w:rPr>
          <w:rFonts w:cstheme="minorHAnsi"/>
          <w:szCs w:val="21"/>
        </w:rPr>
        <w:t>it</w:t>
      </w:r>
      <w:r w:rsidR="00455E69" w:rsidRPr="00476427">
        <w:rPr>
          <w:rFonts w:cstheme="minorHAnsi"/>
          <w:szCs w:val="21"/>
        </w:rPr>
        <w:t xml:space="preserve"> involves amendments in current regulations, investment advice, risk assessment requirements (e.g. ESG criteria and climate related risks dis</w:t>
      </w:r>
      <w:r w:rsidR="00455E69" w:rsidRPr="00462537">
        <w:rPr>
          <w:rFonts w:cstheme="minorHAnsi"/>
          <w:szCs w:val="21"/>
        </w:rPr>
        <w:t xml:space="preserve">closure), metrics reported and tools applied, drawing on </w:t>
      </w:r>
      <w:r w:rsidR="00691B4D" w:rsidRPr="00462537">
        <w:rPr>
          <w:rFonts w:cstheme="minorHAnsi"/>
          <w:szCs w:val="21"/>
        </w:rPr>
        <w:t xml:space="preserve">empirical evidence stated in </w:t>
      </w:r>
      <w:r w:rsidR="00455E69" w:rsidRPr="00462537">
        <w:rPr>
          <w:rFonts w:cstheme="minorHAnsi"/>
          <w:szCs w:val="21"/>
        </w:rPr>
        <w:t xml:space="preserve">Hafner et al. (2020a). The </w:t>
      </w:r>
      <w:r w:rsidR="006E680F">
        <w:rPr>
          <w:rFonts w:cstheme="minorHAnsi"/>
          <w:szCs w:val="21"/>
        </w:rPr>
        <w:t>closing the green finance gap</w:t>
      </w:r>
      <w:r w:rsidR="00455E69" w:rsidRPr="00E6651C">
        <w:rPr>
          <w:rFonts w:cstheme="minorHAnsi"/>
          <w:szCs w:val="21"/>
        </w:rPr>
        <w:t xml:space="preserve"> </w:t>
      </w:r>
      <w:r w:rsidR="004C71DD">
        <w:rPr>
          <w:rFonts w:cstheme="minorHAnsi"/>
          <w:szCs w:val="21"/>
        </w:rPr>
        <w:t xml:space="preserve">scenario </w:t>
      </w:r>
      <w:r w:rsidR="00455E69" w:rsidRPr="004C71DD">
        <w:rPr>
          <w:rFonts w:cstheme="minorHAnsi"/>
          <w:szCs w:val="21"/>
        </w:rPr>
        <w:t>in GIBM, means that green investment flow</w:t>
      </w:r>
      <w:r w:rsidR="006E680F">
        <w:rPr>
          <w:rFonts w:cstheme="minorHAnsi"/>
          <w:szCs w:val="21"/>
        </w:rPr>
        <w:t>s</w:t>
      </w:r>
      <w:r w:rsidR="00455E69" w:rsidRPr="004C71DD">
        <w:rPr>
          <w:rFonts w:cstheme="minorHAnsi"/>
          <w:szCs w:val="21"/>
        </w:rPr>
        <w:t xml:space="preserve"> to renewable </w:t>
      </w:r>
      <w:r w:rsidR="00E54E82" w:rsidRPr="004C71DD">
        <w:rPr>
          <w:rFonts w:cstheme="minorHAnsi"/>
          <w:szCs w:val="21"/>
        </w:rPr>
        <w:t>electricity</w:t>
      </w:r>
      <w:r w:rsidR="00455E69" w:rsidRPr="00787C9A">
        <w:rPr>
          <w:rFonts w:cstheme="minorHAnsi"/>
          <w:szCs w:val="21"/>
        </w:rPr>
        <w:t xml:space="preserve"> infrastructure are no longer restricted by the availability of finance</w:t>
      </w:r>
      <w:r w:rsidR="00691B4D" w:rsidRPr="00787C9A">
        <w:rPr>
          <w:rFonts w:cstheme="minorHAnsi"/>
          <w:szCs w:val="21"/>
        </w:rPr>
        <w:t xml:space="preserve"> as </w:t>
      </w:r>
      <w:r w:rsidR="00A537CE" w:rsidRPr="00FC1125">
        <w:rPr>
          <w:rFonts w:cstheme="minorHAnsi"/>
          <w:szCs w:val="21"/>
        </w:rPr>
        <w:t>compared to</w:t>
      </w:r>
      <w:r w:rsidR="00691B4D" w:rsidRPr="00FC1125">
        <w:rPr>
          <w:rFonts w:cstheme="minorHAnsi"/>
          <w:szCs w:val="21"/>
        </w:rPr>
        <w:t xml:space="preserve"> </w:t>
      </w:r>
      <w:r w:rsidR="00A537CE" w:rsidRPr="00FC1125">
        <w:rPr>
          <w:rFonts w:cstheme="minorHAnsi"/>
          <w:szCs w:val="21"/>
        </w:rPr>
        <w:t xml:space="preserve">the base-run that represents </w:t>
      </w:r>
      <w:r w:rsidR="00691B4D" w:rsidRPr="00FC1125">
        <w:rPr>
          <w:rFonts w:cstheme="minorHAnsi"/>
          <w:szCs w:val="21"/>
        </w:rPr>
        <w:t>the current</w:t>
      </w:r>
      <w:r w:rsidR="00190A07" w:rsidRPr="00FC1125">
        <w:rPr>
          <w:rFonts w:cstheme="minorHAnsi"/>
          <w:szCs w:val="21"/>
        </w:rPr>
        <w:t xml:space="preserve"> situation</w:t>
      </w:r>
      <w:r w:rsidR="00691B4D" w:rsidRPr="00FC1125">
        <w:rPr>
          <w:rFonts w:cstheme="minorHAnsi"/>
          <w:szCs w:val="21"/>
        </w:rPr>
        <w:t xml:space="preserve"> </w:t>
      </w:r>
      <w:r w:rsidR="007C143C" w:rsidRPr="00FC1125">
        <w:rPr>
          <w:rFonts w:cstheme="minorHAnsi"/>
          <w:szCs w:val="21"/>
        </w:rPr>
        <w:t>with</w:t>
      </w:r>
      <w:r w:rsidR="00691B4D" w:rsidRPr="00FC1125">
        <w:rPr>
          <w:rFonts w:cstheme="minorHAnsi"/>
          <w:szCs w:val="21"/>
        </w:rPr>
        <w:t xml:space="preserve"> a green fina</w:t>
      </w:r>
      <w:r w:rsidR="00691B4D" w:rsidRPr="00810ED7">
        <w:rPr>
          <w:rFonts w:cstheme="minorHAnsi"/>
          <w:szCs w:val="21"/>
        </w:rPr>
        <w:t>nce ga</w:t>
      </w:r>
      <w:r w:rsidR="00190A07" w:rsidRPr="00810ED7">
        <w:rPr>
          <w:rFonts w:cstheme="minorHAnsi"/>
          <w:szCs w:val="21"/>
        </w:rPr>
        <w:t xml:space="preserve">p. </w:t>
      </w:r>
      <w:r w:rsidR="00A537CE" w:rsidRPr="004857A9">
        <w:rPr>
          <w:rFonts w:cstheme="minorHAnsi"/>
          <w:szCs w:val="21"/>
        </w:rPr>
        <w:t>That is,</w:t>
      </w:r>
      <w:r w:rsidR="00190A07" w:rsidRPr="007C0A4D">
        <w:rPr>
          <w:rFonts w:cstheme="minorHAnsi"/>
          <w:szCs w:val="21"/>
        </w:rPr>
        <w:t xml:space="preserve"> in GIBM, without the introduction of an adequate policy </w:t>
      </w:r>
      <w:r w:rsidR="004C71DD">
        <w:rPr>
          <w:rFonts w:cstheme="minorHAnsi"/>
          <w:szCs w:val="21"/>
        </w:rPr>
        <w:t xml:space="preserve">approach/scenario </w:t>
      </w:r>
      <w:r w:rsidR="00190A07" w:rsidRPr="004C71DD">
        <w:rPr>
          <w:rFonts w:cstheme="minorHAnsi"/>
          <w:szCs w:val="21"/>
        </w:rPr>
        <w:t xml:space="preserve">available green finance is below the amount of finance required to finance a green </w:t>
      </w:r>
      <w:r w:rsidR="00E54E82" w:rsidRPr="004C71DD">
        <w:rPr>
          <w:rFonts w:cstheme="minorHAnsi"/>
          <w:szCs w:val="21"/>
        </w:rPr>
        <w:t>electricity</w:t>
      </w:r>
      <w:r w:rsidR="00190A07" w:rsidRPr="004C71DD">
        <w:rPr>
          <w:rFonts w:cstheme="minorHAnsi"/>
          <w:szCs w:val="21"/>
        </w:rPr>
        <w:t xml:space="preserve"> transition</w:t>
      </w:r>
      <w:r w:rsidR="00B32EC4" w:rsidRPr="004C71DD">
        <w:rPr>
          <w:rFonts w:cstheme="minorHAnsi"/>
          <w:szCs w:val="21"/>
        </w:rPr>
        <w:t xml:space="preserve"> and unmet </w:t>
      </w:r>
      <w:r w:rsidR="007C143C" w:rsidRPr="00FC1125">
        <w:rPr>
          <w:rFonts w:cstheme="minorHAnsi"/>
          <w:szCs w:val="21"/>
        </w:rPr>
        <w:t xml:space="preserve">requests for finance to install </w:t>
      </w:r>
      <w:r w:rsidR="00B32EC4" w:rsidRPr="00FC1125">
        <w:rPr>
          <w:rFonts w:cstheme="minorHAnsi"/>
          <w:szCs w:val="21"/>
        </w:rPr>
        <w:t xml:space="preserve">renewable </w:t>
      </w:r>
      <w:r w:rsidR="00E54E82" w:rsidRPr="00FC1125">
        <w:rPr>
          <w:rFonts w:cstheme="minorHAnsi"/>
          <w:szCs w:val="21"/>
        </w:rPr>
        <w:t>electricity</w:t>
      </w:r>
      <w:r w:rsidR="00B32EC4" w:rsidRPr="00FC1125">
        <w:rPr>
          <w:rFonts w:cstheme="minorHAnsi"/>
          <w:szCs w:val="21"/>
        </w:rPr>
        <w:t xml:space="preserve"> capacity </w:t>
      </w:r>
      <w:r w:rsidR="007C143C" w:rsidRPr="00FC1125">
        <w:rPr>
          <w:rFonts w:cstheme="minorHAnsi"/>
          <w:szCs w:val="21"/>
        </w:rPr>
        <w:t>are</w:t>
      </w:r>
      <w:r w:rsidR="00B32EC4" w:rsidRPr="00FC1125">
        <w:rPr>
          <w:rFonts w:cstheme="minorHAnsi"/>
          <w:szCs w:val="21"/>
        </w:rPr>
        <w:t xml:space="preserve"> </w:t>
      </w:r>
      <w:r w:rsidR="007C143C" w:rsidRPr="00FC1125">
        <w:rPr>
          <w:rFonts w:cstheme="minorHAnsi"/>
          <w:szCs w:val="21"/>
        </w:rPr>
        <w:t>covered</w:t>
      </w:r>
      <w:r w:rsidR="00B32EC4" w:rsidRPr="00FC1125">
        <w:rPr>
          <w:rFonts w:cstheme="minorHAnsi"/>
          <w:szCs w:val="21"/>
        </w:rPr>
        <w:t xml:space="preserve"> by </w:t>
      </w:r>
      <w:r w:rsidR="00E54E82" w:rsidRPr="00FC1125">
        <w:rPr>
          <w:rFonts w:cstheme="minorHAnsi"/>
          <w:szCs w:val="21"/>
        </w:rPr>
        <w:t>electricity</w:t>
      </w:r>
      <w:r w:rsidR="00B32EC4" w:rsidRPr="00FC1125">
        <w:rPr>
          <w:rFonts w:cstheme="minorHAnsi"/>
          <w:szCs w:val="21"/>
        </w:rPr>
        <w:t xml:space="preserve"> imports from abroad</w:t>
      </w:r>
      <w:r w:rsidR="00455E69" w:rsidRPr="007C0A4D">
        <w:rPr>
          <w:rFonts w:cstheme="minorHAnsi"/>
          <w:szCs w:val="21"/>
        </w:rPr>
        <w:t>.</w:t>
      </w:r>
      <w:r w:rsidR="007C143C" w:rsidRPr="007C0A4D">
        <w:rPr>
          <w:rFonts w:cstheme="minorHAnsi"/>
          <w:szCs w:val="21"/>
        </w:rPr>
        <w:t xml:space="preserve"> </w:t>
      </w:r>
      <w:r w:rsidR="002B08E1">
        <w:rPr>
          <w:rFonts w:cstheme="minorHAnsi"/>
          <w:szCs w:val="21"/>
        </w:rPr>
        <w:t xml:space="preserve">In addition, </w:t>
      </w:r>
      <w:r w:rsidR="003056DA">
        <w:rPr>
          <w:rFonts w:cstheme="minorHAnsi"/>
          <w:szCs w:val="21"/>
        </w:rPr>
        <w:t xml:space="preserve">the tested </w:t>
      </w:r>
      <w:r w:rsidR="004C71DD">
        <w:rPr>
          <w:rFonts w:cstheme="minorHAnsi"/>
          <w:szCs w:val="21"/>
        </w:rPr>
        <w:t xml:space="preserve">scenario </w:t>
      </w:r>
      <w:r w:rsidR="00455E69" w:rsidRPr="004C71DD">
        <w:rPr>
          <w:rFonts w:cstheme="minorHAnsi"/>
          <w:szCs w:val="21"/>
        </w:rPr>
        <w:t xml:space="preserve">reduces the mark-up on interest rates of renewable </w:t>
      </w:r>
      <w:r w:rsidR="00E54E82" w:rsidRPr="004C71DD">
        <w:rPr>
          <w:rFonts w:cstheme="minorHAnsi"/>
          <w:szCs w:val="21"/>
        </w:rPr>
        <w:t>electricity</w:t>
      </w:r>
      <w:r w:rsidR="00455E69" w:rsidRPr="004C71DD">
        <w:rPr>
          <w:rFonts w:cstheme="minorHAnsi"/>
          <w:szCs w:val="21"/>
        </w:rPr>
        <w:t xml:space="preserve"> projects </w:t>
      </w:r>
      <w:r w:rsidR="00B32EC4" w:rsidRPr="00787C9A">
        <w:rPr>
          <w:rFonts w:cstheme="minorHAnsi"/>
          <w:szCs w:val="21"/>
        </w:rPr>
        <w:t>as well as</w:t>
      </w:r>
      <w:r w:rsidR="00455E69" w:rsidRPr="00787C9A">
        <w:rPr>
          <w:rFonts w:cstheme="minorHAnsi"/>
          <w:szCs w:val="21"/>
        </w:rPr>
        <w:t xml:space="preserve"> the average interest rate </w:t>
      </w:r>
      <w:r w:rsidR="002B08E1">
        <w:rPr>
          <w:rFonts w:cstheme="minorHAnsi"/>
          <w:szCs w:val="21"/>
        </w:rPr>
        <w:t xml:space="preserve">as the scenario involves a reduction of risks particularly for low-carbon energy technologies </w:t>
      </w:r>
      <w:r w:rsidR="00455E69" w:rsidRPr="00787C9A">
        <w:rPr>
          <w:rFonts w:cstheme="minorHAnsi"/>
          <w:szCs w:val="21"/>
        </w:rPr>
        <w:t xml:space="preserve">(see </w:t>
      </w:r>
      <w:r w:rsidR="008042D6" w:rsidRPr="00FC1125">
        <w:rPr>
          <w:rFonts w:cstheme="minorHAnsi"/>
          <w:szCs w:val="21"/>
        </w:rPr>
        <w:t>figure below</w:t>
      </w:r>
      <w:r w:rsidR="00052099">
        <w:rPr>
          <w:rFonts w:cstheme="minorHAnsi"/>
          <w:szCs w:val="21"/>
        </w:rPr>
        <w:t xml:space="preserve"> and see equation 3ff in the appendix</w:t>
      </w:r>
      <w:r w:rsidR="008042D6" w:rsidRPr="00FC1125">
        <w:rPr>
          <w:rFonts w:cstheme="minorHAnsi"/>
          <w:szCs w:val="21"/>
        </w:rPr>
        <w:t>)</w:t>
      </w:r>
      <w:r w:rsidR="00C46B26">
        <w:rPr>
          <w:rFonts w:cstheme="minorHAnsi"/>
        </w:rPr>
        <w:t xml:space="preserve">. </w:t>
      </w:r>
      <w:r w:rsidR="003056DA">
        <w:rPr>
          <w:rFonts w:cstheme="minorHAnsi"/>
        </w:rPr>
        <w:t xml:space="preserve">This is because the tested scenario is assumed to tackle the green investment barriers stated above, thus lowering the (perceived) risks of renewables and pressure for short-term profits on the </w:t>
      </w:r>
      <w:proofErr w:type="spellStart"/>
      <w:r w:rsidR="003056DA">
        <w:rPr>
          <w:rFonts w:cstheme="minorHAnsi"/>
        </w:rPr>
        <w:t>avergage</w:t>
      </w:r>
      <w:proofErr w:type="spellEnd"/>
      <w:r w:rsidR="003056DA">
        <w:rPr>
          <w:rFonts w:cstheme="minorHAnsi"/>
        </w:rPr>
        <w:t xml:space="preserve"> </w:t>
      </w:r>
      <w:proofErr w:type="spellStart"/>
      <w:r w:rsidR="003056DA">
        <w:rPr>
          <w:rFonts w:cstheme="minorHAnsi"/>
        </w:rPr>
        <w:t>interst</w:t>
      </w:r>
      <w:proofErr w:type="spellEnd"/>
      <w:r w:rsidR="003056DA">
        <w:rPr>
          <w:rFonts w:cstheme="minorHAnsi"/>
        </w:rPr>
        <w:t xml:space="preserve"> rate. </w:t>
      </w:r>
    </w:p>
    <w:p w14:paraId="27A286D3" w14:textId="487A7FE9" w:rsidR="008967C2" w:rsidRPr="00787C9A" w:rsidRDefault="008967C2" w:rsidP="008967C2">
      <w:pPr>
        <w:pStyle w:val="Caption"/>
        <w:keepNext/>
        <w:rPr>
          <w:rFonts w:asciiTheme="minorHAnsi" w:hAnsiTheme="minorHAnsi" w:cstheme="minorHAnsi"/>
          <w:b w:val="0"/>
          <w:i/>
        </w:rPr>
      </w:pPr>
      <w:bookmarkStart w:id="23" w:name="_Hlk54086500"/>
      <w:r w:rsidRPr="00787C9A">
        <w:rPr>
          <w:rFonts w:asciiTheme="minorHAnsi" w:hAnsiTheme="minorHAnsi" w:cstheme="minorHAnsi"/>
        </w:rPr>
        <w:t xml:space="preserve">Figure </w:t>
      </w:r>
      <w:r w:rsidR="00086A44" w:rsidRPr="00787C9A">
        <w:rPr>
          <w:rFonts w:asciiTheme="minorHAnsi" w:hAnsiTheme="minorHAnsi" w:cstheme="minorHAnsi"/>
        </w:rPr>
        <w:fldChar w:fldCharType="begin"/>
      </w:r>
      <w:r w:rsidR="00086A44" w:rsidRPr="00787C9A">
        <w:rPr>
          <w:rFonts w:asciiTheme="minorHAnsi" w:hAnsiTheme="minorHAnsi" w:cstheme="minorHAnsi"/>
        </w:rPr>
        <w:instrText xml:space="preserve"> SEQ Figure \* ARABIC </w:instrText>
      </w:r>
      <w:r w:rsidR="00086A44" w:rsidRPr="00787C9A">
        <w:rPr>
          <w:rFonts w:asciiTheme="minorHAnsi" w:hAnsiTheme="minorHAnsi" w:cstheme="minorHAnsi"/>
        </w:rPr>
        <w:fldChar w:fldCharType="separate"/>
      </w:r>
      <w:r w:rsidR="00703CE0">
        <w:rPr>
          <w:rFonts w:asciiTheme="minorHAnsi" w:hAnsiTheme="minorHAnsi" w:cstheme="minorHAnsi"/>
          <w:noProof/>
        </w:rPr>
        <w:t>2</w:t>
      </w:r>
      <w:r w:rsidR="00086A44" w:rsidRPr="00787C9A">
        <w:rPr>
          <w:rFonts w:asciiTheme="minorHAnsi" w:hAnsiTheme="minorHAnsi" w:cstheme="minorHAnsi"/>
          <w:noProof/>
        </w:rPr>
        <w:fldChar w:fldCharType="end"/>
      </w:r>
      <w:r w:rsidRPr="00787C9A">
        <w:rPr>
          <w:rFonts w:asciiTheme="minorHAnsi" w:hAnsiTheme="minorHAnsi" w:cstheme="minorHAnsi"/>
        </w:rPr>
        <w:t xml:space="preserve">: Impacts of </w:t>
      </w:r>
      <w:r w:rsidR="00451D0E">
        <w:rPr>
          <w:rFonts w:asciiTheme="minorHAnsi" w:hAnsiTheme="minorHAnsi" w:cstheme="minorHAnsi"/>
        </w:rPr>
        <w:t>closing the green finance gap</w:t>
      </w:r>
      <w:r w:rsidR="001B024A">
        <w:rPr>
          <w:rFonts w:asciiTheme="minorHAnsi" w:hAnsiTheme="minorHAnsi" w:cstheme="minorHAnsi"/>
        </w:rPr>
        <w:t xml:space="preserve"> policy scenario</w:t>
      </w:r>
      <w:r w:rsidRPr="00787C9A">
        <w:rPr>
          <w:rFonts w:asciiTheme="minorHAnsi" w:hAnsiTheme="minorHAnsi" w:cstheme="minorHAnsi"/>
        </w:rPr>
        <w:t xml:space="preserve">: </w:t>
      </w:r>
      <w:r w:rsidRPr="00787C9A">
        <w:rPr>
          <w:rFonts w:asciiTheme="minorHAnsi" w:hAnsiTheme="minorHAnsi" w:cstheme="minorHAnsi"/>
          <w:b w:val="0"/>
          <w:i/>
        </w:rPr>
        <w:t>It lowers (</w:t>
      </w:r>
      <w:proofErr w:type="spellStart"/>
      <w:r w:rsidRPr="00787C9A">
        <w:rPr>
          <w:rFonts w:asciiTheme="minorHAnsi" w:hAnsiTheme="minorHAnsi" w:cstheme="minorHAnsi"/>
          <w:b w:val="0"/>
          <w:i/>
        </w:rPr>
        <w:t>i</w:t>
      </w:r>
      <w:proofErr w:type="spellEnd"/>
      <w:r w:rsidRPr="00787C9A">
        <w:rPr>
          <w:rFonts w:asciiTheme="minorHAnsi" w:hAnsiTheme="minorHAnsi" w:cstheme="minorHAnsi"/>
          <w:b w:val="0"/>
          <w:i/>
        </w:rPr>
        <w:t>) average interest rates, the interest rate spread</w:t>
      </w:r>
      <w:r w:rsidR="004B03FB">
        <w:rPr>
          <w:rFonts w:asciiTheme="minorHAnsi" w:hAnsiTheme="minorHAnsi" w:cstheme="minorHAnsi"/>
          <w:b w:val="0"/>
          <w:i/>
        </w:rPr>
        <w:t xml:space="preserve"> ark-up)</w:t>
      </w:r>
      <w:r w:rsidRPr="00787C9A">
        <w:rPr>
          <w:rFonts w:asciiTheme="minorHAnsi" w:hAnsiTheme="minorHAnsi" w:cstheme="minorHAnsi"/>
          <w:b w:val="0"/>
          <w:i/>
        </w:rPr>
        <w:t xml:space="preserve"> on renewable </w:t>
      </w:r>
      <w:r w:rsidR="00E54E82" w:rsidRPr="00787C9A">
        <w:rPr>
          <w:rFonts w:asciiTheme="minorHAnsi" w:hAnsiTheme="minorHAnsi" w:cstheme="minorHAnsi"/>
          <w:b w:val="0"/>
          <w:i/>
        </w:rPr>
        <w:t>electricity</w:t>
      </w:r>
      <w:r w:rsidRPr="00787C9A">
        <w:rPr>
          <w:rFonts w:asciiTheme="minorHAnsi" w:hAnsiTheme="minorHAnsi" w:cstheme="minorHAnsi"/>
          <w:b w:val="0"/>
          <w:i/>
        </w:rPr>
        <w:t xml:space="preserve"> technology investment and (ii) closes the green finance gap (not visible on the figure).</w:t>
      </w:r>
      <w:bookmarkEnd w:id="23"/>
    </w:p>
    <w:p w14:paraId="211B0381" w14:textId="1F64651D" w:rsidR="008967C2" w:rsidRPr="0099228F" w:rsidRDefault="001B024A" w:rsidP="008967C2">
      <w:pPr>
        <w:rPr>
          <w:rFonts w:cstheme="minorHAnsi"/>
        </w:rPr>
      </w:pPr>
      <w:r w:rsidRPr="001B024A">
        <w:rPr>
          <w:noProof/>
        </w:rPr>
        <w:t xml:space="preserve"> </w:t>
      </w:r>
      <w:r w:rsidRPr="001B024A">
        <w:rPr>
          <w:rFonts w:cstheme="minorHAnsi"/>
          <w:noProof/>
        </w:rPr>
        <w:drawing>
          <wp:inline distT="0" distB="0" distL="0" distR="0" wp14:anchorId="0D4D60AC" wp14:editId="545EAC51">
            <wp:extent cx="5148775" cy="2201891"/>
            <wp:effectExtent l="0" t="0" r="0" b="8255"/>
            <wp:docPr id="39" name="Grafik 2">
              <a:extLst xmlns:a="http://schemas.openxmlformats.org/drawingml/2006/main">
                <a:ext uri="{FF2B5EF4-FFF2-40B4-BE49-F238E27FC236}">
                  <a16:creationId xmlns:a16="http://schemas.microsoft.com/office/drawing/2014/main" id="{4AFA0AC3-5061-40BB-8C8D-6FC16C2762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a:extLst>
                        <a:ext uri="{FF2B5EF4-FFF2-40B4-BE49-F238E27FC236}">
                          <a16:creationId xmlns:a16="http://schemas.microsoft.com/office/drawing/2014/main" id="{4AFA0AC3-5061-40BB-8C8D-6FC16C2762D9}"/>
                        </a:ext>
                      </a:extLst>
                    </pic:cNvPr>
                    <pic:cNvPicPr>
                      <a:picLocks noChangeAspect="1"/>
                    </pic:cNvPicPr>
                  </pic:nvPicPr>
                  <pic:blipFill>
                    <a:blip r:embed="rId9"/>
                    <a:stretch>
                      <a:fillRect/>
                    </a:stretch>
                  </pic:blipFill>
                  <pic:spPr>
                    <a:xfrm>
                      <a:off x="0" y="0"/>
                      <a:ext cx="5162499" cy="2207760"/>
                    </a:xfrm>
                    <a:prstGeom prst="rect">
                      <a:avLst/>
                    </a:prstGeom>
                  </pic:spPr>
                </pic:pic>
              </a:graphicData>
            </a:graphic>
          </wp:inline>
        </w:drawing>
      </w:r>
    </w:p>
    <w:p w14:paraId="6CA915BF" w14:textId="70C9D5F9" w:rsidR="002B08E1" w:rsidRDefault="00FC1125" w:rsidP="00FC1125">
      <w:pPr>
        <w:rPr>
          <w:rFonts w:cstheme="minorHAnsi"/>
        </w:rPr>
      </w:pPr>
      <w:r w:rsidRPr="00CB37CF">
        <w:rPr>
          <w:rFonts w:cstheme="minorHAnsi"/>
        </w:rPr>
        <w:t xml:space="preserve">In addition, the </w:t>
      </w:r>
      <w:r w:rsidRPr="00787C9A">
        <w:rPr>
          <w:rFonts w:cstheme="minorHAnsi"/>
        </w:rPr>
        <w:t xml:space="preserve">scenarios introduced above were tested in combination. </w:t>
      </w:r>
    </w:p>
    <w:p w14:paraId="0A7BB557" w14:textId="6ECD204F" w:rsidR="00FC1125" w:rsidRPr="00787C9A" w:rsidRDefault="00FC1125" w:rsidP="00FC1125">
      <w:pPr>
        <w:rPr>
          <w:rFonts w:cstheme="minorHAnsi"/>
        </w:rPr>
      </w:pPr>
      <w:r>
        <w:rPr>
          <w:rFonts w:cstheme="minorHAnsi"/>
        </w:rPr>
        <w:t xml:space="preserve">As indicated, we stress that we do not attempt here to specify particular policies (e.g. carbon prices) that would lead to the </w:t>
      </w:r>
      <w:r w:rsidR="001B024A">
        <w:rPr>
          <w:rFonts w:cstheme="minorHAnsi"/>
        </w:rPr>
        <w:t xml:space="preserve">policy </w:t>
      </w:r>
      <w:r>
        <w:rPr>
          <w:rFonts w:cstheme="minorHAnsi"/>
        </w:rPr>
        <w:t>scenarios formulated. Instead, we impose them in the model by assumption</w:t>
      </w:r>
      <w:r w:rsidR="00C85DAD">
        <w:rPr>
          <w:rFonts w:cstheme="minorHAnsi"/>
        </w:rPr>
        <w:t xml:space="preserve"> so as to test the macroeconomic implications of closing the green finance gap</w:t>
      </w:r>
      <w:r w:rsidR="00476427">
        <w:rPr>
          <w:rFonts w:cstheme="minorHAnsi"/>
        </w:rPr>
        <w:t xml:space="preserve"> within a low-carbon power transition</w:t>
      </w:r>
      <w:r>
        <w:rPr>
          <w:rFonts w:cstheme="minorHAnsi"/>
        </w:rPr>
        <w:t xml:space="preserve">. </w:t>
      </w:r>
      <w:r w:rsidR="001B024A">
        <w:rPr>
          <w:rFonts w:cstheme="minorHAnsi"/>
        </w:rPr>
        <w:t xml:space="preserve">However, as in particular the closing the green finance gap policy scenario is based on the policy insights gained in Hafner et al. (2020a), we refer to them as ‘policy’ scenarios. </w:t>
      </w:r>
    </w:p>
    <w:p w14:paraId="24621DD8" w14:textId="3F51466A" w:rsidR="008967C2" w:rsidRPr="009C05A3" w:rsidRDefault="008967C2" w:rsidP="008967C2">
      <w:pPr>
        <w:rPr>
          <w:rFonts w:cstheme="minorHAnsi"/>
        </w:rPr>
      </w:pPr>
      <w:r w:rsidRPr="009C05A3">
        <w:rPr>
          <w:rFonts w:cstheme="minorHAnsi"/>
        </w:rPr>
        <w:lastRenderedPageBreak/>
        <w:t xml:space="preserve">Importantly, although the UK has implemented a CFD </w:t>
      </w:r>
      <w:r w:rsidR="00CE76C7">
        <w:rPr>
          <w:rFonts w:cstheme="minorHAnsi"/>
        </w:rPr>
        <w:t xml:space="preserve">(Contract for Difference) </w:t>
      </w:r>
      <w:r w:rsidRPr="009C05A3">
        <w:rPr>
          <w:rFonts w:cstheme="minorHAnsi"/>
        </w:rPr>
        <w:t xml:space="preserve">scheme, a stylised CFD scenario is not used as a base-run as the interest lies in understanding the additional costs of different policy scenarios compared with the base-run where </w:t>
      </w:r>
      <w:r w:rsidR="008650D1">
        <w:rPr>
          <w:rFonts w:cstheme="minorHAnsi"/>
        </w:rPr>
        <w:t xml:space="preserve">carbon prices are accounted for, but where </w:t>
      </w:r>
      <w:r w:rsidRPr="009C05A3">
        <w:rPr>
          <w:rFonts w:cstheme="minorHAnsi"/>
        </w:rPr>
        <w:t>no major scheme is introduced</w:t>
      </w:r>
      <w:r w:rsidRPr="0099228F">
        <w:rPr>
          <w:rStyle w:val="FootnoteReference"/>
          <w:rFonts w:cstheme="minorHAnsi"/>
        </w:rPr>
        <w:footnoteReference w:id="7"/>
      </w:r>
      <w:r w:rsidRPr="0099228F">
        <w:rPr>
          <w:rFonts w:cstheme="minorHAnsi"/>
        </w:rPr>
        <w:t xml:space="preserve">. </w:t>
      </w:r>
    </w:p>
    <w:p w14:paraId="631FA0DD" w14:textId="77777777" w:rsidR="008967C2" w:rsidRPr="009C05A3" w:rsidRDefault="008967C2" w:rsidP="008967C2">
      <w:pPr>
        <w:rPr>
          <w:rFonts w:cstheme="minorHAnsi"/>
        </w:rPr>
      </w:pPr>
      <w:bookmarkStart w:id="24" w:name="_Hlk58065504"/>
      <w:r w:rsidRPr="009C05A3">
        <w:rPr>
          <w:rFonts w:cstheme="minorHAnsi"/>
        </w:rPr>
        <w:t xml:space="preserve">We present the simulation results for the following key policy indicators: </w:t>
      </w:r>
    </w:p>
    <w:p w14:paraId="4F6B1D5E" w14:textId="064C3280" w:rsidR="008967C2" w:rsidRPr="00787C9A" w:rsidRDefault="008967C2" w:rsidP="008967C2">
      <w:pPr>
        <w:pStyle w:val="ListParagraph"/>
        <w:numPr>
          <w:ilvl w:val="0"/>
          <w:numId w:val="8"/>
        </w:numPr>
        <w:rPr>
          <w:rFonts w:cstheme="minorHAnsi"/>
          <w:color w:val="000000"/>
          <w:sz w:val="19"/>
          <w:szCs w:val="19"/>
        </w:rPr>
      </w:pPr>
      <w:r w:rsidRPr="00967105">
        <w:rPr>
          <w:rFonts w:cstheme="minorHAnsi"/>
        </w:rPr>
        <w:t xml:space="preserve">Greenhouse gas emissions of the </w:t>
      </w:r>
      <w:r w:rsidR="00E54E82" w:rsidRPr="00967105">
        <w:rPr>
          <w:rFonts w:cstheme="minorHAnsi"/>
        </w:rPr>
        <w:t>electricity</w:t>
      </w:r>
      <w:r w:rsidRPr="00967105">
        <w:rPr>
          <w:rFonts w:cstheme="minorHAnsi"/>
        </w:rPr>
        <w:t xml:space="preserve"> supply system</w:t>
      </w:r>
    </w:p>
    <w:p w14:paraId="5B528C3E" w14:textId="77777777" w:rsidR="008967C2" w:rsidRPr="00787C9A" w:rsidRDefault="008967C2" w:rsidP="008967C2">
      <w:pPr>
        <w:pStyle w:val="ListParagraph"/>
        <w:numPr>
          <w:ilvl w:val="0"/>
          <w:numId w:val="8"/>
        </w:numPr>
        <w:rPr>
          <w:rFonts w:cstheme="minorHAnsi"/>
          <w:color w:val="000000"/>
          <w:sz w:val="19"/>
          <w:szCs w:val="19"/>
        </w:rPr>
      </w:pPr>
      <w:r w:rsidRPr="0099228F">
        <w:rPr>
          <w:rFonts w:cstheme="minorHAnsi"/>
        </w:rPr>
        <w:t>GDP</w:t>
      </w:r>
    </w:p>
    <w:p w14:paraId="08DB1259" w14:textId="77777777" w:rsidR="008967C2" w:rsidRPr="00787C9A" w:rsidRDefault="008967C2" w:rsidP="008967C2">
      <w:pPr>
        <w:pStyle w:val="ListParagraph"/>
        <w:numPr>
          <w:ilvl w:val="0"/>
          <w:numId w:val="8"/>
        </w:numPr>
        <w:rPr>
          <w:rFonts w:cstheme="minorHAnsi"/>
          <w:color w:val="000000"/>
          <w:sz w:val="19"/>
          <w:szCs w:val="19"/>
        </w:rPr>
      </w:pPr>
      <w:r w:rsidRPr="0099228F">
        <w:rPr>
          <w:rFonts w:cstheme="minorHAnsi"/>
        </w:rPr>
        <w:t>Unemployed workers plus inactive working age population</w:t>
      </w:r>
    </w:p>
    <w:p w14:paraId="575BA26B" w14:textId="3FBEBFDE" w:rsidR="008967C2" w:rsidRPr="00787C9A" w:rsidRDefault="00BD2F69" w:rsidP="008967C2">
      <w:pPr>
        <w:pStyle w:val="ListParagraph"/>
        <w:numPr>
          <w:ilvl w:val="0"/>
          <w:numId w:val="8"/>
        </w:numPr>
        <w:rPr>
          <w:rFonts w:cstheme="minorHAnsi"/>
          <w:color w:val="000000"/>
          <w:sz w:val="19"/>
          <w:szCs w:val="19"/>
        </w:rPr>
      </w:pPr>
      <w:r w:rsidRPr="0099228F">
        <w:rPr>
          <w:rFonts w:cstheme="minorHAnsi"/>
        </w:rPr>
        <w:t>E</w:t>
      </w:r>
      <w:r w:rsidRPr="009C05A3">
        <w:rPr>
          <w:rFonts w:cstheme="minorHAnsi"/>
        </w:rPr>
        <w:t xml:space="preserve">lectricity </w:t>
      </w:r>
      <w:r w:rsidR="008967C2" w:rsidRPr="009C05A3">
        <w:rPr>
          <w:rFonts w:cstheme="minorHAnsi"/>
        </w:rPr>
        <w:t>system costs</w:t>
      </w:r>
    </w:p>
    <w:p w14:paraId="7172C4A6" w14:textId="2F7A838F" w:rsidR="008967C2" w:rsidRPr="00787C9A" w:rsidRDefault="008967C2" w:rsidP="008967C2">
      <w:pPr>
        <w:pStyle w:val="ListParagraph"/>
        <w:numPr>
          <w:ilvl w:val="0"/>
          <w:numId w:val="8"/>
        </w:numPr>
        <w:rPr>
          <w:rFonts w:cstheme="minorHAnsi"/>
          <w:color w:val="000000"/>
          <w:sz w:val="19"/>
          <w:szCs w:val="19"/>
        </w:rPr>
      </w:pPr>
      <w:r w:rsidRPr="0099228F">
        <w:rPr>
          <w:rFonts w:cstheme="minorHAnsi"/>
        </w:rPr>
        <w:t>Direct gene</w:t>
      </w:r>
      <w:r w:rsidRPr="009C05A3">
        <w:rPr>
          <w:rFonts w:cstheme="minorHAnsi"/>
        </w:rPr>
        <w:t xml:space="preserve">rated employment by the </w:t>
      </w:r>
      <w:r w:rsidR="00E54E82" w:rsidRPr="009C05A3">
        <w:rPr>
          <w:rFonts w:cstheme="minorHAnsi"/>
        </w:rPr>
        <w:t>electricity</w:t>
      </w:r>
      <w:r w:rsidRPr="009C05A3">
        <w:rPr>
          <w:rFonts w:cstheme="minorHAnsi"/>
        </w:rPr>
        <w:t xml:space="preserve"> transition</w:t>
      </w:r>
    </w:p>
    <w:bookmarkEnd w:id="24"/>
    <w:p w14:paraId="2CFFAF35" w14:textId="7A149053" w:rsidR="00812644" w:rsidRDefault="008967C2" w:rsidP="008967C2">
      <w:pPr>
        <w:rPr>
          <w:rFonts w:cstheme="minorHAnsi"/>
        </w:rPr>
      </w:pPr>
      <w:r w:rsidRPr="0099228F">
        <w:rPr>
          <w:rFonts w:cstheme="minorHAnsi"/>
        </w:rPr>
        <w:t>We choose to define ‘unemployed’ in this study as sum of unemployed and inactive workers</w:t>
      </w:r>
      <w:r w:rsidRPr="0099228F">
        <w:rPr>
          <w:rStyle w:val="FootnoteReference"/>
          <w:rFonts w:cstheme="minorHAnsi"/>
        </w:rPr>
        <w:footnoteReference w:id="8"/>
      </w:r>
      <w:r w:rsidRPr="0099228F">
        <w:rPr>
          <w:rFonts w:cstheme="minorHAnsi"/>
        </w:rPr>
        <w:t xml:space="preserve">. </w:t>
      </w:r>
      <w:r w:rsidR="00BD2F69" w:rsidRPr="009C05A3">
        <w:rPr>
          <w:rFonts w:cstheme="minorHAnsi"/>
        </w:rPr>
        <w:t xml:space="preserve">Electricity </w:t>
      </w:r>
      <w:r w:rsidRPr="00967105">
        <w:rPr>
          <w:rFonts w:cstheme="minorHAnsi"/>
        </w:rPr>
        <w:t xml:space="preserve">system costs are defined as the sum of the </w:t>
      </w:r>
      <w:r w:rsidR="00CE76C7" w:rsidRPr="00B8367E">
        <w:rPr>
          <w:rStyle w:val="hgkelc"/>
        </w:rPr>
        <w:t>Levelized Cost of Electricity</w:t>
      </w:r>
      <w:r w:rsidR="00347B93">
        <w:rPr>
          <w:rFonts w:cstheme="minorHAnsi"/>
        </w:rPr>
        <w:t xml:space="preserve"> (LCOE)</w:t>
      </w:r>
      <w:r w:rsidR="00CE76C7">
        <w:rPr>
          <w:rFonts w:cstheme="minorHAnsi"/>
        </w:rPr>
        <w:t xml:space="preserve"> </w:t>
      </w:r>
      <w:r w:rsidRPr="00967105">
        <w:rPr>
          <w:rFonts w:cstheme="minorHAnsi"/>
        </w:rPr>
        <w:t xml:space="preserve">for new </w:t>
      </w:r>
      <w:r w:rsidR="00BD2F69" w:rsidRPr="00967105">
        <w:rPr>
          <w:rFonts w:cstheme="minorHAnsi"/>
        </w:rPr>
        <w:t xml:space="preserve">electricity </w:t>
      </w:r>
      <w:r w:rsidRPr="00967105">
        <w:rPr>
          <w:rFonts w:cstheme="minorHAnsi"/>
        </w:rPr>
        <w:t xml:space="preserve">infrastructure, the storage and interconnections costs of new installations in a particular year and </w:t>
      </w:r>
      <w:r w:rsidR="00E54E82" w:rsidRPr="00967105">
        <w:rPr>
          <w:rFonts w:cstheme="minorHAnsi"/>
        </w:rPr>
        <w:t>electricity</w:t>
      </w:r>
      <w:r w:rsidRPr="00967105">
        <w:rPr>
          <w:rFonts w:cstheme="minorHAnsi"/>
        </w:rPr>
        <w:t xml:space="preserve"> import costs due to the green finance gap (i.e. when there is not enough finance to cover the desired new instalments of renewable </w:t>
      </w:r>
      <w:r w:rsidR="00BD2F69" w:rsidRPr="004C48F6">
        <w:rPr>
          <w:rFonts w:cstheme="minorHAnsi"/>
        </w:rPr>
        <w:t xml:space="preserve">electricity </w:t>
      </w:r>
      <w:r w:rsidRPr="004C48F6">
        <w:rPr>
          <w:rFonts w:cstheme="minorHAnsi"/>
        </w:rPr>
        <w:t xml:space="preserve">infrastructure). The </w:t>
      </w:r>
      <w:r w:rsidR="00BD2F69" w:rsidRPr="004C48F6">
        <w:rPr>
          <w:rFonts w:cstheme="minorHAnsi"/>
        </w:rPr>
        <w:t xml:space="preserve">electricity </w:t>
      </w:r>
      <w:r w:rsidRPr="004C48F6">
        <w:rPr>
          <w:rFonts w:cstheme="minorHAnsi"/>
        </w:rPr>
        <w:t xml:space="preserve">imports not related to a lack of available green finance are not included in </w:t>
      </w:r>
      <w:r w:rsidR="00BD2F69" w:rsidRPr="004C48F6">
        <w:rPr>
          <w:rFonts w:cstheme="minorHAnsi"/>
        </w:rPr>
        <w:t xml:space="preserve">electricity </w:t>
      </w:r>
      <w:r w:rsidRPr="004C48F6">
        <w:rPr>
          <w:rFonts w:cstheme="minorHAnsi"/>
        </w:rPr>
        <w:t xml:space="preserve">system costs </w:t>
      </w:r>
      <w:r w:rsidR="00B673DD">
        <w:rPr>
          <w:rFonts w:cstheme="minorHAnsi"/>
        </w:rPr>
        <w:t xml:space="preserve">(and neither tracked in this version of GIBM) </w:t>
      </w:r>
      <w:r w:rsidRPr="004C48F6">
        <w:rPr>
          <w:rFonts w:cstheme="minorHAnsi"/>
        </w:rPr>
        <w:t xml:space="preserve">for simplicity and because they are assumed to be independent from the scenarios (and thus have no impact on </w:t>
      </w:r>
      <w:r w:rsidRPr="009A2FE1">
        <w:rPr>
          <w:rFonts w:cstheme="minorHAnsi"/>
        </w:rPr>
        <w:t xml:space="preserve">the difference of </w:t>
      </w:r>
      <w:r w:rsidR="00E54E82" w:rsidRPr="00787C9A">
        <w:rPr>
          <w:rFonts w:cstheme="minorHAnsi"/>
        </w:rPr>
        <w:t>electricity</w:t>
      </w:r>
      <w:r w:rsidRPr="00787C9A">
        <w:rPr>
          <w:rFonts w:cstheme="minorHAnsi"/>
        </w:rPr>
        <w:t xml:space="preserve"> system costs between scenarios). </w:t>
      </w:r>
      <w:r w:rsidR="00BD2F69" w:rsidRPr="00787C9A">
        <w:rPr>
          <w:rFonts w:cstheme="minorHAnsi"/>
        </w:rPr>
        <w:t xml:space="preserve">We also indicate the results in accumulated terms / thereby, </w:t>
      </w:r>
      <w:r w:rsidRPr="00787C9A">
        <w:rPr>
          <w:rFonts w:cstheme="minorHAnsi"/>
        </w:rPr>
        <w:t>‘</w:t>
      </w:r>
      <w:r w:rsidR="00BD2F69" w:rsidRPr="00787C9A">
        <w:rPr>
          <w:rFonts w:cstheme="minorHAnsi"/>
        </w:rPr>
        <w:t>a</w:t>
      </w:r>
      <w:r w:rsidRPr="00787C9A">
        <w:rPr>
          <w:rFonts w:cstheme="minorHAnsi"/>
        </w:rPr>
        <w:t xml:space="preserve">ccumulated’ means that the annual amount of each of the chosen policy variables is added up/accumulated from 2016 to 2050 (i.e. over the simulation time horizon). </w:t>
      </w:r>
    </w:p>
    <w:p w14:paraId="3A25CD4D" w14:textId="0AC40994" w:rsidR="00812644" w:rsidRDefault="00812644" w:rsidP="008967C2">
      <w:pPr>
        <w:rPr>
          <w:rFonts w:cstheme="minorHAnsi"/>
        </w:rPr>
      </w:pPr>
      <w:r>
        <w:rPr>
          <w:rFonts w:cstheme="minorHAnsi"/>
        </w:rPr>
        <w:t>In the following</w:t>
      </w:r>
      <w:r w:rsidR="0070461D">
        <w:rPr>
          <w:rFonts w:cstheme="minorHAnsi"/>
        </w:rPr>
        <w:t xml:space="preserve">, we explain the differences of the results between the </w:t>
      </w:r>
      <w:r w:rsidR="003B3BED">
        <w:rPr>
          <w:rFonts w:cstheme="minorHAnsi"/>
        </w:rPr>
        <w:t>tested policy scenarios and the base-run. A</w:t>
      </w:r>
      <w:r w:rsidR="0070461D">
        <w:rPr>
          <w:rFonts w:cstheme="minorHAnsi"/>
        </w:rPr>
        <w:t xml:space="preserve"> detailed explanation for the base-run simulation and the energy transition scenarios can be found in Hafner et al. (2021) (the medium scenario in Hafner et al. 2021 corresponds to the </w:t>
      </w:r>
      <w:r w:rsidR="00CE76C7">
        <w:rPr>
          <w:rFonts w:cstheme="minorHAnsi"/>
        </w:rPr>
        <w:t xml:space="preserve">energy transition scenario in this paper). </w:t>
      </w:r>
      <w:r>
        <w:rPr>
          <w:rFonts w:cstheme="minorHAnsi"/>
        </w:rPr>
        <w:t xml:space="preserve">The </w:t>
      </w:r>
      <w:r w:rsidRPr="00967105">
        <w:rPr>
          <w:rFonts w:cstheme="minorHAnsi"/>
        </w:rPr>
        <w:t xml:space="preserve">key macroeconomic dynamics, induced by the introduced </w:t>
      </w:r>
      <w:r>
        <w:rPr>
          <w:rFonts w:cstheme="minorHAnsi"/>
        </w:rPr>
        <w:t xml:space="preserve">policy </w:t>
      </w:r>
      <w:r w:rsidRPr="00967105">
        <w:rPr>
          <w:rFonts w:cstheme="minorHAnsi"/>
        </w:rPr>
        <w:t>scenarios</w:t>
      </w:r>
      <w:r>
        <w:rPr>
          <w:rFonts w:cstheme="minorHAnsi"/>
        </w:rPr>
        <w:t xml:space="preserve">, </w:t>
      </w:r>
      <w:r w:rsidRPr="00967105">
        <w:rPr>
          <w:rFonts w:cstheme="minorHAnsi"/>
        </w:rPr>
        <w:t>are described in appendix C</w:t>
      </w:r>
      <w:r>
        <w:rPr>
          <w:rFonts w:cstheme="minorHAnsi"/>
        </w:rPr>
        <w:t xml:space="preserve">. </w:t>
      </w:r>
    </w:p>
    <w:p w14:paraId="207450A6" w14:textId="4D6ADB72" w:rsidR="008967C2" w:rsidRPr="009C05A3" w:rsidRDefault="008967C2" w:rsidP="008967C2">
      <w:pPr>
        <w:rPr>
          <w:rFonts w:cstheme="minorHAnsi"/>
        </w:rPr>
      </w:pPr>
      <w:r w:rsidRPr="00787C9A">
        <w:rPr>
          <w:rFonts w:cstheme="minorHAnsi"/>
        </w:rPr>
        <w:t xml:space="preserve">First, with regard to the results in terms of emissions. </w:t>
      </w:r>
      <w:r w:rsidR="000A2621">
        <w:rPr>
          <w:rFonts w:cstheme="minorHAnsi"/>
        </w:rPr>
        <w:t>F</w:t>
      </w:r>
      <w:r w:rsidRPr="00787C9A">
        <w:rPr>
          <w:rFonts w:cstheme="minorHAnsi"/>
        </w:rPr>
        <w:t xml:space="preserve">igure </w:t>
      </w:r>
      <w:r w:rsidR="000A2621">
        <w:rPr>
          <w:rFonts w:cstheme="minorHAnsi"/>
        </w:rPr>
        <w:t>3</w:t>
      </w:r>
      <w:r w:rsidR="000A2621" w:rsidRPr="00787C9A">
        <w:rPr>
          <w:rFonts w:cstheme="minorHAnsi"/>
        </w:rPr>
        <w:t xml:space="preserve"> </w:t>
      </w:r>
      <w:r w:rsidRPr="00787C9A">
        <w:rPr>
          <w:rFonts w:cstheme="minorHAnsi"/>
        </w:rPr>
        <w:t xml:space="preserve">shows that only the </w:t>
      </w:r>
      <w:r w:rsidR="001B024A">
        <w:rPr>
          <w:rFonts w:cstheme="minorHAnsi"/>
        </w:rPr>
        <w:t>LETS</w:t>
      </w:r>
      <w:r w:rsidRPr="00787C9A">
        <w:rPr>
          <w:rFonts w:cstheme="minorHAnsi"/>
        </w:rPr>
        <w:t xml:space="preserve"> and </w:t>
      </w:r>
      <w:r w:rsidR="004E4065">
        <w:rPr>
          <w:rFonts w:cstheme="minorHAnsi"/>
        </w:rPr>
        <w:t xml:space="preserve">a combination of </w:t>
      </w:r>
      <w:r w:rsidR="0014434B">
        <w:rPr>
          <w:rFonts w:cstheme="minorHAnsi"/>
        </w:rPr>
        <w:t xml:space="preserve">both </w:t>
      </w:r>
      <w:r w:rsidR="004E4065">
        <w:rPr>
          <w:rFonts w:cstheme="minorHAnsi"/>
        </w:rPr>
        <w:t>scenarios</w:t>
      </w:r>
      <w:r w:rsidR="0014434B">
        <w:rPr>
          <w:rFonts w:cstheme="minorHAnsi"/>
        </w:rPr>
        <w:t xml:space="preserve"> (i.e. </w:t>
      </w:r>
      <w:r w:rsidR="001B024A">
        <w:rPr>
          <w:rFonts w:cstheme="minorHAnsi"/>
        </w:rPr>
        <w:t>LETS</w:t>
      </w:r>
      <w:r w:rsidR="0014434B" w:rsidRPr="00787C9A">
        <w:rPr>
          <w:rFonts w:cstheme="minorHAnsi"/>
        </w:rPr>
        <w:t xml:space="preserve"> and the </w:t>
      </w:r>
      <w:r w:rsidR="001B024A">
        <w:rPr>
          <w:rFonts w:cstheme="minorHAnsi"/>
        </w:rPr>
        <w:t>LETS</w:t>
      </w:r>
      <w:r w:rsidR="0014434B" w:rsidRPr="00787C9A" w:rsidDel="00EB7F85">
        <w:rPr>
          <w:rFonts w:cstheme="minorHAnsi"/>
        </w:rPr>
        <w:t xml:space="preserve"> </w:t>
      </w:r>
      <w:r w:rsidR="0014434B" w:rsidRPr="00787C9A">
        <w:rPr>
          <w:rFonts w:cstheme="minorHAnsi"/>
        </w:rPr>
        <w:t xml:space="preserve">in combination with a </w:t>
      </w:r>
      <w:r w:rsidR="001B024A">
        <w:rPr>
          <w:rFonts w:cstheme="minorHAnsi"/>
        </w:rPr>
        <w:t>GFGS</w:t>
      </w:r>
      <w:r w:rsidR="0014434B">
        <w:rPr>
          <w:rFonts w:cstheme="minorHAnsi"/>
        </w:rPr>
        <w:t>) combined</w:t>
      </w:r>
      <w:r w:rsidRPr="00787C9A">
        <w:rPr>
          <w:rFonts w:cstheme="minorHAnsi"/>
        </w:rPr>
        <w:t xml:space="preserve"> reduce the electricity emissions to zero by 2050. When only a </w:t>
      </w:r>
      <w:r w:rsidR="001B024A">
        <w:rPr>
          <w:rFonts w:cstheme="minorHAnsi"/>
        </w:rPr>
        <w:t>GFGS</w:t>
      </w:r>
      <w:r w:rsidRPr="00787C9A">
        <w:rPr>
          <w:rFonts w:cstheme="minorHAnsi"/>
        </w:rPr>
        <w:t xml:space="preserve"> is introduced emissions decrease around 20% by 2050 compared to the base-run. The reduction of the emissions under the </w:t>
      </w:r>
      <w:r w:rsidR="001B024A">
        <w:rPr>
          <w:rFonts w:cstheme="minorHAnsi"/>
        </w:rPr>
        <w:t>GFGS</w:t>
      </w:r>
      <w:r w:rsidRPr="00787C9A">
        <w:rPr>
          <w:rFonts w:cstheme="minorHAnsi"/>
        </w:rPr>
        <w:t xml:space="preserve"> can be explained by the lower technology costs of renewable </w:t>
      </w:r>
      <w:r w:rsidR="00BD2F69" w:rsidRPr="00787C9A">
        <w:rPr>
          <w:rFonts w:cstheme="minorHAnsi"/>
        </w:rPr>
        <w:t xml:space="preserve">electricity </w:t>
      </w:r>
      <w:r w:rsidRPr="00787C9A">
        <w:rPr>
          <w:rFonts w:cstheme="minorHAnsi"/>
        </w:rPr>
        <w:t xml:space="preserve">technologies, which is due to their lower financing costs because of the lower technology specific mark-up because of the introduction the </w:t>
      </w:r>
      <w:r w:rsidR="001B024A">
        <w:rPr>
          <w:rFonts w:cstheme="minorHAnsi"/>
        </w:rPr>
        <w:t>GFGS</w:t>
      </w:r>
      <w:r w:rsidRPr="00787C9A">
        <w:rPr>
          <w:rFonts w:cstheme="minorHAnsi"/>
        </w:rPr>
        <w:t xml:space="preserve">. We note also that in GIBM renewable </w:t>
      </w:r>
      <w:r w:rsidR="00E54E82" w:rsidRPr="00787C9A">
        <w:rPr>
          <w:rFonts w:cstheme="minorHAnsi"/>
        </w:rPr>
        <w:t>electricity</w:t>
      </w:r>
      <w:r w:rsidRPr="00787C9A">
        <w:rPr>
          <w:rFonts w:cstheme="minorHAnsi"/>
        </w:rPr>
        <w:t xml:space="preserve"> technologies are largely cost-efficient from 2025 onwards under the base-run and the market share of renewables increases therefore even in the base-run. Given this, a green </w:t>
      </w:r>
      <w:r w:rsidR="00E54E82" w:rsidRPr="00787C9A">
        <w:rPr>
          <w:rFonts w:cstheme="minorHAnsi"/>
        </w:rPr>
        <w:t>electricity</w:t>
      </w:r>
      <w:r w:rsidRPr="00787C9A">
        <w:rPr>
          <w:rFonts w:cstheme="minorHAnsi"/>
        </w:rPr>
        <w:t xml:space="preserve"> transition will likely implement itself</w:t>
      </w:r>
      <w:r w:rsidR="00B25A04">
        <w:rPr>
          <w:rFonts w:cstheme="minorHAnsi"/>
        </w:rPr>
        <w:t xml:space="preserve"> (i.e. without any additional policies introduced)</w:t>
      </w:r>
      <w:r w:rsidRPr="00787C9A">
        <w:rPr>
          <w:rFonts w:cstheme="minorHAnsi"/>
        </w:rPr>
        <w:t xml:space="preserve">, assuming that the required solutions to deal with the higher </w:t>
      </w:r>
      <w:r w:rsidRPr="00787C9A">
        <w:rPr>
          <w:rFonts w:cstheme="minorHAnsi"/>
        </w:rPr>
        <w:lastRenderedPageBreak/>
        <w:t xml:space="preserve">intermittency of </w:t>
      </w:r>
      <w:r w:rsidR="00CE76C7">
        <w:rPr>
          <w:rFonts w:cstheme="minorHAnsi"/>
        </w:rPr>
        <w:t xml:space="preserve">renewable energy sources </w:t>
      </w:r>
      <w:r w:rsidR="00FD6F34">
        <w:rPr>
          <w:rFonts w:cstheme="minorHAnsi"/>
        </w:rPr>
        <w:t xml:space="preserve">(RES) </w:t>
      </w:r>
      <w:r w:rsidRPr="00787C9A">
        <w:rPr>
          <w:rFonts w:cstheme="minorHAnsi"/>
        </w:rPr>
        <w:t xml:space="preserve">and sufficient green finance is available, however, it will not be fast enough to reach the net-zero carbon emissions target for the UK </w:t>
      </w:r>
      <w:r w:rsidR="00ED2509" w:rsidRPr="00787C9A">
        <w:rPr>
          <w:rFonts w:cstheme="minorHAnsi"/>
        </w:rPr>
        <w:t>electricity</w:t>
      </w:r>
      <w:r w:rsidRPr="00787C9A">
        <w:rPr>
          <w:rFonts w:cstheme="minorHAnsi"/>
        </w:rPr>
        <w:t xml:space="preserve"> supply sector (see figure below). Overall, the </w:t>
      </w:r>
      <w:r w:rsidR="001B024A">
        <w:rPr>
          <w:rFonts w:cstheme="minorHAnsi"/>
        </w:rPr>
        <w:t>GFGS</w:t>
      </w:r>
      <w:r w:rsidRPr="00787C9A">
        <w:rPr>
          <w:rFonts w:cstheme="minorHAnsi"/>
        </w:rPr>
        <w:t xml:space="preserve"> reduces the accumulated emissions by 7%, while </w:t>
      </w:r>
      <w:r w:rsidR="0014434B">
        <w:rPr>
          <w:rFonts w:cstheme="minorHAnsi"/>
        </w:rPr>
        <w:t xml:space="preserve">both </w:t>
      </w:r>
      <w:r w:rsidR="00114F38">
        <w:rPr>
          <w:rFonts w:cstheme="minorHAnsi"/>
        </w:rPr>
        <w:t>scenarios</w:t>
      </w:r>
      <w:r w:rsidR="0014434B">
        <w:rPr>
          <w:rFonts w:cstheme="minorHAnsi"/>
        </w:rPr>
        <w:t xml:space="preserve"> combined </w:t>
      </w:r>
      <w:r w:rsidRPr="00787C9A">
        <w:rPr>
          <w:rFonts w:cstheme="minorHAnsi"/>
        </w:rPr>
        <w:t xml:space="preserve">reduce accumulated emissions by around 45% - always compared to the accumulated emissions emitted under the base-run simulation (see </w:t>
      </w:r>
      <w:r w:rsidRPr="009C05A3">
        <w:rPr>
          <w:rFonts w:cstheme="minorHAnsi"/>
        </w:rPr>
        <w:fldChar w:fldCharType="begin"/>
      </w:r>
      <w:r w:rsidRPr="00787C9A">
        <w:rPr>
          <w:rFonts w:cstheme="minorHAnsi"/>
        </w:rPr>
        <w:instrText xml:space="preserve"> REF _Ref59647885 \h  \* MERGEFORMAT </w:instrText>
      </w:r>
      <w:r w:rsidRPr="009C05A3">
        <w:rPr>
          <w:rFonts w:cstheme="minorHAnsi"/>
        </w:rPr>
      </w:r>
      <w:r w:rsidRPr="009C05A3">
        <w:rPr>
          <w:rFonts w:cstheme="minorHAnsi"/>
        </w:rPr>
        <w:fldChar w:fldCharType="separate"/>
      </w:r>
      <w:r w:rsidRPr="009C05A3">
        <w:rPr>
          <w:rFonts w:cstheme="minorHAnsi"/>
        </w:rPr>
        <w:t xml:space="preserve">Table </w:t>
      </w:r>
      <w:r w:rsidRPr="009C05A3">
        <w:rPr>
          <w:rFonts w:cstheme="minorHAnsi"/>
          <w:noProof/>
        </w:rPr>
        <w:t>2</w:t>
      </w:r>
      <w:r w:rsidRPr="009C05A3">
        <w:rPr>
          <w:rFonts w:cstheme="minorHAnsi"/>
        </w:rPr>
        <w:fldChar w:fldCharType="end"/>
      </w:r>
      <w:r w:rsidRPr="0099228F">
        <w:rPr>
          <w:rFonts w:cstheme="minorHAnsi"/>
        </w:rPr>
        <w:t>).</w:t>
      </w:r>
      <w:r w:rsidRPr="009C05A3">
        <w:rPr>
          <w:rFonts w:cstheme="minorHAnsi"/>
        </w:rPr>
        <w:t xml:space="preserve"> </w:t>
      </w:r>
      <w:r w:rsidR="00B25A04">
        <w:t xml:space="preserve">The reason for the similar trajectory of the two </w:t>
      </w:r>
      <w:r w:rsidR="00FD6F34">
        <w:t>scenarios</w:t>
      </w:r>
      <w:r w:rsidR="00B25A04">
        <w:t xml:space="preserve"> can be explained by the fact </w:t>
      </w:r>
      <w:r w:rsidR="00FD6F34">
        <w:t xml:space="preserve">that the </w:t>
      </w:r>
      <w:r w:rsidR="00B25A04">
        <w:t xml:space="preserve">cost reduction of </w:t>
      </w:r>
      <w:r w:rsidR="001B024A">
        <w:rPr>
          <w:rFonts w:cstheme="minorHAnsi"/>
        </w:rPr>
        <w:t>GFGS</w:t>
      </w:r>
      <w:r w:rsidR="00B25A04">
        <w:t xml:space="preserve"> in the renewables does not incentiv</w:t>
      </w:r>
      <w:r w:rsidR="00FD6F34">
        <w:t>ise</w:t>
      </w:r>
      <w:r w:rsidR="00B25A04">
        <w:t xml:space="preserve"> more energy firms to invest in renewable energy than is already the case when the </w:t>
      </w:r>
      <w:r w:rsidR="001B024A">
        <w:t>LETS</w:t>
      </w:r>
      <w:r w:rsidR="00B25A04">
        <w:t xml:space="preserve"> is introduced in isolation.</w:t>
      </w:r>
    </w:p>
    <w:p w14:paraId="2946C666" w14:textId="3C077427" w:rsidR="008967C2" w:rsidRPr="00B8367E" w:rsidRDefault="008967C2" w:rsidP="008967C2">
      <w:pPr>
        <w:pStyle w:val="Caption"/>
        <w:keepNext/>
        <w:jc w:val="left"/>
        <w:rPr>
          <w:rFonts w:asciiTheme="minorHAnsi" w:hAnsiTheme="minorHAnsi" w:cstheme="minorHAnsi"/>
        </w:rPr>
      </w:pPr>
      <w:bookmarkStart w:id="25" w:name="_Hlk54086615"/>
      <w:r w:rsidRPr="00B8367E">
        <w:rPr>
          <w:rFonts w:asciiTheme="minorHAnsi" w:hAnsiTheme="minorHAnsi" w:cstheme="minorHAnsi"/>
        </w:rPr>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3</w:t>
      </w:r>
      <w:r w:rsidR="00086A44" w:rsidRPr="00B8367E">
        <w:rPr>
          <w:rFonts w:asciiTheme="minorHAnsi" w:hAnsiTheme="minorHAnsi" w:cstheme="minorHAnsi"/>
          <w:noProof/>
        </w:rPr>
        <w:fldChar w:fldCharType="end"/>
      </w:r>
      <w:r w:rsidRPr="00B8367E">
        <w:rPr>
          <w:rFonts w:asciiTheme="minorHAnsi" w:hAnsiTheme="minorHAnsi" w:cstheme="minorHAnsi"/>
        </w:rPr>
        <w:t xml:space="preserve">: Annual UK emissions </w:t>
      </w:r>
      <w:r w:rsidR="003723B4" w:rsidRPr="00B8367E">
        <w:rPr>
          <w:rFonts w:asciiTheme="minorHAnsi" w:hAnsiTheme="minorHAnsi" w:cstheme="minorHAnsi"/>
        </w:rPr>
        <w:t>emitted by</w:t>
      </w:r>
      <w:r w:rsidRPr="00B8367E">
        <w:rPr>
          <w:rFonts w:asciiTheme="minorHAnsi" w:hAnsiTheme="minorHAnsi" w:cstheme="minorHAnsi"/>
        </w:rPr>
        <w:t xml:space="preserve"> the </w:t>
      </w:r>
      <w:r w:rsidR="00BD2F69" w:rsidRPr="00B8367E">
        <w:rPr>
          <w:rFonts w:asciiTheme="minorHAnsi" w:hAnsiTheme="minorHAnsi" w:cstheme="minorHAnsi"/>
        </w:rPr>
        <w:t>electricity</w:t>
      </w:r>
      <w:r w:rsidRPr="00B8367E">
        <w:rPr>
          <w:rFonts w:asciiTheme="minorHAnsi" w:hAnsiTheme="minorHAnsi" w:cstheme="minorHAnsi"/>
        </w:rPr>
        <w:t xml:space="preserve"> supply sector</w:t>
      </w:r>
      <w:r w:rsidRPr="00B8367E">
        <w:rPr>
          <w:rFonts w:asciiTheme="minorHAnsi" w:hAnsiTheme="minorHAnsi" w:cstheme="minorHAnsi"/>
          <w:noProof/>
          <w:lang w:eastAsia="en-GB"/>
        </w:rPr>
        <w:t xml:space="preserve"> </w:t>
      </w:r>
    </w:p>
    <w:bookmarkEnd w:id="25"/>
    <w:p w14:paraId="1B360595" w14:textId="16F98026" w:rsidR="008967C2" w:rsidRPr="0099228F" w:rsidRDefault="00DF755F" w:rsidP="008967C2">
      <w:pPr>
        <w:rPr>
          <w:rFonts w:cstheme="minorHAnsi"/>
        </w:rPr>
      </w:pPr>
      <w:r>
        <w:rPr>
          <w:noProof/>
        </w:rPr>
        <w:drawing>
          <wp:inline distT="0" distB="0" distL="0" distR="0" wp14:anchorId="0756C9CC" wp14:editId="1CD734C7">
            <wp:extent cx="5731510" cy="2236763"/>
            <wp:effectExtent l="0" t="0" r="2540" b="11430"/>
            <wp:docPr id="40" name="Diagramm 40">
              <a:extLst xmlns:a="http://schemas.openxmlformats.org/drawingml/2006/main">
                <a:ext uri="{FF2B5EF4-FFF2-40B4-BE49-F238E27FC236}">
                  <a16:creationId xmlns:a16="http://schemas.microsoft.com/office/drawing/2014/main" id="{E8D5B5E8-8019-409E-AFE6-2E2A4DBD75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80E665" w14:textId="13953A76" w:rsidR="008967C2" w:rsidRPr="009C05A3" w:rsidRDefault="00DF6E8C" w:rsidP="008967C2">
      <w:pPr>
        <w:rPr>
          <w:rFonts w:cstheme="minorHAnsi"/>
        </w:rPr>
      </w:pPr>
      <w:r>
        <w:rPr>
          <w:rFonts w:cstheme="minorHAnsi"/>
        </w:rPr>
        <w:t xml:space="preserve">Second, </w:t>
      </w:r>
      <w:r w:rsidR="001658A2">
        <w:rPr>
          <w:rFonts w:cstheme="minorHAnsi"/>
        </w:rPr>
        <w:t xml:space="preserve">the </w:t>
      </w:r>
      <w:r w:rsidR="002B08E1">
        <w:rPr>
          <w:rFonts w:cstheme="minorHAnsi"/>
        </w:rPr>
        <w:t>dynamics</w:t>
      </w:r>
      <w:r w:rsidR="007D1A25">
        <w:rPr>
          <w:rFonts w:cstheme="minorHAnsi"/>
        </w:rPr>
        <w:t xml:space="preserve"> of GDP is driven by total factor productivity, changes in expected </w:t>
      </w:r>
      <w:r w:rsidR="003873E4">
        <w:rPr>
          <w:rFonts w:cstheme="minorHAnsi"/>
        </w:rPr>
        <w:t>deman</w:t>
      </w:r>
      <w:r w:rsidR="0033788D">
        <w:rPr>
          <w:rFonts w:cstheme="minorHAnsi"/>
        </w:rPr>
        <w:t xml:space="preserve">d, </w:t>
      </w:r>
      <w:r w:rsidR="003873E4">
        <w:rPr>
          <w:rFonts w:cstheme="minorHAnsi"/>
        </w:rPr>
        <w:t xml:space="preserve">and the macroeconomics induced by the introduced policy scenarios (see appendix C). </w:t>
      </w:r>
      <w:r>
        <w:rPr>
          <w:rFonts w:cstheme="minorHAnsi"/>
        </w:rPr>
        <w:t xml:space="preserve">Moreover, </w:t>
      </w:r>
      <w:r w:rsidR="008967C2" w:rsidRPr="009C05A3">
        <w:rPr>
          <w:rFonts w:cstheme="minorHAnsi"/>
        </w:rPr>
        <w:t>In 2050, GDP is 3.</w:t>
      </w:r>
      <w:r w:rsidR="001877B6">
        <w:rPr>
          <w:rFonts w:cstheme="minorHAnsi"/>
        </w:rPr>
        <w:t>1</w:t>
      </w:r>
      <w:r w:rsidR="008967C2" w:rsidRPr="00967105">
        <w:rPr>
          <w:rFonts w:cstheme="minorHAnsi"/>
        </w:rPr>
        <w:t xml:space="preserve">% higher under </w:t>
      </w:r>
      <w:r w:rsidR="00C8559E">
        <w:rPr>
          <w:rFonts w:cstheme="minorHAnsi"/>
        </w:rPr>
        <w:t xml:space="preserve">both </w:t>
      </w:r>
      <w:r w:rsidR="00921BA9">
        <w:rPr>
          <w:rFonts w:cstheme="minorHAnsi"/>
        </w:rPr>
        <w:t>scenarios</w:t>
      </w:r>
      <w:r w:rsidR="00C8559E">
        <w:rPr>
          <w:rFonts w:cstheme="minorHAnsi"/>
        </w:rPr>
        <w:t xml:space="preserve"> combined</w:t>
      </w:r>
      <w:r w:rsidR="008967C2" w:rsidRPr="00967105">
        <w:rPr>
          <w:rFonts w:cstheme="minorHAnsi"/>
        </w:rPr>
        <w:t xml:space="preserve">, 1.9% higher under </w:t>
      </w:r>
      <w:r w:rsidR="001B024A">
        <w:rPr>
          <w:rFonts w:cstheme="minorHAnsi"/>
        </w:rPr>
        <w:t>GFGS</w:t>
      </w:r>
      <w:r w:rsidR="008967C2" w:rsidRPr="00967105">
        <w:rPr>
          <w:rFonts w:cstheme="minorHAnsi"/>
        </w:rPr>
        <w:t xml:space="preserve"> and 2.3% higher under </w:t>
      </w:r>
      <w:r w:rsidR="001B024A">
        <w:rPr>
          <w:rFonts w:cstheme="minorHAnsi"/>
        </w:rPr>
        <w:t>LETS</w:t>
      </w:r>
      <w:r w:rsidR="008967C2" w:rsidRPr="00967105" w:rsidDel="00EB7F85">
        <w:rPr>
          <w:rFonts w:cstheme="minorHAnsi"/>
        </w:rPr>
        <w:t xml:space="preserve"> </w:t>
      </w:r>
      <w:r w:rsidR="008967C2" w:rsidRPr="00967105">
        <w:rPr>
          <w:rFonts w:cstheme="minorHAnsi"/>
        </w:rPr>
        <w:t xml:space="preserve">– always compared to the base-run (see </w:t>
      </w:r>
      <w:r w:rsidR="008967C2" w:rsidRPr="00601E17">
        <w:rPr>
          <w:rFonts w:cstheme="minorHAnsi"/>
        </w:rPr>
        <w:fldChar w:fldCharType="begin"/>
      </w:r>
      <w:r w:rsidR="008967C2" w:rsidRPr="00601E17">
        <w:rPr>
          <w:rFonts w:cstheme="minorHAnsi"/>
        </w:rPr>
        <w:instrText xml:space="preserve"> REF _Ref59648028 \h </w:instrText>
      </w:r>
      <w:r w:rsidR="0099228F">
        <w:rPr>
          <w:rFonts w:cstheme="minorHAnsi"/>
        </w:rPr>
        <w:instrText xml:space="preserve"> \* MERGEFORMAT </w:instrText>
      </w:r>
      <w:r w:rsidR="008967C2" w:rsidRPr="00601E17">
        <w:rPr>
          <w:rFonts w:cstheme="minorHAnsi"/>
        </w:rPr>
      </w:r>
      <w:r w:rsidR="008967C2" w:rsidRPr="00601E17">
        <w:rPr>
          <w:rFonts w:cstheme="minorHAnsi"/>
        </w:rPr>
        <w:fldChar w:fldCharType="end"/>
      </w:r>
      <w:r w:rsidR="008967C2" w:rsidRPr="00601E17">
        <w:rPr>
          <w:rFonts w:cstheme="minorHAnsi"/>
        </w:rPr>
        <w:fldChar w:fldCharType="begin"/>
      </w:r>
      <w:r w:rsidR="008967C2" w:rsidRPr="00601E17">
        <w:rPr>
          <w:rFonts w:cstheme="minorHAnsi"/>
        </w:rPr>
        <w:instrText xml:space="preserve"> REF _Ref59648034 \h </w:instrText>
      </w:r>
      <w:r w:rsidR="0099228F">
        <w:rPr>
          <w:rFonts w:cstheme="minorHAnsi"/>
        </w:rPr>
        <w:instrText xml:space="preserve"> \* MERGEFORMAT </w:instrText>
      </w:r>
      <w:r w:rsidR="008967C2" w:rsidRPr="00601E17">
        <w:rPr>
          <w:rFonts w:cstheme="minorHAnsi"/>
        </w:rPr>
      </w:r>
      <w:r w:rsidR="008967C2" w:rsidRPr="00601E17">
        <w:rPr>
          <w:rFonts w:cstheme="minorHAnsi"/>
        </w:rPr>
        <w:fldChar w:fldCharType="separate"/>
      </w:r>
      <w:r w:rsidR="00703CE0" w:rsidRPr="00601E17">
        <w:rPr>
          <w:rFonts w:cstheme="minorHAnsi"/>
        </w:rPr>
        <w:t xml:space="preserve">Figure </w:t>
      </w:r>
      <w:r w:rsidR="00703CE0" w:rsidRPr="00601E17">
        <w:rPr>
          <w:rFonts w:cstheme="minorHAnsi"/>
          <w:noProof/>
        </w:rPr>
        <w:t>4</w:t>
      </w:r>
      <w:r w:rsidR="008967C2" w:rsidRPr="00601E17">
        <w:rPr>
          <w:rFonts w:cstheme="minorHAnsi"/>
        </w:rPr>
        <w:fldChar w:fldCharType="end"/>
      </w:r>
      <w:r w:rsidR="008967C2" w:rsidRPr="0099228F">
        <w:rPr>
          <w:rFonts w:cstheme="minorHAnsi"/>
        </w:rPr>
        <w:t>).</w:t>
      </w:r>
      <w:r w:rsidR="008967C2" w:rsidRPr="009C05A3">
        <w:rPr>
          <w:rFonts w:cstheme="minorHAnsi"/>
        </w:rPr>
        <w:t xml:space="preserve"> This means in </w:t>
      </w:r>
      <w:r w:rsidR="00994F44">
        <w:rPr>
          <w:rFonts w:cstheme="minorHAnsi"/>
        </w:rPr>
        <w:t>aggregated</w:t>
      </w:r>
      <w:r w:rsidR="00994F44" w:rsidRPr="009C05A3">
        <w:rPr>
          <w:rFonts w:cstheme="minorHAnsi"/>
        </w:rPr>
        <w:t xml:space="preserve"> </w:t>
      </w:r>
      <w:r w:rsidR="008967C2" w:rsidRPr="009C05A3">
        <w:rPr>
          <w:rFonts w:cstheme="minorHAnsi"/>
        </w:rPr>
        <w:t>terms by 2050, GDP is 3.</w:t>
      </w:r>
      <w:r w:rsidR="001877B6">
        <w:rPr>
          <w:rFonts w:cstheme="minorHAnsi"/>
        </w:rPr>
        <w:t>5</w:t>
      </w:r>
      <w:r w:rsidR="008967C2" w:rsidRPr="009C05A3">
        <w:rPr>
          <w:rFonts w:cstheme="minorHAnsi"/>
        </w:rPr>
        <w:t xml:space="preserve">% higher under </w:t>
      </w:r>
      <w:r w:rsidR="00B07A3C">
        <w:rPr>
          <w:rFonts w:cstheme="minorHAnsi"/>
        </w:rPr>
        <w:t xml:space="preserve">both </w:t>
      </w:r>
      <w:r w:rsidR="00921BA9">
        <w:rPr>
          <w:rFonts w:cstheme="minorHAnsi"/>
        </w:rPr>
        <w:t>scenarios</w:t>
      </w:r>
      <w:r w:rsidR="00B07A3C">
        <w:rPr>
          <w:rFonts w:cstheme="minorHAnsi"/>
        </w:rPr>
        <w:t xml:space="preserve"> combined</w:t>
      </w:r>
      <w:r w:rsidR="008967C2" w:rsidRPr="00967105">
        <w:rPr>
          <w:rFonts w:cstheme="minorHAnsi"/>
        </w:rPr>
        <w:t>, 3.</w:t>
      </w:r>
      <w:r w:rsidR="001877B6">
        <w:rPr>
          <w:rFonts w:cstheme="minorHAnsi"/>
        </w:rPr>
        <w:t>1</w:t>
      </w:r>
      <w:r w:rsidR="008967C2" w:rsidRPr="00967105">
        <w:rPr>
          <w:rFonts w:cstheme="minorHAnsi"/>
        </w:rPr>
        <w:t xml:space="preserve">% higher under </w:t>
      </w:r>
      <w:r w:rsidR="001B024A">
        <w:rPr>
          <w:rFonts w:cstheme="minorHAnsi"/>
        </w:rPr>
        <w:t>GFGS</w:t>
      </w:r>
      <w:r w:rsidR="008967C2" w:rsidRPr="00967105">
        <w:rPr>
          <w:rFonts w:cstheme="minorHAnsi"/>
        </w:rPr>
        <w:t xml:space="preserve"> and 0.5% higher under </w:t>
      </w:r>
      <w:r w:rsidR="001B024A">
        <w:rPr>
          <w:rFonts w:cstheme="minorHAnsi"/>
        </w:rPr>
        <w:t>LETS</w:t>
      </w:r>
      <w:r w:rsidR="008967C2" w:rsidRPr="00967105" w:rsidDel="00EB7F85">
        <w:rPr>
          <w:rFonts w:cstheme="minorHAnsi"/>
        </w:rPr>
        <w:t xml:space="preserve"> </w:t>
      </w:r>
      <w:r w:rsidR="008967C2" w:rsidRPr="00967105">
        <w:rPr>
          <w:rFonts w:cstheme="minorHAnsi"/>
        </w:rPr>
        <w:t>– always compared to the base-run (</w:t>
      </w:r>
      <w:r w:rsidR="008967C2" w:rsidRPr="009C05A3">
        <w:rPr>
          <w:rFonts w:cstheme="minorHAnsi"/>
        </w:rPr>
        <w:fldChar w:fldCharType="begin"/>
      </w:r>
      <w:r w:rsidR="008967C2" w:rsidRPr="00601E17">
        <w:rPr>
          <w:rFonts w:cstheme="minorHAnsi"/>
        </w:rPr>
        <w:instrText xml:space="preserve"> REF _Ref59647885 \h  \* MERGEFORMAT </w:instrText>
      </w:r>
      <w:r w:rsidR="008967C2" w:rsidRPr="009C05A3">
        <w:rPr>
          <w:rFonts w:cstheme="minorHAnsi"/>
        </w:rPr>
      </w:r>
      <w:r w:rsidR="008967C2" w:rsidRPr="009C05A3">
        <w:rPr>
          <w:rFonts w:cstheme="minorHAnsi"/>
        </w:rPr>
        <w:fldChar w:fldCharType="separate"/>
      </w:r>
      <w:r w:rsidR="008967C2" w:rsidRPr="009C05A3">
        <w:rPr>
          <w:rFonts w:cstheme="minorHAnsi"/>
        </w:rPr>
        <w:t xml:space="preserve">Table </w:t>
      </w:r>
      <w:r w:rsidR="008967C2" w:rsidRPr="009C05A3">
        <w:rPr>
          <w:rFonts w:cstheme="minorHAnsi"/>
          <w:noProof/>
        </w:rPr>
        <w:t>2</w:t>
      </w:r>
      <w:r w:rsidR="008967C2" w:rsidRPr="009C05A3">
        <w:rPr>
          <w:rFonts w:cstheme="minorHAnsi"/>
        </w:rPr>
        <w:fldChar w:fldCharType="end"/>
      </w:r>
      <w:r w:rsidR="008967C2" w:rsidRPr="0099228F">
        <w:rPr>
          <w:rFonts w:cstheme="minorHAnsi"/>
        </w:rPr>
        <w:t>). GDP</w:t>
      </w:r>
      <w:r w:rsidR="008967C2" w:rsidRPr="009C05A3">
        <w:rPr>
          <w:rFonts w:cstheme="minorHAnsi"/>
        </w:rPr>
        <w:t xml:space="preserve"> increases under the </w:t>
      </w:r>
      <w:r w:rsidR="001B024A">
        <w:rPr>
          <w:rFonts w:cstheme="minorHAnsi"/>
        </w:rPr>
        <w:t>GFGS</w:t>
      </w:r>
      <w:r w:rsidR="008967C2" w:rsidRPr="009C05A3">
        <w:rPr>
          <w:rFonts w:cstheme="minorHAnsi"/>
        </w:rPr>
        <w:t xml:space="preserve"> because of the lower average interest rates, leading in turn to an increase in capital investments and thus to an increase in GDP and it increases under the </w:t>
      </w:r>
      <w:r w:rsidR="001B024A">
        <w:rPr>
          <w:rFonts w:cstheme="minorHAnsi"/>
        </w:rPr>
        <w:t>LETS</w:t>
      </w:r>
      <w:r w:rsidR="008967C2" w:rsidRPr="009C05A3">
        <w:rPr>
          <w:rFonts w:cstheme="minorHAnsi"/>
        </w:rPr>
        <w:t xml:space="preserve"> in particular because of the aggregate demand stimulus due to increased investments and disposable income (due to incr</w:t>
      </w:r>
      <w:r w:rsidR="001877B6">
        <w:rPr>
          <w:rFonts w:cstheme="minorHAnsi"/>
        </w:rPr>
        <w:t>e</w:t>
      </w:r>
      <w:r w:rsidR="008967C2" w:rsidRPr="009C05A3">
        <w:rPr>
          <w:rFonts w:cstheme="minorHAnsi"/>
        </w:rPr>
        <w:t>ased employment).</w:t>
      </w:r>
      <w:r w:rsidR="001359C9">
        <w:rPr>
          <w:rFonts w:cstheme="minorHAnsi"/>
        </w:rPr>
        <w:t xml:space="preserve"> </w:t>
      </w:r>
      <w:r w:rsidR="008967C2" w:rsidRPr="009C05A3">
        <w:rPr>
          <w:rFonts w:cstheme="minorHAnsi"/>
        </w:rPr>
        <w:t xml:space="preserve"> </w:t>
      </w:r>
    </w:p>
    <w:p w14:paraId="26136C30" w14:textId="5EF073F7" w:rsidR="008967C2" w:rsidRPr="00B8367E" w:rsidRDefault="008967C2" w:rsidP="008967C2">
      <w:pPr>
        <w:pStyle w:val="Caption"/>
        <w:keepNext/>
        <w:rPr>
          <w:rFonts w:asciiTheme="minorHAnsi" w:hAnsiTheme="minorHAnsi" w:cstheme="minorHAnsi"/>
        </w:rPr>
      </w:pPr>
      <w:bookmarkStart w:id="26" w:name="_Ref59648034"/>
      <w:bookmarkStart w:id="27" w:name="_Ref59648028"/>
      <w:r w:rsidRPr="00B8367E">
        <w:rPr>
          <w:rFonts w:asciiTheme="minorHAnsi" w:hAnsiTheme="minorHAnsi" w:cstheme="minorHAnsi"/>
        </w:rPr>
        <w:lastRenderedPageBreak/>
        <w:t xml:space="preserve">Figure </w:t>
      </w:r>
      <w:r w:rsidR="00086A44" w:rsidRPr="00ED77FA">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ED77FA">
        <w:rPr>
          <w:rFonts w:asciiTheme="minorHAnsi" w:hAnsiTheme="minorHAnsi" w:cstheme="minorHAnsi"/>
        </w:rPr>
        <w:fldChar w:fldCharType="separate"/>
      </w:r>
      <w:r w:rsidR="00ED77FA">
        <w:rPr>
          <w:rFonts w:asciiTheme="minorHAnsi" w:hAnsiTheme="minorHAnsi" w:cstheme="minorHAnsi"/>
          <w:noProof/>
        </w:rPr>
        <w:t>4</w:t>
      </w:r>
      <w:r w:rsidR="00086A44" w:rsidRPr="00ED77FA">
        <w:rPr>
          <w:rFonts w:asciiTheme="minorHAnsi" w:hAnsiTheme="minorHAnsi" w:cstheme="minorHAnsi"/>
          <w:noProof/>
        </w:rPr>
        <w:fldChar w:fldCharType="end"/>
      </w:r>
      <w:bookmarkEnd w:id="26"/>
      <w:r w:rsidRPr="00B8367E">
        <w:rPr>
          <w:rFonts w:asciiTheme="minorHAnsi" w:hAnsiTheme="minorHAnsi" w:cstheme="minorHAnsi"/>
        </w:rPr>
        <w:t>: Annual GDP</w:t>
      </w:r>
      <w:bookmarkEnd w:id="27"/>
      <w:r w:rsidR="008020E0" w:rsidRPr="00B8367E">
        <w:rPr>
          <w:rFonts w:asciiTheme="minorHAnsi" w:hAnsiTheme="minorHAnsi" w:cstheme="minorHAnsi"/>
        </w:rPr>
        <w:t xml:space="preserve"> (in 2016 prices)</w:t>
      </w:r>
    </w:p>
    <w:p w14:paraId="522A2975" w14:textId="4709089B" w:rsidR="008967C2" w:rsidRPr="0099228F" w:rsidRDefault="00DF755F" w:rsidP="008967C2">
      <w:pPr>
        <w:keepNext/>
        <w:rPr>
          <w:rFonts w:cstheme="minorHAnsi"/>
        </w:rPr>
      </w:pPr>
      <w:r>
        <w:rPr>
          <w:noProof/>
        </w:rPr>
        <w:drawing>
          <wp:inline distT="0" distB="0" distL="0" distR="0" wp14:anchorId="0EBD1035" wp14:editId="420792B1">
            <wp:extent cx="5731510" cy="2271932"/>
            <wp:effectExtent l="0" t="0" r="2540" b="14605"/>
            <wp:docPr id="41" name="Diagramm 41">
              <a:extLst xmlns:a="http://schemas.openxmlformats.org/drawingml/2006/main">
                <a:ext uri="{FF2B5EF4-FFF2-40B4-BE49-F238E27FC236}">
                  <a16:creationId xmlns:a16="http://schemas.microsoft.com/office/drawing/2014/main" id="{D540D272-8BB0-49CF-96DA-7457B59809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377032B" w14:textId="57F12F33" w:rsidR="006D4213" w:rsidRDefault="00ED77FA" w:rsidP="008967C2">
      <w:pPr>
        <w:rPr>
          <w:rFonts w:cstheme="minorHAnsi"/>
        </w:rPr>
      </w:pPr>
      <w:r w:rsidRPr="00B8367E">
        <w:rPr>
          <w:rFonts w:cstheme="minorHAnsi"/>
        </w:rPr>
        <w:t xml:space="preserve">Third, </w:t>
      </w:r>
      <w:r w:rsidR="006D4213">
        <w:rPr>
          <w:rFonts w:cstheme="minorHAnsi"/>
        </w:rPr>
        <w:t xml:space="preserve">the changes in unemployment are </w:t>
      </w:r>
      <w:r w:rsidR="005A37A3">
        <w:rPr>
          <w:rFonts w:cstheme="minorHAnsi"/>
        </w:rPr>
        <w:t>to a large extent negatively</w:t>
      </w:r>
      <w:r w:rsidR="006D4213">
        <w:rPr>
          <w:rFonts w:cstheme="minorHAnsi"/>
        </w:rPr>
        <w:t xml:space="preserve"> linked to the changes in GDP (see above)</w:t>
      </w:r>
      <w:r w:rsidR="003B1EE3">
        <w:rPr>
          <w:rFonts w:cstheme="minorHAnsi"/>
        </w:rPr>
        <w:t>, but include some inertia (Hafner et al., 2021)</w:t>
      </w:r>
      <w:r w:rsidR="006D4213">
        <w:rPr>
          <w:rFonts w:cstheme="minorHAnsi"/>
        </w:rPr>
        <w:t xml:space="preserve">. Moreover, </w:t>
      </w:r>
      <w:r w:rsidR="008967C2" w:rsidRPr="009C05A3">
        <w:rPr>
          <w:rFonts w:cstheme="minorHAnsi"/>
          <w:highlight w:val="yellow"/>
        </w:rPr>
        <w:fldChar w:fldCharType="begin"/>
      </w:r>
      <w:r w:rsidR="008967C2" w:rsidRPr="00601E17">
        <w:rPr>
          <w:rFonts w:cstheme="minorHAnsi"/>
        </w:rPr>
        <w:instrText xml:space="preserve"> REF _Ref59648055 \h </w:instrText>
      </w:r>
      <w:r w:rsidR="0099228F">
        <w:rPr>
          <w:rFonts w:cstheme="minorHAnsi"/>
          <w:highlight w:val="yellow"/>
        </w:rPr>
        <w:instrText xml:space="preserve"> \* MERGEFORMAT </w:instrText>
      </w:r>
      <w:r w:rsidR="008967C2" w:rsidRPr="009C05A3">
        <w:rPr>
          <w:rFonts w:cstheme="minorHAnsi"/>
          <w:highlight w:val="yellow"/>
        </w:rPr>
      </w:r>
      <w:r w:rsidR="008967C2" w:rsidRPr="009C05A3">
        <w:rPr>
          <w:rFonts w:cstheme="minorHAnsi"/>
          <w:highlight w:val="yellow"/>
        </w:rPr>
        <w:fldChar w:fldCharType="separate"/>
      </w:r>
      <w:r w:rsidR="00703CE0" w:rsidRPr="005E5158">
        <w:rPr>
          <w:rFonts w:cstheme="minorHAnsi"/>
        </w:rPr>
        <w:t xml:space="preserve">Figure </w:t>
      </w:r>
      <w:r w:rsidR="00703CE0" w:rsidRPr="00202D0C">
        <w:rPr>
          <w:rFonts w:cstheme="minorHAnsi"/>
          <w:noProof/>
        </w:rPr>
        <w:t>5</w:t>
      </w:r>
      <w:r w:rsidR="008967C2" w:rsidRPr="009C05A3">
        <w:rPr>
          <w:rFonts w:cstheme="minorHAnsi"/>
          <w:highlight w:val="yellow"/>
        </w:rPr>
        <w:fldChar w:fldCharType="end"/>
      </w:r>
      <w:r w:rsidR="008967C2" w:rsidRPr="0099228F">
        <w:rPr>
          <w:rFonts w:cstheme="minorHAnsi"/>
        </w:rPr>
        <w:t xml:space="preserve"> shows that annual development of unemployment is similar for all policy scenarios and that differences are marginal. </w:t>
      </w:r>
    </w:p>
    <w:p w14:paraId="36854AF1" w14:textId="47942877" w:rsidR="008967C2" w:rsidRPr="0099228F" w:rsidRDefault="008967C2" w:rsidP="008967C2">
      <w:pPr>
        <w:rPr>
          <w:rFonts w:cstheme="minorHAnsi"/>
        </w:rPr>
      </w:pPr>
      <w:r w:rsidRPr="0099228F">
        <w:rPr>
          <w:rFonts w:cstheme="minorHAnsi"/>
        </w:rPr>
        <w:t xml:space="preserve">However, in accumulated terms </w:t>
      </w:r>
      <w:r w:rsidR="002B08E1">
        <w:rPr>
          <w:rFonts w:cstheme="minorHAnsi"/>
        </w:rPr>
        <w:t>by</w:t>
      </w:r>
      <w:r w:rsidR="002B08E1" w:rsidRPr="0099228F">
        <w:rPr>
          <w:rFonts w:cstheme="minorHAnsi"/>
        </w:rPr>
        <w:t xml:space="preserve"> </w:t>
      </w:r>
      <w:r w:rsidRPr="0099228F">
        <w:rPr>
          <w:rFonts w:cstheme="minorHAnsi"/>
        </w:rPr>
        <w:t xml:space="preserve">2050, </w:t>
      </w:r>
      <w:r w:rsidR="005A37A3">
        <w:rPr>
          <w:rFonts w:cstheme="minorHAnsi"/>
        </w:rPr>
        <w:t xml:space="preserve">differences are larger and more specifically, </w:t>
      </w:r>
      <w:r w:rsidRPr="0099228F">
        <w:rPr>
          <w:rFonts w:cstheme="minorHAnsi"/>
        </w:rPr>
        <w:t>u</w:t>
      </w:r>
      <w:r w:rsidRPr="009C05A3">
        <w:rPr>
          <w:rFonts w:cstheme="minorHAnsi"/>
        </w:rPr>
        <w:t>nemployment decreases 1.</w:t>
      </w:r>
      <w:r w:rsidR="00630644">
        <w:rPr>
          <w:rFonts w:cstheme="minorHAnsi"/>
        </w:rPr>
        <w:t>5</w:t>
      </w:r>
      <w:r w:rsidRPr="009C05A3">
        <w:rPr>
          <w:rFonts w:cstheme="minorHAnsi"/>
        </w:rPr>
        <w:t xml:space="preserve">% under </w:t>
      </w:r>
      <w:r w:rsidR="001B024A">
        <w:rPr>
          <w:rFonts w:cstheme="minorHAnsi"/>
        </w:rPr>
        <w:t>GFGS</w:t>
      </w:r>
      <w:r w:rsidRPr="00967105">
        <w:rPr>
          <w:rFonts w:cstheme="minorHAnsi"/>
        </w:rPr>
        <w:t xml:space="preserve"> compared to the base-run due to the higher GDP. Unemployment increases </w:t>
      </w:r>
      <w:r w:rsidR="00646A18">
        <w:rPr>
          <w:rFonts w:cstheme="minorHAnsi"/>
        </w:rPr>
        <w:t xml:space="preserve">by </w:t>
      </w:r>
      <w:r w:rsidRPr="00967105">
        <w:rPr>
          <w:rFonts w:cstheme="minorHAnsi"/>
        </w:rPr>
        <w:t xml:space="preserve">0.2%, despite the higher GDP under </w:t>
      </w:r>
      <w:r w:rsidR="001B024A">
        <w:rPr>
          <w:rFonts w:cstheme="minorHAnsi"/>
        </w:rPr>
        <w:t>LETS</w:t>
      </w:r>
      <w:r w:rsidRPr="00967105">
        <w:rPr>
          <w:rFonts w:cstheme="minorHAnsi"/>
        </w:rPr>
        <w:t>, which is due to the path-dependency related to changes in the working-age population compared to the base-run</w:t>
      </w:r>
      <w:r w:rsidRPr="004C48F6">
        <w:rPr>
          <w:rFonts w:cstheme="minorHAnsi"/>
        </w:rPr>
        <w:t>. Under both scenarios combined unemployment decreases 1.4% relativ</w:t>
      </w:r>
      <w:r w:rsidR="00994F44">
        <w:rPr>
          <w:rFonts w:cstheme="minorHAnsi"/>
        </w:rPr>
        <w:t>e</w:t>
      </w:r>
      <w:r w:rsidRPr="004C48F6">
        <w:rPr>
          <w:rFonts w:cstheme="minorHAnsi"/>
        </w:rPr>
        <w:t xml:space="preserve"> to the base-run (</w:t>
      </w:r>
      <w:r w:rsidRPr="009C05A3">
        <w:rPr>
          <w:rFonts w:cstheme="minorHAnsi"/>
          <w:highlight w:val="yellow"/>
        </w:rPr>
        <w:fldChar w:fldCharType="begin"/>
      </w:r>
      <w:r w:rsidRPr="00601E17">
        <w:rPr>
          <w:rFonts w:cstheme="minorHAnsi"/>
          <w:highlight w:val="yellow"/>
        </w:rPr>
        <w:instrText xml:space="preserve"> REF _Ref59647885 \h </w:instrText>
      </w:r>
      <w:r w:rsidR="0099228F">
        <w:rPr>
          <w:rFonts w:cstheme="minorHAnsi"/>
          <w:highlight w:val="yellow"/>
        </w:rPr>
        <w:instrText xml:space="preserve"> \* MERGEFORMAT </w:instrText>
      </w:r>
      <w:r w:rsidRPr="009C05A3">
        <w:rPr>
          <w:rFonts w:cstheme="minorHAnsi"/>
          <w:highlight w:val="yellow"/>
        </w:rPr>
      </w:r>
      <w:r w:rsidRPr="009C05A3">
        <w:rPr>
          <w:rFonts w:cstheme="minorHAnsi"/>
          <w:highlight w:val="yellow"/>
        </w:rPr>
        <w:fldChar w:fldCharType="separate"/>
      </w:r>
      <w:r w:rsidRPr="009C05A3">
        <w:rPr>
          <w:rFonts w:cstheme="minorHAnsi"/>
        </w:rPr>
        <w:t xml:space="preserve">Table </w:t>
      </w:r>
      <w:r w:rsidRPr="009C05A3">
        <w:rPr>
          <w:rFonts w:cstheme="minorHAnsi"/>
          <w:noProof/>
        </w:rPr>
        <w:t>2</w:t>
      </w:r>
      <w:r w:rsidRPr="009C05A3">
        <w:rPr>
          <w:rFonts w:cstheme="minorHAnsi"/>
          <w:highlight w:val="yellow"/>
        </w:rPr>
        <w:fldChar w:fldCharType="end"/>
      </w:r>
      <w:r w:rsidRPr="0099228F">
        <w:rPr>
          <w:rFonts w:cstheme="minorHAnsi"/>
        </w:rPr>
        <w:t>)</w:t>
      </w:r>
      <w:r w:rsidRPr="00B8367E">
        <w:rPr>
          <w:rFonts w:eastAsia="Times New Roman" w:cstheme="minorHAnsi"/>
          <w:color w:val="000000"/>
          <w:sz w:val="18"/>
          <w:szCs w:val="18"/>
          <w:lang w:eastAsia="en-GB"/>
        </w:rPr>
        <w:t xml:space="preserve">. </w:t>
      </w:r>
    </w:p>
    <w:p w14:paraId="3298C66F" w14:textId="26356AB3" w:rsidR="008967C2" w:rsidRPr="00B8367E" w:rsidRDefault="008967C2" w:rsidP="008967C2">
      <w:pPr>
        <w:pStyle w:val="Caption"/>
        <w:keepNext/>
        <w:rPr>
          <w:rFonts w:asciiTheme="minorHAnsi" w:hAnsiTheme="minorHAnsi" w:cstheme="minorHAnsi"/>
        </w:rPr>
      </w:pPr>
      <w:bookmarkStart w:id="28" w:name="_Ref59648055"/>
      <w:r w:rsidRPr="00B8367E">
        <w:rPr>
          <w:rFonts w:asciiTheme="minorHAnsi" w:hAnsiTheme="minorHAnsi" w:cstheme="minorHAnsi"/>
        </w:rPr>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5</w:t>
      </w:r>
      <w:r w:rsidR="00086A44" w:rsidRPr="00B8367E">
        <w:rPr>
          <w:rFonts w:asciiTheme="minorHAnsi" w:hAnsiTheme="minorHAnsi" w:cstheme="minorHAnsi"/>
          <w:noProof/>
        </w:rPr>
        <w:fldChar w:fldCharType="end"/>
      </w:r>
      <w:bookmarkEnd w:id="28"/>
      <w:r w:rsidRPr="00B8367E">
        <w:rPr>
          <w:rFonts w:asciiTheme="minorHAnsi" w:hAnsiTheme="minorHAnsi" w:cstheme="minorHAnsi"/>
        </w:rPr>
        <w:t>: Annual unemployment</w:t>
      </w:r>
    </w:p>
    <w:p w14:paraId="2A0163B9" w14:textId="112FA543" w:rsidR="008967C2" w:rsidRPr="00B8367E" w:rsidRDefault="00DF755F" w:rsidP="008967C2">
      <w:pPr>
        <w:rPr>
          <w:rFonts w:eastAsia="Times New Roman" w:cstheme="minorHAnsi"/>
          <w:color w:val="000000"/>
          <w:sz w:val="18"/>
          <w:szCs w:val="18"/>
          <w:lang w:eastAsia="en-GB"/>
        </w:rPr>
      </w:pPr>
      <w:r>
        <w:rPr>
          <w:noProof/>
        </w:rPr>
        <w:drawing>
          <wp:inline distT="0" distB="0" distL="0" distR="0" wp14:anchorId="79FF24F0" wp14:editId="0DAA9EAF">
            <wp:extent cx="5731510" cy="2200275"/>
            <wp:effectExtent l="0" t="0" r="2540" b="9525"/>
            <wp:docPr id="42" name="Diagramm 42">
              <a:extLst xmlns:a="http://schemas.openxmlformats.org/drawingml/2006/main">
                <a:ext uri="{FF2B5EF4-FFF2-40B4-BE49-F238E27FC236}">
                  <a16:creationId xmlns:a16="http://schemas.microsoft.com/office/drawing/2014/main" id="{0CE7AA94-E98F-484A-924D-414A7E4CD8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25B6A0E" w14:textId="6C80EB60" w:rsidR="008967C2" w:rsidRPr="009C05A3" w:rsidRDefault="00EA75D0" w:rsidP="008967C2">
      <w:pPr>
        <w:rPr>
          <w:rFonts w:cstheme="minorHAnsi"/>
        </w:rPr>
      </w:pPr>
      <w:r>
        <w:rPr>
          <w:rFonts w:cstheme="minorHAnsi"/>
        </w:rPr>
        <w:t xml:space="preserve">Fourth, </w:t>
      </w:r>
      <w:r w:rsidR="00AC6F7D">
        <w:rPr>
          <w:rFonts w:cstheme="minorHAnsi"/>
        </w:rPr>
        <w:t xml:space="preserve">annual direct employment </w:t>
      </w:r>
      <w:r w:rsidR="00AC6F7D">
        <w:t xml:space="preserve">in the power sector increases over time for all scenarios including the base-run. This is because </w:t>
      </w:r>
      <w:r w:rsidR="00E859B0">
        <w:t xml:space="preserve">the share of renewables in the energy mix leads to more direct employment (Wei et al., 2010) and this share increases in all scenarios and the base-run. </w:t>
      </w:r>
      <w:r w:rsidR="008967C2" w:rsidRPr="009C05A3">
        <w:rPr>
          <w:rFonts w:cstheme="minorHAnsi"/>
        </w:rPr>
        <w:fldChar w:fldCharType="begin"/>
      </w:r>
      <w:r w:rsidR="008967C2" w:rsidRPr="00601E17">
        <w:rPr>
          <w:rFonts w:cstheme="minorHAnsi"/>
        </w:rPr>
        <w:instrText xml:space="preserve"> REF _Ref59648085 \h </w:instrText>
      </w:r>
      <w:r w:rsidR="0099228F">
        <w:rPr>
          <w:rFonts w:cstheme="minorHAnsi"/>
        </w:rPr>
        <w:instrText xml:space="preserve"> \* MERGEFORMAT </w:instrText>
      </w:r>
      <w:r w:rsidR="008967C2" w:rsidRPr="009C05A3">
        <w:rPr>
          <w:rFonts w:cstheme="minorHAnsi"/>
        </w:rPr>
      </w:r>
      <w:r w:rsidR="008967C2" w:rsidRPr="009C05A3">
        <w:rPr>
          <w:rFonts w:cstheme="minorHAnsi"/>
        </w:rPr>
        <w:fldChar w:fldCharType="separate"/>
      </w:r>
      <w:r w:rsidR="00703CE0" w:rsidRPr="005E5158">
        <w:rPr>
          <w:rFonts w:cstheme="minorHAnsi"/>
        </w:rPr>
        <w:t xml:space="preserve">Figure </w:t>
      </w:r>
      <w:r w:rsidR="00703CE0" w:rsidRPr="00202D0C">
        <w:rPr>
          <w:rFonts w:cstheme="minorHAnsi"/>
          <w:noProof/>
        </w:rPr>
        <w:t>6</w:t>
      </w:r>
      <w:r w:rsidR="008967C2" w:rsidRPr="009C05A3">
        <w:rPr>
          <w:rFonts w:cstheme="minorHAnsi"/>
        </w:rPr>
        <w:fldChar w:fldCharType="end"/>
      </w:r>
      <w:r w:rsidR="008967C2" w:rsidRPr="0099228F">
        <w:rPr>
          <w:rFonts w:cstheme="minorHAnsi"/>
        </w:rPr>
        <w:t xml:space="preserve"> shows that direct employment in 2050 </w:t>
      </w:r>
      <w:r w:rsidR="00AC6F7D">
        <w:rPr>
          <w:rFonts w:cstheme="minorHAnsi"/>
        </w:rPr>
        <w:t>is</w:t>
      </w:r>
      <w:r w:rsidR="00AC6F7D" w:rsidRPr="009C05A3">
        <w:rPr>
          <w:rFonts w:cstheme="minorHAnsi"/>
        </w:rPr>
        <w:t xml:space="preserve"> </w:t>
      </w:r>
      <w:r w:rsidR="008967C2" w:rsidRPr="009C05A3">
        <w:rPr>
          <w:rFonts w:cstheme="minorHAnsi"/>
        </w:rPr>
        <w:t xml:space="preserve">52% </w:t>
      </w:r>
      <w:r w:rsidR="00AC6F7D">
        <w:rPr>
          <w:rFonts w:cstheme="minorHAnsi"/>
        </w:rPr>
        <w:t xml:space="preserve">higher </w:t>
      </w:r>
      <w:r w:rsidR="008967C2" w:rsidRPr="009C05A3">
        <w:rPr>
          <w:rFonts w:cstheme="minorHAnsi"/>
        </w:rPr>
        <w:t xml:space="preserve">under </w:t>
      </w:r>
      <w:r w:rsidR="00172D71">
        <w:rPr>
          <w:rFonts w:cstheme="minorHAnsi"/>
        </w:rPr>
        <w:t xml:space="preserve">both </w:t>
      </w:r>
      <w:r w:rsidR="002D0F26">
        <w:rPr>
          <w:rFonts w:cstheme="minorHAnsi"/>
        </w:rPr>
        <w:t>scenarios</w:t>
      </w:r>
      <w:r w:rsidR="00172D71">
        <w:rPr>
          <w:rFonts w:cstheme="minorHAnsi"/>
        </w:rPr>
        <w:t xml:space="preserve"> combined</w:t>
      </w:r>
      <w:r w:rsidR="008967C2" w:rsidRPr="009C05A3">
        <w:rPr>
          <w:rFonts w:cstheme="minorHAnsi"/>
        </w:rPr>
        <w:t xml:space="preserve"> and 15% </w:t>
      </w:r>
      <w:r w:rsidR="00B0466B">
        <w:rPr>
          <w:rFonts w:cstheme="minorHAnsi"/>
        </w:rPr>
        <w:t xml:space="preserve">higher </w:t>
      </w:r>
      <w:r w:rsidR="008967C2" w:rsidRPr="009C05A3">
        <w:rPr>
          <w:rFonts w:cstheme="minorHAnsi"/>
        </w:rPr>
        <w:t xml:space="preserve">under </w:t>
      </w:r>
      <w:r w:rsidR="001B024A">
        <w:rPr>
          <w:rFonts w:cstheme="minorHAnsi"/>
        </w:rPr>
        <w:t>GFGS</w:t>
      </w:r>
      <w:r w:rsidR="008967C2" w:rsidRPr="009C05A3">
        <w:rPr>
          <w:rFonts w:cstheme="minorHAnsi"/>
        </w:rPr>
        <w:t xml:space="preserve"> but </w:t>
      </w:r>
      <w:r w:rsidR="008967C2" w:rsidRPr="00967105">
        <w:rPr>
          <w:rFonts w:cstheme="minorHAnsi"/>
        </w:rPr>
        <w:t xml:space="preserve">10% </w:t>
      </w:r>
      <w:r w:rsidR="00AC6F7D">
        <w:rPr>
          <w:rFonts w:cstheme="minorHAnsi"/>
        </w:rPr>
        <w:t xml:space="preserve">lower </w:t>
      </w:r>
      <w:r w:rsidR="008967C2" w:rsidRPr="00967105">
        <w:rPr>
          <w:rFonts w:cstheme="minorHAnsi"/>
        </w:rPr>
        <w:t xml:space="preserve">under </w:t>
      </w:r>
      <w:r w:rsidR="001B024A">
        <w:rPr>
          <w:rFonts w:cstheme="minorHAnsi"/>
        </w:rPr>
        <w:t>LETS</w:t>
      </w:r>
      <w:r w:rsidR="008967C2" w:rsidRPr="00967105">
        <w:rPr>
          <w:rFonts w:cstheme="minorHAnsi"/>
        </w:rPr>
        <w:t xml:space="preserve"> </w:t>
      </w:r>
      <w:r w:rsidR="00AC6F7D">
        <w:rPr>
          <w:rFonts w:cstheme="minorHAnsi"/>
        </w:rPr>
        <w:t>compared</w:t>
      </w:r>
      <w:r w:rsidR="00AC6F7D" w:rsidRPr="00967105">
        <w:rPr>
          <w:rFonts w:cstheme="minorHAnsi"/>
        </w:rPr>
        <w:t xml:space="preserve"> </w:t>
      </w:r>
      <w:r w:rsidR="00B0466B">
        <w:rPr>
          <w:rFonts w:cstheme="minorHAnsi"/>
        </w:rPr>
        <w:t>with</w:t>
      </w:r>
      <w:r w:rsidR="008967C2" w:rsidRPr="00967105">
        <w:rPr>
          <w:rFonts w:cstheme="minorHAnsi"/>
        </w:rPr>
        <w:t xml:space="preserve"> the base-run in 2050.</w:t>
      </w:r>
      <w:r w:rsidR="00AC6F7D">
        <w:rPr>
          <w:rFonts w:cstheme="minorHAnsi"/>
        </w:rPr>
        <w:t xml:space="preserve"> </w:t>
      </w:r>
      <w:r w:rsidR="008967C2" w:rsidRPr="00967105">
        <w:rPr>
          <w:rFonts w:cstheme="minorHAnsi"/>
        </w:rPr>
        <w:t xml:space="preserve">Direct employment under </w:t>
      </w:r>
      <w:r w:rsidR="001B024A">
        <w:rPr>
          <w:rFonts w:cstheme="minorHAnsi"/>
        </w:rPr>
        <w:t>LETS</w:t>
      </w:r>
      <w:r w:rsidR="008967C2" w:rsidRPr="00967105">
        <w:rPr>
          <w:rFonts w:cstheme="minorHAnsi"/>
        </w:rPr>
        <w:t xml:space="preserve"> is lower than under the base-run because of the occurrence of the ‘green finance gap’. </w:t>
      </w:r>
      <w:r w:rsidR="001B024A">
        <w:rPr>
          <w:rFonts w:cstheme="minorHAnsi"/>
        </w:rPr>
        <w:t>LETS</w:t>
      </w:r>
      <w:r w:rsidR="008967C2" w:rsidRPr="00967105">
        <w:rPr>
          <w:rFonts w:cstheme="minorHAnsi"/>
        </w:rPr>
        <w:t xml:space="preserve"> implies that all new installed </w:t>
      </w:r>
      <w:r w:rsidR="00E54E82" w:rsidRPr="00967105">
        <w:rPr>
          <w:rFonts w:cstheme="minorHAnsi"/>
        </w:rPr>
        <w:t>electricity</w:t>
      </w:r>
      <w:r w:rsidR="008967C2" w:rsidRPr="00967105">
        <w:rPr>
          <w:rFonts w:cstheme="minorHAnsi"/>
        </w:rPr>
        <w:t xml:space="preserve"> infrastructure from 2020 onwards shall be renewable </w:t>
      </w:r>
      <w:r w:rsidR="00E54E82" w:rsidRPr="004C48F6">
        <w:rPr>
          <w:rFonts w:cstheme="minorHAnsi"/>
        </w:rPr>
        <w:t>electricity</w:t>
      </w:r>
      <w:r w:rsidR="008967C2" w:rsidRPr="004C48F6">
        <w:rPr>
          <w:rFonts w:cstheme="minorHAnsi"/>
        </w:rPr>
        <w:t xml:space="preserve">-based – however, as there is a green finance gap, available finance does not cover required </w:t>
      </w:r>
      <w:r w:rsidR="008967C2" w:rsidRPr="004C48F6">
        <w:rPr>
          <w:rFonts w:cstheme="minorHAnsi"/>
        </w:rPr>
        <w:lastRenderedPageBreak/>
        <w:t xml:space="preserve">investments for these renewable </w:t>
      </w:r>
      <w:r w:rsidR="00E54E82" w:rsidRPr="009A2FE1">
        <w:rPr>
          <w:rFonts w:cstheme="minorHAnsi"/>
        </w:rPr>
        <w:t>electricity</w:t>
      </w:r>
      <w:r w:rsidR="008967C2" w:rsidRPr="009A2FE1">
        <w:rPr>
          <w:rFonts w:cstheme="minorHAnsi"/>
        </w:rPr>
        <w:t xml:space="preserve"> installations and therefore a certain amount of the UK </w:t>
      </w:r>
      <w:r w:rsidR="00E54E82" w:rsidRPr="009A2FE1">
        <w:rPr>
          <w:rFonts w:cstheme="minorHAnsi"/>
        </w:rPr>
        <w:t>electricity</w:t>
      </w:r>
      <w:r w:rsidR="008967C2" w:rsidRPr="004C71DD">
        <w:rPr>
          <w:rFonts w:cstheme="minorHAnsi"/>
        </w:rPr>
        <w:t xml:space="preserve"> requirements are instead covered by </w:t>
      </w:r>
      <w:r w:rsidR="00E54E82" w:rsidRPr="00FC1125">
        <w:rPr>
          <w:rFonts w:cstheme="minorHAnsi"/>
        </w:rPr>
        <w:t>electricity</w:t>
      </w:r>
      <w:r w:rsidR="008967C2" w:rsidRPr="00FC1125">
        <w:rPr>
          <w:rFonts w:cstheme="minorHAnsi"/>
        </w:rPr>
        <w:t xml:space="preserve"> imports (see figure below). This in turn means that potentially additional direct employm</w:t>
      </w:r>
      <w:r w:rsidR="008967C2" w:rsidRPr="007C0A4D">
        <w:rPr>
          <w:rFonts w:cstheme="minorHAnsi"/>
        </w:rPr>
        <w:t xml:space="preserve">ent for the installations of new renewable </w:t>
      </w:r>
      <w:r w:rsidR="00E54E82" w:rsidRPr="007C0A4D">
        <w:rPr>
          <w:rFonts w:cstheme="minorHAnsi"/>
        </w:rPr>
        <w:t>el</w:t>
      </w:r>
      <w:r w:rsidR="00E54E82" w:rsidRPr="0070461D">
        <w:rPr>
          <w:rFonts w:cstheme="minorHAnsi"/>
        </w:rPr>
        <w:t>ectricity</w:t>
      </w:r>
      <w:r w:rsidR="008967C2" w:rsidRPr="0070461D">
        <w:rPr>
          <w:rFonts w:cstheme="minorHAnsi"/>
        </w:rPr>
        <w:t xml:space="preserve"> infrastructure is not created in the UK but abroad. In accumulated terms ‘Direct employment’ increases 40% under </w:t>
      </w:r>
      <w:r w:rsidR="00172D71">
        <w:rPr>
          <w:rFonts w:cstheme="minorHAnsi"/>
        </w:rPr>
        <w:t xml:space="preserve">both </w:t>
      </w:r>
      <w:r w:rsidR="002D0F26">
        <w:rPr>
          <w:rFonts w:cstheme="minorHAnsi"/>
        </w:rPr>
        <w:t>scenarios</w:t>
      </w:r>
      <w:r w:rsidR="00172D71">
        <w:rPr>
          <w:rFonts w:cstheme="minorHAnsi"/>
        </w:rPr>
        <w:t xml:space="preserve"> combined</w:t>
      </w:r>
      <w:r w:rsidR="008967C2" w:rsidRPr="0070461D">
        <w:rPr>
          <w:rFonts w:cstheme="minorHAnsi"/>
        </w:rPr>
        <w:t xml:space="preserve"> and 15% under </w:t>
      </w:r>
      <w:r w:rsidR="001B024A">
        <w:rPr>
          <w:rFonts w:cstheme="minorHAnsi"/>
        </w:rPr>
        <w:t>GFGS</w:t>
      </w:r>
      <w:r w:rsidR="008967C2" w:rsidRPr="0070461D">
        <w:rPr>
          <w:rFonts w:cstheme="minorHAnsi"/>
        </w:rPr>
        <w:t xml:space="preserve"> but decreases 7% under </w:t>
      </w:r>
      <w:r w:rsidR="001B024A">
        <w:rPr>
          <w:rFonts w:cstheme="minorHAnsi"/>
        </w:rPr>
        <w:t>LETS</w:t>
      </w:r>
      <w:r w:rsidR="008967C2" w:rsidRPr="0070461D">
        <w:rPr>
          <w:rFonts w:cstheme="minorHAnsi"/>
        </w:rPr>
        <w:t xml:space="preserve"> (</w:t>
      </w:r>
      <w:r w:rsidR="008967C2" w:rsidRPr="0099228F">
        <w:rPr>
          <w:rFonts w:cstheme="minorHAnsi"/>
          <w:highlight w:val="yellow"/>
        </w:rPr>
        <w:fldChar w:fldCharType="begin"/>
      </w:r>
      <w:r w:rsidR="008967C2" w:rsidRPr="00601E17">
        <w:rPr>
          <w:rFonts w:cstheme="minorHAnsi"/>
          <w:highlight w:val="yellow"/>
        </w:rPr>
        <w:instrText xml:space="preserve"> REF _Ref59647885 \h </w:instrText>
      </w:r>
      <w:r w:rsidR="0099228F">
        <w:rPr>
          <w:rFonts w:cstheme="minorHAnsi"/>
          <w:highlight w:val="yellow"/>
        </w:rPr>
        <w:instrText xml:space="preserve"> \* MERGEFORMAT </w:instrText>
      </w:r>
      <w:r w:rsidR="008967C2" w:rsidRPr="0099228F">
        <w:rPr>
          <w:rFonts w:cstheme="minorHAnsi"/>
          <w:highlight w:val="yellow"/>
        </w:rPr>
      </w:r>
      <w:r w:rsidR="008967C2" w:rsidRPr="0099228F">
        <w:rPr>
          <w:rFonts w:cstheme="minorHAnsi"/>
          <w:highlight w:val="yellow"/>
        </w:rPr>
        <w:fldChar w:fldCharType="separate"/>
      </w:r>
      <w:r w:rsidR="008967C2" w:rsidRPr="0099228F">
        <w:rPr>
          <w:rFonts w:cstheme="minorHAnsi"/>
        </w:rPr>
        <w:t xml:space="preserve">Table </w:t>
      </w:r>
      <w:r w:rsidR="008967C2" w:rsidRPr="009C05A3">
        <w:rPr>
          <w:rFonts w:cstheme="minorHAnsi"/>
          <w:noProof/>
        </w:rPr>
        <w:t>2</w:t>
      </w:r>
      <w:r w:rsidR="008967C2" w:rsidRPr="0099228F">
        <w:rPr>
          <w:rFonts w:cstheme="minorHAnsi"/>
          <w:highlight w:val="yellow"/>
        </w:rPr>
        <w:fldChar w:fldCharType="end"/>
      </w:r>
      <w:r w:rsidR="008967C2" w:rsidRPr="0099228F">
        <w:rPr>
          <w:rFonts w:cstheme="minorHAnsi"/>
        </w:rPr>
        <w:t>).</w:t>
      </w:r>
    </w:p>
    <w:p w14:paraId="58005741" w14:textId="24E55972" w:rsidR="008967C2" w:rsidRPr="00B8367E" w:rsidRDefault="008967C2" w:rsidP="008967C2">
      <w:pPr>
        <w:pStyle w:val="Caption"/>
        <w:keepNext/>
        <w:rPr>
          <w:rFonts w:asciiTheme="minorHAnsi" w:hAnsiTheme="minorHAnsi" w:cstheme="minorHAnsi"/>
        </w:rPr>
      </w:pPr>
      <w:bookmarkStart w:id="29" w:name="_Ref59648085"/>
      <w:r w:rsidRPr="00B8367E">
        <w:rPr>
          <w:rFonts w:asciiTheme="minorHAnsi" w:hAnsiTheme="minorHAnsi" w:cstheme="minorHAnsi"/>
        </w:rPr>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6</w:t>
      </w:r>
      <w:r w:rsidR="00086A44" w:rsidRPr="00B8367E">
        <w:rPr>
          <w:rFonts w:asciiTheme="minorHAnsi" w:hAnsiTheme="minorHAnsi" w:cstheme="minorHAnsi"/>
          <w:noProof/>
        </w:rPr>
        <w:fldChar w:fldCharType="end"/>
      </w:r>
      <w:bookmarkEnd w:id="29"/>
      <w:r w:rsidRPr="00B8367E">
        <w:rPr>
          <w:rFonts w:asciiTheme="minorHAnsi" w:hAnsiTheme="minorHAnsi" w:cstheme="minorHAnsi"/>
        </w:rPr>
        <w:t xml:space="preserve">: Annual direct employment in the </w:t>
      </w:r>
      <w:r w:rsidR="00ED2509" w:rsidRPr="00B8367E">
        <w:rPr>
          <w:rFonts w:asciiTheme="minorHAnsi" w:hAnsiTheme="minorHAnsi" w:cstheme="minorHAnsi"/>
        </w:rPr>
        <w:t xml:space="preserve">electricity </w:t>
      </w:r>
      <w:r w:rsidRPr="00B8367E">
        <w:rPr>
          <w:rFonts w:asciiTheme="minorHAnsi" w:hAnsiTheme="minorHAnsi" w:cstheme="minorHAnsi"/>
        </w:rPr>
        <w:t>sector</w:t>
      </w:r>
    </w:p>
    <w:p w14:paraId="20202CFC" w14:textId="51D58451" w:rsidR="008967C2" w:rsidRPr="0099228F" w:rsidRDefault="00DF755F" w:rsidP="008967C2">
      <w:pPr>
        <w:rPr>
          <w:rFonts w:cstheme="minorHAnsi"/>
        </w:rPr>
      </w:pPr>
      <w:r>
        <w:rPr>
          <w:noProof/>
        </w:rPr>
        <w:drawing>
          <wp:inline distT="0" distB="0" distL="0" distR="0" wp14:anchorId="1B3BE492" wp14:editId="54D5E23F">
            <wp:extent cx="5731510" cy="2190750"/>
            <wp:effectExtent l="0" t="0" r="2540" b="0"/>
            <wp:docPr id="43" name="Diagramm 43">
              <a:extLst xmlns:a="http://schemas.openxmlformats.org/drawingml/2006/main">
                <a:ext uri="{FF2B5EF4-FFF2-40B4-BE49-F238E27FC236}">
                  <a16:creationId xmlns:a16="http://schemas.microsoft.com/office/drawing/2014/main" id="{A93C8E37-4C82-43E6-9B0D-EABB7C3691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6A8742" w14:textId="0160C526" w:rsidR="008967C2" w:rsidRPr="009C05A3" w:rsidRDefault="006B18E4" w:rsidP="008967C2">
      <w:pPr>
        <w:rPr>
          <w:rFonts w:cstheme="minorHAnsi"/>
        </w:rPr>
      </w:pPr>
      <w:r>
        <w:rPr>
          <w:rFonts w:cstheme="minorHAnsi"/>
        </w:rPr>
        <w:t>The annual electricity system costs are driven by the demand for power from transport and heating (exogenously given), changes in GDP (i.e. industry electricity demand)</w:t>
      </w:r>
      <w:r w:rsidR="00AF28B1">
        <w:rPr>
          <w:rFonts w:cstheme="minorHAnsi"/>
        </w:rPr>
        <w:t xml:space="preserve">, replacement of shut-down high-carbon infrastructure (in the case of the </w:t>
      </w:r>
      <w:r w:rsidR="001B024A">
        <w:rPr>
          <w:rFonts w:cstheme="minorHAnsi"/>
        </w:rPr>
        <w:t>LETS</w:t>
      </w:r>
      <w:r w:rsidR="00AF28B1">
        <w:rPr>
          <w:rFonts w:cstheme="minorHAnsi"/>
        </w:rPr>
        <w:t xml:space="preserve">) and the costs of the chosen power production technologies. </w:t>
      </w:r>
      <w:r w:rsidR="00703CE0" w:rsidRPr="0099228F">
        <w:rPr>
          <w:rFonts w:cstheme="minorHAnsi"/>
        </w:rPr>
        <w:fldChar w:fldCharType="begin"/>
      </w:r>
      <w:r w:rsidR="00703CE0" w:rsidRPr="00CB37CF">
        <w:rPr>
          <w:rFonts w:cstheme="minorHAnsi"/>
        </w:rPr>
        <w:instrText xml:space="preserve"> REF _Ref59648125 \h </w:instrText>
      </w:r>
      <w:r w:rsidR="00703CE0">
        <w:rPr>
          <w:rFonts w:cstheme="minorHAnsi"/>
        </w:rPr>
        <w:instrText xml:space="preserve"> \* MERGEFORMAT </w:instrText>
      </w:r>
      <w:r w:rsidR="00703CE0" w:rsidRPr="0099228F">
        <w:rPr>
          <w:rFonts w:cstheme="minorHAnsi"/>
        </w:rPr>
      </w:r>
      <w:r w:rsidR="00703CE0" w:rsidRPr="0099228F">
        <w:rPr>
          <w:rFonts w:cstheme="minorHAnsi"/>
        </w:rPr>
        <w:fldChar w:fldCharType="separate"/>
      </w:r>
      <w:r w:rsidR="00703CE0" w:rsidRPr="0099228F">
        <w:rPr>
          <w:rFonts w:cstheme="minorHAnsi"/>
        </w:rPr>
        <w:t xml:space="preserve">Figure </w:t>
      </w:r>
      <w:r w:rsidR="00703CE0" w:rsidRPr="009C05A3">
        <w:rPr>
          <w:rFonts w:cstheme="minorHAnsi"/>
          <w:noProof/>
        </w:rPr>
        <w:t>7</w:t>
      </w:r>
      <w:r w:rsidR="00703CE0" w:rsidRPr="0099228F">
        <w:rPr>
          <w:rFonts w:cstheme="minorHAnsi"/>
        </w:rPr>
        <w:fldChar w:fldCharType="end"/>
      </w:r>
      <w:r w:rsidR="00703CE0">
        <w:rPr>
          <w:rFonts w:cstheme="minorHAnsi"/>
        </w:rPr>
        <w:t xml:space="preserve"> </w:t>
      </w:r>
      <w:r w:rsidR="008967C2" w:rsidRPr="0099228F">
        <w:rPr>
          <w:rFonts w:cstheme="minorHAnsi"/>
        </w:rPr>
        <w:t xml:space="preserve">illustrates that in 2050, annual electricity system costs are highest under the </w:t>
      </w:r>
      <w:r w:rsidR="001B024A">
        <w:rPr>
          <w:rFonts w:cstheme="minorHAnsi"/>
        </w:rPr>
        <w:t>LETS</w:t>
      </w:r>
      <w:r w:rsidR="008967C2" w:rsidRPr="0099228F">
        <w:rPr>
          <w:rFonts w:cstheme="minorHAnsi"/>
        </w:rPr>
        <w:t xml:space="preserve"> (77% higher t</w:t>
      </w:r>
      <w:r w:rsidR="008967C2" w:rsidRPr="009C05A3">
        <w:rPr>
          <w:rFonts w:cstheme="minorHAnsi"/>
        </w:rPr>
        <w:t xml:space="preserve">han under the base-run – because of electricity imports and the </w:t>
      </w:r>
      <w:proofErr w:type="spellStart"/>
      <w:r w:rsidR="008967C2" w:rsidRPr="009C05A3">
        <w:rPr>
          <w:rFonts w:cstheme="minorHAnsi"/>
        </w:rPr>
        <w:t>reinstallment</w:t>
      </w:r>
      <w:proofErr w:type="spellEnd"/>
      <w:r w:rsidR="008967C2" w:rsidRPr="009C05A3">
        <w:rPr>
          <w:rFonts w:cstheme="minorHAnsi"/>
        </w:rPr>
        <w:t xml:space="preserve"> of renewable electricity production capacity), under the </w:t>
      </w:r>
      <w:r w:rsidR="001B024A">
        <w:rPr>
          <w:rFonts w:cstheme="minorHAnsi"/>
        </w:rPr>
        <w:t>GFGS</w:t>
      </w:r>
      <w:r w:rsidR="008967C2" w:rsidRPr="009C05A3">
        <w:rPr>
          <w:rFonts w:cstheme="minorHAnsi"/>
        </w:rPr>
        <w:t xml:space="preserve"> they are 7.5% lower than the base-run (due to the lower interest rates and because the green finance gap is closed) and when a combined scenario is introduced they are around 25% higher compared to the base-run. </w:t>
      </w:r>
      <w:r w:rsidR="008967C2" w:rsidRPr="00967105">
        <w:rPr>
          <w:rFonts w:cstheme="minorHAnsi"/>
        </w:rPr>
        <w:t xml:space="preserve">Accumulated </w:t>
      </w:r>
      <w:r w:rsidR="00ED2509" w:rsidRPr="00967105">
        <w:rPr>
          <w:rFonts w:cstheme="minorHAnsi"/>
        </w:rPr>
        <w:t xml:space="preserve">electricity </w:t>
      </w:r>
      <w:r w:rsidR="008967C2" w:rsidRPr="00967105">
        <w:rPr>
          <w:rFonts w:cstheme="minorHAnsi"/>
        </w:rPr>
        <w:t>system costs decrease 2.</w:t>
      </w:r>
      <w:r w:rsidR="007D5964">
        <w:rPr>
          <w:rFonts w:cstheme="minorHAnsi"/>
        </w:rPr>
        <w:t>6</w:t>
      </w:r>
      <w:r w:rsidR="008967C2" w:rsidRPr="00967105">
        <w:rPr>
          <w:rFonts w:cstheme="minorHAnsi"/>
        </w:rPr>
        <w:t xml:space="preserve">% under </w:t>
      </w:r>
      <w:r w:rsidR="001B024A">
        <w:rPr>
          <w:rFonts w:cstheme="minorHAnsi"/>
        </w:rPr>
        <w:t>GFGS</w:t>
      </w:r>
      <w:r w:rsidR="008967C2" w:rsidRPr="00967105">
        <w:rPr>
          <w:rFonts w:cstheme="minorHAnsi"/>
        </w:rPr>
        <w:t xml:space="preserve"> but increase 12.4% under the </w:t>
      </w:r>
      <w:r w:rsidR="001B024A">
        <w:rPr>
          <w:rFonts w:cstheme="minorHAnsi"/>
        </w:rPr>
        <w:t>LETS</w:t>
      </w:r>
      <w:r w:rsidR="008967C2" w:rsidRPr="00967105">
        <w:rPr>
          <w:rFonts w:cstheme="minorHAnsi"/>
        </w:rPr>
        <w:t xml:space="preserve"> and 2.</w:t>
      </w:r>
      <w:r w:rsidR="007D5964">
        <w:rPr>
          <w:rFonts w:cstheme="minorHAnsi"/>
        </w:rPr>
        <w:t>7</w:t>
      </w:r>
      <w:r w:rsidR="008967C2" w:rsidRPr="00967105">
        <w:rPr>
          <w:rFonts w:cstheme="minorHAnsi"/>
        </w:rPr>
        <w:t xml:space="preserve">% under </w:t>
      </w:r>
      <w:r w:rsidR="00CD1D64">
        <w:rPr>
          <w:rFonts w:cstheme="minorHAnsi"/>
        </w:rPr>
        <w:t xml:space="preserve">both </w:t>
      </w:r>
      <w:r w:rsidR="001359C9">
        <w:rPr>
          <w:rFonts w:cstheme="minorHAnsi"/>
        </w:rPr>
        <w:t>scenarios</w:t>
      </w:r>
      <w:r w:rsidR="00CD1D64">
        <w:rPr>
          <w:rFonts w:cstheme="minorHAnsi"/>
        </w:rPr>
        <w:t xml:space="preserve"> combined</w:t>
      </w:r>
      <w:r w:rsidR="008967C2" w:rsidRPr="00967105">
        <w:rPr>
          <w:rFonts w:cstheme="minorHAnsi"/>
        </w:rPr>
        <w:t xml:space="preserve">. </w:t>
      </w:r>
      <w:r w:rsidR="00ED2509" w:rsidRPr="00967105">
        <w:rPr>
          <w:rFonts w:cstheme="minorHAnsi"/>
        </w:rPr>
        <w:t xml:space="preserve">Electricity </w:t>
      </w:r>
      <w:r w:rsidR="008967C2" w:rsidRPr="00967105">
        <w:rPr>
          <w:rFonts w:cstheme="minorHAnsi"/>
        </w:rPr>
        <w:t xml:space="preserve">system costs decrease under the </w:t>
      </w:r>
      <w:r w:rsidR="001B024A">
        <w:rPr>
          <w:rFonts w:cstheme="minorHAnsi"/>
        </w:rPr>
        <w:t>GFGS</w:t>
      </w:r>
      <w:r w:rsidR="008967C2" w:rsidRPr="00967105">
        <w:rPr>
          <w:rFonts w:cstheme="minorHAnsi"/>
        </w:rPr>
        <w:t xml:space="preserve"> because of the lower financing costs of renewable </w:t>
      </w:r>
      <w:r w:rsidR="00ED2509" w:rsidRPr="00967105">
        <w:rPr>
          <w:rFonts w:cstheme="minorHAnsi"/>
        </w:rPr>
        <w:t>electricity</w:t>
      </w:r>
      <w:r w:rsidR="00ED2509" w:rsidRPr="004C48F6">
        <w:rPr>
          <w:rFonts w:cstheme="minorHAnsi"/>
        </w:rPr>
        <w:t xml:space="preserve"> </w:t>
      </w:r>
      <w:r w:rsidR="008967C2" w:rsidRPr="004C48F6">
        <w:rPr>
          <w:rFonts w:cstheme="minorHAnsi"/>
        </w:rPr>
        <w:t>infrastructure (</w:t>
      </w:r>
      <w:r w:rsidR="008967C2" w:rsidRPr="0099228F">
        <w:rPr>
          <w:rFonts w:cstheme="minorHAnsi"/>
          <w:highlight w:val="yellow"/>
        </w:rPr>
        <w:fldChar w:fldCharType="begin"/>
      </w:r>
      <w:r w:rsidR="008967C2" w:rsidRPr="00601E17">
        <w:rPr>
          <w:rFonts w:cstheme="minorHAnsi"/>
          <w:highlight w:val="yellow"/>
        </w:rPr>
        <w:instrText xml:space="preserve"> REF _Ref59647885 \h </w:instrText>
      </w:r>
      <w:r w:rsidR="0099228F">
        <w:rPr>
          <w:rFonts w:cstheme="minorHAnsi"/>
          <w:highlight w:val="yellow"/>
        </w:rPr>
        <w:instrText xml:space="preserve"> \* MERGEFORMAT </w:instrText>
      </w:r>
      <w:r w:rsidR="008967C2" w:rsidRPr="0099228F">
        <w:rPr>
          <w:rFonts w:cstheme="minorHAnsi"/>
          <w:highlight w:val="yellow"/>
        </w:rPr>
      </w:r>
      <w:r w:rsidR="008967C2" w:rsidRPr="0099228F">
        <w:rPr>
          <w:rFonts w:cstheme="minorHAnsi"/>
          <w:highlight w:val="yellow"/>
        </w:rPr>
        <w:fldChar w:fldCharType="separate"/>
      </w:r>
      <w:r w:rsidR="008967C2" w:rsidRPr="0099228F">
        <w:rPr>
          <w:rFonts w:cstheme="minorHAnsi"/>
        </w:rPr>
        <w:t xml:space="preserve">Table </w:t>
      </w:r>
      <w:r w:rsidR="008967C2" w:rsidRPr="009C05A3">
        <w:rPr>
          <w:rFonts w:cstheme="minorHAnsi"/>
          <w:noProof/>
        </w:rPr>
        <w:t>2</w:t>
      </w:r>
      <w:r w:rsidR="008967C2" w:rsidRPr="0099228F">
        <w:rPr>
          <w:rFonts w:cstheme="minorHAnsi"/>
          <w:highlight w:val="yellow"/>
        </w:rPr>
        <w:fldChar w:fldCharType="end"/>
      </w:r>
      <w:r w:rsidR="008967C2" w:rsidRPr="0099228F">
        <w:rPr>
          <w:rFonts w:cstheme="minorHAnsi"/>
        </w:rPr>
        <w:t xml:space="preserve">). </w:t>
      </w:r>
    </w:p>
    <w:p w14:paraId="4AD39BEF" w14:textId="01111DCD" w:rsidR="008967C2" w:rsidRPr="00B8367E" w:rsidRDefault="008967C2" w:rsidP="008967C2">
      <w:pPr>
        <w:pStyle w:val="Caption"/>
        <w:keepNext/>
        <w:rPr>
          <w:rFonts w:asciiTheme="minorHAnsi" w:hAnsiTheme="minorHAnsi" w:cstheme="minorHAnsi"/>
        </w:rPr>
      </w:pPr>
      <w:bookmarkStart w:id="30" w:name="_Ref59648096"/>
      <w:r w:rsidRPr="00B8367E">
        <w:rPr>
          <w:rFonts w:asciiTheme="minorHAnsi" w:hAnsiTheme="minorHAnsi" w:cstheme="minorHAnsi"/>
        </w:rPr>
        <w:lastRenderedPageBreak/>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7</w:t>
      </w:r>
      <w:r w:rsidR="00086A44" w:rsidRPr="00B8367E">
        <w:rPr>
          <w:rFonts w:asciiTheme="minorHAnsi" w:hAnsiTheme="minorHAnsi" w:cstheme="minorHAnsi"/>
          <w:noProof/>
        </w:rPr>
        <w:fldChar w:fldCharType="end"/>
      </w:r>
      <w:bookmarkEnd w:id="30"/>
      <w:r w:rsidRPr="00B8367E">
        <w:rPr>
          <w:rFonts w:asciiTheme="minorHAnsi" w:hAnsiTheme="minorHAnsi" w:cstheme="minorHAnsi"/>
        </w:rPr>
        <w:t>: Annual electricity system costs</w:t>
      </w:r>
    </w:p>
    <w:p w14:paraId="3311F911" w14:textId="14591E5C" w:rsidR="008967C2" w:rsidRPr="0099228F" w:rsidRDefault="00DF755F" w:rsidP="008967C2">
      <w:pPr>
        <w:rPr>
          <w:rFonts w:cstheme="minorHAnsi"/>
        </w:rPr>
      </w:pPr>
      <w:r>
        <w:rPr>
          <w:noProof/>
        </w:rPr>
        <w:drawing>
          <wp:inline distT="0" distB="0" distL="0" distR="0" wp14:anchorId="46D45E02" wp14:editId="0878ECA9">
            <wp:extent cx="5731510" cy="2356339"/>
            <wp:effectExtent l="0" t="0" r="2540" b="6350"/>
            <wp:docPr id="44" name="Diagramm 44">
              <a:extLst xmlns:a="http://schemas.openxmlformats.org/drawingml/2006/main">
                <a:ext uri="{FF2B5EF4-FFF2-40B4-BE49-F238E27FC236}">
                  <a16:creationId xmlns:a16="http://schemas.microsoft.com/office/drawing/2014/main" id="{971B93DC-F013-437A-BC2C-8318157040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38CC177" w14:textId="71CEC50F" w:rsidR="008967C2" w:rsidRPr="009C05A3" w:rsidRDefault="00216B81" w:rsidP="008967C2">
      <w:pPr>
        <w:rPr>
          <w:rFonts w:cstheme="minorHAnsi"/>
        </w:rPr>
      </w:pPr>
      <w:r>
        <w:rPr>
          <w:rFonts w:cstheme="minorHAnsi"/>
        </w:rPr>
        <w:t>As explained earlier, e</w:t>
      </w:r>
      <w:r w:rsidR="008967C2" w:rsidRPr="0099228F">
        <w:rPr>
          <w:rFonts w:cstheme="minorHAnsi"/>
        </w:rPr>
        <w:t>lectricity</w:t>
      </w:r>
      <w:r w:rsidR="008967C2" w:rsidRPr="009C05A3">
        <w:rPr>
          <w:rFonts w:cstheme="minorHAnsi"/>
        </w:rPr>
        <w:t xml:space="preserve"> imports </w:t>
      </w:r>
      <w:r w:rsidR="00703CE0">
        <w:rPr>
          <w:rFonts w:cstheme="minorHAnsi"/>
        </w:rPr>
        <w:t>include only th</w:t>
      </w:r>
      <w:r w:rsidR="00307212">
        <w:rPr>
          <w:rFonts w:cstheme="minorHAnsi"/>
        </w:rPr>
        <w:t>ose</w:t>
      </w:r>
      <w:r w:rsidR="00703CE0">
        <w:rPr>
          <w:rFonts w:cstheme="minorHAnsi"/>
        </w:rPr>
        <w:t xml:space="preserve"> that are required due to the green finance gap. Therefore, they are zero as soon as the </w:t>
      </w:r>
      <w:r w:rsidR="001B024A">
        <w:rPr>
          <w:rFonts w:cstheme="minorHAnsi"/>
        </w:rPr>
        <w:t>GFGS</w:t>
      </w:r>
      <w:r w:rsidR="00703CE0">
        <w:rPr>
          <w:rFonts w:cstheme="minorHAnsi"/>
        </w:rPr>
        <w:t xml:space="preserve"> is introduced. Moreover, they are higher under the energy transition scenario compared to the base-run as this scenario assumes more installation of renewable energy infrastructure </w:t>
      </w:r>
      <w:r w:rsidR="008967C2" w:rsidRPr="009C05A3">
        <w:rPr>
          <w:rFonts w:cstheme="minorHAnsi"/>
        </w:rPr>
        <w:t>(</w:t>
      </w:r>
      <w:r w:rsidR="00703CE0">
        <w:rPr>
          <w:rFonts w:cstheme="minorHAnsi"/>
        </w:rPr>
        <w:t>Figure 8</w:t>
      </w:r>
      <w:r w:rsidR="008967C2" w:rsidRPr="0099228F">
        <w:rPr>
          <w:rFonts w:cstheme="minorHAnsi"/>
        </w:rPr>
        <w:t xml:space="preserve">). </w:t>
      </w:r>
    </w:p>
    <w:p w14:paraId="59E6C639" w14:textId="22A54E5C" w:rsidR="008967C2" w:rsidRPr="00B8367E" w:rsidRDefault="008967C2" w:rsidP="008967C2">
      <w:pPr>
        <w:pStyle w:val="Caption"/>
        <w:keepNext/>
        <w:rPr>
          <w:rFonts w:asciiTheme="minorHAnsi" w:hAnsiTheme="minorHAnsi" w:cstheme="minorHAnsi"/>
        </w:rPr>
      </w:pPr>
      <w:bookmarkStart w:id="31" w:name="_Ref59648125"/>
      <w:bookmarkStart w:id="32" w:name="_Hlk54086627"/>
      <w:bookmarkStart w:id="33" w:name="_Hlk54086407"/>
      <w:r w:rsidRPr="00B8367E">
        <w:rPr>
          <w:rFonts w:asciiTheme="minorHAnsi" w:hAnsiTheme="minorHAnsi" w:cstheme="minorHAnsi"/>
        </w:rPr>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8</w:t>
      </w:r>
      <w:r w:rsidR="00086A44" w:rsidRPr="00B8367E">
        <w:rPr>
          <w:rFonts w:asciiTheme="minorHAnsi" w:hAnsiTheme="minorHAnsi" w:cstheme="minorHAnsi"/>
          <w:noProof/>
        </w:rPr>
        <w:fldChar w:fldCharType="end"/>
      </w:r>
      <w:bookmarkEnd w:id="31"/>
      <w:r w:rsidRPr="00B8367E">
        <w:rPr>
          <w:rFonts w:asciiTheme="minorHAnsi" w:hAnsiTheme="minorHAnsi" w:cstheme="minorHAnsi"/>
        </w:rPr>
        <w:t>: Annual UK electricity imports due to the green finance gap</w:t>
      </w:r>
    </w:p>
    <w:bookmarkEnd w:id="32"/>
    <w:p w14:paraId="054F6A4D" w14:textId="246ABBF9" w:rsidR="008967C2" w:rsidRPr="0099228F" w:rsidRDefault="00DF755F" w:rsidP="008967C2">
      <w:pPr>
        <w:rPr>
          <w:rFonts w:cstheme="minorHAnsi"/>
          <w:color w:val="5B9BD5" w:themeColor="accent1"/>
        </w:rPr>
      </w:pPr>
      <w:r>
        <w:rPr>
          <w:noProof/>
        </w:rPr>
        <w:drawing>
          <wp:inline distT="0" distB="0" distL="0" distR="0" wp14:anchorId="260AC56A" wp14:editId="6D2D42DE">
            <wp:extent cx="5731510" cy="2307102"/>
            <wp:effectExtent l="0" t="0" r="2540" b="17145"/>
            <wp:docPr id="58" name="Diagramm 58">
              <a:extLst xmlns:a="http://schemas.openxmlformats.org/drawingml/2006/main">
                <a:ext uri="{FF2B5EF4-FFF2-40B4-BE49-F238E27FC236}">
                  <a16:creationId xmlns:a16="http://schemas.microsoft.com/office/drawing/2014/main" id="{A32ACB05-7C0F-4CC9-9E30-45CB1F7867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2ADCD89" w14:textId="4518C0F3" w:rsidR="008967C2" w:rsidRPr="009C05A3" w:rsidRDefault="008967C2" w:rsidP="008967C2">
      <w:pPr>
        <w:rPr>
          <w:rFonts w:cstheme="minorHAnsi"/>
        </w:rPr>
      </w:pPr>
      <w:r w:rsidRPr="009C05A3">
        <w:rPr>
          <w:rFonts w:cstheme="minorHAnsi"/>
        </w:rPr>
        <w:t>Higher electric</w:t>
      </w:r>
      <w:r w:rsidR="00307212">
        <w:rPr>
          <w:rFonts w:cstheme="minorHAnsi"/>
        </w:rPr>
        <w:t>it</w:t>
      </w:r>
      <w:r w:rsidRPr="009C05A3">
        <w:rPr>
          <w:rFonts w:cstheme="minorHAnsi"/>
        </w:rPr>
        <w:t>y system costs translate into higher electricity prices</w:t>
      </w:r>
      <w:r w:rsidR="00CE76C7">
        <w:rPr>
          <w:rFonts w:cstheme="minorHAnsi"/>
        </w:rPr>
        <w:t xml:space="preserve"> as electricity prices are given by the electricity system costs plus a </w:t>
      </w:r>
      <w:r w:rsidR="00703CE0">
        <w:rPr>
          <w:rFonts w:cstheme="minorHAnsi"/>
        </w:rPr>
        <w:t xml:space="preserve">constant </w:t>
      </w:r>
      <w:r w:rsidR="00CE76C7">
        <w:rPr>
          <w:rFonts w:cstheme="minorHAnsi"/>
        </w:rPr>
        <w:t>mark-up</w:t>
      </w:r>
      <w:r w:rsidRPr="009C05A3">
        <w:rPr>
          <w:rFonts w:cstheme="minorHAnsi"/>
        </w:rPr>
        <w:t xml:space="preserve"> (see figure below</w:t>
      </w:r>
      <w:r w:rsidR="00703CE0">
        <w:rPr>
          <w:rFonts w:cstheme="minorHAnsi"/>
        </w:rPr>
        <w:t xml:space="preserve"> and refer to Hafner et al., 2021 for model equations</w:t>
      </w:r>
      <w:r w:rsidRPr="009C05A3">
        <w:rPr>
          <w:rFonts w:cstheme="minorHAnsi"/>
        </w:rPr>
        <w:t xml:space="preserve">). </w:t>
      </w:r>
    </w:p>
    <w:p w14:paraId="70B2D822" w14:textId="48F2C628" w:rsidR="008967C2" w:rsidRPr="00B8367E" w:rsidRDefault="008967C2" w:rsidP="008967C2">
      <w:pPr>
        <w:pStyle w:val="Caption"/>
        <w:keepNext/>
        <w:rPr>
          <w:rFonts w:asciiTheme="minorHAnsi" w:hAnsiTheme="minorHAnsi" w:cstheme="minorHAnsi"/>
        </w:rPr>
      </w:pPr>
      <w:r w:rsidRPr="00B8367E">
        <w:rPr>
          <w:rFonts w:asciiTheme="minorHAnsi" w:hAnsiTheme="minorHAnsi" w:cstheme="minorHAnsi"/>
        </w:rPr>
        <w:lastRenderedPageBreak/>
        <w:t xml:space="preserve">Figure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Figure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9</w:t>
      </w:r>
      <w:r w:rsidR="00086A44" w:rsidRPr="00B8367E">
        <w:rPr>
          <w:rFonts w:asciiTheme="minorHAnsi" w:hAnsiTheme="minorHAnsi" w:cstheme="minorHAnsi"/>
          <w:noProof/>
        </w:rPr>
        <w:fldChar w:fldCharType="end"/>
      </w:r>
      <w:r w:rsidRPr="00B8367E">
        <w:rPr>
          <w:rFonts w:asciiTheme="minorHAnsi" w:hAnsiTheme="minorHAnsi" w:cstheme="minorHAnsi"/>
        </w:rPr>
        <w:t>: Electricity prices</w:t>
      </w:r>
    </w:p>
    <w:p w14:paraId="181A889D" w14:textId="2DBA0C1C" w:rsidR="008967C2" w:rsidRPr="0099228F" w:rsidRDefault="00DF755F" w:rsidP="008967C2">
      <w:pPr>
        <w:rPr>
          <w:rFonts w:cstheme="minorHAnsi"/>
        </w:rPr>
      </w:pPr>
      <w:r>
        <w:rPr>
          <w:noProof/>
        </w:rPr>
        <w:drawing>
          <wp:inline distT="0" distB="0" distL="0" distR="0" wp14:anchorId="001ADE78" wp14:editId="115F8942">
            <wp:extent cx="5731510" cy="2412609"/>
            <wp:effectExtent l="0" t="0" r="2540" b="6985"/>
            <wp:docPr id="60" name="Diagramm 60">
              <a:extLst xmlns:a="http://schemas.openxmlformats.org/drawingml/2006/main">
                <a:ext uri="{FF2B5EF4-FFF2-40B4-BE49-F238E27FC236}">
                  <a16:creationId xmlns:a16="http://schemas.microsoft.com/office/drawing/2014/main" id="{BB69A545-D5C2-4EBF-9A26-1D34299920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F7B70A" w14:textId="43BFF666" w:rsidR="008967C2" w:rsidRPr="00967105" w:rsidRDefault="00703CE0" w:rsidP="008967C2">
      <w:pPr>
        <w:rPr>
          <w:rFonts w:cstheme="minorHAnsi"/>
        </w:rPr>
      </w:pPr>
      <w:r>
        <w:rPr>
          <w:rFonts w:cstheme="minorHAnsi"/>
        </w:rPr>
        <w:t>T</w:t>
      </w:r>
      <w:r w:rsidR="008967C2" w:rsidRPr="009C05A3">
        <w:rPr>
          <w:rFonts w:cstheme="minorHAnsi"/>
        </w:rPr>
        <w:t xml:space="preserve">able </w:t>
      </w:r>
      <w:r w:rsidR="00793594">
        <w:rPr>
          <w:rFonts w:cstheme="minorHAnsi"/>
        </w:rPr>
        <w:t>3</w:t>
      </w:r>
      <w:r>
        <w:rPr>
          <w:rFonts w:cstheme="minorHAnsi"/>
        </w:rPr>
        <w:t xml:space="preserve"> </w:t>
      </w:r>
      <w:r w:rsidR="008967C2" w:rsidRPr="009C05A3">
        <w:rPr>
          <w:rFonts w:cstheme="minorHAnsi"/>
        </w:rPr>
        <w:t xml:space="preserve">shows the results of the simulated </w:t>
      </w:r>
      <w:r w:rsidR="00E54E82" w:rsidRPr="009C05A3">
        <w:rPr>
          <w:rFonts w:cstheme="minorHAnsi"/>
        </w:rPr>
        <w:t>electricity</w:t>
      </w:r>
      <w:r w:rsidR="008967C2" w:rsidRPr="009C05A3">
        <w:rPr>
          <w:rFonts w:cstheme="minorHAnsi"/>
        </w:rPr>
        <w:t xml:space="preserve"> policy scenarios in terms of the chosen policy indicators </w:t>
      </w:r>
      <w:r w:rsidR="008967C2" w:rsidRPr="00967105">
        <w:rPr>
          <w:rFonts w:cstheme="minorHAnsi"/>
          <w:i/>
        </w:rPr>
        <w:t>as percentages against the base-run simulation results</w:t>
      </w:r>
      <w:r w:rsidR="008967C2" w:rsidRPr="00967105">
        <w:rPr>
          <w:rFonts w:cstheme="minorHAnsi"/>
        </w:rPr>
        <w:t xml:space="preserve"> of the same policy indicator (always in accumulated numbers, if not indicated differently). </w:t>
      </w:r>
    </w:p>
    <w:p w14:paraId="5635E9D3" w14:textId="365C78CD" w:rsidR="008967C2" w:rsidRPr="00B8367E" w:rsidRDefault="008967C2" w:rsidP="008967C2">
      <w:pPr>
        <w:pStyle w:val="Caption"/>
        <w:keepNext/>
        <w:rPr>
          <w:rFonts w:asciiTheme="minorHAnsi" w:hAnsiTheme="minorHAnsi" w:cstheme="minorHAnsi"/>
          <w:b w:val="0"/>
          <w:bCs/>
        </w:rPr>
      </w:pPr>
      <w:bookmarkStart w:id="34" w:name="_Ref59647885"/>
      <w:bookmarkEnd w:id="33"/>
      <w:r w:rsidRPr="00B8367E">
        <w:rPr>
          <w:rFonts w:asciiTheme="minorHAnsi" w:hAnsiTheme="minorHAnsi" w:cstheme="minorHAnsi"/>
        </w:rPr>
        <w:t xml:space="preserve">Table </w:t>
      </w:r>
      <w:bookmarkEnd w:id="34"/>
      <w:r w:rsidR="00793594">
        <w:rPr>
          <w:rFonts w:asciiTheme="minorHAnsi" w:hAnsiTheme="minorHAnsi" w:cstheme="minorHAnsi"/>
        </w:rPr>
        <w:t>3</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red colour highlights the worst achieved results and the blue colour the best achieved one of all tested low-carbon policy scenarios, impacts on accumulated variables from 2016 to 2050</w:t>
      </w:r>
      <w:r w:rsidR="007F6BB1" w:rsidRPr="00B8367E">
        <w:rPr>
          <w:rFonts w:asciiTheme="minorHAnsi" w:hAnsiTheme="minorHAnsi" w:cstheme="minorHAnsi"/>
          <w:b w:val="0"/>
          <w:bCs/>
        </w:rPr>
        <w:t xml:space="preserve"> in comparison to the base-run. </w:t>
      </w:r>
    </w:p>
    <w:tbl>
      <w:tblPr>
        <w:tblW w:w="4905" w:type="pct"/>
        <w:tblLayout w:type="fixed"/>
        <w:tblLook w:val="04A0" w:firstRow="1" w:lastRow="0" w:firstColumn="1" w:lastColumn="0" w:noHBand="0" w:noVBand="1"/>
      </w:tblPr>
      <w:tblGrid>
        <w:gridCol w:w="2226"/>
        <w:gridCol w:w="1325"/>
        <w:gridCol w:w="1126"/>
        <w:gridCol w:w="1528"/>
        <w:gridCol w:w="1326"/>
        <w:gridCol w:w="1319"/>
      </w:tblGrid>
      <w:tr w:rsidR="008967C2" w:rsidRPr="0099228F" w14:paraId="476D745B" w14:textId="77777777" w:rsidTr="00B8367E">
        <w:trPr>
          <w:trHeight w:val="374"/>
        </w:trPr>
        <w:tc>
          <w:tcPr>
            <w:tcW w:w="1258" w:type="pct"/>
            <w:tcBorders>
              <w:bottom w:val="single" w:sz="4" w:space="0" w:color="auto"/>
              <w:right w:val="single" w:sz="4" w:space="0" w:color="auto"/>
            </w:tcBorders>
            <w:shd w:val="clear" w:color="000000" w:fill="FFFFFF"/>
            <w:noWrap/>
            <w:vAlign w:val="bottom"/>
            <w:hideMark/>
          </w:tcPr>
          <w:p w14:paraId="6D5832C5" w14:textId="77777777" w:rsidR="008967C2" w:rsidRPr="00B8367E" w:rsidRDefault="008967C2" w:rsidP="00BD2F69">
            <w:pPr>
              <w:spacing w:after="0" w:line="240" w:lineRule="auto"/>
              <w:jc w:val="left"/>
              <w:rPr>
                <w:rFonts w:eastAsia="Times New Roman" w:cstheme="minorHAnsi"/>
                <w:sz w:val="18"/>
                <w:szCs w:val="18"/>
                <w:lang w:eastAsia="en-GB"/>
              </w:rPr>
            </w:pPr>
            <w:r w:rsidRPr="00B8367E">
              <w:rPr>
                <w:rFonts w:eastAsia="Times New Roman" w:cstheme="minorHAnsi"/>
                <w:sz w:val="18"/>
                <w:szCs w:val="18"/>
                <w:lang w:eastAsia="en-GB"/>
              </w:rPr>
              <w:t> </w:t>
            </w:r>
          </w:p>
        </w:tc>
        <w:tc>
          <w:tcPr>
            <w:tcW w:w="749"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6BA097B7" w14:textId="77777777" w:rsidR="008967C2" w:rsidRPr="00B8367E" w:rsidRDefault="008967C2" w:rsidP="00BD2F69">
            <w:pPr>
              <w:spacing w:after="0" w:line="240" w:lineRule="auto"/>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Emissions (%)</w:t>
            </w:r>
          </w:p>
        </w:tc>
        <w:tc>
          <w:tcPr>
            <w:tcW w:w="636" w:type="pct"/>
            <w:tcBorders>
              <w:top w:val="single" w:sz="4" w:space="0" w:color="auto"/>
              <w:left w:val="nil"/>
              <w:bottom w:val="single" w:sz="4" w:space="0" w:color="auto"/>
              <w:right w:val="single" w:sz="4" w:space="0" w:color="auto"/>
            </w:tcBorders>
            <w:shd w:val="clear" w:color="auto" w:fill="44546A" w:themeFill="text2"/>
            <w:vAlign w:val="center"/>
            <w:hideMark/>
          </w:tcPr>
          <w:p w14:paraId="0AE933E8" w14:textId="77777777" w:rsidR="008967C2" w:rsidRPr="00B8367E" w:rsidRDefault="008967C2" w:rsidP="00BD2F69">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GDP (%)</w:t>
            </w:r>
          </w:p>
        </w:tc>
        <w:tc>
          <w:tcPr>
            <w:tcW w:w="863" w:type="pct"/>
            <w:tcBorders>
              <w:top w:val="single" w:sz="4" w:space="0" w:color="auto"/>
              <w:left w:val="nil"/>
              <w:bottom w:val="single" w:sz="4" w:space="0" w:color="auto"/>
              <w:right w:val="single" w:sz="4" w:space="0" w:color="auto"/>
            </w:tcBorders>
            <w:shd w:val="clear" w:color="auto" w:fill="44546A" w:themeFill="text2"/>
            <w:vAlign w:val="center"/>
            <w:hideMark/>
          </w:tcPr>
          <w:p w14:paraId="2F78F877" w14:textId="77777777" w:rsidR="008967C2" w:rsidRPr="00B8367E" w:rsidRDefault="008967C2" w:rsidP="00BD2F69">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Unemployment (%)</w:t>
            </w:r>
          </w:p>
        </w:tc>
        <w:tc>
          <w:tcPr>
            <w:tcW w:w="749" w:type="pct"/>
            <w:tcBorders>
              <w:top w:val="single" w:sz="4" w:space="0" w:color="auto"/>
              <w:left w:val="nil"/>
              <w:bottom w:val="single" w:sz="4" w:space="0" w:color="auto"/>
              <w:right w:val="single" w:sz="4" w:space="0" w:color="auto"/>
            </w:tcBorders>
            <w:shd w:val="clear" w:color="auto" w:fill="44546A" w:themeFill="text2"/>
            <w:vAlign w:val="center"/>
            <w:hideMark/>
          </w:tcPr>
          <w:p w14:paraId="4EE0B503" w14:textId="77777777" w:rsidR="008967C2" w:rsidRPr="00B8367E" w:rsidRDefault="008967C2" w:rsidP="00BD2F69">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Direct employment (%)</w:t>
            </w:r>
          </w:p>
        </w:tc>
        <w:tc>
          <w:tcPr>
            <w:tcW w:w="745" w:type="pct"/>
            <w:tcBorders>
              <w:top w:val="single" w:sz="4" w:space="0" w:color="auto"/>
              <w:left w:val="nil"/>
              <w:bottom w:val="single" w:sz="4" w:space="0" w:color="auto"/>
              <w:right w:val="single" w:sz="4" w:space="0" w:color="auto"/>
            </w:tcBorders>
            <w:shd w:val="clear" w:color="auto" w:fill="44546A" w:themeFill="text2"/>
            <w:vAlign w:val="center"/>
            <w:hideMark/>
          </w:tcPr>
          <w:p w14:paraId="1D8D0E62" w14:textId="77777777" w:rsidR="008967C2" w:rsidRPr="00B8367E" w:rsidRDefault="008967C2" w:rsidP="00BD2F69">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System costs (%)</w:t>
            </w:r>
          </w:p>
        </w:tc>
      </w:tr>
      <w:tr w:rsidR="008967C2" w:rsidRPr="0099228F" w14:paraId="436CBA0A" w14:textId="77777777" w:rsidTr="00B8367E">
        <w:trPr>
          <w:trHeight w:val="469"/>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4D15AE16" w14:textId="5A5DDB3C" w:rsidR="008967C2" w:rsidRPr="00B8367E" w:rsidRDefault="001359C9" w:rsidP="00BD2F69">
            <w:pPr>
              <w:spacing w:after="0" w:line="240" w:lineRule="auto"/>
              <w:jc w:val="left"/>
              <w:rPr>
                <w:rFonts w:eastAsia="Times New Roman" w:cstheme="minorHAnsi"/>
                <w:color w:val="E7E6E6" w:themeColor="background2"/>
                <w:sz w:val="18"/>
                <w:szCs w:val="18"/>
                <w:lang w:eastAsia="en-GB"/>
              </w:rPr>
            </w:pPr>
            <w:r>
              <w:rPr>
                <w:rFonts w:eastAsia="Times New Roman" w:cstheme="minorHAnsi"/>
                <w:color w:val="E7E6E6" w:themeColor="background2"/>
                <w:sz w:val="18"/>
                <w:szCs w:val="18"/>
                <w:lang w:eastAsia="en-GB"/>
              </w:rPr>
              <w:t>Green Finance Gap</w:t>
            </w:r>
            <w:r w:rsidR="008967C2" w:rsidRPr="00B8367E">
              <w:rPr>
                <w:rFonts w:eastAsia="Times New Roman" w:cstheme="minorHAnsi"/>
                <w:color w:val="E7E6E6" w:themeColor="background2"/>
                <w:sz w:val="18"/>
                <w:szCs w:val="18"/>
                <w:lang w:eastAsia="en-GB"/>
              </w:rPr>
              <w:t xml:space="preserve"> (</w:t>
            </w:r>
            <w:r w:rsidR="001B024A">
              <w:rPr>
                <w:rFonts w:eastAsia="Times New Roman" w:cstheme="minorHAnsi"/>
                <w:color w:val="E7E6E6" w:themeColor="background2"/>
                <w:sz w:val="18"/>
                <w:szCs w:val="18"/>
                <w:lang w:eastAsia="en-GB"/>
              </w:rPr>
              <w:t>GFGS</w:t>
            </w:r>
            <w:r w:rsidR="008967C2" w:rsidRPr="00B8367E">
              <w:rPr>
                <w:rFonts w:eastAsia="Times New Roman" w:cstheme="minorHAnsi"/>
                <w:color w:val="E7E6E6" w:themeColor="background2"/>
                <w:sz w:val="18"/>
                <w:szCs w:val="18"/>
                <w:lang w:eastAsia="en-GB"/>
              </w:rPr>
              <w:t>)</w:t>
            </w:r>
          </w:p>
        </w:tc>
        <w:tc>
          <w:tcPr>
            <w:tcW w:w="749"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53C45277"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-7.09</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9C7C38"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3.05</w:t>
            </w:r>
          </w:p>
        </w:tc>
        <w:tc>
          <w:tcPr>
            <w:tcW w:w="863"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675633C7"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-1.47</w:t>
            </w:r>
          </w:p>
        </w:tc>
        <w:tc>
          <w:tcPr>
            <w:tcW w:w="74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10D4569"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15.12</w:t>
            </w:r>
          </w:p>
        </w:tc>
        <w:tc>
          <w:tcPr>
            <w:tcW w:w="745"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252CD178"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-2.58</w:t>
            </w:r>
          </w:p>
        </w:tc>
      </w:tr>
      <w:tr w:rsidR="008967C2" w:rsidRPr="0099228F" w14:paraId="198679DE" w14:textId="77777777" w:rsidTr="00B8367E">
        <w:trPr>
          <w:trHeight w:val="374"/>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3D29FC7B" w14:textId="5DB07732" w:rsidR="008967C2" w:rsidRPr="00B8367E" w:rsidRDefault="008967C2" w:rsidP="00BD2F69">
            <w:pPr>
              <w:spacing w:after="0" w:line="240" w:lineRule="auto"/>
              <w:jc w:val="left"/>
              <w:rPr>
                <w:rFonts w:eastAsia="Times New Roman" w:cstheme="minorHAnsi"/>
                <w:color w:val="E7E6E6" w:themeColor="background2"/>
                <w:sz w:val="18"/>
                <w:szCs w:val="18"/>
                <w:lang w:eastAsia="en-GB"/>
              </w:rPr>
            </w:pPr>
            <w:r w:rsidRPr="0070461D">
              <w:rPr>
                <w:rFonts w:cstheme="minorHAnsi"/>
                <w:color w:val="E7E6E6" w:themeColor="background2"/>
                <w:sz w:val="18"/>
                <w:szCs w:val="18"/>
              </w:rPr>
              <w:t xml:space="preserve">Low-carbon </w:t>
            </w:r>
            <w:r w:rsidR="00E54E82" w:rsidRPr="0070461D">
              <w:rPr>
                <w:rFonts w:cstheme="minorHAnsi"/>
                <w:color w:val="E7E6E6" w:themeColor="background2"/>
                <w:sz w:val="18"/>
                <w:szCs w:val="18"/>
              </w:rPr>
              <w:t>electricity</w:t>
            </w:r>
            <w:r w:rsidRPr="0070461D">
              <w:rPr>
                <w:rFonts w:cstheme="minorHAnsi"/>
                <w:color w:val="E7E6E6" w:themeColor="background2"/>
                <w:sz w:val="18"/>
                <w:szCs w:val="18"/>
              </w:rPr>
              <w:t xml:space="preserve"> transition scenario (</w:t>
            </w:r>
            <w:r w:rsidR="001B024A">
              <w:rPr>
                <w:rFonts w:cstheme="minorHAnsi"/>
                <w:color w:val="E7E6E6" w:themeColor="background2"/>
                <w:sz w:val="18"/>
                <w:szCs w:val="18"/>
              </w:rPr>
              <w:t>LETS</w:t>
            </w:r>
            <w:r w:rsidRPr="0070461D">
              <w:rPr>
                <w:rFonts w:cstheme="minorHAnsi"/>
                <w:color w:val="E7E6E6" w:themeColor="background2"/>
                <w:sz w:val="18"/>
                <w:szCs w:val="18"/>
              </w:rPr>
              <w:t>)</w:t>
            </w:r>
          </w:p>
        </w:tc>
        <w:tc>
          <w:tcPr>
            <w:tcW w:w="749"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0EC7D546"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-44.90</w:t>
            </w:r>
          </w:p>
        </w:tc>
        <w:tc>
          <w:tcPr>
            <w:tcW w:w="636"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234DA90F"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0.50</w:t>
            </w:r>
          </w:p>
        </w:tc>
        <w:tc>
          <w:tcPr>
            <w:tcW w:w="863"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755B7AFD"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0.20</w:t>
            </w:r>
          </w:p>
        </w:tc>
        <w:tc>
          <w:tcPr>
            <w:tcW w:w="749"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518A343F"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-6.90</w:t>
            </w:r>
          </w:p>
        </w:tc>
        <w:tc>
          <w:tcPr>
            <w:tcW w:w="745"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3E0323F0"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12.44</w:t>
            </w:r>
          </w:p>
        </w:tc>
      </w:tr>
      <w:tr w:rsidR="008967C2" w:rsidRPr="0099228F" w14:paraId="0A6DA84C" w14:textId="77777777" w:rsidTr="00B8367E">
        <w:trPr>
          <w:trHeight w:val="462"/>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56FDFEA8" w14:textId="1008D199" w:rsidR="008967C2" w:rsidRPr="00B8367E" w:rsidRDefault="001B024A" w:rsidP="00BD2F69">
            <w:pPr>
              <w:spacing w:after="0" w:line="240" w:lineRule="auto"/>
              <w:jc w:val="left"/>
              <w:rPr>
                <w:rFonts w:eastAsia="Times New Roman" w:cstheme="minorHAnsi"/>
                <w:color w:val="E7E6E6" w:themeColor="background2"/>
                <w:sz w:val="18"/>
                <w:szCs w:val="18"/>
                <w:lang w:eastAsia="en-GB"/>
              </w:rPr>
            </w:pPr>
            <w:r>
              <w:rPr>
                <w:rFonts w:cstheme="minorHAnsi"/>
                <w:color w:val="E7E6E6" w:themeColor="background2"/>
                <w:sz w:val="18"/>
                <w:szCs w:val="18"/>
              </w:rPr>
              <w:t>GFGS</w:t>
            </w:r>
            <w:r w:rsidR="008967C2" w:rsidRPr="0070461D">
              <w:rPr>
                <w:rFonts w:cstheme="minorHAnsi"/>
                <w:color w:val="E7E6E6" w:themeColor="background2"/>
                <w:sz w:val="18"/>
                <w:szCs w:val="18"/>
              </w:rPr>
              <w:t xml:space="preserve"> and </w:t>
            </w:r>
            <w:r>
              <w:rPr>
                <w:rFonts w:cstheme="minorHAnsi"/>
                <w:color w:val="E7E6E6" w:themeColor="background2"/>
                <w:sz w:val="18"/>
                <w:szCs w:val="18"/>
              </w:rPr>
              <w:t>LETS</w:t>
            </w:r>
            <w:r w:rsidR="008967C2" w:rsidRPr="0070461D">
              <w:rPr>
                <w:rFonts w:cstheme="minorHAnsi"/>
                <w:color w:val="E7E6E6" w:themeColor="background2"/>
                <w:sz w:val="18"/>
                <w:szCs w:val="18"/>
              </w:rPr>
              <w:t xml:space="preserve"> combined</w:t>
            </w:r>
          </w:p>
        </w:tc>
        <w:tc>
          <w:tcPr>
            <w:tcW w:w="749"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691F5808"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-44.90</w:t>
            </w:r>
          </w:p>
        </w:tc>
        <w:tc>
          <w:tcPr>
            <w:tcW w:w="636"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72812569"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3.46</w:t>
            </w:r>
          </w:p>
        </w:tc>
        <w:tc>
          <w:tcPr>
            <w:tcW w:w="86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F852CAC"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-1.4053</w:t>
            </w:r>
          </w:p>
        </w:tc>
        <w:tc>
          <w:tcPr>
            <w:tcW w:w="749"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130FA252"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40.15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9D2E37A" w14:textId="77777777" w:rsidR="008967C2" w:rsidRPr="00B8367E" w:rsidRDefault="008967C2" w:rsidP="00BD2F69">
            <w:pPr>
              <w:spacing w:after="0" w:line="240" w:lineRule="auto"/>
              <w:jc w:val="center"/>
              <w:rPr>
                <w:rFonts w:eastAsia="Times New Roman" w:cstheme="minorHAnsi"/>
                <w:color w:val="000000"/>
                <w:sz w:val="18"/>
                <w:szCs w:val="18"/>
                <w:lang w:eastAsia="en-GB"/>
              </w:rPr>
            </w:pPr>
            <w:r w:rsidRPr="00B8367E">
              <w:rPr>
                <w:rFonts w:eastAsia="Times New Roman" w:cstheme="minorHAnsi"/>
                <w:color w:val="000000"/>
                <w:sz w:val="18"/>
                <w:szCs w:val="18"/>
                <w:lang w:eastAsia="en-GB"/>
              </w:rPr>
              <w:t>3.66</w:t>
            </w:r>
          </w:p>
        </w:tc>
      </w:tr>
    </w:tbl>
    <w:p w14:paraId="2BDE3172" w14:textId="77777777" w:rsidR="008967C2" w:rsidRPr="0070461D" w:rsidRDefault="008967C2" w:rsidP="008967C2">
      <w:pPr>
        <w:rPr>
          <w:rFonts w:cstheme="minorHAnsi"/>
        </w:rPr>
      </w:pPr>
    </w:p>
    <w:p w14:paraId="5E4296FD" w14:textId="321D2DC9" w:rsidR="0027639D" w:rsidRPr="00601E17" w:rsidRDefault="0027639D" w:rsidP="00AA7752">
      <w:pPr>
        <w:rPr>
          <w:rFonts w:cstheme="minorHAnsi"/>
        </w:rPr>
      </w:pPr>
      <w:r w:rsidRPr="0070461D">
        <w:rPr>
          <w:rFonts w:cstheme="minorHAnsi"/>
        </w:rPr>
        <w:t xml:space="preserve">We also undertook a variety of different sensitivity </w:t>
      </w:r>
      <w:r w:rsidR="00D97E0D" w:rsidRPr="0070461D">
        <w:rPr>
          <w:rFonts w:cstheme="minorHAnsi"/>
        </w:rPr>
        <w:t>tests</w:t>
      </w:r>
      <w:r w:rsidR="003639EB" w:rsidRPr="0070461D">
        <w:rPr>
          <w:rFonts w:cstheme="minorHAnsi"/>
        </w:rPr>
        <w:t>, including changes in key parameters of the electricity sector or the economic sector (e.g. prices, impact of intere</w:t>
      </w:r>
      <w:r w:rsidR="0000049F">
        <w:rPr>
          <w:rFonts w:cstheme="minorHAnsi"/>
        </w:rPr>
        <w:t>s</w:t>
      </w:r>
      <w:r w:rsidR="003639EB" w:rsidRPr="0070461D">
        <w:rPr>
          <w:rFonts w:cstheme="minorHAnsi"/>
        </w:rPr>
        <w:t>t rates</w:t>
      </w:r>
      <w:r w:rsidR="00936015" w:rsidRPr="005E5158">
        <w:rPr>
          <w:rFonts w:cstheme="minorHAnsi"/>
        </w:rPr>
        <w:t xml:space="preserve"> on pr</w:t>
      </w:r>
      <w:r w:rsidR="0000049F">
        <w:rPr>
          <w:rFonts w:cstheme="minorHAnsi"/>
        </w:rPr>
        <w:t>o</w:t>
      </w:r>
      <w:r w:rsidR="00936015" w:rsidRPr="005E5158">
        <w:rPr>
          <w:rFonts w:cstheme="minorHAnsi"/>
        </w:rPr>
        <w:t>pensity to consume, reaction of the wage level to the average price level</w:t>
      </w:r>
      <w:r w:rsidR="003639EB" w:rsidRPr="00202D0C">
        <w:rPr>
          <w:rFonts w:cstheme="minorHAnsi"/>
        </w:rPr>
        <w:t>)</w:t>
      </w:r>
      <w:r w:rsidR="00D97E0D" w:rsidRPr="00202D0C">
        <w:rPr>
          <w:rFonts w:cstheme="minorHAnsi"/>
        </w:rPr>
        <w:t>;</w:t>
      </w:r>
      <w:r w:rsidRPr="004A4678">
        <w:rPr>
          <w:rFonts w:cstheme="minorHAnsi"/>
        </w:rPr>
        <w:t xml:space="preserve"> however, they do not change </w:t>
      </w:r>
      <w:r w:rsidR="00494C7B" w:rsidRPr="004A4678">
        <w:rPr>
          <w:rFonts w:cstheme="minorHAnsi"/>
        </w:rPr>
        <w:t>our</w:t>
      </w:r>
      <w:r w:rsidR="0000049F">
        <w:rPr>
          <w:rFonts w:cstheme="minorHAnsi"/>
        </w:rPr>
        <w:t xml:space="preserve"> </w:t>
      </w:r>
      <w:r w:rsidR="00787C9A">
        <w:rPr>
          <w:rFonts w:cstheme="minorHAnsi"/>
        </w:rPr>
        <w:t xml:space="preserve">scenario </w:t>
      </w:r>
      <w:r w:rsidR="00ED2509" w:rsidRPr="00787C9A">
        <w:rPr>
          <w:rFonts w:cstheme="minorHAnsi"/>
        </w:rPr>
        <w:t xml:space="preserve">implications and </w:t>
      </w:r>
      <w:r w:rsidR="00494C7B" w:rsidRPr="00787C9A">
        <w:rPr>
          <w:rFonts w:cstheme="minorHAnsi"/>
        </w:rPr>
        <w:t xml:space="preserve">conclusions, </w:t>
      </w:r>
      <w:r w:rsidRPr="00787C9A">
        <w:rPr>
          <w:rFonts w:cstheme="minorHAnsi"/>
        </w:rPr>
        <w:t>and are reported</w:t>
      </w:r>
      <w:r w:rsidR="00D97E0D" w:rsidRPr="00787C9A">
        <w:rPr>
          <w:rFonts w:cstheme="minorHAnsi"/>
        </w:rPr>
        <w:t xml:space="preserve"> in the appendix</w:t>
      </w:r>
      <w:r w:rsidR="006C05EE" w:rsidRPr="00787C9A">
        <w:rPr>
          <w:rFonts w:cstheme="minorHAnsi"/>
        </w:rPr>
        <w:t xml:space="preserve"> </w:t>
      </w:r>
      <w:r w:rsidR="004A70D8" w:rsidRPr="00787C9A">
        <w:rPr>
          <w:rFonts w:cstheme="minorHAnsi"/>
        </w:rPr>
        <w:t>D</w:t>
      </w:r>
      <w:r w:rsidRPr="00601E17">
        <w:rPr>
          <w:rFonts w:cstheme="minorHAnsi"/>
        </w:rPr>
        <w:t xml:space="preserve">. </w:t>
      </w:r>
    </w:p>
    <w:p w14:paraId="7EB38CF2" w14:textId="55A3B5F4" w:rsidR="00D00837" w:rsidRPr="0099228F" w:rsidRDefault="00D00837" w:rsidP="002B08E1">
      <w:pPr>
        <w:pStyle w:val="Heading1"/>
      </w:pPr>
      <w:r w:rsidRPr="0099228F">
        <w:t xml:space="preserve">Discussion </w:t>
      </w:r>
    </w:p>
    <w:p w14:paraId="493321C4" w14:textId="022FA614" w:rsidR="00D00837" w:rsidRPr="00967105" w:rsidRDefault="00D00837" w:rsidP="00D00837">
      <w:pPr>
        <w:rPr>
          <w:rFonts w:cstheme="minorHAnsi"/>
        </w:rPr>
      </w:pPr>
      <w:r w:rsidRPr="0099228F">
        <w:rPr>
          <w:rFonts w:cstheme="minorHAnsi"/>
        </w:rPr>
        <w:t xml:space="preserve">The simulation results presented in the previous section demonstrate that while there exists no clear win-win solution, the implementation of a </w:t>
      </w:r>
      <w:r w:rsidR="00DF755F">
        <w:rPr>
          <w:rFonts w:cstheme="minorHAnsi"/>
        </w:rPr>
        <w:t xml:space="preserve">policy scenario based on a </w:t>
      </w:r>
      <w:r w:rsidRPr="0099228F">
        <w:rPr>
          <w:rFonts w:cstheme="minorHAnsi"/>
        </w:rPr>
        <w:t>long-term system</w:t>
      </w:r>
      <w:r w:rsidR="00DF755F">
        <w:rPr>
          <w:rFonts w:cstheme="minorHAnsi"/>
        </w:rPr>
        <w:t xml:space="preserve">s </w:t>
      </w:r>
      <w:r w:rsidR="00787C9A">
        <w:rPr>
          <w:rFonts w:cstheme="minorHAnsi"/>
        </w:rPr>
        <w:t>approach</w:t>
      </w:r>
      <w:r w:rsidRPr="0099228F">
        <w:rPr>
          <w:rFonts w:cstheme="minorHAnsi"/>
        </w:rPr>
        <w:t>, designed to close the green finance gap, brings various co-benefi</w:t>
      </w:r>
      <w:r w:rsidRPr="009C05A3">
        <w:rPr>
          <w:rFonts w:cstheme="minorHAnsi"/>
        </w:rPr>
        <w:t xml:space="preserve">ts both introduced in isolation as well as in combination with a low-carbon </w:t>
      </w:r>
      <w:r w:rsidR="00E54E82" w:rsidRPr="009C05A3">
        <w:rPr>
          <w:rFonts w:cstheme="minorHAnsi"/>
        </w:rPr>
        <w:t>electricity</w:t>
      </w:r>
      <w:r w:rsidRPr="009C05A3">
        <w:rPr>
          <w:rFonts w:cstheme="minorHAnsi"/>
        </w:rPr>
        <w:t xml:space="preserve"> transition</w:t>
      </w:r>
      <w:r w:rsidR="00787C9A">
        <w:rPr>
          <w:rFonts w:cstheme="minorHAnsi"/>
        </w:rPr>
        <w:t xml:space="preserve"> scenario</w:t>
      </w:r>
      <w:r w:rsidRPr="009C05A3">
        <w:rPr>
          <w:rFonts w:cstheme="minorHAnsi"/>
        </w:rPr>
        <w:t xml:space="preserve">: </w:t>
      </w:r>
    </w:p>
    <w:p w14:paraId="49A32DCD" w14:textId="3525D570" w:rsidR="00D00837" w:rsidRPr="00787C9A" w:rsidRDefault="00D00837" w:rsidP="00D00837">
      <w:pPr>
        <w:pStyle w:val="ListParagraph"/>
        <w:numPr>
          <w:ilvl w:val="0"/>
          <w:numId w:val="29"/>
        </w:numPr>
        <w:rPr>
          <w:rFonts w:cstheme="minorHAnsi"/>
        </w:rPr>
      </w:pPr>
      <w:r w:rsidRPr="00C623BE">
        <w:rPr>
          <w:rFonts w:cstheme="minorHAnsi"/>
        </w:rPr>
        <w:t xml:space="preserve">When </w:t>
      </w:r>
      <w:r w:rsidR="00C623BE">
        <w:rPr>
          <w:rFonts w:cstheme="minorHAnsi"/>
        </w:rPr>
        <w:t>the closing the green finance gap</w:t>
      </w:r>
      <w:r w:rsidR="00787C9A" w:rsidRPr="00C623BE">
        <w:rPr>
          <w:rFonts w:cstheme="minorHAnsi"/>
        </w:rPr>
        <w:t xml:space="preserve"> scenario</w:t>
      </w:r>
      <w:r w:rsidRPr="00967105">
        <w:rPr>
          <w:rFonts w:cstheme="minorHAnsi"/>
        </w:rPr>
        <w:t xml:space="preserve"> </w:t>
      </w:r>
      <w:r w:rsidR="00DF755F">
        <w:rPr>
          <w:rFonts w:cstheme="minorHAnsi"/>
        </w:rPr>
        <w:t>(</w:t>
      </w:r>
      <w:r w:rsidR="00ED392B">
        <w:rPr>
          <w:rFonts w:cstheme="minorHAnsi"/>
        </w:rPr>
        <w:t>based on a systems approach (Hafner et al., 2020a)</w:t>
      </w:r>
      <w:r w:rsidR="00DF755F">
        <w:rPr>
          <w:rFonts w:cstheme="minorHAnsi"/>
        </w:rPr>
        <w:t>)</w:t>
      </w:r>
      <w:r w:rsidR="00ED392B">
        <w:rPr>
          <w:rFonts w:cstheme="minorHAnsi"/>
        </w:rPr>
        <w:t xml:space="preserve"> </w:t>
      </w:r>
      <w:r w:rsidRPr="00967105">
        <w:rPr>
          <w:rFonts w:cstheme="minorHAnsi"/>
        </w:rPr>
        <w:t xml:space="preserve">is introduced in isolation it reduces the average market interest rates and leads to a lower spread on the interest rates of renewable </w:t>
      </w:r>
      <w:r w:rsidR="00E54E82" w:rsidRPr="00967105">
        <w:rPr>
          <w:rFonts w:cstheme="minorHAnsi"/>
        </w:rPr>
        <w:t>electricity</w:t>
      </w:r>
      <w:r w:rsidRPr="00967105">
        <w:rPr>
          <w:rFonts w:cstheme="minorHAnsi"/>
        </w:rPr>
        <w:t xml:space="preserve"> technologies. These effects lead further (</w:t>
      </w:r>
      <w:proofErr w:type="spellStart"/>
      <w:r w:rsidRPr="00967105">
        <w:rPr>
          <w:rFonts w:cstheme="minorHAnsi"/>
        </w:rPr>
        <w:t>i</w:t>
      </w:r>
      <w:proofErr w:type="spellEnd"/>
      <w:r w:rsidRPr="00967105">
        <w:rPr>
          <w:rFonts w:cstheme="minorHAnsi"/>
        </w:rPr>
        <w:t xml:space="preserve">) to an increase in capital inputs and therefore to </w:t>
      </w:r>
      <w:r w:rsidR="00ED2509" w:rsidRPr="004C48F6">
        <w:rPr>
          <w:rFonts w:cstheme="minorHAnsi"/>
        </w:rPr>
        <w:t xml:space="preserve">total factor </w:t>
      </w:r>
      <w:r w:rsidRPr="004C48F6">
        <w:rPr>
          <w:rFonts w:cstheme="minorHAnsi"/>
        </w:rPr>
        <w:t xml:space="preserve">productivity and </w:t>
      </w:r>
      <w:r w:rsidR="002D5CE3" w:rsidRPr="004C48F6">
        <w:rPr>
          <w:rFonts w:cstheme="minorHAnsi"/>
        </w:rPr>
        <w:lastRenderedPageBreak/>
        <w:t>subsequently</w:t>
      </w:r>
      <w:r w:rsidRPr="004C48F6">
        <w:rPr>
          <w:rFonts w:cstheme="minorHAnsi"/>
        </w:rPr>
        <w:t xml:space="preserve"> to (i</w:t>
      </w:r>
      <w:r w:rsidR="00C971B5">
        <w:rPr>
          <w:rFonts w:cstheme="minorHAnsi"/>
        </w:rPr>
        <w:t>i</w:t>
      </w:r>
      <w:r w:rsidRPr="004C48F6">
        <w:rPr>
          <w:rFonts w:cstheme="minorHAnsi"/>
        </w:rPr>
        <w:t>) an increase in GDP, (ii</w:t>
      </w:r>
      <w:r w:rsidR="00C971B5">
        <w:rPr>
          <w:rFonts w:cstheme="minorHAnsi"/>
        </w:rPr>
        <w:t>i</w:t>
      </w:r>
      <w:r w:rsidRPr="004C48F6">
        <w:rPr>
          <w:rFonts w:cstheme="minorHAnsi"/>
        </w:rPr>
        <w:t>) a decrease in unemployment, (i</w:t>
      </w:r>
      <w:r w:rsidR="00C971B5">
        <w:rPr>
          <w:rFonts w:cstheme="minorHAnsi"/>
        </w:rPr>
        <w:t>v</w:t>
      </w:r>
      <w:r w:rsidRPr="004C48F6">
        <w:rPr>
          <w:rFonts w:cstheme="minorHAnsi"/>
        </w:rPr>
        <w:t>) to an increase in direct empl</w:t>
      </w:r>
      <w:r w:rsidRPr="009A2FE1">
        <w:rPr>
          <w:rFonts w:cstheme="minorHAnsi"/>
        </w:rPr>
        <w:t xml:space="preserve">oyment </w:t>
      </w:r>
      <w:r w:rsidR="00ED2509" w:rsidRPr="009A2FE1">
        <w:rPr>
          <w:rFonts w:cstheme="minorHAnsi"/>
        </w:rPr>
        <w:t xml:space="preserve">in the </w:t>
      </w:r>
      <w:r w:rsidR="00E54E82" w:rsidRPr="009A2FE1">
        <w:rPr>
          <w:rFonts w:cstheme="minorHAnsi"/>
        </w:rPr>
        <w:t>electricity</w:t>
      </w:r>
      <w:r w:rsidR="00ED2509" w:rsidRPr="009A2FE1">
        <w:rPr>
          <w:rFonts w:cstheme="minorHAnsi"/>
        </w:rPr>
        <w:t xml:space="preserve"> sector </w:t>
      </w:r>
      <w:r w:rsidRPr="004C71DD">
        <w:rPr>
          <w:rFonts w:cstheme="minorHAnsi"/>
        </w:rPr>
        <w:t xml:space="preserve">due to lower financing costs of renewable </w:t>
      </w:r>
      <w:r w:rsidR="00E54E82" w:rsidRPr="00FC1125">
        <w:rPr>
          <w:rFonts w:cstheme="minorHAnsi"/>
        </w:rPr>
        <w:t>electricity</w:t>
      </w:r>
      <w:r w:rsidRPr="00FC1125">
        <w:rPr>
          <w:rFonts w:cstheme="minorHAnsi"/>
        </w:rPr>
        <w:t xml:space="preserve"> sources and (v) to lower electricity prices due to lower </w:t>
      </w:r>
      <w:r w:rsidR="00ED2509" w:rsidRPr="007C0A4D">
        <w:rPr>
          <w:rFonts w:cstheme="minorHAnsi"/>
        </w:rPr>
        <w:t>financing costs of renewables</w:t>
      </w:r>
      <w:r w:rsidRPr="007C0A4D">
        <w:rPr>
          <w:rFonts w:cstheme="minorHAnsi"/>
        </w:rPr>
        <w:t xml:space="preserve">. The only disadvantage caused by this </w:t>
      </w:r>
      <w:r w:rsidRPr="00787C9A">
        <w:rPr>
          <w:rFonts w:cstheme="minorHAnsi"/>
        </w:rPr>
        <w:t xml:space="preserve">scenario are the higher emissions due to the increase in GDP, which requires higher </w:t>
      </w:r>
      <w:r w:rsidR="00ED2509" w:rsidRPr="00787C9A">
        <w:rPr>
          <w:rFonts w:cstheme="minorHAnsi"/>
        </w:rPr>
        <w:t xml:space="preserve">electricity </w:t>
      </w:r>
      <w:r w:rsidRPr="00787C9A">
        <w:rPr>
          <w:rFonts w:cstheme="minorHAnsi"/>
        </w:rPr>
        <w:t xml:space="preserve">production. </w:t>
      </w:r>
    </w:p>
    <w:p w14:paraId="1420E3E6" w14:textId="053E60C5" w:rsidR="00D00837" w:rsidRPr="00FC1125" w:rsidRDefault="00ED392B" w:rsidP="00D00837">
      <w:pPr>
        <w:pStyle w:val="ListParagraph"/>
        <w:numPr>
          <w:ilvl w:val="0"/>
          <w:numId w:val="29"/>
        </w:numPr>
        <w:rPr>
          <w:rFonts w:cstheme="minorHAnsi"/>
        </w:rPr>
      </w:pPr>
      <w:r>
        <w:rPr>
          <w:rFonts w:cstheme="minorHAnsi"/>
        </w:rPr>
        <w:t xml:space="preserve">The tested </w:t>
      </w:r>
      <w:r w:rsidR="00D00837" w:rsidRPr="00FC1125">
        <w:rPr>
          <w:rFonts w:cstheme="minorHAnsi"/>
        </w:rPr>
        <w:t xml:space="preserve"> </w:t>
      </w:r>
      <w:r w:rsidR="002D0F26">
        <w:rPr>
          <w:rFonts w:cstheme="minorHAnsi"/>
        </w:rPr>
        <w:t>closing the green finance gap</w:t>
      </w:r>
      <w:r w:rsidR="00D00837" w:rsidRPr="00FC1125">
        <w:rPr>
          <w:rFonts w:cstheme="minorHAnsi"/>
        </w:rPr>
        <w:t xml:space="preserve"> </w:t>
      </w:r>
      <w:r w:rsidR="00787C9A">
        <w:rPr>
          <w:rFonts w:cstheme="minorHAnsi"/>
        </w:rPr>
        <w:t xml:space="preserve">scenario </w:t>
      </w:r>
      <w:r w:rsidR="00D00837" w:rsidRPr="00787C9A">
        <w:rPr>
          <w:rFonts w:cstheme="minorHAnsi"/>
        </w:rPr>
        <w:t xml:space="preserve">combined with a low-carbon </w:t>
      </w:r>
      <w:r w:rsidR="00E54E82" w:rsidRPr="00787C9A">
        <w:rPr>
          <w:rFonts w:cstheme="minorHAnsi"/>
        </w:rPr>
        <w:t>electricity</w:t>
      </w:r>
      <w:r w:rsidR="00D00837" w:rsidRPr="00787C9A">
        <w:rPr>
          <w:rFonts w:cstheme="minorHAnsi"/>
        </w:rPr>
        <w:t xml:space="preserve"> </w:t>
      </w:r>
      <w:r w:rsidR="00DF755F">
        <w:rPr>
          <w:rFonts w:cstheme="minorHAnsi"/>
        </w:rPr>
        <w:t xml:space="preserve">policy </w:t>
      </w:r>
      <w:r w:rsidR="00D00837" w:rsidRPr="00787C9A">
        <w:rPr>
          <w:rFonts w:cstheme="minorHAnsi"/>
        </w:rPr>
        <w:t xml:space="preserve">scenario leads to various co-benefits. </w:t>
      </w:r>
      <w:r w:rsidR="00DC7D2E">
        <w:rPr>
          <w:rFonts w:cstheme="minorHAnsi"/>
        </w:rPr>
        <w:t>In more detail</w:t>
      </w:r>
      <w:r w:rsidR="00D00837" w:rsidRPr="00787C9A">
        <w:rPr>
          <w:rFonts w:cstheme="minorHAnsi"/>
        </w:rPr>
        <w:t xml:space="preserve">, </w:t>
      </w:r>
      <w:r w:rsidR="00C32DF0">
        <w:rPr>
          <w:rFonts w:cstheme="minorHAnsi"/>
        </w:rPr>
        <w:t xml:space="preserve">both </w:t>
      </w:r>
      <w:r w:rsidR="001359C9">
        <w:rPr>
          <w:rFonts w:cstheme="minorHAnsi"/>
        </w:rPr>
        <w:t>scenarios</w:t>
      </w:r>
      <w:r w:rsidR="00C32DF0">
        <w:rPr>
          <w:rFonts w:cstheme="minorHAnsi"/>
        </w:rPr>
        <w:t xml:space="preserve"> combined </w:t>
      </w:r>
      <w:r w:rsidR="00D00837" w:rsidRPr="00787C9A">
        <w:rPr>
          <w:rFonts w:cstheme="minorHAnsi"/>
        </w:rPr>
        <w:t xml:space="preserve">lead to higher GDP and direct employment, and at the same time to lower unemployment and </w:t>
      </w:r>
      <w:r w:rsidR="00E54E82" w:rsidRPr="00787C9A">
        <w:rPr>
          <w:rFonts w:cstheme="minorHAnsi"/>
        </w:rPr>
        <w:t>electricity</w:t>
      </w:r>
      <w:r w:rsidR="00D00837" w:rsidRPr="00787C9A">
        <w:rPr>
          <w:rFonts w:cstheme="minorHAnsi"/>
        </w:rPr>
        <w:t xml:space="preserve"> system costs – and importantly to zero emissions in the </w:t>
      </w:r>
      <w:r w:rsidR="00ED2509" w:rsidRPr="00FC1125">
        <w:rPr>
          <w:rFonts w:cstheme="minorHAnsi"/>
        </w:rPr>
        <w:t>electricity</w:t>
      </w:r>
      <w:r w:rsidR="00D00837" w:rsidRPr="00FC1125">
        <w:rPr>
          <w:rFonts w:cstheme="minorHAnsi"/>
        </w:rPr>
        <w:t xml:space="preserve"> system by 2050. </w:t>
      </w:r>
    </w:p>
    <w:p w14:paraId="4CD39A8A" w14:textId="0C5D6D30" w:rsidR="00D00837" w:rsidRPr="00601E17" w:rsidRDefault="00D00837" w:rsidP="00D00837">
      <w:pPr>
        <w:rPr>
          <w:rFonts w:cstheme="minorHAnsi"/>
        </w:rPr>
      </w:pPr>
      <w:r w:rsidRPr="007C0A4D">
        <w:rPr>
          <w:rFonts w:cstheme="minorHAnsi"/>
        </w:rPr>
        <w:t>Thereby</w:t>
      </w:r>
      <w:r w:rsidRPr="00C623BE">
        <w:rPr>
          <w:rFonts w:cstheme="minorHAnsi"/>
        </w:rPr>
        <w:t xml:space="preserve">, the advantages from </w:t>
      </w:r>
      <w:r w:rsidR="00C623BE">
        <w:rPr>
          <w:rFonts w:cstheme="minorHAnsi"/>
        </w:rPr>
        <w:t>closing the green finance gap</w:t>
      </w:r>
      <w:r w:rsidR="00787C9A">
        <w:rPr>
          <w:rFonts w:cstheme="minorHAnsi"/>
        </w:rPr>
        <w:t xml:space="preserve"> </w:t>
      </w:r>
      <w:r w:rsidR="00ED392B">
        <w:rPr>
          <w:rFonts w:cstheme="minorHAnsi"/>
        </w:rPr>
        <w:t xml:space="preserve">based on a systems approach </w:t>
      </w:r>
      <w:r w:rsidRPr="00787C9A">
        <w:rPr>
          <w:rFonts w:cstheme="minorHAnsi"/>
        </w:rPr>
        <w:t xml:space="preserve">stem on one hand from its effect on lower interest rates and on the other hand because it closes the green finance gap, which subsequently avoids </w:t>
      </w:r>
      <w:r w:rsidR="00E54E82" w:rsidRPr="00FC1125">
        <w:rPr>
          <w:rFonts w:cstheme="minorHAnsi"/>
        </w:rPr>
        <w:t>electricity</w:t>
      </w:r>
      <w:r w:rsidRPr="00FC1125">
        <w:rPr>
          <w:rFonts w:cstheme="minorHAnsi"/>
        </w:rPr>
        <w:t xml:space="preserve"> imports from abroad</w:t>
      </w:r>
      <w:r w:rsidR="00ED2509" w:rsidRPr="00FC1125">
        <w:rPr>
          <w:rFonts w:cstheme="minorHAnsi"/>
        </w:rPr>
        <w:t xml:space="preserve"> (see </w:t>
      </w:r>
      <w:r w:rsidRPr="00FC1125">
        <w:rPr>
          <w:rFonts w:cstheme="minorHAnsi"/>
        </w:rPr>
        <w:t xml:space="preserve">appendix </w:t>
      </w:r>
      <w:r w:rsidR="004A70D8" w:rsidRPr="00FC1125">
        <w:rPr>
          <w:rFonts w:cstheme="minorHAnsi"/>
        </w:rPr>
        <w:t>C</w:t>
      </w:r>
      <w:r w:rsidR="00C17051" w:rsidRPr="00601E17">
        <w:rPr>
          <w:rFonts w:cstheme="minorHAnsi"/>
        </w:rPr>
        <w:t xml:space="preserve"> for more details). </w:t>
      </w:r>
    </w:p>
    <w:p w14:paraId="6CDC6B82" w14:textId="1CB52041" w:rsidR="00D00837" w:rsidRPr="00B8367E" w:rsidRDefault="00D00837" w:rsidP="00D00837">
      <w:pPr>
        <w:rPr>
          <w:rFonts w:eastAsia="Times New Roman" w:cstheme="minorHAnsi"/>
          <w:lang w:eastAsia="de-CH"/>
        </w:rPr>
      </w:pPr>
      <w:r w:rsidRPr="00601E17">
        <w:rPr>
          <w:rFonts w:cstheme="minorHAnsi"/>
        </w:rPr>
        <w:t xml:space="preserve">In the following, </w:t>
      </w:r>
      <w:r w:rsidRPr="007C0A4D">
        <w:rPr>
          <w:rFonts w:cstheme="minorHAnsi"/>
        </w:rPr>
        <w:t>we</w:t>
      </w:r>
      <w:r w:rsidR="007C0A4D">
        <w:rPr>
          <w:rFonts w:cstheme="minorHAnsi"/>
        </w:rPr>
        <w:t xml:space="preserve"> aim to</w:t>
      </w:r>
      <w:r w:rsidRPr="007C0A4D">
        <w:rPr>
          <w:rFonts w:cstheme="minorHAnsi"/>
        </w:rPr>
        <w:t xml:space="preserve"> compare our results achieved by GIBM with studies that </w:t>
      </w:r>
      <w:r w:rsidR="002D5CE3" w:rsidRPr="007C0A4D">
        <w:rPr>
          <w:rFonts w:cstheme="minorHAnsi"/>
        </w:rPr>
        <w:t>addressed</w:t>
      </w:r>
      <w:r w:rsidRPr="007C0A4D">
        <w:rPr>
          <w:rFonts w:cstheme="minorHAnsi"/>
        </w:rPr>
        <w:t xml:space="preserve"> comparable research questions</w:t>
      </w:r>
      <w:r w:rsidR="007C0A4D">
        <w:rPr>
          <w:rFonts w:cstheme="minorHAnsi"/>
        </w:rPr>
        <w:t xml:space="preserve"> in order to better understand whether the results of GIBM confirm or contradict the</w:t>
      </w:r>
      <w:r w:rsidR="00A647A2">
        <w:rPr>
          <w:rFonts w:cstheme="minorHAnsi"/>
        </w:rPr>
        <w:t>se other</w:t>
      </w:r>
      <w:r w:rsidR="007C0A4D">
        <w:rPr>
          <w:rFonts w:cstheme="minorHAnsi"/>
        </w:rPr>
        <w:t xml:space="preserve"> results</w:t>
      </w:r>
      <w:r w:rsidR="002901FD">
        <w:rPr>
          <w:rFonts w:cstheme="minorHAnsi"/>
        </w:rPr>
        <w:t>.</w:t>
      </w:r>
      <w:r w:rsidR="007C0A4D">
        <w:rPr>
          <w:rFonts w:cstheme="minorHAnsi"/>
        </w:rPr>
        <w:t xml:space="preserve"> </w:t>
      </w:r>
      <w:r w:rsidR="00A647A2">
        <w:rPr>
          <w:rFonts w:cstheme="minorHAnsi"/>
        </w:rPr>
        <w:t xml:space="preserve">Each of these studies uses a different modelling approach however they are all used to address similar policy questions within governments and therefore understanding the difference between the outputs of the models is important within a policy context. </w:t>
      </w:r>
      <w:r w:rsidRPr="00B8367E">
        <w:rPr>
          <w:rFonts w:eastAsia="Times New Roman" w:cstheme="minorHAnsi"/>
          <w:lang w:eastAsia="de-CH"/>
        </w:rPr>
        <w:t xml:space="preserve">Bernardo &amp; D’Alessandro (2015), </w:t>
      </w:r>
      <w:proofErr w:type="spellStart"/>
      <w:r w:rsidRPr="00B8367E">
        <w:rPr>
          <w:rFonts w:eastAsia="Times New Roman" w:cstheme="minorHAnsi"/>
          <w:lang w:eastAsia="de-CH"/>
        </w:rPr>
        <w:t>Dunz</w:t>
      </w:r>
      <w:proofErr w:type="spellEnd"/>
      <w:r w:rsidRPr="00B8367E">
        <w:rPr>
          <w:rFonts w:eastAsia="Times New Roman" w:cstheme="minorHAnsi"/>
          <w:lang w:eastAsia="de-CH"/>
        </w:rPr>
        <w:t xml:space="preserve"> et al. (20</w:t>
      </w:r>
      <w:r w:rsidR="002B08E1">
        <w:rPr>
          <w:rFonts w:eastAsia="Times New Roman" w:cstheme="minorHAnsi"/>
          <w:lang w:eastAsia="de-CH"/>
        </w:rPr>
        <w:t>21</w:t>
      </w:r>
      <w:r w:rsidRPr="002B08E1">
        <w:rPr>
          <w:rFonts w:eastAsia="Times New Roman" w:cstheme="minorHAnsi"/>
          <w:lang w:eastAsia="de-CH"/>
        </w:rPr>
        <w:t xml:space="preserve">) and Irena (2016) </w:t>
      </w:r>
      <w:r w:rsidR="002D5CE3" w:rsidRPr="002B08E1">
        <w:rPr>
          <w:rFonts w:eastAsia="Times New Roman" w:cstheme="minorHAnsi"/>
          <w:lang w:eastAsia="de-CH"/>
        </w:rPr>
        <w:t>explicitly</w:t>
      </w:r>
      <w:r w:rsidRPr="002B08E1">
        <w:rPr>
          <w:rFonts w:eastAsia="Times New Roman" w:cstheme="minorHAnsi"/>
          <w:lang w:eastAsia="de-CH"/>
        </w:rPr>
        <w:t xml:space="preserve"> test policies or scenarios that</w:t>
      </w:r>
      <w:r w:rsidR="003639EB" w:rsidRPr="002B08E1">
        <w:rPr>
          <w:rFonts w:eastAsia="Times New Roman" w:cstheme="minorHAnsi"/>
          <w:lang w:eastAsia="de-CH"/>
        </w:rPr>
        <w:t xml:space="preserve"> </w:t>
      </w:r>
      <w:r w:rsidRPr="002B08E1">
        <w:rPr>
          <w:rFonts w:eastAsia="Times New Roman" w:cstheme="minorHAnsi"/>
          <w:lang w:eastAsia="de-CH"/>
        </w:rPr>
        <w:t xml:space="preserve">upscale green finance into renewable </w:t>
      </w:r>
      <w:r w:rsidR="00E54E82" w:rsidRPr="002B08E1">
        <w:rPr>
          <w:rFonts w:eastAsia="Times New Roman" w:cstheme="minorHAnsi"/>
          <w:lang w:eastAsia="de-CH"/>
        </w:rPr>
        <w:t>electricity</w:t>
      </w:r>
      <w:r w:rsidRPr="002B08E1">
        <w:rPr>
          <w:rFonts w:eastAsia="Times New Roman" w:cstheme="minorHAnsi"/>
          <w:lang w:eastAsia="de-CH"/>
        </w:rPr>
        <w:t xml:space="preserve"> </w:t>
      </w:r>
      <w:r w:rsidR="002D5CE3" w:rsidRPr="002B08E1">
        <w:rPr>
          <w:rFonts w:eastAsia="Times New Roman" w:cstheme="minorHAnsi"/>
          <w:lang w:eastAsia="de-CH"/>
        </w:rPr>
        <w:t>infrastructure</w:t>
      </w:r>
      <w:r w:rsidRPr="002B08E1">
        <w:rPr>
          <w:rFonts w:eastAsia="Times New Roman" w:cstheme="minorHAnsi"/>
          <w:lang w:eastAsia="de-CH"/>
        </w:rPr>
        <w:t>. In addition, results from the H</w:t>
      </w:r>
      <w:r w:rsidR="002901FD">
        <w:rPr>
          <w:rFonts w:eastAsia="Times New Roman" w:cstheme="minorHAnsi"/>
          <w:lang w:eastAsia="de-CH"/>
        </w:rPr>
        <w:t>M</w:t>
      </w:r>
      <w:r w:rsidRPr="002B08E1">
        <w:rPr>
          <w:rFonts w:eastAsia="Times New Roman" w:cstheme="minorHAnsi"/>
          <w:lang w:eastAsia="de-CH"/>
        </w:rPr>
        <w:t xml:space="preserve">RC </w:t>
      </w:r>
      <w:r w:rsidRPr="00B8367E">
        <w:rPr>
          <w:rFonts w:eastAsia="Times New Roman" w:cstheme="minorHAnsi"/>
          <w:lang w:eastAsia="de-CH"/>
        </w:rPr>
        <w:t>model</w:t>
      </w:r>
      <w:r w:rsidR="00D10B92" w:rsidRPr="00B8367E">
        <w:rPr>
          <w:rFonts w:eastAsia="Times New Roman" w:cstheme="minorHAnsi"/>
          <w:lang w:eastAsia="de-CH"/>
        </w:rPr>
        <w:t>, a model that</w:t>
      </w:r>
      <w:r w:rsidRPr="00B8367E">
        <w:rPr>
          <w:rFonts w:eastAsia="Times New Roman" w:cstheme="minorHAnsi"/>
          <w:lang w:eastAsia="de-CH"/>
        </w:rPr>
        <w:t xml:space="preserve"> has </w:t>
      </w:r>
      <w:r w:rsidR="003639EB" w:rsidRPr="00B8367E">
        <w:rPr>
          <w:rFonts w:eastAsia="Times New Roman" w:cstheme="minorHAnsi"/>
          <w:lang w:eastAsia="de-CH"/>
        </w:rPr>
        <w:t>played an important role for the</w:t>
      </w:r>
      <w:r w:rsidRPr="00B8367E">
        <w:rPr>
          <w:rFonts w:eastAsia="Times New Roman" w:cstheme="minorHAnsi"/>
          <w:lang w:eastAsia="de-CH"/>
        </w:rPr>
        <w:t xml:space="preserve"> evaluation of the UK climate policy (</w:t>
      </w:r>
      <w:r w:rsidR="002D5CE3" w:rsidRPr="00B8367E">
        <w:rPr>
          <w:rFonts w:eastAsia="Times New Roman" w:cstheme="minorHAnsi"/>
          <w:lang w:eastAsia="de-CH"/>
        </w:rPr>
        <w:t>e.g.</w:t>
      </w:r>
      <w:r w:rsidRPr="00B8367E">
        <w:rPr>
          <w:rFonts w:eastAsia="Times New Roman" w:cstheme="minorHAnsi"/>
          <w:lang w:eastAsia="de-CH"/>
        </w:rPr>
        <w:t xml:space="preserve"> Ackerman, 2014)</w:t>
      </w:r>
      <w:r w:rsidR="00D10B92" w:rsidRPr="00B8367E">
        <w:rPr>
          <w:rFonts w:eastAsia="Times New Roman" w:cstheme="minorHAnsi"/>
          <w:lang w:eastAsia="de-CH"/>
        </w:rPr>
        <w:t xml:space="preserve"> are used for comparison</w:t>
      </w:r>
      <w:r w:rsidRPr="00B8367E">
        <w:rPr>
          <w:rFonts w:eastAsia="Times New Roman" w:cstheme="minorHAnsi"/>
          <w:lang w:eastAsia="de-CH"/>
        </w:rPr>
        <w:t>. Table</w:t>
      </w:r>
      <w:r w:rsidR="008B227D" w:rsidRPr="00B8367E">
        <w:rPr>
          <w:rFonts w:eastAsia="Times New Roman" w:cstheme="minorHAnsi"/>
          <w:lang w:eastAsia="de-CH"/>
        </w:rPr>
        <w:t xml:space="preserve"> </w:t>
      </w:r>
      <w:r w:rsidR="002901FD">
        <w:rPr>
          <w:rFonts w:eastAsia="Times New Roman" w:cstheme="minorHAnsi"/>
          <w:lang w:eastAsia="de-CH"/>
        </w:rPr>
        <w:t>4</w:t>
      </w:r>
      <w:r w:rsidRPr="00B8367E">
        <w:rPr>
          <w:rFonts w:eastAsia="Times New Roman" w:cstheme="minorHAnsi"/>
          <w:lang w:eastAsia="de-CH"/>
        </w:rPr>
        <w:t xml:space="preserve"> </w:t>
      </w:r>
      <w:r w:rsidR="002D5CE3" w:rsidRPr="00B8367E">
        <w:rPr>
          <w:rFonts w:eastAsia="Times New Roman" w:cstheme="minorHAnsi"/>
          <w:lang w:eastAsia="de-CH"/>
        </w:rPr>
        <w:t>below</w:t>
      </w:r>
      <w:r w:rsidRPr="00B8367E">
        <w:rPr>
          <w:rFonts w:eastAsia="Times New Roman" w:cstheme="minorHAnsi"/>
          <w:lang w:eastAsia="de-CH"/>
        </w:rPr>
        <w:t xml:space="preserve"> gives an overview </w:t>
      </w:r>
      <w:r w:rsidR="008B227D" w:rsidRPr="00B8367E">
        <w:rPr>
          <w:rFonts w:eastAsia="Times New Roman" w:cstheme="minorHAnsi"/>
          <w:lang w:eastAsia="de-CH"/>
        </w:rPr>
        <w:t>of these</w:t>
      </w:r>
      <w:r w:rsidR="00A17347" w:rsidRPr="00B8367E">
        <w:rPr>
          <w:rFonts w:eastAsia="Times New Roman" w:cstheme="minorHAnsi"/>
          <w:lang w:eastAsia="de-CH"/>
        </w:rPr>
        <w:t xml:space="preserve"> </w:t>
      </w:r>
      <w:r w:rsidRPr="00B8367E">
        <w:rPr>
          <w:rFonts w:eastAsia="Times New Roman" w:cstheme="minorHAnsi"/>
          <w:lang w:eastAsia="de-CH"/>
        </w:rPr>
        <w:t xml:space="preserve">models. </w:t>
      </w:r>
    </w:p>
    <w:p w14:paraId="5F155016" w14:textId="6BA30E17" w:rsidR="00D00837" w:rsidRPr="00B8367E" w:rsidRDefault="00D00837" w:rsidP="00D00837">
      <w:pPr>
        <w:pStyle w:val="Caption"/>
        <w:keepNext/>
        <w:rPr>
          <w:rFonts w:asciiTheme="minorHAnsi" w:hAnsiTheme="minorHAnsi" w:cstheme="minorHAnsi"/>
        </w:rPr>
      </w:pPr>
      <w:r w:rsidRPr="00B8367E">
        <w:rPr>
          <w:rFonts w:asciiTheme="minorHAnsi" w:hAnsiTheme="minorHAnsi" w:cstheme="minorHAnsi"/>
        </w:rPr>
        <w:t xml:space="preserve">Table </w:t>
      </w:r>
      <w:r w:rsidR="002901FD">
        <w:rPr>
          <w:rFonts w:asciiTheme="minorHAnsi" w:hAnsiTheme="minorHAnsi" w:cstheme="minorHAnsi"/>
        </w:rPr>
        <w:t>4</w:t>
      </w:r>
      <w:r w:rsidRPr="00B8367E">
        <w:rPr>
          <w:rFonts w:asciiTheme="minorHAnsi" w:hAnsiTheme="minorHAnsi" w:cstheme="minorHAnsi"/>
        </w:rPr>
        <w:t xml:space="preserve">: Overview of </w:t>
      </w:r>
      <w:r w:rsidR="003639EB" w:rsidRPr="00B8367E">
        <w:rPr>
          <w:rFonts w:asciiTheme="minorHAnsi" w:hAnsiTheme="minorHAnsi" w:cstheme="minorHAnsi"/>
        </w:rPr>
        <w:t>selected</w:t>
      </w:r>
      <w:r w:rsidRPr="00B8367E">
        <w:rPr>
          <w:rFonts w:asciiTheme="minorHAnsi" w:hAnsiTheme="minorHAnsi" w:cstheme="minorHAnsi"/>
        </w:rPr>
        <w:t xml:space="preserve"> models</w:t>
      </w:r>
      <w:r w:rsidR="003639EB" w:rsidRPr="00B8367E">
        <w:rPr>
          <w:rFonts w:asciiTheme="minorHAnsi" w:hAnsiTheme="minorHAnsi" w:cstheme="minorHAnsi"/>
        </w:rPr>
        <w:t xml:space="preserve"> and GIBM</w:t>
      </w:r>
    </w:p>
    <w:tbl>
      <w:tblPr>
        <w:tblStyle w:val="GridTable5Dark-Accent3"/>
        <w:tblW w:w="5000" w:type="pct"/>
        <w:tblLayout w:type="fixed"/>
        <w:tblLook w:val="04A0" w:firstRow="1" w:lastRow="0" w:firstColumn="1" w:lastColumn="0" w:noHBand="0" w:noVBand="1"/>
      </w:tblPr>
      <w:tblGrid>
        <w:gridCol w:w="1271"/>
        <w:gridCol w:w="1277"/>
        <w:gridCol w:w="1558"/>
        <w:gridCol w:w="1560"/>
        <w:gridCol w:w="1702"/>
        <w:gridCol w:w="1648"/>
      </w:tblGrid>
      <w:tr w:rsidR="00596032" w:rsidRPr="0099228F" w14:paraId="7704255F" w14:textId="77777777" w:rsidTr="00B8367E">
        <w:trPr>
          <w:cnfStyle w:val="100000000000" w:firstRow="1" w:lastRow="0" w:firstColumn="0" w:lastColumn="0" w:oddVBand="0" w:evenVBand="0" w:oddHBand="0"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705" w:type="pct"/>
          </w:tcPr>
          <w:p w14:paraId="4FAE518E" w14:textId="77777777" w:rsidR="00D00837" w:rsidRPr="00B8367E" w:rsidRDefault="00D00837" w:rsidP="00E74A54">
            <w:pPr>
              <w:rPr>
                <w:rFonts w:cstheme="minorHAnsi"/>
                <w:color w:val="auto"/>
                <w:sz w:val="18"/>
                <w:szCs w:val="18"/>
              </w:rPr>
            </w:pPr>
          </w:p>
        </w:tc>
        <w:tc>
          <w:tcPr>
            <w:tcW w:w="708" w:type="pct"/>
            <w:vAlign w:val="center"/>
          </w:tcPr>
          <w:p w14:paraId="6D7B8E33" w14:textId="77777777" w:rsidR="00D00837" w:rsidRPr="00B8367E" w:rsidRDefault="00D00837"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18"/>
                <w:szCs w:val="18"/>
                <w:lang w:eastAsia="de-CH"/>
              </w:rPr>
            </w:pPr>
            <w:r w:rsidRPr="00B8367E">
              <w:rPr>
                <w:rFonts w:eastAsia="Times New Roman" w:cstheme="minorHAnsi"/>
                <w:sz w:val="18"/>
                <w:szCs w:val="18"/>
                <w:lang w:eastAsia="de-CH"/>
              </w:rPr>
              <w:t>GIBM</w:t>
            </w:r>
          </w:p>
        </w:tc>
        <w:tc>
          <w:tcPr>
            <w:tcW w:w="864" w:type="pct"/>
            <w:vAlign w:val="center"/>
          </w:tcPr>
          <w:p w14:paraId="380B1DA9" w14:textId="77777777" w:rsidR="00D00837" w:rsidRPr="00B8367E" w:rsidRDefault="00D00837"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18"/>
                <w:szCs w:val="18"/>
                <w:lang w:eastAsia="de-CH"/>
              </w:rPr>
            </w:pPr>
            <w:r w:rsidRPr="00B8367E">
              <w:rPr>
                <w:rFonts w:eastAsia="Times New Roman" w:cstheme="minorHAnsi"/>
                <w:sz w:val="18"/>
                <w:szCs w:val="18"/>
                <w:lang w:eastAsia="de-CH"/>
              </w:rPr>
              <w:t>Bernardo &amp; D’Alessandro, 2015 model</w:t>
            </w:r>
          </w:p>
        </w:tc>
        <w:tc>
          <w:tcPr>
            <w:tcW w:w="865" w:type="pct"/>
            <w:vAlign w:val="center"/>
          </w:tcPr>
          <w:p w14:paraId="1D7D9BDC" w14:textId="7DF489EB" w:rsidR="00D00837" w:rsidRPr="00B8367E" w:rsidRDefault="003639EB"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18"/>
                <w:szCs w:val="18"/>
                <w:lang w:eastAsia="de-CH"/>
              </w:rPr>
            </w:pPr>
            <w:r w:rsidRPr="00B8367E">
              <w:rPr>
                <w:rFonts w:eastAsia="Times New Roman" w:cstheme="minorHAnsi"/>
                <w:sz w:val="18"/>
                <w:szCs w:val="18"/>
                <w:lang w:eastAsia="de-CH"/>
              </w:rPr>
              <w:t>EIRIN</w:t>
            </w:r>
          </w:p>
        </w:tc>
        <w:tc>
          <w:tcPr>
            <w:tcW w:w="944" w:type="pct"/>
            <w:vAlign w:val="center"/>
          </w:tcPr>
          <w:p w14:paraId="76D11AFD" w14:textId="77777777" w:rsidR="00D00837" w:rsidRPr="00B8367E" w:rsidRDefault="00D00837"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18"/>
                <w:szCs w:val="18"/>
                <w:lang w:eastAsia="de-CH"/>
              </w:rPr>
            </w:pPr>
            <w:r w:rsidRPr="00B8367E">
              <w:rPr>
                <w:rFonts w:eastAsia="Times New Roman" w:cstheme="minorHAnsi"/>
                <w:sz w:val="18"/>
                <w:szCs w:val="18"/>
                <w:lang w:eastAsia="de-CH"/>
              </w:rPr>
              <w:t>E3ME-FTT</w:t>
            </w:r>
          </w:p>
        </w:tc>
        <w:tc>
          <w:tcPr>
            <w:tcW w:w="914" w:type="pct"/>
            <w:vAlign w:val="center"/>
          </w:tcPr>
          <w:p w14:paraId="4F055478" w14:textId="77777777" w:rsidR="00D00837" w:rsidRPr="00B8367E" w:rsidRDefault="00D00837" w:rsidP="00E74A54">
            <w:pP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
                <w:szCs w:val="2"/>
                <w:lang w:eastAsia="de-CH"/>
              </w:rPr>
            </w:pPr>
          </w:p>
          <w:p w14:paraId="1A86637A" w14:textId="02144B13" w:rsidR="00D00837" w:rsidRPr="00B8367E" w:rsidRDefault="00D00837" w:rsidP="00E74A54">
            <w:pPr>
              <w:spacing w:after="0"/>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de-CH"/>
              </w:rPr>
            </w:pPr>
            <w:r w:rsidRPr="00B8367E">
              <w:rPr>
                <w:rFonts w:eastAsia="Times New Roman" w:cstheme="minorHAnsi"/>
                <w:sz w:val="18"/>
                <w:szCs w:val="18"/>
                <w:lang w:eastAsia="de-CH"/>
              </w:rPr>
              <w:t xml:space="preserve">HMRC </w:t>
            </w:r>
            <w:r w:rsidR="003723B4" w:rsidRPr="00B8367E">
              <w:rPr>
                <w:rFonts w:eastAsia="Times New Roman" w:cstheme="minorHAnsi"/>
                <w:sz w:val="18"/>
                <w:szCs w:val="18"/>
                <w:lang w:eastAsia="de-CH"/>
              </w:rPr>
              <w:t>m</w:t>
            </w:r>
            <w:r w:rsidRPr="00B8367E">
              <w:rPr>
                <w:rFonts w:eastAsia="Times New Roman" w:cstheme="minorHAnsi"/>
                <w:sz w:val="18"/>
                <w:szCs w:val="18"/>
                <w:lang w:eastAsia="de-CH"/>
              </w:rPr>
              <w:t>odel</w:t>
            </w:r>
          </w:p>
          <w:p w14:paraId="30A2F7AB" w14:textId="77777777" w:rsidR="00D00837" w:rsidRPr="00B8367E" w:rsidRDefault="00D00837" w:rsidP="00E74A54">
            <w:pPr>
              <w:spacing w:after="0"/>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p>
        </w:tc>
      </w:tr>
      <w:tr w:rsidR="00596032" w:rsidRPr="0099228F" w14:paraId="41DE208B" w14:textId="77777777" w:rsidTr="00B8367E">
        <w:trPr>
          <w:cnfStyle w:val="000000100000" w:firstRow="0" w:lastRow="0" w:firstColumn="0" w:lastColumn="0" w:oddVBand="0" w:evenVBand="0" w:oddHBand="1" w:evenHBand="0" w:firstRowFirstColumn="0" w:firstRowLastColumn="0" w:lastRowFirstColumn="0" w:lastRowLastColumn="0"/>
          <w:trHeight w:val="158"/>
        </w:trPr>
        <w:tc>
          <w:tcPr>
            <w:cnfStyle w:val="001000000000" w:firstRow="0" w:lastRow="0" w:firstColumn="1" w:lastColumn="0" w:oddVBand="0" w:evenVBand="0" w:oddHBand="0" w:evenHBand="0" w:firstRowFirstColumn="0" w:firstRowLastColumn="0" w:lastRowFirstColumn="0" w:lastRowLastColumn="0"/>
            <w:tcW w:w="705" w:type="pct"/>
          </w:tcPr>
          <w:p w14:paraId="751AADF0" w14:textId="77777777" w:rsidR="00D00837" w:rsidRPr="00B8367E" w:rsidRDefault="00D00837" w:rsidP="00E74A54">
            <w:pPr>
              <w:rPr>
                <w:rFonts w:cstheme="minorHAnsi"/>
                <w:color w:val="auto"/>
                <w:sz w:val="18"/>
                <w:szCs w:val="18"/>
              </w:rPr>
            </w:pPr>
            <w:r w:rsidRPr="00B8367E">
              <w:rPr>
                <w:rFonts w:cstheme="minorHAnsi"/>
                <w:sz w:val="18"/>
                <w:szCs w:val="18"/>
              </w:rPr>
              <w:t>Study</w:t>
            </w:r>
          </w:p>
        </w:tc>
        <w:tc>
          <w:tcPr>
            <w:tcW w:w="708" w:type="pct"/>
          </w:tcPr>
          <w:p w14:paraId="1B8FB6EB"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Current study</w:t>
            </w:r>
          </w:p>
        </w:tc>
        <w:tc>
          <w:tcPr>
            <w:tcW w:w="864" w:type="pct"/>
          </w:tcPr>
          <w:p w14:paraId="73690A0B"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Bernardo &amp; D’Alessandro (2015)</w:t>
            </w:r>
          </w:p>
        </w:tc>
        <w:tc>
          <w:tcPr>
            <w:tcW w:w="865" w:type="pct"/>
          </w:tcPr>
          <w:p w14:paraId="1FB33C70"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proofErr w:type="spellStart"/>
            <w:r w:rsidRPr="00B8367E">
              <w:rPr>
                <w:rFonts w:eastAsia="Times New Roman" w:cstheme="minorHAnsi"/>
                <w:sz w:val="18"/>
                <w:szCs w:val="18"/>
                <w:lang w:eastAsia="de-CH"/>
              </w:rPr>
              <w:t>Dunz</w:t>
            </w:r>
            <w:proofErr w:type="spellEnd"/>
            <w:r w:rsidRPr="00B8367E">
              <w:rPr>
                <w:rFonts w:eastAsia="Times New Roman" w:cstheme="minorHAnsi"/>
                <w:sz w:val="18"/>
                <w:szCs w:val="18"/>
                <w:lang w:eastAsia="de-CH"/>
              </w:rPr>
              <w:t xml:space="preserve"> et al. (2019)</w:t>
            </w:r>
          </w:p>
        </w:tc>
        <w:tc>
          <w:tcPr>
            <w:tcW w:w="944" w:type="pct"/>
          </w:tcPr>
          <w:p w14:paraId="3A2252A7"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Irena (2016)</w:t>
            </w:r>
          </w:p>
        </w:tc>
        <w:tc>
          <w:tcPr>
            <w:tcW w:w="914" w:type="pct"/>
          </w:tcPr>
          <w:p w14:paraId="51C9B2D3" w14:textId="77777777" w:rsidR="00D00837" w:rsidRPr="009C05A3"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CCC (2010)</w:t>
            </w:r>
          </w:p>
        </w:tc>
      </w:tr>
      <w:tr w:rsidR="00596032" w:rsidRPr="0099228F" w14:paraId="5579DACD" w14:textId="77777777" w:rsidTr="00B8367E">
        <w:trPr>
          <w:trHeight w:val="89"/>
        </w:trPr>
        <w:tc>
          <w:tcPr>
            <w:cnfStyle w:val="001000000000" w:firstRow="0" w:lastRow="0" w:firstColumn="1" w:lastColumn="0" w:oddVBand="0" w:evenVBand="0" w:oddHBand="0" w:evenHBand="0" w:firstRowFirstColumn="0" w:firstRowLastColumn="0" w:lastRowFirstColumn="0" w:lastRowLastColumn="0"/>
            <w:tcW w:w="705" w:type="pct"/>
          </w:tcPr>
          <w:p w14:paraId="019350D0" w14:textId="77777777" w:rsidR="00D00837" w:rsidRPr="00B8367E" w:rsidRDefault="00D00837" w:rsidP="00E74A54">
            <w:pPr>
              <w:rPr>
                <w:rFonts w:cstheme="minorHAnsi"/>
                <w:color w:val="auto"/>
                <w:sz w:val="18"/>
                <w:szCs w:val="18"/>
              </w:rPr>
            </w:pPr>
            <w:r w:rsidRPr="00B8367E">
              <w:rPr>
                <w:rFonts w:cstheme="minorHAnsi"/>
                <w:sz w:val="18"/>
                <w:szCs w:val="18"/>
              </w:rPr>
              <w:t>Time horizon</w:t>
            </w:r>
          </w:p>
        </w:tc>
        <w:tc>
          <w:tcPr>
            <w:tcW w:w="708" w:type="pct"/>
          </w:tcPr>
          <w:p w14:paraId="0B8FE6A6"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2020 to 2050</w:t>
            </w:r>
          </w:p>
        </w:tc>
        <w:tc>
          <w:tcPr>
            <w:tcW w:w="864" w:type="pct"/>
          </w:tcPr>
          <w:p w14:paraId="2A9032CB"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2010 to 2050</w:t>
            </w:r>
          </w:p>
        </w:tc>
        <w:tc>
          <w:tcPr>
            <w:tcW w:w="865" w:type="pct"/>
          </w:tcPr>
          <w:p w14:paraId="78F95578"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2018 to 2038</w:t>
            </w:r>
          </w:p>
        </w:tc>
        <w:tc>
          <w:tcPr>
            <w:tcW w:w="944" w:type="pct"/>
          </w:tcPr>
          <w:p w14:paraId="1050DC3D"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2010 to 2030</w:t>
            </w:r>
          </w:p>
        </w:tc>
        <w:tc>
          <w:tcPr>
            <w:tcW w:w="914" w:type="pct"/>
          </w:tcPr>
          <w:p w14:paraId="091DC0CB"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2020 - 2025</w:t>
            </w:r>
          </w:p>
        </w:tc>
      </w:tr>
      <w:tr w:rsidR="00596032" w:rsidRPr="0099228F" w14:paraId="69B5399E" w14:textId="77777777" w:rsidTr="00B8367E">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705" w:type="pct"/>
          </w:tcPr>
          <w:p w14:paraId="3ECBC702" w14:textId="77777777" w:rsidR="00D00837" w:rsidRPr="00B8367E" w:rsidRDefault="00D00837" w:rsidP="00E74A54">
            <w:pPr>
              <w:rPr>
                <w:rFonts w:cstheme="minorHAnsi"/>
                <w:color w:val="auto"/>
                <w:sz w:val="18"/>
                <w:szCs w:val="18"/>
              </w:rPr>
            </w:pPr>
            <w:r w:rsidRPr="00B8367E">
              <w:rPr>
                <w:rFonts w:cstheme="minorHAnsi"/>
                <w:sz w:val="18"/>
                <w:szCs w:val="18"/>
              </w:rPr>
              <w:t>Geographical scope</w:t>
            </w:r>
          </w:p>
        </w:tc>
        <w:tc>
          <w:tcPr>
            <w:tcW w:w="708" w:type="pct"/>
          </w:tcPr>
          <w:p w14:paraId="2A9E7E15"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UK</w:t>
            </w:r>
          </w:p>
        </w:tc>
        <w:tc>
          <w:tcPr>
            <w:tcW w:w="864" w:type="pct"/>
          </w:tcPr>
          <w:p w14:paraId="1D57A3C1"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Italy</w:t>
            </w:r>
          </w:p>
        </w:tc>
        <w:tc>
          <w:tcPr>
            <w:tcW w:w="865" w:type="pct"/>
          </w:tcPr>
          <w:p w14:paraId="4631D876"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High income country</w:t>
            </w:r>
          </w:p>
        </w:tc>
        <w:tc>
          <w:tcPr>
            <w:tcW w:w="944" w:type="pct"/>
          </w:tcPr>
          <w:p w14:paraId="014A0D4C"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Global</w:t>
            </w:r>
          </w:p>
        </w:tc>
        <w:tc>
          <w:tcPr>
            <w:tcW w:w="914" w:type="pct"/>
          </w:tcPr>
          <w:p w14:paraId="10ECDBB4"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UK</w:t>
            </w:r>
          </w:p>
        </w:tc>
      </w:tr>
      <w:tr w:rsidR="00596032" w:rsidRPr="0099228F" w14:paraId="4D2F6B2E" w14:textId="77777777" w:rsidTr="00B8367E">
        <w:trPr>
          <w:trHeight w:val="642"/>
        </w:trPr>
        <w:tc>
          <w:tcPr>
            <w:cnfStyle w:val="001000000000" w:firstRow="0" w:lastRow="0" w:firstColumn="1" w:lastColumn="0" w:oddVBand="0" w:evenVBand="0" w:oddHBand="0" w:evenHBand="0" w:firstRowFirstColumn="0" w:firstRowLastColumn="0" w:lastRowFirstColumn="0" w:lastRowLastColumn="0"/>
            <w:tcW w:w="705" w:type="pct"/>
          </w:tcPr>
          <w:p w14:paraId="687054B3" w14:textId="77777777" w:rsidR="00D00837" w:rsidRPr="00B8367E" w:rsidRDefault="00D00837" w:rsidP="00E74A54">
            <w:pPr>
              <w:rPr>
                <w:rFonts w:cstheme="minorHAnsi"/>
                <w:color w:val="auto"/>
                <w:sz w:val="18"/>
                <w:szCs w:val="18"/>
              </w:rPr>
            </w:pPr>
            <w:r w:rsidRPr="00B8367E">
              <w:rPr>
                <w:rFonts w:cstheme="minorHAnsi"/>
                <w:sz w:val="18"/>
                <w:szCs w:val="18"/>
              </w:rPr>
              <w:t>Modelling approach</w:t>
            </w:r>
          </w:p>
        </w:tc>
        <w:tc>
          <w:tcPr>
            <w:tcW w:w="708" w:type="pct"/>
          </w:tcPr>
          <w:p w14:paraId="386E4792"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System Dynamics</w:t>
            </w:r>
          </w:p>
        </w:tc>
        <w:tc>
          <w:tcPr>
            <w:tcW w:w="864" w:type="pct"/>
          </w:tcPr>
          <w:p w14:paraId="79BC7F22"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xml:space="preserve">System dynamics </w:t>
            </w:r>
          </w:p>
        </w:tc>
        <w:tc>
          <w:tcPr>
            <w:tcW w:w="865" w:type="pct"/>
          </w:tcPr>
          <w:p w14:paraId="4F66260D" w14:textId="77777777" w:rsidR="00D00837" w:rsidRPr="00B8367E" w:rsidRDefault="00D00837" w:rsidP="00E74A5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8367E">
              <w:rPr>
                <w:rFonts w:cstheme="minorHAnsi"/>
                <w:sz w:val="18"/>
                <w:szCs w:val="18"/>
              </w:rPr>
              <w:t>Stock-Flow Consistent behavioural model</w:t>
            </w:r>
          </w:p>
        </w:tc>
        <w:tc>
          <w:tcPr>
            <w:tcW w:w="944" w:type="pct"/>
          </w:tcPr>
          <w:p w14:paraId="1CCE8D60" w14:textId="295BEE57" w:rsidR="00D00837" w:rsidRPr="00B8367E" w:rsidRDefault="002D5CE3"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proofErr w:type="spellStart"/>
            <w:r w:rsidRPr="00B8367E">
              <w:rPr>
                <w:rFonts w:eastAsia="Times New Roman" w:cstheme="minorHAnsi"/>
                <w:sz w:val="18"/>
                <w:szCs w:val="18"/>
                <w:lang w:eastAsia="de-CH"/>
              </w:rPr>
              <w:t>Macroeconometric</w:t>
            </w:r>
            <w:proofErr w:type="spellEnd"/>
            <w:r w:rsidR="00D00837" w:rsidRPr="00B8367E">
              <w:rPr>
                <w:rFonts w:eastAsia="Times New Roman" w:cstheme="minorHAnsi"/>
                <w:sz w:val="18"/>
                <w:szCs w:val="18"/>
                <w:lang w:eastAsia="de-CH"/>
              </w:rPr>
              <w:t xml:space="preserve"> simulation model / bottom-up evolutionary technology model.  </w:t>
            </w:r>
          </w:p>
        </w:tc>
        <w:tc>
          <w:tcPr>
            <w:tcW w:w="914" w:type="pct"/>
          </w:tcPr>
          <w:p w14:paraId="3B126EBF" w14:textId="03A1624C"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cstheme="minorHAnsi"/>
                <w:sz w:val="18"/>
                <w:szCs w:val="18"/>
              </w:rPr>
              <w:t>Compu</w:t>
            </w:r>
            <w:r w:rsidR="002D5CE3" w:rsidRPr="0099228F">
              <w:rPr>
                <w:rFonts w:cstheme="minorHAnsi"/>
                <w:sz w:val="18"/>
                <w:szCs w:val="18"/>
              </w:rPr>
              <w:t>table</w:t>
            </w:r>
            <w:r w:rsidRPr="009C05A3">
              <w:rPr>
                <w:rFonts w:cstheme="minorHAnsi"/>
                <w:sz w:val="18"/>
                <w:szCs w:val="18"/>
              </w:rPr>
              <w:t xml:space="preserve"> Gener</w:t>
            </w:r>
            <w:r w:rsidR="002D5CE3" w:rsidRPr="009C05A3">
              <w:rPr>
                <w:rFonts w:cstheme="minorHAnsi"/>
                <w:sz w:val="18"/>
                <w:szCs w:val="18"/>
              </w:rPr>
              <w:t>a</w:t>
            </w:r>
            <w:r w:rsidRPr="009C05A3">
              <w:rPr>
                <w:rFonts w:cstheme="minorHAnsi"/>
                <w:sz w:val="18"/>
                <w:szCs w:val="18"/>
              </w:rPr>
              <w:t xml:space="preserve">l </w:t>
            </w:r>
            <w:r w:rsidRPr="00967105">
              <w:rPr>
                <w:rFonts w:cstheme="minorHAnsi"/>
                <w:sz w:val="18"/>
                <w:szCs w:val="18"/>
              </w:rPr>
              <w:t>Equilibrium (CGE) model</w:t>
            </w:r>
          </w:p>
        </w:tc>
      </w:tr>
      <w:tr w:rsidR="00596032" w:rsidRPr="0099228F" w14:paraId="63D8B950" w14:textId="77777777" w:rsidTr="00B8367E">
        <w:trPr>
          <w:cnfStyle w:val="000000100000" w:firstRow="0" w:lastRow="0" w:firstColumn="0" w:lastColumn="0" w:oddVBand="0" w:evenVBand="0" w:oddHBand="1"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705" w:type="pct"/>
          </w:tcPr>
          <w:p w14:paraId="2F2F9CBA" w14:textId="77777777" w:rsidR="00D00837" w:rsidRPr="00B8367E" w:rsidRDefault="00D00837" w:rsidP="00E74A54">
            <w:pPr>
              <w:rPr>
                <w:rFonts w:cstheme="minorHAnsi"/>
                <w:sz w:val="18"/>
                <w:szCs w:val="18"/>
              </w:rPr>
            </w:pPr>
            <w:r w:rsidRPr="00B8367E">
              <w:rPr>
                <w:rFonts w:cstheme="minorHAnsi"/>
                <w:sz w:val="18"/>
                <w:szCs w:val="18"/>
              </w:rPr>
              <w:t>Modelling type</w:t>
            </w:r>
          </w:p>
        </w:tc>
        <w:tc>
          <w:tcPr>
            <w:tcW w:w="708" w:type="pct"/>
          </w:tcPr>
          <w:p w14:paraId="509C5D51"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it-IT" w:eastAsia="de-CH"/>
              </w:rPr>
            </w:pPr>
            <w:r w:rsidRPr="00B8367E">
              <w:rPr>
                <w:rFonts w:eastAsia="Times New Roman" w:cstheme="minorHAnsi"/>
                <w:sz w:val="18"/>
                <w:szCs w:val="18"/>
                <w:lang w:val="it-IT" w:eastAsia="de-CH"/>
              </w:rPr>
              <w:t>Simulation model / Non-Equilibrium model</w:t>
            </w:r>
          </w:p>
        </w:tc>
        <w:tc>
          <w:tcPr>
            <w:tcW w:w="864" w:type="pct"/>
          </w:tcPr>
          <w:p w14:paraId="19B4CCC9"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it-IT" w:eastAsia="de-CH"/>
              </w:rPr>
            </w:pPr>
            <w:r w:rsidRPr="00B8367E">
              <w:rPr>
                <w:rFonts w:eastAsia="Times New Roman" w:cstheme="minorHAnsi"/>
                <w:sz w:val="18"/>
                <w:szCs w:val="18"/>
                <w:lang w:val="it-IT" w:eastAsia="de-CH"/>
              </w:rPr>
              <w:t>Simulation model / Non-Equilibrium model</w:t>
            </w:r>
          </w:p>
        </w:tc>
        <w:tc>
          <w:tcPr>
            <w:tcW w:w="865" w:type="pct"/>
          </w:tcPr>
          <w:p w14:paraId="48210520" w14:textId="77777777" w:rsidR="00D00837" w:rsidRPr="00B8367E" w:rsidRDefault="00D00837" w:rsidP="00E74A54">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theme="minorHAnsi"/>
                <w:sz w:val="18"/>
                <w:szCs w:val="18"/>
                <w:lang w:val="it-IT"/>
              </w:rPr>
            </w:pPr>
            <w:r w:rsidRPr="00B8367E">
              <w:rPr>
                <w:rFonts w:cstheme="minorHAnsi"/>
                <w:sz w:val="18"/>
                <w:szCs w:val="18"/>
                <w:lang w:val="it-IT"/>
              </w:rPr>
              <w:t xml:space="preserve">Simulation model </w:t>
            </w:r>
            <w:r w:rsidRPr="00B8367E">
              <w:rPr>
                <w:rFonts w:eastAsia="Times New Roman" w:cstheme="minorHAnsi"/>
                <w:sz w:val="18"/>
                <w:szCs w:val="18"/>
                <w:lang w:val="it-IT" w:eastAsia="de-CH"/>
              </w:rPr>
              <w:t>/ Non-Equilibrium model</w:t>
            </w:r>
          </w:p>
        </w:tc>
        <w:tc>
          <w:tcPr>
            <w:tcW w:w="944" w:type="pct"/>
          </w:tcPr>
          <w:p w14:paraId="35CE68C1"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it-IT" w:eastAsia="de-CH"/>
              </w:rPr>
            </w:pPr>
            <w:r w:rsidRPr="00B8367E">
              <w:rPr>
                <w:rFonts w:eastAsia="Times New Roman" w:cstheme="minorHAnsi"/>
                <w:sz w:val="18"/>
                <w:szCs w:val="18"/>
                <w:lang w:val="it-IT" w:eastAsia="de-CH"/>
              </w:rPr>
              <w:t>Simulation model / Non-Equilibrium model</w:t>
            </w:r>
          </w:p>
        </w:tc>
        <w:tc>
          <w:tcPr>
            <w:tcW w:w="914" w:type="pct"/>
          </w:tcPr>
          <w:p w14:paraId="4A957C92" w14:textId="77777777" w:rsidR="00D00837" w:rsidRPr="00B8367E" w:rsidRDefault="00D00837"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Optimization / Equilibrium model</w:t>
            </w:r>
            <w:r w:rsidRPr="00B8367E">
              <w:rPr>
                <w:rStyle w:val="FootnoteReference"/>
                <w:rFonts w:eastAsia="Times New Roman" w:cstheme="minorHAnsi"/>
                <w:sz w:val="18"/>
                <w:szCs w:val="18"/>
                <w:lang w:eastAsia="de-CH"/>
              </w:rPr>
              <w:footnoteReference w:id="9"/>
            </w:r>
          </w:p>
        </w:tc>
      </w:tr>
      <w:tr w:rsidR="00596032" w:rsidRPr="0099228F" w14:paraId="5782A9C8" w14:textId="77777777" w:rsidTr="00B8367E">
        <w:trPr>
          <w:trHeight w:val="170"/>
        </w:trPr>
        <w:tc>
          <w:tcPr>
            <w:cnfStyle w:val="001000000000" w:firstRow="0" w:lastRow="0" w:firstColumn="1" w:lastColumn="0" w:oddVBand="0" w:evenVBand="0" w:oddHBand="0" w:evenHBand="0" w:firstRowFirstColumn="0" w:firstRowLastColumn="0" w:lastRowFirstColumn="0" w:lastRowLastColumn="0"/>
            <w:tcW w:w="705" w:type="pct"/>
          </w:tcPr>
          <w:p w14:paraId="0C4A2ED2" w14:textId="77777777" w:rsidR="00D00837" w:rsidRPr="00B8367E" w:rsidRDefault="00D00837" w:rsidP="00E74A54">
            <w:pPr>
              <w:rPr>
                <w:rFonts w:cstheme="minorHAnsi"/>
                <w:color w:val="auto"/>
                <w:sz w:val="18"/>
                <w:szCs w:val="18"/>
              </w:rPr>
            </w:pPr>
            <w:r w:rsidRPr="00B8367E">
              <w:rPr>
                <w:rFonts w:cstheme="minorHAnsi"/>
                <w:sz w:val="18"/>
                <w:szCs w:val="18"/>
              </w:rPr>
              <w:lastRenderedPageBreak/>
              <w:t>Model sectors</w:t>
            </w:r>
          </w:p>
        </w:tc>
        <w:tc>
          <w:tcPr>
            <w:tcW w:w="708" w:type="pct"/>
          </w:tcPr>
          <w:p w14:paraId="14F2F254"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xml:space="preserve">Production, consumption, labour market, simplified interest &amp; Exchange rate sector and power supply sector. </w:t>
            </w:r>
          </w:p>
        </w:tc>
        <w:tc>
          <w:tcPr>
            <w:tcW w:w="864" w:type="pct"/>
          </w:tcPr>
          <w:p w14:paraId="4747314B"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8367E">
              <w:rPr>
                <w:rFonts w:cstheme="minorHAnsi"/>
                <w:sz w:val="18"/>
                <w:szCs w:val="18"/>
              </w:rPr>
              <w:t xml:space="preserve">Production, consumption, energy and labour market sector. </w:t>
            </w:r>
          </w:p>
        </w:tc>
        <w:tc>
          <w:tcPr>
            <w:tcW w:w="865" w:type="pct"/>
          </w:tcPr>
          <w:p w14:paraId="113AED9B" w14:textId="69607633" w:rsidR="00D00837" w:rsidRPr="00B8367E" w:rsidRDefault="00D00837" w:rsidP="00E74A5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8367E">
              <w:rPr>
                <w:rFonts w:cstheme="minorHAnsi"/>
                <w:sz w:val="18"/>
                <w:szCs w:val="18"/>
              </w:rPr>
              <w:t>Households-, Government-</w:t>
            </w:r>
            <w:r w:rsidR="002D5CE3" w:rsidRPr="00B8367E">
              <w:rPr>
                <w:rFonts w:cstheme="minorHAnsi"/>
                <w:sz w:val="18"/>
                <w:szCs w:val="18"/>
              </w:rPr>
              <w:t>, Commercial</w:t>
            </w:r>
            <w:r w:rsidRPr="00B8367E">
              <w:rPr>
                <w:rFonts w:cstheme="minorHAnsi"/>
                <w:sz w:val="18"/>
                <w:szCs w:val="18"/>
              </w:rPr>
              <w:t xml:space="preserve"> banking- and a capital (green &amp; </w:t>
            </w:r>
            <w:r w:rsidR="004857A9">
              <w:rPr>
                <w:rFonts w:cstheme="minorHAnsi"/>
                <w:sz w:val="18"/>
                <w:szCs w:val="18"/>
              </w:rPr>
              <w:t>high-carbon</w:t>
            </w:r>
            <w:r w:rsidRPr="00B8367E">
              <w:rPr>
                <w:rFonts w:cstheme="minorHAnsi"/>
                <w:sz w:val="18"/>
                <w:szCs w:val="18"/>
              </w:rPr>
              <w:t>) and goods production sector.</w:t>
            </w:r>
          </w:p>
        </w:tc>
        <w:tc>
          <w:tcPr>
            <w:tcW w:w="944" w:type="pct"/>
          </w:tcPr>
          <w:p w14:paraId="1CBA013E" w14:textId="38488108"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xml:space="preserve">Macroeconomic sectors </w:t>
            </w:r>
            <w:r w:rsidR="002D5CE3" w:rsidRPr="00B8367E">
              <w:rPr>
                <w:rFonts w:eastAsia="Times New Roman" w:cstheme="minorHAnsi"/>
                <w:sz w:val="18"/>
                <w:szCs w:val="18"/>
                <w:lang w:eastAsia="de-CH"/>
              </w:rPr>
              <w:t>desegregated</w:t>
            </w:r>
            <w:r w:rsidRPr="00B8367E">
              <w:rPr>
                <w:rFonts w:eastAsia="Times New Roman" w:cstheme="minorHAnsi"/>
                <w:sz w:val="18"/>
                <w:szCs w:val="18"/>
                <w:lang w:eastAsia="de-CH"/>
              </w:rPr>
              <w:t xml:space="preserve"> by industry, Energy sector </w:t>
            </w:r>
            <w:r w:rsidR="002D5CE3" w:rsidRPr="00B8367E">
              <w:rPr>
                <w:rFonts w:eastAsia="Times New Roman" w:cstheme="minorHAnsi"/>
                <w:sz w:val="18"/>
                <w:szCs w:val="18"/>
                <w:lang w:eastAsia="de-CH"/>
              </w:rPr>
              <w:t>desegregated</w:t>
            </w:r>
            <w:r w:rsidRPr="00B8367E">
              <w:rPr>
                <w:rFonts w:eastAsia="Times New Roman" w:cstheme="minorHAnsi"/>
                <w:sz w:val="18"/>
                <w:szCs w:val="18"/>
                <w:lang w:eastAsia="de-CH"/>
              </w:rPr>
              <w:t xml:space="preserve"> by power, transport, agriculture and heating. </w:t>
            </w:r>
          </w:p>
        </w:tc>
        <w:tc>
          <w:tcPr>
            <w:tcW w:w="914" w:type="pct"/>
          </w:tcPr>
          <w:p w14:paraId="26CE6843" w14:textId="77777777" w:rsidR="00D00837" w:rsidRPr="00B8367E" w:rsidRDefault="00D00837"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cstheme="minorHAnsi"/>
                <w:sz w:val="18"/>
                <w:szCs w:val="18"/>
              </w:rPr>
              <w:t>Production (incl. top-energy sector), consumption and labour market sector.</w:t>
            </w:r>
          </w:p>
        </w:tc>
      </w:tr>
    </w:tbl>
    <w:p w14:paraId="4AB83685" w14:textId="77777777" w:rsidR="00D00837" w:rsidRPr="0070461D" w:rsidRDefault="00D00837" w:rsidP="00D00837">
      <w:pPr>
        <w:rPr>
          <w:rFonts w:cstheme="minorHAnsi"/>
          <w:color w:val="FF0000"/>
        </w:rPr>
      </w:pPr>
    </w:p>
    <w:p w14:paraId="1810767E" w14:textId="34A36775" w:rsidR="00D00837" w:rsidRPr="00601E17" w:rsidRDefault="00D00837" w:rsidP="00D00837">
      <w:pPr>
        <w:rPr>
          <w:rFonts w:cstheme="minorHAnsi"/>
        </w:rPr>
      </w:pPr>
      <w:r w:rsidRPr="005E5158">
        <w:rPr>
          <w:rFonts w:cstheme="minorHAnsi"/>
        </w:rPr>
        <w:t xml:space="preserve">The table below </w:t>
      </w:r>
      <w:r w:rsidR="00B76E3C" w:rsidRPr="00202D0C">
        <w:rPr>
          <w:rFonts w:cstheme="minorHAnsi"/>
        </w:rPr>
        <w:t xml:space="preserve">compares the GIBM </w:t>
      </w:r>
      <w:r w:rsidRPr="00601E17">
        <w:rPr>
          <w:rFonts w:cstheme="minorHAnsi"/>
        </w:rPr>
        <w:t xml:space="preserve">results </w:t>
      </w:r>
      <w:r w:rsidR="00B76E3C" w:rsidRPr="00601E17">
        <w:rPr>
          <w:rFonts w:cstheme="minorHAnsi"/>
        </w:rPr>
        <w:t xml:space="preserve">with the previous studies. </w:t>
      </w:r>
      <w:r w:rsidRPr="00601E17">
        <w:rPr>
          <w:rFonts w:cstheme="minorHAnsi"/>
        </w:rPr>
        <w:t xml:space="preserve">When no </w:t>
      </w:r>
      <w:r w:rsidR="002D5CE3" w:rsidRPr="00601E17">
        <w:rPr>
          <w:rFonts w:cstheme="minorHAnsi"/>
        </w:rPr>
        <w:t>quantitative</w:t>
      </w:r>
      <w:r w:rsidRPr="00601E17">
        <w:rPr>
          <w:rFonts w:cstheme="minorHAnsi"/>
        </w:rPr>
        <w:t xml:space="preserve"> results are reported, this means that there were no numbers indicated in the </w:t>
      </w:r>
      <w:r w:rsidR="002D5CE3" w:rsidRPr="00601E17">
        <w:rPr>
          <w:rFonts w:cstheme="minorHAnsi"/>
        </w:rPr>
        <w:t>consulted</w:t>
      </w:r>
      <w:r w:rsidRPr="00601E17">
        <w:rPr>
          <w:rFonts w:cstheme="minorHAnsi"/>
        </w:rPr>
        <w:t xml:space="preserve"> study. </w:t>
      </w:r>
    </w:p>
    <w:p w14:paraId="4A9E8202" w14:textId="1139775B" w:rsidR="00D00837" w:rsidRPr="00B8367E" w:rsidRDefault="00D00837" w:rsidP="00D00837">
      <w:pPr>
        <w:pStyle w:val="Caption"/>
        <w:keepNext/>
        <w:rPr>
          <w:rFonts w:asciiTheme="minorHAnsi" w:hAnsiTheme="minorHAnsi" w:cstheme="minorHAnsi"/>
        </w:rPr>
      </w:pPr>
      <w:r w:rsidRPr="00B8367E">
        <w:rPr>
          <w:rFonts w:asciiTheme="minorHAnsi" w:hAnsiTheme="minorHAnsi" w:cstheme="minorHAnsi"/>
        </w:rPr>
        <w:t xml:space="preserve">Table </w:t>
      </w:r>
      <w:r w:rsidR="00086A44" w:rsidRPr="00B8367E">
        <w:rPr>
          <w:rFonts w:asciiTheme="minorHAnsi" w:hAnsiTheme="minorHAnsi" w:cstheme="minorHAnsi"/>
        </w:rPr>
        <w:fldChar w:fldCharType="begin"/>
      </w:r>
      <w:r w:rsidR="00086A44" w:rsidRPr="00B8367E">
        <w:rPr>
          <w:rFonts w:asciiTheme="minorHAnsi" w:hAnsiTheme="minorHAnsi" w:cstheme="minorHAnsi"/>
        </w:rPr>
        <w:instrText xml:space="preserve"> SEQ Table \* ARABIC </w:instrText>
      </w:r>
      <w:r w:rsidR="00086A44" w:rsidRPr="00B8367E">
        <w:rPr>
          <w:rFonts w:asciiTheme="minorHAnsi" w:hAnsiTheme="minorHAnsi" w:cstheme="minorHAnsi"/>
        </w:rPr>
        <w:fldChar w:fldCharType="separate"/>
      </w:r>
      <w:r w:rsidR="008020E0" w:rsidRPr="00B8367E">
        <w:rPr>
          <w:rFonts w:asciiTheme="minorHAnsi" w:hAnsiTheme="minorHAnsi" w:cstheme="minorHAnsi"/>
          <w:noProof/>
        </w:rPr>
        <w:t>4</w:t>
      </w:r>
      <w:r w:rsidR="00086A44" w:rsidRPr="00B8367E">
        <w:rPr>
          <w:rFonts w:asciiTheme="minorHAnsi" w:hAnsiTheme="minorHAnsi" w:cstheme="minorHAnsi"/>
          <w:noProof/>
        </w:rPr>
        <w:fldChar w:fldCharType="end"/>
      </w:r>
      <w:r w:rsidRPr="00B8367E">
        <w:rPr>
          <w:rFonts w:asciiTheme="minorHAnsi" w:hAnsiTheme="minorHAnsi" w:cstheme="minorHAnsi"/>
        </w:rPr>
        <w:t xml:space="preserve">: Comparison to results of other models: if not indicated differently, the </w:t>
      </w:r>
      <w:r w:rsidR="002D5CE3" w:rsidRPr="00B8367E">
        <w:rPr>
          <w:rFonts w:asciiTheme="minorHAnsi" w:hAnsiTheme="minorHAnsi" w:cstheme="minorHAnsi"/>
        </w:rPr>
        <w:t>numbers</w:t>
      </w:r>
      <w:r w:rsidRPr="00B8367E">
        <w:rPr>
          <w:rFonts w:asciiTheme="minorHAnsi" w:hAnsiTheme="minorHAnsi" w:cstheme="minorHAnsi"/>
        </w:rPr>
        <w:t xml:space="preserve"> refer % change vs. Reference case</w:t>
      </w:r>
    </w:p>
    <w:tbl>
      <w:tblPr>
        <w:tblStyle w:val="GridTable5Dark-Accent3"/>
        <w:tblW w:w="9067" w:type="dxa"/>
        <w:tblLook w:val="04A0" w:firstRow="1" w:lastRow="0" w:firstColumn="1" w:lastColumn="0" w:noHBand="0" w:noVBand="1"/>
      </w:tblPr>
      <w:tblGrid>
        <w:gridCol w:w="1234"/>
        <w:gridCol w:w="1566"/>
        <w:gridCol w:w="1567"/>
        <w:gridCol w:w="1566"/>
        <w:gridCol w:w="1567"/>
        <w:gridCol w:w="1567"/>
      </w:tblGrid>
      <w:tr w:rsidR="00E4582F" w:rsidRPr="0099228F" w14:paraId="3662BE63" w14:textId="77777777" w:rsidTr="00E4582F">
        <w:trPr>
          <w:cnfStyle w:val="100000000000" w:firstRow="1" w:lastRow="0" w:firstColumn="0" w:lastColumn="0" w:oddVBand="0" w:evenVBand="0" w:oddHBand="0"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234" w:type="dxa"/>
          </w:tcPr>
          <w:p w14:paraId="3DEE7672" w14:textId="77777777" w:rsidR="00E4582F" w:rsidRPr="0099228F" w:rsidRDefault="00E4582F" w:rsidP="00E74A54">
            <w:pPr>
              <w:ind w:left="360"/>
              <w:rPr>
                <w:rFonts w:cstheme="minorHAnsi"/>
                <w:color w:val="auto"/>
                <w:sz w:val="18"/>
                <w:szCs w:val="18"/>
              </w:rPr>
            </w:pPr>
          </w:p>
        </w:tc>
        <w:tc>
          <w:tcPr>
            <w:tcW w:w="1566" w:type="dxa"/>
            <w:vAlign w:val="center"/>
          </w:tcPr>
          <w:p w14:paraId="0042C697" w14:textId="77777777" w:rsidR="00E4582F" w:rsidRPr="00B8367E" w:rsidRDefault="00E4582F"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DF755F">
              <w:rPr>
                <w:rFonts w:eastAsia="Times New Roman" w:cstheme="minorHAnsi"/>
                <w:sz w:val="18"/>
                <w:szCs w:val="18"/>
                <w:lang w:eastAsia="de-CH"/>
              </w:rPr>
              <w:t>GIBM</w:t>
            </w:r>
          </w:p>
        </w:tc>
        <w:tc>
          <w:tcPr>
            <w:tcW w:w="1567" w:type="dxa"/>
            <w:vAlign w:val="center"/>
          </w:tcPr>
          <w:p w14:paraId="1CC933CC" w14:textId="77777777" w:rsidR="00E4582F" w:rsidRPr="00B8367E" w:rsidRDefault="00E4582F"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Bernardo &amp; D’Alessandro, 2015 model</w:t>
            </w:r>
          </w:p>
        </w:tc>
        <w:tc>
          <w:tcPr>
            <w:tcW w:w="1566" w:type="dxa"/>
            <w:vAlign w:val="center"/>
          </w:tcPr>
          <w:p w14:paraId="2C189AD4" w14:textId="77777777" w:rsidR="00E4582F" w:rsidRPr="00DF755F" w:rsidRDefault="00E4582F" w:rsidP="00E74A5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DF755F">
              <w:rPr>
                <w:rFonts w:eastAsia="Times New Roman" w:cstheme="minorHAnsi"/>
                <w:sz w:val="18"/>
                <w:szCs w:val="18"/>
                <w:lang w:eastAsia="de-CH"/>
              </w:rPr>
              <w:t>EIRIN</w:t>
            </w:r>
          </w:p>
        </w:tc>
        <w:tc>
          <w:tcPr>
            <w:tcW w:w="1567" w:type="dxa"/>
            <w:vAlign w:val="center"/>
          </w:tcPr>
          <w:p w14:paraId="1AE13236" w14:textId="77777777" w:rsidR="00E4582F" w:rsidRPr="00B8367E" w:rsidRDefault="00E4582F" w:rsidP="006E0C0D">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DF755F">
              <w:rPr>
                <w:rStyle w:val="title-text"/>
                <w:rFonts w:cstheme="minorHAnsi"/>
                <w:sz w:val="18"/>
                <w:szCs w:val="18"/>
              </w:rPr>
              <w:t>E3ME-FTT</w:t>
            </w:r>
          </w:p>
        </w:tc>
        <w:tc>
          <w:tcPr>
            <w:tcW w:w="1567" w:type="dxa"/>
            <w:vAlign w:val="center"/>
          </w:tcPr>
          <w:p w14:paraId="4C500F2B" w14:textId="64190E4E" w:rsidR="00E4582F" w:rsidRPr="00B8367E" w:rsidRDefault="00E4582F" w:rsidP="006E0C0D">
            <w:pPr>
              <w:jc w:val="center"/>
              <w:cnfStyle w:val="100000000000" w:firstRow="1" w:lastRow="0" w:firstColumn="0" w:lastColumn="0" w:oddVBand="0" w:evenVBand="0" w:oddHBand="0" w:evenHBand="0" w:firstRowFirstColumn="0" w:firstRowLastColumn="0" w:lastRowFirstColumn="0" w:lastRowLastColumn="0"/>
              <w:rPr>
                <w:rStyle w:val="title-text"/>
                <w:rFonts w:cstheme="minorHAnsi"/>
                <w:sz w:val="18"/>
                <w:szCs w:val="18"/>
              </w:rPr>
            </w:pPr>
            <w:r w:rsidRPr="00DF755F">
              <w:rPr>
                <w:rStyle w:val="title-text"/>
                <w:rFonts w:cstheme="minorHAnsi"/>
                <w:sz w:val="18"/>
                <w:szCs w:val="18"/>
              </w:rPr>
              <w:t>HMRC</w:t>
            </w:r>
            <w:r w:rsidR="003723B4" w:rsidRPr="00DF755F">
              <w:rPr>
                <w:rStyle w:val="title-text"/>
                <w:rFonts w:cstheme="minorHAnsi"/>
                <w:sz w:val="18"/>
                <w:szCs w:val="18"/>
              </w:rPr>
              <w:t xml:space="preserve"> </w:t>
            </w:r>
            <w:r w:rsidR="003723B4" w:rsidRPr="00B8367E">
              <w:rPr>
                <w:rStyle w:val="title-text"/>
                <w:rFonts w:cstheme="minorHAnsi"/>
                <w:color w:val="auto"/>
                <w:sz w:val="18"/>
                <w:szCs w:val="18"/>
              </w:rPr>
              <w:t>model</w:t>
            </w:r>
          </w:p>
        </w:tc>
      </w:tr>
      <w:tr w:rsidR="00E4582F" w:rsidRPr="0099228F" w14:paraId="5B8136D6" w14:textId="77777777" w:rsidTr="00E4582F">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1234" w:type="dxa"/>
          </w:tcPr>
          <w:p w14:paraId="052EA6AC" w14:textId="057C3335" w:rsidR="00E4582F" w:rsidRPr="00B8367E" w:rsidRDefault="00E4582F" w:rsidP="00E74A54">
            <w:pPr>
              <w:jc w:val="left"/>
              <w:rPr>
                <w:rFonts w:cstheme="minorHAnsi"/>
                <w:color w:val="auto"/>
                <w:sz w:val="18"/>
                <w:szCs w:val="18"/>
              </w:rPr>
            </w:pPr>
            <w:r w:rsidRPr="00B8367E">
              <w:rPr>
                <w:rFonts w:cstheme="minorHAnsi"/>
                <w:sz w:val="18"/>
                <w:szCs w:val="18"/>
              </w:rPr>
              <w:t>Relevant scenarios or polices</w:t>
            </w:r>
          </w:p>
        </w:tc>
        <w:tc>
          <w:tcPr>
            <w:tcW w:w="1566" w:type="dxa"/>
          </w:tcPr>
          <w:p w14:paraId="69BCCBA1" w14:textId="7BC4C0AD" w:rsidR="00E4582F" w:rsidRPr="00B8367E" w:rsidRDefault="00DF755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Pr>
                <w:rFonts w:eastAsia="Times New Roman" w:cstheme="minorHAnsi"/>
                <w:sz w:val="18"/>
                <w:szCs w:val="18"/>
                <w:lang w:eastAsia="de-CH"/>
              </w:rPr>
              <w:t>Closing the green finance gap policy scenario</w:t>
            </w:r>
            <w:r w:rsidR="00E4582F" w:rsidRPr="00B8367E">
              <w:rPr>
                <w:rFonts w:eastAsia="Times New Roman" w:cstheme="minorHAnsi"/>
                <w:sz w:val="18"/>
                <w:szCs w:val="18"/>
                <w:lang w:eastAsia="de-CH"/>
              </w:rPr>
              <w:t xml:space="preserve"> in combination with a low-carbon </w:t>
            </w:r>
            <w:r w:rsidR="00E54E82" w:rsidRPr="00B8367E">
              <w:rPr>
                <w:rFonts w:eastAsia="Times New Roman" w:cstheme="minorHAnsi"/>
                <w:sz w:val="18"/>
                <w:szCs w:val="18"/>
                <w:lang w:eastAsia="de-CH"/>
              </w:rPr>
              <w:t>electricity</w:t>
            </w:r>
            <w:r w:rsidR="00E4582F" w:rsidRPr="00B8367E">
              <w:rPr>
                <w:rFonts w:eastAsia="Times New Roman" w:cstheme="minorHAnsi"/>
                <w:sz w:val="18"/>
                <w:szCs w:val="18"/>
                <w:lang w:eastAsia="de-CH"/>
              </w:rPr>
              <w:t xml:space="preserve"> transition scenario</w:t>
            </w:r>
          </w:p>
        </w:tc>
        <w:tc>
          <w:tcPr>
            <w:tcW w:w="1567" w:type="dxa"/>
          </w:tcPr>
          <w:p w14:paraId="0ADCD3B5" w14:textId="77777777"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99228F">
              <w:rPr>
                <w:rFonts w:eastAsia="Times New Roman" w:cstheme="minorHAnsi"/>
                <w:sz w:val="18"/>
                <w:szCs w:val="18"/>
                <w:lang w:eastAsia="de-CH"/>
              </w:rPr>
              <w:t xml:space="preserve">Roadmap scenario: investments in renewable energy sector, energy efficiency and direct reduction of carbon emissions. </w:t>
            </w:r>
          </w:p>
        </w:tc>
        <w:tc>
          <w:tcPr>
            <w:tcW w:w="1566" w:type="dxa"/>
          </w:tcPr>
          <w:p w14:paraId="54B26FAA" w14:textId="77777777"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Green Supporting Factor (GSF)</w:t>
            </w:r>
          </w:p>
        </w:tc>
        <w:tc>
          <w:tcPr>
            <w:tcW w:w="1567" w:type="dxa"/>
          </w:tcPr>
          <w:p w14:paraId="3670C19E" w14:textId="0DBB872A"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proofErr w:type="spellStart"/>
            <w:r w:rsidRPr="0099228F">
              <w:rPr>
                <w:rFonts w:cstheme="minorHAnsi"/>
                <w:sz w:val="18"/>
                <w:szCs w:val="18"/>
              </w:rPr>
              <w:t>REmap</w:t>
            </w:r>
            <w:proofErr w:type="spellEnd"/>
            <w:r w:rsidRPr="0099228F">
              <w:rPr>
                <w:rFonts w:cstheme="minorHAnsi"/>
                <w:sz w:val="18"/>
                <w:szCs w:val="18"/>
              </w:rPr>
              <w:t xml:space="preserve"> Electrification scenario (</w:t>
            </w:r>
            <w:proofErr w:type="spellStart"/>
            <w:r w:rsidRPr="0099228F">
              <w:rPr>
                <w:rFonts w:cstheme="minorHAnsi"/>
                <w:sz w:val="18"/>
                <w:szCs w:val="18"/>
              </w:rPr>
              <w:t>RemapE</w:t>
            </w:r>
            <w:proofErr w:type="spellEnd"/>
            <w:r w:rsidRPr="0099228F">
              <w:rPr>
                <w:rFonts w:cstheme="minorHAnsi"/>
                <w:sz w:val="18"/>
                <w:szCs w:val="18"/>
              </w:rPr>
              <w:t xml:space="preserve">): </w:t>
            </w:r>
            <w:r w:rsidRPr="009C05A3">
              <w:rPr>
                <w:rFonts w:eastAsia="Times New Roman" w:cstheme="minorHAnsi"/>
                <w:sz w:val="18"/>
                <w:szCs w:val="18"/>
                <w:lang w:eastAsia="de-CH"/>
              </w:rPr>
              <w:t>Increase in investments to expand the renewable energy sector.</w:t>
            </w:r>
            <w:r w:rsidRPr="0099228F">
              <w:rPr>
                <w:rStyle w:val="FootnoteReference"/>
                <w:rFonts w:eastAsia="Times New Roman" w:cstheme="minorHAnsi"/>
                <w:sz w:val="18"/>
                <w:szCs w:val="18"/>
                <w:lang w:eastAsia="de-CH"/>
              </w:rPr>
              <w:footnoteReference w:id="10"/>
            </w:r>
            <w:r w:rsidRPr="0099228F">
              <w:rPr>
                <w:rFonts w:eastAsia="Times New Roman" w:cstheme="minorHAnsi"/>
                <w:sz w:val="18"/>
                <w:szCs w:val="18"/>
                <w:lang w:eastAsia="de-CH"/>
              </w:rPr>
              <w:t xml:space="preserve"> </w:t>
            </w:r>
          </w:p>
        </w:tc>
        <w:tc>
          <w:tcPr>
            <w:tcW w:w="1567" w:type="dxa"/>
          </w:tcPr>
          <w:p w14:paraId="1EC08A2A" w14:textId="77777777" w:rsidR="00E4582F" w:rsidRPr="009C05A3" w:rsidRDefault="00E4582F" w:rsidP="00E74A54">
            <w:pPr>
              <w:jc w:val="left"/>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9C05A3">
              <w:rPr>
                <w:rFonts w:cstheme="minorHAnsi"/>
                <w:sz w:val="18"/>
                <w:szCs w:val="18"/>
              </w:rPr>
              <w:t>Introduction of higher carbon prices</w:t>
            </w:r>
          </w:p>
        </w:tc>
      </w:tr>
      <w:tr w:rsidR="00E4582F" w:rsidRPr="0099228F" w14:paraId="29BA4151" w14:textId="77777777" w:rsidTr="00846E6E">
        <w:trPr>
          <w:trHeight w:val="416"/>
        </w:trPr>
        <w:tc>
          <w:tcPr>
            <w:cnfStyle w:val="001000000000" w:firstRow="0" w:lastRow="0" w:firstColumn="1" w:lastColumn="0" w:oddVBand="0" w:evenVBand="0" w:oddHBand="0" w:evenHBand="0" w:firstRowFirstColumn="0" w:firstRowLastColumn="0" w:lastRowFirstColumn="0" w:lastRowLastColumn="0"/>
            <w:tcW w:w="1234" w:type="dxa"/>
          </w:tcPr>
          <w:p w14:paraId="072197D2" w14:textId="77777777" w:rsidR="00E4582F" w:rsidRPr="00B8367E" w:rsidRDefault="00E4582F" w:rsidP="00E74A54">
            <w:pPr>
              <w:jc w:val="left"/>
              <w:rPr>
                <w:rFonts w:cstheme="minorHAnsi"/>
                <w:sz w:val="18"/>
                <w:szCs w:val="18"/>
              </w:rPr>
            </w:pPr>
            <w:r w:rsidRPr="00B8367E">
              <w:rPr>
                <w:rFonts w:cstheme="minorHAnsi"/>
                <w:sz w:val="18"/>
                <w:szCs w:val="18"/>
              </w:rPr>
              <w:t>Reference case</w:t>
            </w:r>
          </w:p>
        </w:tc>
        <w:tc>
          <w:tcPr>
            <w:tcW w:w="1566" w:type="dxa"/>
          </w:tcPr>
          <w:p w14:paraId="2ECA123B"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xml:space="preserve">No major policy scheme implemented; introduced &amp; expected CO2 prices in the UK are considered. </w:t>
            </w:r>
          </w:p>
        </w:tc>
        <w:tc>
          <w:tcPr>
            <w:tcW w:w="1567" w:type="dxa"/>
          </w:tcPr>
          <w:p w14:paraId="192A2B17"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No policies implemented</w:t>
            </w:r>
          </w:p>
        </w:tc>
        <w:tc>
          <w:tcPr>
            <w:tcW w:w="1566" w:type="dxa"/>
          </w:tcPr>
          <w:p w14:paraId="01C3DA0A"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No policies implemented</w:t>
            </w:r>
          </w:p>
        </w:tc>
        <w:tc>
          <w:tcPr>
            <w:tcW w:w="1567" w:type="dxa"/>
          </w:tcPr>
          <w:p w14:paraId="2C9D682C" w14:textId="77777777" w:rsidR="00E4582F" w:rsidRPr="009C05A3" w:rsidRDefault="00E4582F" w:rsidP="00E74A54">
            <w:pPr>
              <w:jc w:val="left"/>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9228F">
              <w:rPr>
                <w:rFonts w:cstheme="minorHAnsi"/>
                <w:sz w:val="18"/>
                <w:szCs w:val="18"/>
              </w:rPr>
              <w:t>Implemented and planned polices, leading to a warming of 2.6 Degree globally.</w:t>
            </w:r>
          </w:p>
        </w:tc>
        <w:tc>
          <w:tcPr>
            <w:tcW w:w="1567" w:type="dxa"/>
          </w:tcPr>
          <w:p w14:paraId="2DB23C26" w14:textId="3AD6F28B" w:rsidR="00E4582F" w:rsidRPr="0099228F" w:rsidRDefault="00A17347" w:rsidP="00E74A54">
            <w:pPr>
              <w:jc w:val="left"/>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8367E">
              <w:rPr>
                <w:rFonts w:eastAsia="Times New Roman" w:cstheme="minorHAnsi"/>
                <w:sz w:val="18"/>
                <w:szCs w:val="18"/>
                <w:lang w:eastAsia="de-CH"/>
              </w:rPr>
              <w:t>No policies implemented</w:t>
            </w:r>
          </w:p>
        </w:tc>
      </w:tr>
      <w:tr w:rsidR="00E4582F" w:rsidRPr="0099228F" w14:paraId="0AAA4A2F" w14:textId="77777777" w:rsidTr="00E4582F">
        <w:trPr>
          <w:cnfStyle w:val="000000100000" w:firstRow="0" w:lastRow="0" w:firstColumn="0" w:lastColumn="0" w:oddVBand="0" w:evenVBand="0" w:oddHBand="1" w:evenHBand="0" w:firstRowFirstColumn="0" w:firstRowLastColumn="0" w:lastRowFirstColumn="0" w:lastRowLastColumn="0"/>
          <w:trHeight w:val="1601"/>
        </w:trPr>
        <w:tc>
          <w:tcPr>
            <w:cnfStyle w:val="001000000000" w:firstRow="0" w:lastRow="0" w:firstColumn="1" w:lastColumn="0" w:oddVBand="0" w:evenVBand="0" w:oddHBand="0" w:evenHBand="0" w:firstRowFirstColumn="0" w:firstRowLastColumn="0" w:lastRowFirstColumn="0" w:lastRowLastColumn="0"/>
            <w:tcW w:w="1234" w:type="dxa"/>
          </w:tcPr>
          <w:p w14:paraId="69688D26" w14:textId="77777777" w:rsidR="00E4582F" w:rsidRPr="0099228F" w:rsidRDefault="00E4582F" w:rsidP="00E74A54">
            <w:pPr>
              <w:jc w:val="left"/>
              <w:rPr>
                <w:rFonts w:cstheme="minorHAnsi"/>
                <w:color w:val="auto"/>
                <w:sz w:val="18"/>
                <w:szCs w:val="18"/>
              </w:rPr>
            </w:pPr>
            <w:r w:rsidRPr="0099228F">
              <w:rPr>
                <w:rFonts w:cstheme="minorHAnsi"/>
                <w:sz w:val="18"/>
                <w:szCs w:val="18"/>
              </w:rPr>
              <w:t>Emissions from power system</w:t>
            </w:r>
          </w:p>
        </w:tc>
        <w:tc>
          <w:tcPr>
            <w:tcW w:w="1566" w:type="dxa"/>
          </w:tcPr>
          <w:p w14:paraId="6AFBEB01"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-100 (power sector)</w:t>
            </w:r>
          </w:p>
        </w:tc>
        <w:tc>
          <w:tcPr>
            <w:tcW w:w="1567" w:type="dxa"/>
          </w:tcPr>
          <w:p w14:paraId="5D737D66"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-75 (entire economy)</w:t>
            </w:r>
          </w:p>
        </w:tc>
        <w:tc>
          <w:tcPr>
            <w:tcW w:w="1566" w:type="dxa"/>
          </w:tcPr>
          <w:p w14:paraId="329E8B98" w14:textId="352A144D"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 xml:space="preserve">Zero emission target not reached, the GSF is not enough to scale-up green investments. </w:t>
            </w:r>
          </w:p>
        </w:tc>
        <w:tc>
          <w:tcPr>
            <w:tcW w:w="1567" w:type="dxa"/>
          </w:tcPr>
          <w:p w14:paraId="4159CD1D"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cstheme="minorHAnsi"/>
                <w:sz w:val="18"/>
                <w:szCs w:val="18"/>
              </w:rPr>
              <w:t>-15.7</w:t>
            </w:r>
          </w:p>
        </w:tc>
        <w:tc>
          <w:tcPr>
            <w:tcW w:w="1567" w:type="dxa"/>
          </w:tcPr>
          <w:p w14:paraId="2D1E9E43"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99228F">
              <w:rPr>
                <w:rStyle w:val="hgkelc"/>
                <w:rFonts w:cstheme="minorHAnsi"/>
                <w:sz w:val="18"/>
                <w:szCs w:val="18"/>
              </w:rPr>
              <w:t>- 50 (entire economy and relative to 1990)</w:t>
            </w:r>
          </w:p>
        </w:tc>
      </w:tr>
      <w:tr w:rsidR="00E4582F" w:rsidRPr="0099228F" w14:paraId="2DB83B5B" w14:textId="77777777" w:rsidTr="00E4582F">
        <w:trPr>
          <w:trHeight w:val="326"/>
        </w:trPr>
        <w:tc>
          <w:tcPr>
            <w:cnfStyle w:val="001000000000" w:firstRow="0" w:lastRow="0" w:firstColumn="1" w:lastColumn="0" w:oddVBand="0" w:evenVBand="0" w:oddHBand="0" w:evenHBand="0" w:firstRowFirstColumn="0" w:firstRowLastColumn="0" w:lastRowFirstColumn="0" w:lastRowLastColumn="0"/>
            <w:tcW w:w="1234" w:type="dxa"/>
          </w:tcPr>
          <w:p w14:paraId="41EC9862" w14:textId="77777777" w:rsidR="00E4582F" w:rsidRPr="0099228F" w:rsidRDefault="00E4582F" w:rsidP="00E74A54">
            <w:pPr>
              <w:jc w:val="left"/>
              <w:rPr>
                <w:rFonts w:cstheme="minorHAnsi"/>
                <w:color w:val="auto"/>
                <w:sz w:val="18"/>
                <w:szCs w:val="18"/>
              </w:rPr>
            </w:pPr>
            <w:r w:rsidRPr="0099228F">
              <w:rPr>
                <w:rFonts w:cstheme="minorHAnsi"/>
                <w:sz w:val="18"/>
                <w:szCs w:val="18"/>
              </w:rPr>
              <w:t xml:space="preserve">Unemployed </w:t>
            </w:r>
          </w:p>
        </w:tc>
        <w:tc>
          <w:tcPr>
            <w:tcW w:w="1566" w:type="dxa"/>
          </w:tcPr>
          <w:p w14:paraId="2C9EC0FE" w14:textId="63239363" w:rsidR="00E4582F" w:rsidRPr="0099228F" w:rsidRDefault="006E0C0D"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-0.85</w:t>
            </w:r>
          </w:p>
        </w:tc>
        <w:tc>
          <w:tcPr>
            <w:tcW w:w="1567" w:type="dxa"/>
          </w:tcPr>
          <w:p w14:paraId="615E9E7F"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-38</w:t>
            </w:r>
          </w:p>
        </w:tc>
        <w:tc>
          <w:tcPr>
            <w:tcW w:w="1566" w:type="dxa"/>
          </w:tcPr>
          <w:p w14:paraId="05F36042"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 change</w:t>
            </w:r>
          </w:p>
        </w:tc>
        <w:tc>
          <w:tcPr>
            <w:tcW w:w="1567" w:type="dxa"/>
          </w:tcPr>
          <w:p w14:paraId="449FA6BD"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- 0.2</w:t>
            </w:r>
          </w:p>
        </w:tc>
        <w:tc>
          <w:tcPr>
            <w:tcW w:w="1567" w:type="dxa"/>
          </w:tcPr>
          <w:p w14:paraId="3BCC752E"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Constant</w:t>
            </w:r>
          </w:p>
        </w:tc>
      </w:tr>
      <w:tr w:rsidR="00E4582F" w:rsidRPr="0099228F" w14:paraId="5F2C3145" w14:textId="77777777" w:rsidTr="00E4582F">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234" w:type="dxa"/>
          </w:tcPr>
          <w:p w14:paraId="0FC9DD24" w14:textId="77777777" w:rsidR="00E4582F" w:rsidRPr="0099228F" w:rsidRDefault="00E4582F" w:rsidP="00E74A54">
            <w:pPr>
              <w:jc w:val="left"/>
              <w:rPr>
                <w:rFonts w:cstheme="minorHAnsi"/>
                <w:color w:val="auto"/>
                <w:sz w:val="18"/>
                <w:szCs w:val="18"/>
              </w:rPr>
            </w:pPr>
            <w:r w:rsidRPr="0099228F">
              <w:rPr>
                <w:rFonts w:cstheme="minorHAnsi"/>
                <w:sz w:val="18"/>
                <w:szCs w:val="18"/>
              </w:rPr>
              <w:t>Real GDP</w:t>
            </w:r>
          </w:p>
          <w:p w14:paraId="4E3561B4" w14:textId="77777777" w:rsidR="00E4582F" w:rsidRPr="0099228F" w:rsidRDefault="00E4582F" w:rsidP="00E74A54">
            <w:pPr>
              <w:ind w:left="360"/>
              <w:jc w:val="left"/>
              <w:rPr>
                <w:rFonts w:eastAsia="Times New Roman" w:cstheme="minorHAnsi"/>
                <w:color w:val="auto"/>
                <w:sz w:val="18"/>
                <w:szCs w:val="18"/>
                <w:lang w:eastAsia="de-CH"/>
              </w:rPr>
            </w:pPr>
          </w:p>
        </w:tc>
        <w:tc>
          <w:tcPr>
            <w:tcW w:w="1566" w:type="dxa"/>
          </w:tcPr>
          <w:p w14:paraId="70F215FF" w14:textId="66DA3573" w:rsidR="00E4582F" w:rsidRPr="0099228F" w:rsidRDefault="006E0C0D"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+3.1</w:t>
            </w:r>
          </w:p>
        </w:tc>
        <w:tc>
          <w:tcPr>
            <w:tcW w:w="1567" w:type="dxa"/>
          </w:tcPr>
          <w:p w14:paraId="1242CF27"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-14</w:t>
            </w:r>
          </w:p>
        </w:tc>
        <w:tc>
          <w:tcPr>
            <w:tcW w:w="1566" w:type="dxa"/>
          </w:tcPr>
          <w:p w14:paraId="2811B3DB"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 change</w:t>
            </w:r>
          </w:p>
        </w:tc>
        <w:tc>
          <w:tcPr>
            <w:tcW w:w="1567" w:type="dxa"/>
          </w:tcPr>
          <w:p w14:paraId="54027D2B" w14:textId="77777777"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cstheme="minorHAnsi"/>
                <w:sz w:val="18"/>
                <w:szCs w:val="18"/>
              </w:rPr>
              <w:t>+ 1.1</w:t>
            </w:r>
          </w:p>
        </w:tc>
        <w:tc>
          <w:tcPr>
            <w:tcW w:w="1567" w:type="dxa"/>
          </w:tcPr>
          <w:p w14:paraId="7E88BF9F" w14:textId="77777777"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B8367E">
              <w:rPr>
                <w:rFonts w:cstheme="minorHAnsi"/>
                <w:sz w:val="18"/>
                <w:szCs w:val="18"/>
              </w:rPr>
              <w:t>Decrease</w:t>
            </w:r>
          </w:p>
        </w:tc>
      </w:tr>
      <w:tr w:rsidR="00E4582F" w:rsidRPr="0099228F" w14:paraId="0A7452AB" w14:textId="77777777" w:rsidTr="00E4582F">
        <w:trPr>
          <w:trHeight w:val="545"/>
        </w:trPr>
        <w:tc>
          <w:tcPr>
            <w:cnfStyle w:val="001000000000" w:firstRow="0" w:lastRow="0" w:firstColumn="1" w:lastColumn="0" w:oddVBand="0" w:evenVBand="0" w:oddHBand="0" w:evenHBand="0" w:firstRowFirstColumn="0" w:firstRowLastColumn="0" w:lastRowFirstColumn="0" w:lastRowLastColumn="0"/>
            <w:tcW w:w="1234" w:type="dxa"/>
          </w:tcPr>
          <w:p w14:paraId="3D6AFD4E" w14:textId="77777777" w:rsidR="00E4582F" w:rsidRPr="0099228F" w:rsidRDefault="00E4582F" w:rsidP="00E74A54">
            <w:pPr>
              <w:jc w:val="left"/>
              <w:rPr>
                <w:rFonts w:cstheme="minorHAnsi"/>
                <w:color w:val="auto"/>
                <w:sz w:val="18"/>
                <w:szCs w:val="18"/>
              </w:rPr>
            </w:pPr>
            <w:r w:rsidRPr="0099228F">
              <w:rPr>
                <w:rFonts w:cstheme="minorHAnsi"/>
                <w:sz w:val="18"/>
                <w:szCs w:val="18"/>
              </w:rPr>
              <w:lastRenderedPageBreak/>
              <w:t>Electricity system costs</w:t>
            </w:r>
          </w:p>
        </w:tc>
        <w:tc>
          <w:tcPr>
            <w:tcW w:w="1566" w:type="dxa"/>
          </w:tcPr>
          <w:p w14:paraId="4C847FFD" w14:textId="5C41599D" w:rsidR="00E4582F" w:rsidRPr="0099228F" w:rsidRDefault="006E0C0D"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+26.8</w:t>
            </w:r>
          </w:p>
        </w:tc>
        <w:tc>
          <w:tcPr>
            <w:tcW w:w="1567" w:type="dxa"/>
          </w:tcPr>
          <w:p w14:paraId="122EE0E8"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Not indicated</w:t>
            </w:r>
          </w:p>
        </w:tc>
        <w:tc>
          <w:tcPr>
            <w:tcW w:w="1566" w:type="dxa"/>
          </w:tcPr>
          <w:p w14:paraId="0FE4284F"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Not indicated (no power sector)</w:t>
            </w:r>
          </w:p>
        </w:tc>
        <w:tc>
          <w:tcPr>
            <w:tcW w:w="1567" w:type="dxa"/>
          </w:tcPr>
          <w:p w14:paraId="0CCF3628"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Not indicated</w:t>
            </w:r>
          </w:p>
        </w:tc>
        <w:tc>
          <w:tcPr>
            <w:tcW w:w="1567" w:type="dxa"/>
          </w:tcPr>
          <w:p w14:paraId="045D4D8A"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Increase</w:t>
            </w:r>
          </w:p>
        </w:tc>
      </w:tr>
      <w:tr w:rsidR="00E4582F" w:rsidRPr="0099228F" w14:paraId="653EBC7B" w14:textId="77777777" w:rsidTr="00E4582F">
        <w:trPr>
          <w:cnfStyle w:val="000000100000" w:firstRow="0" w:lastRow="0" w:firstColumn="0" w:lastColumn="0" w:oddVBand="0" w:evenVBand="0" w:oddHBand="1" w:evenHBand="0" w:firstRowFirstColumn="0" w:firstRowLastColumn="0" w:lastRowFirstColumn="0" w:lastRowLastColumn="0"/>
          <w:trHeight w:val="963"/>
        </w:trPr>
        <w:tc>
          <w:tcPr>
            <w:cnfStyle w:val="001000000000" w:firstRow="0" w:lastRow="0" w:firstColumn="1" w:lastColumn="0" w:oddVBand="0" w:evenVBand="0" w:oddHBand="0" w:evenHBand="0" w:firstRowFirstColumn="0" w:firstRowLastColumn="0" w:lastRowFirstColumn="0" w:lastRowLastColumn="0"/>
            <w:tcW w:w="1234" w:type="dxa"/>
          </w:tcPr>
          <w:p w14:paraId="2B94320E" w14:textId="77777777" w:rsidR="00E4582F" w:rsidRPr="0099228F" w:rsidRDefault="00E4582F" w:rsidP="00E74A54">
            <w:pPr>
              <w:jc w:val="left"/>
              <w:rPr>
                <w:rFonts w:cstheme="minorHAnsi"/>
                <w:color w:val="auto"/>
                <w:sz w:val="18"/>
                <w:szCs w:val="18"/>
              </w:rPr>
            </w:pPr>
            <w:r w:rsidRPr="0099228F">
              <w:rPr>
                <w:rFonts w:cstheme="minorHAnsi"/>
                <w:sz w:val="18"/>
                <w:szCs w:val="18"/>
              </w:rPr>
              <w:t>Generated employment in the energy sector</w:t>
            </w:r>
          </w:p>
        </w:tc>
        <w:tc>
          <w:tcPr>
            <w:tcW w:w="1566" w:type="dxa"/>
          </w:tcPr>
          <w:p w14:paraId="6F5104F2" w14:textId="5217B7E5" w:rsidR="00E4582F" w:rsidRPr="0099228F" w:rsidRDefault="00846E6E"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+53</w:t>
            </w:r>
          </w:p>
        </w:tc>
        <w:tc>
          <w:tcPr>
            <w:tcW w:w="1567" w:type="dxa"/>
          </w:tcPr>
          <w:p w14:paraId="1237AB28"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Increase, but not indicated by how much</w:t>
            </w:r>
          </w:p>
        </w:tc>
        <w:tc>
          <w:tcPr>
            <w:tcW w:w="1566" w:type="dxa"/>
          </w:tcPr>
          <w:p w14:paraId="0E7E2B28" w14:textId="77777777" w:rsidR="00E4582F" w:rsidRPr="0099228F"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Not indicated (no power sector)</w:t>
            </w:r>
          </w:p>
        </w:tc>
        <w:tc>
          <w:tcPr>
            <w:tcW w:w="1567" w:type="dxa"/>
          </w:tcPr>
          <w:p w14:paraId="03CFE50B" w14:textId="72F6C08D"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 xml:space="preserve">+ 69(incl. indirect generated employment in the renewable energy sector). </w:t>
            </w:r>
          </w:p>
        </w:tc>
        <w:tc>
          <w:tcPr>
            <w:tcW w:w="1567" w:type="dxa"/>
          </w:tcPr>
          <w:p w14:paraId="59928680" w14:textId="77777777" w:rsidR="00E4582F" w:rsidRPr="00B8367E" w:rsidRDefault="00E4582F" w:rsidP="00E74A54">
            <w:pPr>
              <w:jc w:val="lef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Not indicated</w:t>
            </w:r>
          </w:p>
        </w:tc>
      </w:tr>
      <w:tr w:rsidR="00E4582F" w:rsidRPr="0099228F" w14:paraId="3F5574B6" w14:textId="77777777" w:rsidTr="00E4582F">
        <w:trPr>
          <w:trHeight w:val="563"/>
        </w:trPr>
        <w:tc>
          <w:tcPr>
            <w:cnfStyle w:val="001000000000" w:firstRow="0" w:lastRow="0" w:firstColumn="1" w:lastColumn="0" w:oddVBand="0" w:evenVBand="0" w:oddHBand="0" w:evenHBand="0" w:firstRowFirstColumn="0" w:firstRowLastColumn="0" w:lastRowFirstColumn="0" w:lastRowLastColumn="0"/>
            <w:tcW w:w="1234" w:type="dxa"/>
          </w:tcPr>
          <w:p w14:paraId="32D1AEAC" w14:textId="77777777" w:rsidR="00E4582F" w:rsidRPr="0099228F" w:rsidRDefault="00E4582F" w:rsidP="00E74A54">
            <w:pPr>
              <w:jc w:val="left"/>
              <w:rPr>
                <w:rFonts w:cstheme="minorHAnsi"/>
                <w:color w:val="auto"/>
                <w:sz w:val="18"/>
                <w:szCs w:val="18"/>
              </w:rPr>
            </w:pPr>
            <w:r w:rsidRPr="0099228F">
              <w:rPr>
                <w:rFonts w:cstheme="minorHAnsi"/>
                <w:sz w:val="18"/>
                <w:szCs w:val="18"/>
              </w:rPr>
              <w:t>Avg. Price level</w:t>
            </w:r>
          </w:p>
        </w:tc>
        <w:tc>
          <w:tcPr>
            <w:tcW w:w="1566" w:type="dxa"/>
          </w:tcPr>
          <w:p w14:paraId="3126DD38" w14:textId="7712B617" w:rsidR="00E4582F" w:rsidRPr="0099228F" w:rsidRDefault="00846E6E"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+2.45</w:t>
            </w:r>
          </w:p>
        </w:tc>
        <w:tc>
          <w:tcPr>
            <w:tcW w:w="1567" w:type="dxa"/>
          </w:tcPr>
          <w:p w14:paraId="3B0173ED"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Not indicated</w:t>
            </w:r>
          </w:p>
        </w:tc>
        <w:tc>
          <w:tcPr>
            <w:tcW w:w="1566" w:type="dxa"/>
          </w:tcPr>
          <w:p w14:paraId="41C928FC" w14:textId="77777777" w:rsidR="00E4582F" w:rsidRPr="0099228F"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99228F">
              <w:rPr>
                <w:rFonts w:eastAsia="Times New Roman" w:cstheme="minorHAnsi"/>
                <w:sz w:val="18"/>
                <w:szCs w:val="18"/>
                <w:lang w:eastAsia="de-CH"/>
              </w:rPr>
              <w:t>Decrease &lt; 1</w:t>
            </w:r>
          </w:p>
        </w:tc>
        <w:tc>
          <w:tcPr>
            <w:tcW w:w="1567" w:type="dxa"/>
          </w:tcPr>
          <w:p w14:paraId="7EF21367"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Decrease of electricity prices</w:t>
            </w:r>
          </w:p>
        </w:tc>
        <w:tc>
          <w:tcPr>
            <w:tcW w:w="1567" w:type="dxa"/>
          </w:tcPr>
          <w:p w14:paraId="27DF5F3D" w14:textId="77777777" w:rsidR="00E4582F" w:rsidRPr="00B8367E" w:rsidRDefault="00E4582F" w:rsidP="00E74A54">
            <w:pPr>
              <w:jc w:val="lef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de-CH"/>
              </w:rPr>
            </w:pPr>
            <w:r w:rsidRPr="00B8367E">
              <w:rPr>
                <w:rFonts w:eastAsia="Times New Roman" w:cstheme="minorHAnsi"/>
                <w:sz w:val="18"/>
                <w:szCs w:val="18"/>
                <w:lang w:eastAsia="de-CH"/>
              </w:rPr>
              <w:t>Increase</w:t>
            </w:r>
          </w:p>
        </w:tc>
      </w:tr>
    </w:tbl>
    <w:p w14:paraId="4C6B43E1" w14:textId="77777777" w:rsidR="00D00837" w:rsidRPr="0070461D" w:rsidRDefault="00D00837" w:rsidP="00D00837">
      <w:pPr>
        <w:rPr>
          <w:rFonts w:cstheme="minorHAnsi"/>
        </w:rPr>
      </w:pPr>
    </w:p>
    <w:p w14:paraId="4A17FFCE" w14:textId="7D4487B1" w:rsidR="00D00837" w:rsidRPr="00F14205" w:rsidRDefault="00D00837" w:rsidP="00D00837">
      <w:pPr>
        <w:rPr>
          <w:rFonts w:cstheme="minorHAnsi"/>
        </w:rPr>
      </w:pPr>
      <w:r w:rsidRPr="005E5158">
        <w:rPr>
          <w:rFonts w:cstheme="minorHAnsi"/>
        </w:rPr>
        <w:t xml:space="preserve">The table above reveals that the simulation results of GIBM differ to </w:t>
      </w:r>
      <w:r w:rsidRPr="00202D0C">
        <w:rPr>
          <w:rFonts w:cstheme="minorHAnsi"/>
        </w:rPr>
        <w:t>some extent from the results achieved</w:t>
      </w:r>
      <w:r w:rsidR="00B76E3C" w:rsidRPr="004A4678">
        <w:rPr>
          <w:rFonts w:cstheme="minorHAnsi"/>
        </w:rPr>
        <w:t xml:space="preserve"> in previous studies</w:t>
      </w:r>
      <w:r w:rsidRPr="004A4678">
        <w:rPr>
          <w:rFonts w:cstheme="minorHAnsi"/>
        </w:rPr>
        <w:t xml:space="preserve"> by other models applied to similar questions. </w:t>
      </w:r>
    </w:p>
    <w:p w14:paraId="15BD5F59" w14:textId="6F1FD785" w:rsidR="00D00837" w:rsidRPr="0099228F" w:rsidRDefault="00D00837" w:rsidP="00D00837">
      <w:pPr>
        <w:autoSpaceDE w:val="0"/>
        <w:autoSpaceDN w:val="0"/>
        <w:adjustRightInd w:val="0"/>
        <w:spacing w:after="0" w:line="276" w:lineRule="auto"/>
        <w:jc w:val="left"/>
        <w:rPr>
          <w:rFonts w:cstheme="minorHAnsi"/>
        </w:rPr>
      </w:pPr>
      <w:r w:rsidRPr="00CA38B0">
        <w:rPr>
          <w:rFonts w:cstheme="minorHAnsi"/>
        </w:rPr>
        <w:t>First, the study</w:t>
      </w:r>
      <w:r w:rsidR="00CA38B0">
        <w:rPr>
          <w:rFonts w:cstheme="minorHAnsi"/>
        </w:rPr>
        <w:t xml:space="preserve"> of</w:t>
      </w:r>
      <w:r w:rsidRPr="00CA38B0">
        <w:rPr>
          <w:rFonts w:cstheme="minorHAnsi"/>
        </w:rPr>
        <w:t xml:space="preserve"> </w:t>
      </w:r>
      <w:r w:rsidRPr="0099228F">
        <w:rPr>
          <w:rFonts w:eastAsia="Times New Roman" w:cstheme="minorHAnsi"/>
          <w:lang w:eastAsia="de-CH"/>
        </w:rPr>
        <w:t xml:space="preserve">Bernardo &amp; D’Alessandro (2015) shows that </w:t>
      </w:r>
      <w:r w:rsidR="00E4582F" w:rsidRPr="0099228F">
        <w:rPr>
          <w:rFonts w:eastAsia="Times New Roman" w:cstheme="minorHAnsi"/>
          <w:lang w:eastAsia="de-CH"/>
        </w:rPr>
        <w:t>an</w:t>
      </w:r>
      <w:r w:rsidRPr="0099228F">
        <w:rPr>
          <w:rFonts w:eastAsia="Times New Roman" w:cstheme="minorHAnsi"/>
          <w:lang w:eastAsia="de-CH"/>
        </w:rPr>
        <w:t xml:space="preserve"> increase of</w:t>
      </w:r>
      <w:r w:rsidRPr="0099228F">
        <w:rPr>
          <w:rFonts w:cstheme="minorHAnsi"/>
        </w:rPr>
        <w:t xml:space="preserve"> low-carbon investments to renewable energy infrastructure</w:t>
      </w:r>
      <w:r w:rsidR="00E4582F" w:rsidRPr="0099228F">
        <w:rPr>
          <w:rFonts w:cstheme="minorHAnsi"/>
        </w:rPr>
        <w:t xml:space="preserve"> </w:t>
      </w:r>
      <w:r w:rsidRPr="0099228F">
        <w:rPr>
          <w:rFonts w:cstheme="minorHAnsi"/>
        </w:rPr>
        <w:t xml:space="preserve">increases employment but slows down GDP-growth and wages. </w:t>
      </w:r>
      <w:r w:rsidRPr="0099228F">
        <w:rPr>
          <w:rFonts w:eastAsia="Times New Roman" w:cstheme="minorHAnsi"/>
          <w:lang w:eastAsia="de-CH"/>
        </w:rPr>
        <w:t xml:space="preserve">The system dynamics model of Bernardo &amp; D’Alessandro (2015) achieves the presented results mainly due to the following mechanisms: an </w:t>
      </w:r>
      <w:r w:rsidRPr="0099228F">
        <w:rPr>
          <w:rFonts w:cstheme="minorHAnsi"/>
        </w:rPr>
        <w:t xml:space="preserve">increase in low-carbon investment induces a decrease in investment in the rest of the economy, which subsequently slows down productivity and economic growth. This slowdown leads </w:t>
      </w:r>
      <w:r w:rsidR="00E4582F" w:rsidRPr="0099228F">
        <w:rPr>
          <w:rFonts w:cstheme="minorHAnsi"/>
        </w:rPr>
        <w:t>afterwards</w:t>
      </w:r>
      <w:r w:rsidRPr="0099228F">
        <w:rPr>
          <w:rFonts w:cstheme="minorHAnsi"/>
        </w:rPr>
        <w:t xml:space="preserve"> to a wage decrease and </w:t>
      </w:r>
      <w:r w:rsidR="002D5CE3" w:rsidRPr="0099228F">
        <w:rPr>
          <w:rFonts w:cstheme="minorHAnsi"/>
        </w:rPr>
        <w:t>an</w:t>
      </w:r>
      <w:r w:rsidRPr="0099228F">
        <w:rPr>
          <w:rFonts w:cstheme="minorHAnsi"/>
        </w:rPr>
        <w:t xml:space="preserve"> </w:t>
      </w:r>
      <w:r w:rsidR="002D5CE3" w:rsidRPr="0099228F">
        <w:rPr>
          <w:rFonts w:cstheme="minorHAnsi"/>
        </w:rPr>
        <w:t>increase</w:t>
      </w:r>
      <w:r w:rsidRPr="0099228F">
        <w:rPr>
          <w:rFonts w:cstheme="minorHAnsi"/>
        </w:rPr>
        <w:t xml:space="preserve"> </w:t>
      </w:r>
      <w:r w:rsidR="00E4582F" w:rsidRPr="0099228F">
        <w:rPr>
          <w:rFonts w:cstheme="minorHAnsi"/>
        </w:rPr>
        <w:t xml:space="preserve">in </w:t>
      </w:r>
      <w:r w:rsidRPr="0099228F">
        <w:rPr>
          <w:rFonts w:cstheme="minorHAnsi"/>
        </w:rPr>
        <w:t xml:space="preserve">the labour share in the economy, leading to an increase in overall </w:t>
      </w:r>
      <w:r w:rsidR="002D5CE3" w:rsidRPr="0099228F">
        <w:rPr>
          <w:rFonts w:cstheme="minorHAnsi"/>
        </w:rPr>
        <w:t>employment</w:t>
      </w:r>
      <w:r w:rsidRPr="0099228F">
        <w:rPr>
          <w:rFonts w:cstheme="minorHAnsi"/>
        </w:rPr>
        <w:t xml:space="preserve"> and thus to a reduction in unemployment. </w:t>
      </w:r>
      <w:r w:rsidRPr="0099228F">
        <w:rPr>
          <w:rFonts w:eastAsia="Times New Roman" w:cstheme="minorHAnsi"/>
          <w:lang w:eastAsia="de-CH"/>
        </w:rPr>
        <w:t xml:space="preserve">While an increase in investments into renewable energy infrastructure crowds out investments in the rest of the economy in the study of Bernardo &amp; D’Alessandro (2015), </w:t>
      </w:r>
      <w:r w:rsidR="00DA5AC6" w:rsidRPr="0099228F">
        <w:rPr>
          <w:rFonts w:eastAsia="Times New Roman" w:cstheme="minorHAnsi"/>
          <w:lang w:eastAsia="de-CH"/>
        </w:rPr>
        <w:t xml:space="preserve">drawing on the assumption of exogenous money supply, </w:t>
      </w:r>
      <w:r w:rsidRPr="0099228F">
        <w:rPr>
          <w:rFonts w:eastAsia="Times New Roman" w:cstheme="minorHAnsi"/>
          <w:lang w:eastAsia="de-CH"/>
        </w:rPr>
        <w:t xml:space="preserve">in GIBM an increase in investments in green power infrastructure does not </w:t>
      </w:r>
      <w:r w:rsidR="00CA38B0">
        <w:rPr>
          <w:rFonts w:eastAsia="Times New Roman" w:cstheme="minorHAnsi"/>
          <w:lang w:eastAsia="de-CH"/>
        </w:rPr>
        <w:t>reduce</w:t>
      </w:r>
      <w:r w:rsidRPr="0099228F">
        <w:rPr>
          <w:rFonts w:eastAsia="Times New Roman" w:cstheme="minorHAnsi"/>
          <w:lang w:eastAsia="de-CH"/>
        </w:rPr>
        <w:t xml:space="preserve"> </w:t>
      </w:r>
      <w:r w:rsidR="002D5CE3" w:rsidRPr="0099228F">
        <w:rPr>
          <w:rFonts w:eastAsia="Times New Roman" w:cstheme="minorHAnsi"/>
          <w:lang w:eastAsia="de-CH"/>
        </w:rPr>
        <w:t>investments</w:t>
      </w:r>
      <w:r w:rsidRPr="0099228F">
        <w:rPr>
          <w:rFonts w:eastAsia="Times New Roman" w:cstheme="minorHAnsi"/>
          <w:lang w:eastAsia="de-CH"/>
        </w:rPr>
        <w:t xml:space="preserve"> </w:t>
      </w:r>
      <w:r w:rsidR="00CA38B0">
        <w:rPr>
          <w:rFonts w:eastAsia="Times New Roman" w:cstheme="minorHAnsi"/>
          <w:lang w:eastAsia="de-CH"/>
        </w:rPr>
        <w:t>in</w:t>
      </w:r>
      <w:r w:rsidR="00CA38B0" w:rsidRPr="0099228F">
        <w:rPr>
          <w:rFonts w:eastAsia="Times New Roman" w:cstheme="minorHAnsi"/>
          <w:lang w:eastAsia="de-CH"/>
        </w:rPr>
        <w:t xml:space="preserve"> </w:t>
      </w:r>
      <w:r w:rsidRPr="0099228F">
        <w:rPr>
          <w:rFonts w:eastAsia="Times New Roman" w:cstheme="minorHAnsi"/>
          <w:lang w:eastAsia="de-CH"/>
        </w:rPr>
        <w:t>other parts in the economy</w:t>
      </w:r>
      <w:r w:rsidR="00DA5AC6" w:rsidRPr="0099228F">
        <w:rPr>
          <w:rFonts w:eastAsia="Times New Roman" w:cstheme="minorHAnsi"/>
          <w:lang w:eastAsia="de-CH"/>
        </w:rPr>
        <w:t xml:space="preserve"> as GIBM adopts an endogenous money supply perspective</w:t>
      </w:r>
      <w:r w:rsidRPr="0099228F">
        <w:rPr>
          <w:rFonts w:eastAsia="Times New Roman" w:cstheme="minorHAnsi"/>
          <w:lang w:eastAsia="de-CH"/>
        </w:rPr>
        <w:t xml:space="preserve">. This is the key </w:t>
      </w:r>
      <w:r w:rsidR="002D5CE3" w:rsidRPr="0099228F">
        <w:rPr>
          <w:rFonts w:eastAsia="Times New Roman" w:cstheme="minorHAnsi"/>
          <w:lang w:eastAsia="de-CH"/>
        </w:rPr>
        <w:t>reason</w:t>
      </w:r>
      <w:r w:rsidRPr="0099228F">
        <w:rPr>
          <w:rFonts w:eastAsia="Times New Roman" w:cstheme="minorHAnsi"/>
          <w:lang w:eastAsia="de-CH"/>
        </w:rPr>
        <w:t xml:space="preserve"> why the results in terms of GDP differ between the two models. Moreover, while unemployment decreases in the former study due to lower productivity and lower wages, </w:t>
      </w:r>
      <w:r w:rsidR="00E4582F" w:rsidRPr="0099228F">
        <w:rPr>
          <w:rFonts w:eastAsia="Times New Roman" w:cstheme="minorHAnsi"/>
          <w:lang w:eastAsia="de-CH"/>
        </w:rPr>
        <w:t xml:space="preserve">unemployment </w:t>
      </w:r>
      <w:r w:rsidRPr="0099228F">
        <w:rPr>
          <w:rFonts w:eastAsia="Times New Roman" w:cstheme="minorHAnsi"/>
          <w:lang w:eastAsia="de-CH"/>
        </w:rPr>
        <w:t xml:space="preserve">in GIBM decreases due to the increase in GDP and induced employment in the power sector due to low-carbon energy transition. </w:t>
      </w:r>
    </w:p>
    <w:p w14:paraId="1CFFA72F" w14:textId="77777777" w:rsidR="00D00837" w:rsidRPr="0099228F" w:rsidRDefault="00D00837" w:rsidP="00D00837">
      <w:pPr>
        <w:autoSpaceDE w:val="0"/>
        <w:autoSpaceDN w:val="0"/>
        <w:adjustRightInd w:val="0"/>
        <w:spacing w:after="0" w:line="240" w:lineRule="auto"/>
        <w:jc w:val="left"/>
        <w:rPr>
          <w:rFonts w:cstheme="minorHAnsi"/>
        </w:rPr>
      </w:pPr>
    </w:p>
    <w:p w14:paraId="7FB187E9" w14:textId="6B912C7B" w:rsidR="00D00837" w:rsidRPr="00B8367E" w:rsidRDefault="00D00837" w:rsidP="00D00837">
      <w:pPr>
        <w:autoSpaceDE w:val="0"/>
        <w:autoSpaceDN w:val="0"/>
        <w:adjustRightInd w:val="0"/>
        <w:spacing w:after="0" w:line="276" w:lineRule="auto"/>
        <w:jc w:val="left"/>
        <w:rPr>
          <w:rFonts w:cstheme="minorHAnsi"/>
        </w:rPr>
      </w:pPr>
      <w:r w:rsidRPr="00B8367E">
        <w:rPr>
          <w:rFonts w:cstheme="minorHAnsi"/>
        </w:rPr>
        <w:t xml:space="preserve">Second, </w:t>
      </w:r>
      <w:proofErr w:type="spellStart"/>
      <w:r w:rsidR="002B08E1" w:rsidRPr="00B8367E">
        <w:rPr>
          <w:rFonts w:cstheme="minorHAnsi"/>
        </w:rPr>
        <w:t>Dunz</w:t>
      </w:r>
      <w:proofErr w:type="spellEnd"/>
      <w:r w:rsidR="002B08E1" w:rsidRPr="00B8367E">
        <w:rPr>
          <w:rFonts w:cstheme="minorHAnsi"/>
        </w:rPr>
        <w:t xml:space="preserve"> et al. (2021</w:t>
      </w:r>
      <w:r w:rsidRPr="00B8367E">
        <w:rPr>
          <w:rFonts w:cstheme="minorHAnsi"/>
        </w:rPr>
        <w:t xml:space="preserve">) </w:t>
      </w:r>
      <w:r w:rsidR="00E4582F" w:rsidRPr="00B8367E">
        <w:rPr>
          <w:rFonts w:cstheme="minorHAnsi"/>
        </w:rPr>
        <w:t>find</w:t>
      </w:r>
      <w:r w:rsidRPr="00B8367E">
        <w:rPr>
          <w:rFonts w:cstheme="minorHAnsi"/>
        </w:rPr>
        <w:t xml:space="preserve"> that the introduction of a Green Supporting Factor (GSF)</w:t>
      </w:r>
      <w:r w:rsidR="00DA5AC6" w:rsidRPr="00B8367E">
        <w:rPr>
          <w:rStyle w:val="FootnoteReference"/>
          <w:rFonts w:cstheme="minorHAnsi"/>
        </w:rPr>
        <w:footnoteReference w:id="11"/>
      </w:r>
      <w:r w:rsidRPr="00B8367E">
        <w:rPr>
          <w:rFonts w:cstheme="minorHAnsi"/>
        </w:rPr>
        <w:t xml:space="preserve"> </w:t>
      </w:r>
      <w:r w:rsidR="000C621B">
        <w:rPr>
          <w:rFonts w:cstheme="minorHAnsi"/>
        </w:rPr>
        <w:t>although</w:t>
      </w:r>
      <w:r w:rsidR="004936CD">
        <w:rPr>
          <w:rFonts w:cstheme="minorHAnsi"/>
        </w:rPr>
        <w:t xml:space="preserve"> </w:t>
      </w:r>
      <w:r w:rsidR="003135D1">
        <w:rPr>
          <w:rFonts w:cstheme="minorHAnsi"/>
        </w:rPr>
        <w:t xml:space="preserve">scales-up green investments, GDP and employment </w:t>
      </w:r>
      <w:r w:rsidRPr="00B8367E">
        <w:rPr>
          <w:rFonts w:cstheme="minorHAnsi"/>
        </w:rPr>
        <w:t xml:space="preserve">is not </w:t>
      </w:r>
      <w:r w:rsidR="002D5CE3" w:rsidRPr="00B8367E">
        <w:rPr>
          <w:rFonts w:cstheme="minorHAnsi"/>
        </w:rPr>
        <w:t>enough</w:t>
      </w:r>
      <w:r w:rsidRPr="00B8367E">
        <w:rPr>
          <w:rFonts w:cstheme="minorHAnsi"/>
        </w:rPr>
        <w:t xml:space="preserve"> to upscale the required green investments for a low-carbon transition. This </w:t>
      </w:r>
      <w:r w:rsidR="00860C0D" w:rsidRPr="00B8367E">
        <w:rPr>
          <w:rFonts w:cstheme="minorHAnsi"/>
        </w:rPr>
        <w:t>is in</w:t>
      </w:r>
      <w:r w:rsidR="007D1CCB" w:rsidRPr="00B8367E">
        <w:rPr>
          <w:rFonts w:cstheme="minorHAnsi"/>
        </w:rPr>
        <w:t xml:space="preserve"> </w:t>
      </w:r>
      <w:r w:rsidR="00860C0D" w:rsidRPr="00B8367E">
        <w:rPr>
          <w:rFonts w:cstheme="minorHAnsi"/>
        </w:rPr>
        <w:t>line with</w:t>
      </w:r>
      <w:r w:rsidRPr="00B8367E">
        <w:rPr>
          <w:rFonts w:cstheme="minorHAnsi"/>
        </w:rPr>
        <w:t xml:space="preserve"> our finding that </w:t>
      </w:r>
      <w:r w:rsidR="00082D51" w:rsidRPr="002B08E1">
        <w:rPr>
          <w:rFonts w:cstheme="minorHAnsi"/>
        </w:rPr>
        <w:t>removing</w:t>
      </w:r>
      <w:r w:rsidR="00082D51">
        <w:rPr>
          <w:rFonts w:cstheme="minorHAnsi"/>
        </w:rPr>
        <w:t xml:space="preserve"> financial barriers alone to close the green finance gap</w:t>
      </w:r>
      <w:r w:rsidRPr="00B8367E">
        <w:rPr>
          <w:rFonts w:cstheme="minorHAnsi"/>
        </w:rPr>
        <w:t xml:space="preserve"> </w:t>
      </w:r>
      <w:r w:rsidRPr="009C05A3">
        <w:rPr>
          <w:rFonts w:cstheme="minorHAnsi"/>
        </w:rPr>
        <w:t xml:space="preserve">will not be sufficient to </w:t>
      </w:r>
      <w:r w:rsidR="00082D51">
        <w:rPr>
          <w:rFonts w:cstheme="minorHAnsi"/>
        </w:rPr>
        <w:t>achieve the necessary scale of investment</w:t>
      </w:r>
      <w:r w:rsidRPr="009C05A3">
        <w:rPr>
          <w:rFonts w:cstheme="minorHAnsi"/>
        </w:rPr>
        <w:t xml:space="preserve"> (see also Hafner et al., 2020b). </w:t>
      </w:r>
      <w:proofErr w:type="spellStart"/>
      <w:r w:rsidR="002B08E1" w:rsidRPr="002B08E1">
        <w:rPr>
          <w:rFonts w:cstheme="minorHAnsi"/>
        </w:rPr>
        <w:t>Dunz</w:t>
      </w:r>
      <w:proofErr w:type="spellEnd"/>
      <w:r w:rsidR="002B08E1">
        <w:rPr>
          <w:rFonts w:cstheme="minorHAnsi"/>
        </w:rPr>
        <w:t xml:space="preserve"> et al. (2021) find that</w:t>
      </w:r>
      <w:r w:rsidRPr="009C05A3">
        <w:rPr>
          <w:rFonts w:cstheme="minorHAnsi"/>
        </w:rPr>
        <w:t xml:space="preserve"> the implementation of a GSF does not change GDP and unemployment (by much), and decreases the av</w:t>
      </w:r>
      <w:r w:rsidR="00CA38B0">
        <w:rPr>
          <w:rFonts w:cstheme="minorHAnsi"/>
        </w:rPr>
        <w:t>erage</w:t>
      </w:r>
      <w:r w:rsidRPr="009C05A3">
        <w:rPr>
          <w:rFonts w:cstheme="minorHAnsi"/>
        </w:rPr>
        <w:t xml:space="preserve"> price level by less </w:t>
      </w:r>
      <w:r w:rsidR="002D5CE3" w:rsidRPr="009C05A3">
        <w:rPr>
          <w:rFonts w:cstheme="minorHAnsi"/>
        </w:rPr>
        <w:t>than</w:t>
      </w:r>
      <w:r w:rsidRPr="009C05A3">
        <w:rPr>
          <w:rFonts w:cstheme="minorHAnsi"/>
        </w:rPr>
        <w:t xml:space="preserve"> 1%, mainly due to the lower interest rates for green capital producer</w:t>
      </w:r>
      <w:r w:rsidRPr="002B08E1">
        <w:rPr>
          <w:rFonts w:cstheme="minorHAnsi"/>
        </w:rPr>
        <w:t xml:space="preserve">. In comparison </w:t>
      </w:r>
      <w:r w:rsidR="002B08E1" w:rsidRPr="002B08E1">
        <w:rPr>
          <w:rFonts w:cstheme="minorHAnsi"/>
        </w:rPr>
        <w:t>the</w:t>
      </w:r>
      <w:r w:rsidR="002B08E1">
        <w:rPr>
          <w:rFonts w:cstheme="minorHAnsi"/>
        </w:rPr>
        <w:t xml:space="preserve"> model used in </w:t>
      </w:r>
      <w:proofErr w:type="spellStart"/>
      <w:r w:rsidR="002B08E1">
        <w:rPr>
          <w:rFonts w:cstheme="minorHAnsi"/>
        </w:rPr>
        <w:t>Dunz</w:t>
      </w:r>
      <w:proofErr w:type="spellEnd"/>
      <w:r w:rsidR="002B08E1">
        <w:rPr>
          <w:rFonts w:cstheme="minorHAnsi"/>
        </w:rPr>
        <w:t xml:space="preserve"> et al. (2021)</w:t>
      </w:r>
      <w:r w:rsidRPr="009C05A3">
        <w:rPr>
          <w:rFonts w:cstheme="minorHAnsi"/>
        </w:rPr>
        <w:t>, GIBMs results show an increase in GDP, decrease in unemployment and a decrease in the av</w:t>
      </w:r>
      <w:r w:rsidR="00CA38B0">
        <w:rPr>
          <w:rFonts w:cstheme="minorHAnsi"/>
        </w:rPr>
        <w:t>erage</w:t>
      </w:r>
      <w:r w:rsidRPr="009C05A3">
        <w:rPr>
          <w:rFonts w:cstheme="minorHAnsi"/>
        </w:rPr>
        <w:t xml:space="preserve"> price level. The stronger impacts in GIBM are </w:t>
      </w:r>
      <w:r w:rsidR="007D1CCB" w:rsidRPr="00967105">
        <w:rPr>
          <w:rFonts w:cstheme="minorHAnsi"/>
        </w:rPr>
        <w:t>mainly</w:t>
      </w:r>
      <w:r w:rsidRPr="00967105">
        <w:rPr>
          <w:rFonts w:cstheme="minorHAnsi"/>
        </w:rPr>
        <w:t xml:space="preserve"> due to the stronger overall impacts of the combined </w:t>
      </w:r>
      <w:r w:rsidR="002D0F26">
        <w:rPr>
          <w:rFonts w:cstheme="minorHAnsi"/>
        </w:rPr>
        <w:t>scenarios</w:t>
      </w:r>
      <w:r w:rsidR="002D0F26" w:rsidRPr="00967105">
        <w:rPr>
          <w:rFonts w:cstheme="minorHAnsi"/>
        </w:rPr>
        <w:t xml:space="preserve"> </w:t>
      </w:r>
      <w:r w:rsidRPr="00967105">
        <w:rPr>
          <w:rFonts w:cstheme="minorHAnsi"/>
        </w:rPr>
        <w:t>introduced in GIBM.</w:t>
      </w:r>
      <w:r w:rsidRPr="00B8367E">
        <w:rPr>
          <w:rFonts w:cstheme="minorHAnsi"/>
        </w:rPr>
        <w:t xml:space="preserve"> </w:t>
      </w:r>
    </w:p>
    <w:p w14:paraId="58B7FB04" w14:textId="77777777" w:rsidR="00D00837" w:rsidRPr="00B8367E" w:rsidRDefault="00D00837" w:rsidP="00D00837">
      <w:pPr>
        <w:autoSpaceDE w:val="0"/>
        <w:autoSpaceDN w:val="0"/>
        <w:adjustRightInd w:val="0"/>
        <w:spacing w:after="0" w:line="276" w:lineRule="auto"/>
        <w:jc w:val="left"/>
        <w:rPr>
          <w:rFonts w:cstheme="minorHAnsi"/>
        </w:rPr>
      </w:pPr>
    </w:p>
    <w:p w14:paraId="31A753B6" w14:textId="3B6452AF" w:rsidR="00D00837" w:rsidRPr="00601E17" w:rsidRDefault="00D00837" w:rsidP="007F6BB1">
      <w:pPr>
        <w:rPr>
          <w:rFonts w:cstheme="minorHAnsi"/>
        </w:rPr>
      </w:pPr>
      <w:r w:rsidRPr="00B8367E">
        <w:rPr>
          <w:rFonts w:cstheme="minorHAnsi"/>
        </w:rPr>
        <w:t xml:space="preserve">Third, </w:t>
      </w:r>
      <w:r w:rsidR="00E4582F" w:rsidRPr="00B8367E">
        <w:rPr>
          <w:rFonts w:cstheme="minorHAnsi"/>
        </w:rPr>
        <w:t xml:space="preserve">based on the modelling results of E3ME, </w:t>
      </w:r>
      <w:r w:rsidRPr="00B8367E">
        <w:rPr>
          <w:rFonts w:cstheme="minorHAnsi"/>
        </w:rPr>
        <w:t xml:space="preserve">IRENA (2016) demonstrates that </w:t>
      </w:r>
      <w:r w:rsidRPr="0099228F">
        <w:rPr>
          <w:rFonts w:cstheme="minorHAnsi"/>
        </w:rPr>
        <w:t xml:space="preserve">accelerating the deployment of renewable energy will fuel economic growth and create new employment </w:t>
      </w:r>
      <w:r w:rsidRPr="0099228F">
        <w:rPr>
          <w:rFonts w:cstheme="minorHAnsi"/>
        </w:rPr>
        <w:lastRenderedPageBreak/>
        <w:t>opportunities. Results ac</w:t>
      </w:r>
      <w:r w:rsidRPr="009C05A3">
        <w:rPr>
          <w:rFonts w:cstheme="minorHAnsi"/>
        </w:rPr>
        <w:t>hieved by E3ME and GIBM show both the same sign of direction (see also table 2 above), however, the drivers of achieved results are somewhat different. As it concerns the achieved results by E3ME, most of these positive impact on GDP are driven by the increased investment in renewable energy deployment, which subsequently triggers ripple effects throughout the economy via Keynesian-multiplier effects (</w:t>
      </w:r>
      <w:r w:rsidR="002D5CE3" w:rsidRPr="00967105">
        <w:rPr>
          <w:rFonts w:cstheme="minorHAnsi"/>
        </w:rPr>
        <w:t>similar</w:t>
      </w:r>
      <w:r w:rsidRPr="00967105">
        <w:rPr>
          <w:rFonts w:cstheme="minorHAnsi"/>
        </w:rPr>
        <w:t xml:space="preserve"> to the ones explained for GIBM, see appendix B). </w:t>
      </w:r>
      <w:r w:rsidR="003053C4" w:rsidRPr="00967105">
        <w:rPr>
          <w:rFonts w:cstheme="minorHAnsi"/>
        </w:rPr>
        <w:t>In contrast</w:t>
      </w:r>
      <w:r w:rsidRPr="00967105">
        <w:rPr>
          <w:rFonts w:cstheme="minorHAnsi"/>
        </w:rPr>
        <w:t>, the results in GIBM are driven by the lower interest rates induced by the systems policy</w:t>
      </w:r>
      <w:r w:rsidR="00787C9A">
        <w:rPr>
          <w:rFonts w:cstheme="minorHAnsi"/>
        </w:rPr>
        <w:t xml:space="preserve"> scenario</w:t>
      </w:r>
      <w:r w:rsidRPr="00967105">
        <w:rPr>
          <w:rFonts w:cstheme="minorHAnsi"/>
        </w:rPr>
        <w:t>, which subsequently increase capital</w:t>
      </w:r>
      <w:r w:rsidR="00DD0217" w:rsidRPr="00967105">
        <w:rPr>
          <w:rFonts w:cstheme="minorHAnsi"/>
        </w:rPr>
        <w:t xml:space="preserve"> inputs</w:t>
      </w:r>
      <w:r w:rsidRPr="00967105">
        <w:rPr>
          <w:rFonts w:cstheme="minorHAnsi"/>
        </w:rPr>
        <w:t xml:space="preserve"> in the real economy, increasing </w:t>
      </w:r>
      <w:r w:rsidR="00DD0217" w:rsidRPr="00967105">
        <w:rPr>
          <w:rFonts w:cstheme="minorHAnsi"/>
        </w:rPr>
        <w:t xml:space="preserve">total factor </w:t>
      </w:r>
      <w:r w:rsidRPr="004C48F6">
        <w:rPr>
          <w:rFonts w:cstheme="minorHAnsi"/>
        </w:rPr>
        <w:t>productivity, GDP, employment consumption</w:t>
      </w:r>
      <w:r w:rsidR="003053C4" w:rsidRPr="004C48F6">
        <w:rPr>
          <w:rFonts w:cstheme="minorHAnsi"/>
        </w:rPr>
        <w:t xml:space="preserve">, which is </w:t>
      </w:r>
      <w:r w:rsidRPr="004C48F6">
        <w:rPr>
          <w:rFonts w:cstheme="minorHAnsi"/>
        </w:rPr>
        <w:t xml:space="preserve">further </w:t>
      </w:r>
      <w:r w:rsidR="002D5CE3" w:rsidRPr="004C48F6">
        <w:rPr>
          <w:rFonts w:cstheme="minorHAnsi"/>
        </w:rPr>
        <w:t>reinforced</w:t>
      </w:r>
      <w:r w:rsidRPr="009A2FE1">
        <w:rPr>
          <w:rFonts w:cstheme="minorHAnsi"/>
        </w:rPr>
        <w:t xml:space="preserve"> by Keynesian multiplier-effects, see Appendix </w:t>
      </w:r>
      <w:r w:rsidR="004A70D8" w:rsidRPr="009A2FE1">
        <w:rPr>
          <w:rFonts w:cstheme="minorHAnsi"/>
        </w:rPr>
        <w:t>C</w:t>
      </w:r>
      <w:r w:rsidRPr="00601E17">
        <w:rPr>
          <w:rFonts w:cstheme="minorHAnsi"/>
        </w:rPr>
        <w:t xml:space="preserve">). </w:t>
      </w:r>
      <w:r w:rsidR="002D5CE3" w:rsidRPr="00601E17">
        <w:rPr>
          <w:rFonts w:cstheme="minorHAnsi"/>
        </w:rPr>
        <w:t>Similarly</w:t>
      </w:r>
      <w:r w:rsidRPr="00601E17">
        <w:rPr>
          <w:rFonts w:cstheme="minorHAnsi"/>
        </w:rPr>
        <w:t xml:space="preserve">, to the study of </w:t>
      </w:r>
      <w:r w:rsidRPr="00601E17">
        <w:rPr>
          <w:rFonts w:eastAsia="Times New Roman" w:cstheme="minorHAnsi"/>
          <w:lang w:eastAsia="de-CH"/>
        </w:rPr>
        <w:t>Bernardo &amp; D’Alessandro (2015), I</w:t>
      </w:r>
      <w:r w:rsidR="00860C0D" w:rsidRPr="00601E17">
        <w:rPr>
          <w:rFonts w:eastAsia="Times New Roman" w:cstheme="minorHAnsi"/>
          <w:lang w:eastAsia="de-CH"/>
        </w:rPr>
        <w:t>RENA</w:t>
      </w:r>
      <w:r w:rsidRPr="00601E17">
        <w:rPr>
          <w:rFonts w:eastAsia="Times New Roman" w:cstheme="minorHAnsi"/>
          <w:lang w:eastAsia="de-CH"/>
        </w:rPr>
        <w:t xml:space="preserve"> (2016) does not analyse how the investments required for a low-carbon energy transition can be scaled-up, instead, the </w:t>
      </w:r>
      <w:r w:rsidR="002D5CE3" w:rsidRPr="00601E17">
        <w:rPr>
          <w:rFonts w:eastAsia="Times New Roman" w:cstheme="minorHAnsi"/>
          <w:lang w:eastAsia="de-CH"/>
        </w:rPr>
        <w:t>availability</w:t>
      </w:r>
      <w:r w:rsidRPr="00601E17">
        <w:rPr>
          <w:rFonts w:eastAsia="Times New Roman" w:cstheme="minorHAnsi"/>
          <w:lang w:eastAsia="de-CH"/>
        </w:rPr>
        <w:t xml:space="preserve"> of green finance is introduced by assumption. </w:t>
      </w:r>
    </w:p>
    <w:p w14:paraId="7B432ED3" w14:textId="12C4E1E9" w:rsidR="00D00837" w:rsidRPr="00601E17" w:rsidRDefault="00D00837" w:rsidP="007F6BB1">
      <w:pPr>
        <w:rPr>
          <w:rFonts w:cstheme="minorHAnsi"/>
        </w:rPr>
      </w:pPr>
      <w:r w:rsidRPr="00601E17">
        <w:rPr>
          <w:rFonts w:cstheme="minorHAnsi"/>
        </w:rPr>
        <w:t xml:space="preserve">Fourth, we compare the achieved results of GIBM with the </w:t>
      </w:r>
      <w:r w:rsidRPr="00601E17">
        <w:rPr>
          <w:rStyle w:val="gem-c-organisation-logoname"/>
          <w:rFonts w:cstheme="minorHAnsi"/>
        </w:rPr>
        <w:t>HM Revenue</w:t>
      </w:r>
      <w:r w:rsidRPr="00601E17">
        <w:rPr>
          <w:rFonts w:cstheme="minorHAnsi"/>
        </w:rPr>
        <w:t xml:space="preserve"> </w:t>
      </w:r>
      <w:r w:rsidRPr="00601E17">
        <w:rPr>
          <w:rStyle w:val="gem-c-organisation-logoname"/>
          <w:rFonts w:cstheme="minorHAnsi"/>
        </w:rPr>
        <w:t>&amp; Customs</w:t>
      </w:r>
      <w:r w:rsidRPr="00601E17">
        <w:rPr>
          <w:rFonts w:cstheme="minorHAnsi"/>
        </w:rPr>
        <w:t xml:space="preserve"> (HMRC) model</w:t>
      </w:r>
      <w:r w:rsidR="00860C0D" w:rsidRPr="00601E17">
        <w:rPr>
          <w:rFonts w:cstheme="minorHAnsi"/>
        </w:rPr>
        <w:t xml:space="preserve"> results</w:t>
      </w:r>
      <w:r w:rsidRPr="00601E17">
        <w:rPr>
          <w:rFonts w:cstheme="minorHAnsi"/>
        </w:rPr>
        <w:t xml:space="preserve">. This model has initially been developed for HMRC to assess the GDP effects of tax policy changes. We have chosen to include it here as the HMRC model has been very relevant in UK government decision making on climate policy and in particular </w:t>
      </w:r>
      <w:r w:rsidR="002D5CE3" w:rsidRPr="00601E17">
        <w:rPr>
          <w:rFonts w:cstheme="minorHAnsi"/>
        </w:rPr>
        <w:t>regarding</w:t>
      </w:r>
      <w:r w:rsidRPr="00601E17">
        <w:rPr>
          <w:rFonts w:cstheme="minorHAnsi"/>
        </w:rPr>
        <w:t xml:space="preserve"> the adoption of the fourth carbon budget (see Ackerman, 2014). The HMRC model is characterised as a Comput</w:t>
      </w:r>
      <w:r w:rsidR="003053C4" w:rsidRPr="00601E17">
        <w:rPr>
          <w:rFonts w:cstheme="minorHAnsi"/>
        </w:rPr>
        <w:t>able</w:t>
      </w:r>
      <w:r w:rsidRPr="00601E17">
        <w:rPr>
          <w:rFonts w:cstheme="minorHAnsi"/>
        </w:rPr>
        <w:t xml:space="preserve"> General Equilibrium (CGE) model and belongs </w:t>
      </w:r>
      <w:r w:rsidR="003053C4" w:rsidRPr="00601E17">
        <w:rPr>
          <w:rFonts w:cstheme="minorHAnsi"/>
        </w:rPr>
        <w:t xml:space="preserve">therefore </w:t>
      </w:r>
      <w:r w:rsidRPr="00601E17">
        <w:rPr>
          <w:rFonts w:cstheme="minorHAnsi"/>
        </w:rPr>
        <w:t xml:space="preserve">contrary to the other models considered before, to the class of equilibrium models. The literature distinguishes between equilibrium vs. non-equilibrium models based on the criteria of the model solution approach of the economic outcomes, which is grounded in the theoretical underpinning of the model (i.e. their scientific paradigm) (Mercure et al., 2019a; </w:t>
      </w:r>
      <w:proofErr w:type="spellStart"/>
      <w:r w:rsidRPr="00601E17">
        <w:rPr>
          <w:rFonts w:cstheme="minorHAnsi"/>
        </w:rPr>
        <w:t>Scrieciu</w:t>
      </w:r>
      <w:proofErr w:type="spellEnd"/>
      <w:r w:rsidRPr="00601E17">
        <w:rPr>
          <w:rFonts w:cstheme="minorHAnsi"/>
        </w:rPr>
        <w:t xml:space="preserve"> et al., 2013</w:t>
      </w:r>
      <w:r w:rsidR="00735CCE">
        <w:rPr>
          <w:rFonts w:cstheme="minorHAnsi"/>
        </w:rPr>
        <w:t>; Hafner et al., 2020b</w:t>
      </w:r>
      <w:r w:rsidRPr="00601E17">
        <w:rPr>
          <w:rFonts w:cstheme="minorHAnsi"/>
        </w:rPr>
        <w:t xml:space="preserve">). </w:t>
      </w:r>
      <w:r w:rsidR="00735CCE">
        <w:rPr>
          <w:rFonts w:cstheme="minorHAnsi"/>
        </w:rPr>
        <w:t xml:space="preserve">The different modelling paradigm may explain the differences in the direction of the results between HMRC and the other simulation models (see Mercure 2019a;b). </w:t>
      </w:r>
    </w:p>
    <w:p w14:paraId="10935BFD" w14:textId="7F2936F7" w:rsidR="00D00837" w:rsidRPr="0099228F" w:rsidRDefault="00D00837" w:rsidP="002B08E1">
      <w:pPr>
        <w:pStyle w:val="Heading1"/>
      </w:pPr>
      <w:r w:rsidRPr="0099228F">
        <w:t>Conclusion</w:t>
      </w:r>
      <w:r w:rsidR="004B41B0" w:rsidRPr="0099228F">
        <w:t>s</w:t>
      </w:r>
      <w:r w:rsidRPr="0099228F">
        <w:t xml:space="preserve"> and policy implications</w:t>
      </w:r>
    </w:p>
    <w:p w14:paraId="003CB5AE" w14:textId="63B75437" w:rsidR="00D00837" w:rsidRPr="00601E17" w:rsidRDefault="00D00837" w:rsidP="00D00837">
      <w:pPr>
        <w:rPr>
          <w:rFonts w:cstheme="minorHAnsi"/>
        </w:rPr>
      </w:pPr>
      <w:r w:rsidRPr="0099228F">
        <w:rPr>
          <w:rFonts w:cstheme="minorHAnsi"/>
        </w:rPr>
        <w:t xml:space="preserve">The system dynamics Green Investment Barrier Model (GIBM) presented in this study is a </w:t>
      </w:r>
      <w:r w:rsidR="002D5CE3" w:rsidRPr="009C05A3">
        <w:rPr>
          <w:rFonts w:cstheme="minorHAnsi"/>
        </w:rPr>
        <w:t>descriptive</w:t>
      </w:r>
      <w:r w:rsidRPr="009C05A3">
        <w:rPr>
          <w:rFonts w:cstheme="minorHAnsi"/>
        </w:rPr>
        <w:t xml:space="preserve"> simulation model as opposed to the more common equilibrium (optimization) models. Its speciality lies in the integration of a green finance gap in the context of a UK </w:t>
      </w:r>
      <w:r w:rsidR="00E54E82" w:rsidRPr="009C05A3">
        <w:rPr>
          <w:rFonts w:cstheme="minorHAnsi"/>
        </w:rPr>
        <w:t>electricity</w:t>
      </w:r>
      <w:r w:rsidRPr="009C05A3">
        <w:rPr>
          <w:rFonts w:cstheme="minorHAnsi"/>
        </w:rPr>
        <w:t xml:space="preserve"> transition, whi</w:t>
      </w:r>
      <w:r w:rsidRPr="00967105">
        <w:rPr>
          <w:rFonts w:cstheme="minorHAnsi"/>
        </w:rPr>
        <w:t xml:space="preserve">ch allows the investigation of a </w:t>
      </w:r>
      <w:r w:rsidR="0022225A">
        <w:rPr>
          <w:rFonts w:cstheme="minorHAnsi"/>
        </w:rPr>
        <w:t xml:space="preserve">policy scenario that </w:t>
      </w:r>
      <w:r w:rsidRPr="00967105">
        <w:rPr>
          <w:rFonts w:cstheme="minorHAnsi"/>
        </w:rPr>
        <w:t>scale</w:t>
      </w:r>
      <w:r w:rsidR="0022225A">
        <w:rPr>
          <w:rFonts w:cstheme="minorHAnsi"/>
        </w:rPr>
        <w:t>s</w:t>
      </w:r>
      <w:r w:rsidRPr="00967105">
        <w:rPr>
          <w:rFonts w:cstheme="minorHAnsi"/>
        </w:rPr>
        <w:t xml:space="preserve">-up the required finance for </w:t>
      </w:r>
      <w:r w:rsidR="002D5CE3" w:rsidRPr="00967105">
        <w:rPr>
          <w:rFonts w:cstheme="minorHAnsi"/>
        </w:rPr>
        <w:t>renewable</w:t>
      </w:r>
      <w:r w:rsidRPr="00967105">
        <w:rPr>
          <w:rFonts w:cstheme="minorHAnsi"/>
        </w:rPr>
        <w:t xml:space="preserve"> electricity production capacity. </w:t>
      </w:r>
      <w:r w:rsidR="001E6469" w:rsidRPr="00967105">
        <w:rPr>
          <w:rFonts w:cstheme="minorHAnsi"/>
        </w:rPr>
        <w:t xml:space="preserve">That is, </w:t>
      </w:r>
      <w:r w:rsidR="00A313FF" w:rsidRPr="00967105">
        <w:rPr>
          <w:rFonts w:cstheme="minorHAnsi"/>
        </w:rPr>
        <w:t xml:space="preserve">extending </w:t>
      </w:r>
      <w:r w:rsidR="001E6469" w:rsidRPr="00967105">
        <w:rPr>
          <w:rFonts w:cstheme="minorHAnsi"/>
        </w:rPr>
        <w:t xml:space="preserve">earlier studies </w:t>
      </w:r>
      <w:r w:rsidR="00CF5D04" w:rsidRPr="004C48F6">
        <w:rPr>
          <w:rFonts w:cstheme="minorHAnsi"/>
        </w:rPr>
        <w:t xml:space="preserve">(e.g. Irena, 2016) </w:t>
      </w:r>
      <w:r w:rsidR="003232CB">
        <w:rPr>
          <w:rFonts w:cstheme="minorHAnsi"/>
        </w:rPr>
        <w:t xml:space="preserve">that </w:t>
      </w:r>
      <w:r w:rsidR="001E6469" w:rsidRPr="004C48F6">
        <w:rPr>
          <w:rFonts w:cstheme="minorHAnsi"/>
        </w:rPr>
        <w:t xml:space="preserve">test </w:t>
      </w:r>
      <w:r w:rsidR="003232CB">
        <w:rPr>
          <w:rFonts w:cstheme="minorHAnsi"/>
        </w:rPr>
        <w:t xml:space="preserve">the </w:t>
      </w:r>
      <w:r w:rsidR="001E6469" w:rsidRPr="004C48F6">
        <w:rPr>
          <w:rFonts w:cstheme="minorHAnsi"/>
        </w:rPr>
        <w:t>impacts of renewable energy deployment</w:t>
      </w:r>
      <w:r w:rsidR="00A313FF" w:rsidRPr="004C48F6">
        <w:rPr>
          <w:rFonts w:cstheme="minorHAnsi"/>
        </w:rPr>
        <w:t>, GIBM</w:t>
      </w:r>
      <w:r w:rsidR="001E6469" w:rsidRPr="004C48F6">
        <w:rPr>
          <w:rFonts w:cstheme="minorHAnsi"/>
        </w:rPr>
        <w:t xml:space="preserve"> </w:t>
      </w:r>
      <w:r w:rsidR="00735CCE">
        <w:rPr>
          <w:rFonts w:cstheme="minorHAnsi"/>
        </w:rPr>
        <w:t>includes</w:t>
      </w:r>
      <w:r w:rsidR="0022225A">
        <w:rPr>
          <w:rFonts w:cstheme="minorHAnsi"/>
        </w:rPr>
        <w:t xml:space="preserve"> a green finance gap</w:t>
      </w:r>
      <w:r w:rsidR="001E6469" w:rsidRPr="009A2FE1">
        <w:rPr>
          <w:rFonts w:cstheme="minorHAnsi"/>
        </w:rPr>
        <w:t xml:space="preserve">, rather than assuming </w:t>
      </w:r>
      <w:r w:rsidR="00BC034A" w:rsidRPr="00787C9A">
        <w:rPr>
          <w:rFonts w:cstheme="minorHAnsi"/>
        </w:rPr>
        <w:t xml:space="preserve">the </w:t>
      </w:r>
      <w:r w:rsidR="001E6469" w:rsidRPr="00787C9A">
        <w:rPr>
          <w:rFonts w:cstheme="minorHAnsi"/>
        </w:rPr>
        <w:t>availab</w:t>
      </w:r>
      <w:r w:rsidR="003232CB">
        <w:rPr>
          <w:rFonts w:cstheme="minorHAnsi"/>
        </w:rPr>
        <w:t>i</w:t>
      </w:r>
      <w:r w:rsidR="001E6469" w:rsidRPr="00787C9A">
        <w:rPr>
          <w:rFonts w:cstheme="minorHAnsi"/>
        </w:rPr>
        <w:t xml:space="preserve">lity </w:t>
      </w:r>
      <w:r w:rsidR="00BC034A" w:rsidRPr="00787C9A">
        <w:rPr>
          <w:rFonts w:cstheme="minorHAnsi"/>
        </w:rPr>
        <w:t xml:space="preserve">of sufficient financial resources </w:t>
      </w:r>
      <w:r w:rsidR="001E6469" w:rsidRPr="00787C9A">
        <w:rPr>
          <w:rFonts w:cstheme="minorHAnsi"/>
        </w:rPr>
        <w:t xml:space="preserve">as a </w:t>
      </w:r>
      <w:r w:rsidR="00A313FF" w:rsidRPr="00787C9A">
        <w:rPr>
          <w:rFonts w:cstheme="minorHAnsi"/>
        </w:rPr>
        <w:t xml:space="preserve">necessary </w:t>
      </w:r>
      <w:r w:rsidR="001E6469" w:rsidRPr="00787C9A">
        <w:rPr>
          <w:rFonts w:cstheme="minorHAnsi"/>
        </w:rPr>
        <w:t xml:space="preserve">precondition for the tested </w:t>
      </w:r>
      <w:r w:rsidR="00A313FF" w:rsidRPr="00787C9A">
        <w:rPr>
          <w:rFonts w:cstheme="minorHAnsi"/>
        </w:rPr>
        <w:t xml:space="preserve">renewable energy </w:t>
      </w:r>
      <w:r w:rsidR="001E6469" w:rsidRPr="00787C9A">
        <w:rPr>
          <w:rFonts w:cstheme="minorHAnsi"/>
        </w:rPr>
        <w:t>policy scenario</w:t>
      </w:r>
      <w:r w:rsidR="00735CCE">
        <w:rPr>
          <w:rFonts w:cstheme="minorHAnsi"/>
        </w:rPr>
        <w:t xml:space="preserve"> and therefore </w:t>
      </w:r>
      <w:r w:rsidR="0022225A">
        <w:rPr>
          <w:rFonts w:cstheme="minorHAnsi"/>
        </w:rPr>
        <w:t>allows to explore the macroeconomic impacts of a</w:t>
      </w:r>
      <w:r w:rsidR="0022225A" w:rsidRPr="009A2FE1">
        <w:rPr>
          <w:rFonts w:cstheme="minorHAnsi"/>
        </w:rPr>
        <w:t xml:space="preserve"> </w:t>
      </w:r>
      <w:r w:rsidR="004D7A7E">
        <w:rPr>
          <w:rFonts w:cstheme="minorHAnsi"/>
        </w:rPr>
        <w:t xml:space="preserve">policy </w:t>
      </w:r>
      <w:r w:rsidR="0022225A">
        <w:rPr>
          <w:rFonts w:cstheme="minorHAnsi"/>
        </w:rPr>
        <w:t xml:space="preserve">scenario designed to scale-up </w:t>
      </w:r>
      <w:r w:rsidR="0022225A" w:rsidRPr="009A2FE1">
        <w:rPr>
          <w:rFonts w:cstheme="minorHAnsi"/>
        </w:rPr>
        <w:t>green finance</w:t>
      </w:r>
      <w:r w:rsidR="00735CCE">
        <w:rPr>
          <w:rFonts w:cstheme="minorHAnsi"/>
        </w:rPr>
        <w:t xml:space="preserve">. This policy scenario </w:t>
      </w:r>
      <w:r w:rsidR="00787C9A">
        <w:rPr>
          <w:rFonts w:cstheme="minorHAnsi"/>
        </w:rPr>
        <w:t>is assumed to tackle</w:t>
      </w:r>
      <w:r w:rsidR="00787C9A" w:rsidRPr="00787C9A">
        <w:rPr>
          <w:rFonts w:cstheme="minorHAnsi"/>
        </w:rPr>
        <w:t xml:space="preserve"> </w:t>
      </w:r>
      <w:r w:rsidRPr="00787C9A">
        <w:rPr>
          <w:rFonts w:cstheme="minorHAnsi"/>
        </w:rPr>
        <w:t>key green investment barriers (short-</w:t>
      </w:r>
      <w:r w:rsidR="00C162CC" w:rsidRPr="00787C9A">
        <w:rPr>
          <w:rFonts w:cstheme="minorHAnsi"/>
        </w:rPr>
        <w:t xml:space="preserve"> termism</w:t>
      </w:r>
      <w:r w:rsidRPr="00601E17">
        <w:rPr>
          <w:rFonts w:cstheme="minorHAnsi"/>
        </w:rPr>
        <w:t xml:space="preserve">, unstable policy strategy and information disclosure) in a </w:t>
      </w:r>
      <w:r w:rsidR="002D5CE3" w:rsidRPr="00601E17">
        <w:rPr>
          <w:rFonts w:cstheme="minorHAnsi"/>
        </w:rPr>
        <w:t>holistic</w:t>
      </w:r>
      <w:r w:rsidRPr="00601E17">
        <w:rPr>
          <w:rFonts w:cstheme="minorHAnsi"/>
        </w:rPr>
        <w:t xml:space="preserve"> way</w:t>
      </w:r>
      <w:r w:rsidR="00735CCE">
        <w:rPr>
          <w:rFonts w:cstheme="minorHAnsi"/>
        </w:rPr>
        <w:t xml:space="preserve"> i.e. </w:t>
      </w:r>
      <w:r w:rsidR="0022225A">
        <w:rPr>
          <w:rFonts w:cstheme="minorHAnsi"/>
        </w:rPr>
        <w:t>based on a systems perspective, drawing on insights from Hafner et al.</w:t>
      </w:r>
      <w:r w:rsidR="00735CCE">
        <w:rPr>
          <w:rFonts w:cstheme="minorHAnsi"/>
        </w:rPr>
        <w:t xml:space="preserve"> (</w:t>
      </w:r>
      <w:r w:rsidR="0022225A">
        <w:rPr>
          <w:rFonts w:cstheme="minorHAnsi"/>
        </w:rPr>
        <w:t xml:space="preserve">2020a) </w:t>
      </w:r>
      <w:r w:rsidRPr="00601E17">
        <w:rPr>
          <w:rFonts w:cstheme="minorHAnsi"/>
        </w:rPr>
        <w:t xml:space="preserve">and can be tested in combination with a low-carbon energy scenario that allows only the installation of renewable energy </w:t>
      </w:r>
      <w:r w:rsidR="00DD0217" w:rsidRPr="00601E17">
        <w:rPr>
          <w:rFonts w:cstheme="minorHAnsi"/>
        </w:rPr>
        <w:t>infrastructure</w:t>
      </w:r>
      <w:r w:rsidRPr="00601E17">
        <w:rPr>
          <w:rFonts w:cstheme="minorHAnsi"/>
        </w:rPr>
        <w:t xml:space="preserve">. </w:t>
      </w:r>
    </w:p>
    <w:p w14:paraId="3412939A" w14:textId="209F3C6F" w:rsidR="00D00837" w:rsidRPr="0070461D" w:rsidRDefault="00D00837" w:rsidP="00D00837">
      <w:pPr>
        <w:rPr>
          <w:rFonts w:cstheme="minorHAnsi"/>
        </w:rPr>
      </w:pPr>
      <w:r w:rsidRPr="00601E17">
        <w:rPr>
          <w:rFonts w:cstheme="minorHAnsi"/>
        </w:rPr>
        <w:t xml:space="preserve">Our results show that the introduction of a </w:t>
      </w:r>
      <w:r w:rsidRPr="00476427">
        <w:rPr>
          <w:rFonts w:cstheme="minorHAnsi"/>
        </w:rPr>
        <w:t>policy</w:t>
      </w:r>
      <w:r w:rsidR="00787C9A">
        <w:rPr>
          <w:rFonts w:cstheme="minorHAnsi"/>
        </w:rPr>
        <w:t xml:space="preserve"> </w:t>
      </w:r>
      <w:r w:rsidR="004D7A7E">
        <w:rPr>
          <w:rFonts w:cstheme="minorHAnsi"/>
        </w:rPr>
        <w:t xml:space="preserve">scenario </w:t>
      </w:r>
      <w:r w:rsidR="00082D51">
        <w:rPr>
          <w:rFonts w:cstheme="minorHAnsi"/>
        </w:rPr>
        <w:t>which aims to close the green finance gap</w:t>
      </w:r>
      <w:r w:rsidRPr="00787C9A">
        <w:rPr>
          <w:rFonts w:cstheme="minorHAnsi"/>
        </w:rPr>
        <w:t xml:space="preserve"> alongside </w:t>
      </w:r>
      <w:r w:rsidR="00082D51">
        <w:rPr>
          <w:rFonts w:cstheme="minorHAnsi"/>
        </w:rPr>
        <w:t xml:space="preserve">policies in the electricity sector </w:t>
      </w:r>
      <w:r w:rsidRPr="00787C9A">
        <w:rPr>
          <w:rFonts w:cstheme="minorHAnsi"/>
        </w:rPr>
        <w:t>brings co-</w:t>
      </w:r>
      <w:r w:rsidR="002D5CE3" w:rsidRPr="00787C9A">
        <w:rPr>
          <w:rFonts w:cstheme="minorHAnsi"/>
        </w:rPr>
        <w:t>benefits</w:t>
      </w:r>
      <w:r w:rsidRPr="00787C9A">
        <w:rPr>
          <w:rFonts w:cstheme="minorHAnsi"/>
        </w:rPr>
        <w:t xml:space="preserve"> in terms of higher GDP, lower unemployment and electricity system costs. However, </w:t>
      </w:r>
      <w:r w:rsidR="00082D51">
        <w:rPr>
          <w:rFonts w:cstheme="minorHAnsi"/>
        </w:rPr>
        <w:t xml:space="preserve">focussing on </w:t>
      </w:r>
      <w:r w:rsidR="003232CB">
        <w:rPr>
          <w:rFonts w:cstheme="minorHAnsi"/>
        </w:rPr>
        <w:t>closing the green finance gap</w:t>
      </w:r>
      <w:r w:rsidR="0095782C">
        <w:rPr>
          <w:rFonts w:cstheme="minorHAnsi"/>
        </w:rPr>
        <w:t xml:space="preserve"> </w:t>
      </w:r>
      <w:r w:rsidR="00082D51">
        <w:rPr>
          <w:rFonts w:cstheme="minorHAnsi"/>
        </w:rPr>
        <w:t xml:space="preserve">alone </w:t>
      </w:r>
      <w:r w:rsidRPr="0095782C">
        <w:rPr>
          <w:rFonts w:cstheme="minorHAnsi"/>
        </w:rPr>
        <w:t xml:space="preserve">would not be </w:t>
      </w:r>
      <w:r w:rsidR="002D5CE3" w:rsidRPr="0095782C">
        <w:rPr>
          <w:rFonts w:cstheme="minorHAnsi"/>
        </w:rPr>
        <w:t>enough</w:t>
      </w:r>
      <w:r w:rsidRPr="0095782C">
        <w:rPr>
          <w:rFonts w:cstheme="minorHAnsi"/>
        </w:rPr>
        <w:t xml:space="preserve"> to reach net-zero emissions of low-carbon electricity production by 2050 </w:t>
      </w:r>
      <w:r w:rsidRPr="0095782C">
        <w:rPr>
          <w:rFonts w:cstheme="minorHAnsi"/>
        </w:rPr>
        <w:lastRenderedPageBreak/>
        <w:t xml:space="preserve">– policies in the electricity sector </w:t>
      </w:r>
      <w:r w:rsidR="002D5CE3" w:rsidRPr="0095782C">
        <w:rPr>
          <w:rFonts w:cstheme="minorHAnsi"/>
        </w:rPr>
        <w:t>itself</w:t>
      </w:r>
      <w:r w:rsidRPr="0095782C">
        <w:rPr>
          <w:rFonts w:cstheme="minorHAnsi"/>
        </w:rPr>
        <w:t xml:space="preserve"> need to complement it. Given this, we recommend the implementation of a low-carbon energy transition scenario in combination with </w:t>
      </w:r>
      <w:r w:rsidR="003232CB">
        <w:rPr>
          <w:rFonts w:cstheme="minorHAnsi"/>
        </w:rPr>
        <w:t xml:space="preserve">policies </w:t>
      </w:r>
      <w:r w:rsidR="00140F72">
        <w:rPr>
          <w:rFonts w:cstheme="minorHAnsi"/>
        </w:rPr>
        <w:t xml:space="preserve">aiming  to close the green finance gap that are </w:t>
      </w:r>
      <w:r w:rsidR="004D7A7E">
        <w:rPr>
          <w:rFonts w:cstheme="minorHAnsi"/>
        </w:rPr>
        <w:t>based on a systems approach</w:t>
      </w:r>
      <w:r w:rsidR="00140F72">
        <w:rPr>
          <w:rFonts w:cstheme="minorHAnsi"/>
        </w:rPr>
        <w:t xml:space="preserve">. </w:t>
      </w:r>
      <w:r w:rsidR="003232CB" w:rsidRPr="0095782C">
        <w:rPr>
          <w:rFonts w:cstheme="minorHAnsi"/>
        </w:rPr>
        <w:t>Th</w:t>
      </w:r>
      <w:r w:rsidR="003232CB">
        <w:rPr>
          <w:rFonts w:cstheme="minorHAnsi"/>
        </w:rPr>
        <w:t>e</w:t>
      </w:r>
      <w:r w:rsidR="003232CB" w:rsidRPr="0095782C">
        <w:rPr>
          <w:rFonts w:cstheme="minorHAnsi"/>
        </w:rPr>
        <w:t>s</w:t>
      </w:r>
      <w:r w:rsidR="003232CB">
        <w:rPr>
          <w:rFonts w:cstheme="minorHAnsi"/>
        </w:rPr>
        <w:t>e</w:t>
      </w:r>
      <w:r w:rsidR="003232CB" w:rsidRPr="0095782C">
        <w:rPr>
          <w:rFonts w:cstheme="minorHAnsi"/>
        </w:rPr>
        <w:t xml:space="preserve"> </w:t>
      </w:r>
      <w:r w:rsidR="007D1CCB" w:rsidRPr="0095782C">
        <w:rPr>
          <w:rFonts w:cstheme="minorHAnsi"/>
        </w:rPr>
        <w:t xml:space="preserve">findings are in line </w:t>
      </w:r>
      <w:r w:rsidR="004B41B0" w:rsidRPr="0095782C">
        <w:rPr>
          <w:rFonts w:cstheme="minorHAnsi"/>
        </w:rPr>
        <w:t>with findings of other models in the current literature on the economic implications of energy transitions.</w:t>
      </w:r>
      <w:r w:rsidR="007D1CCB" w:rsidRPr="0095782C">
        <w:rPr>
          <w:rFonts w:cstheme="minorHAnsi"/>
        </w:rPr>
        <w:t xml:space="preserve"> </w:t>
      </w:r>
      <w:r w:rsidR="004B41B0" w:rsidRPr="0095782C">
        <w:rPr>
          <w:rFonts w:cstheme="minorHAnsi"/>
        </w:rPr>
        <w:t>F</w:t>
      </w:r>
      <w:r w:rsidR="007D1CCB" w:rsidRPr="0095782C">
        <w:rPr>
          <w:rFonts w:cstheme="minorHAnsi"/>
        </w:rPr>
        <w:t>or example</w:t>
      </w:r>
      <w:r w:rsidR="003232CB">
        <w:rPr>
          <w:rFonts w:cstheme="minorHAnsi"/>
        </w:rPr>
        <w:t>,</w:t>
      </w:r>
      <w:r w:rsidR="007D1CCB" w:rsidRPr="0095782C">
        <w:rPr>
          <w:rFonts w:cstheme="minorHAnsi"/>
        </w:rPr>
        <w:t xml:space="preserve"> </w:t>
      </w:r>
      <w:proofErr w:type="spellStart"/>
      <w:r w:rsidR="007D1CCB" w:rsidRPr="0095782C">
        <w:rPr>
          <w:rFonts w:cstheme="minorHAnsi"/>
        </w:rPr>
        <w:t>Dunz</w:t>
      </w:r>
      <w:proofErr w:type="spellEnd"/>
      <w:r w:rsidR="007D1CCB" w:rsidRPr="0095782C">
        <w:rPr>
          <w:rFonts w:cstheme="minorHAnsi"/>
        </w:rPr>
        <w:t xml:space="preserve"> et al. (</w:t>
      </w:r>
      <w:r w:rsidR="004D7A7E">
        <w:rPr>
          <w:rFonts w:cstheme="minorHAnsi"/>
        </w:rPr>
        <w:t>2021</w:t>
      </w:r>
      <w:r w:rsidR="007D1CCB" w:rsidRPr="0095782C">
        <w:rPr>
          <w:rFonts w:cstheme="minorHAnsi"/>
        </w:rPr>
        <w:t xml:space="preserve">) find that the introduction of a </w:t>
      </w:r>
      <w:r w:rsidR="004D7A7E">
        <w:rPr>
          <w:rFonts w:cstheme="minorHAnsi"/>
        </w:rPr>
        <w:t>green supporting factor</w:t>
      </w:r>
      <w:r w:rsidR="003232CB" w:rsidRPr="0095782C">
        <w:rPr>
          <w:rFonts w:cstheme="minorHAnsi"/>
        </w:rPr>
        <w:t xml:space="preserve"> </w:t>
      </w:r>
      <w:r w:rsidR="007D1CCB" w:rsidRPr="0095782C">
        <w:rPr>
          <w:rFonts w:cstheme="minorHAnsi"/>
        </w:rPr>
        <w:t>by i</w:t>
      </w:r>
      <w:r w:rsidR="007D1CCB" w:rsidRPr="00FC1125">
        <w:rPr>
          <w:rFonts w:cstheme="minorHAnsi"/>
        </w:rPr>
        <w:t xml:space="preserve">tself </w:t>
      </w:r>
      <w:r w:rsidR="004B41B0" w:rsidRPr="00FC1125">
        <w:rPr>
          <w:rFonts w:cstheme="minorHAnsi"/>
        </w:rPr>
        <w:t xml:space="preserve">would </w:t>
      </w:r>
      <w:r w:rsidR="007D1CCB" w:rsidRPr="00FC1125">
        <w:rPr>
          <w:rFonts w:cstheme="minorHAnsi"/>
        </w:rPr>
        <w:t xml:space="preserve">not be sufficient </w:t>
      </w:r>
      <w:r w:rsidR="004B41B0" w:rsidRPr="00FC1125">
        <w:rPr>
          <w:rFonts w:cstheme="minorHAnsi"/>
        </w:rPr>
        <w:t>to trigger a low-carbon transition</w:t>
      </w:r>
      <w:r w:rsidR="007D1CCB" w:rsidRPr="007C0A4D">
        <w:rPr>
          <w:rFonts w:cstheme="minorHAnsi"/>
        </w:rPr>
        <w:t xml:space="preserve">. </w:t>
      </w:r>
    </w:p>
    <w:p w14:paraId="47B5480C" w14:textId="09D3A67B" w:rsidR="00D00837" w:rsidRPr="00E546D7" w:rsidRDefault="00D00837" w:rsidP="00D00837">
      <w:pPr>
        <w:rPr>
          <w:rFonts w:cstheme="minorHAnsi"/>
        </w:rPr>
      </w:pPr>
      <w:r w:rsidRPr="005E5158">
        <w:rPr>
          <w:rFonts w:cstheme="minorHAnsi"/>
        </w:rPr>
        <w:t xml:space="preserve">Our results, </w:t>
      </w:r>
      <w:r w:rsidR="002D5CE3" w:rsidRPr="00202D0C">
        <w:rPr>
          <w:rFonts w:cstheme="minorHAnsi"/>
        </w:rPr>
        <w:t>discussion</w:t>
      </w:r>
      <w:r w:rsidRPr="00202D0C">
        <w:rPr>
          <w:rFonts w:cstheme="minorHAnsi"/>
        </w:rPr>
        <w:t xml:space="preserve"> and</w:t>
      </w:r>
      <w:r w:rsidR="0095782C">
        <w:rPr>
          <w:rFonts w:cstheme="minorHAnsi"/>
        </w:rPr>
        <w:t xml:space="preserve"> </w:t>
      </w:r>
      <w:r w:rsidRPr="0095782C">
        <w:rPr>
          <w:rFonts w:cstheme="minorHAnsi"/>
        </w:rPr>
        <w:t>recommendations are robust under the sensitivity analysis performed. Accordingly, when key parameter values are changed, the above-stated policy insights and recommendations still hold (i.e. they</w:t>
      </w:r>
      <w:r w:rsidRPr="00FC1125">
        <w:rPr>
          <w:rFonts w:cstheme="minorHAnsi"/>
        </w:rPr>
        <w:t xml:space="preserve"> are robust to these amended parameter values), although the magnitude of the </w:t>
      </w:r>
      <w:r w:rsidRPr="007C0A4D">
        <w:rPr>
          <w:rFonts w:cstheme="minorHAnsi"/>
        </w:rPr>
        <w:t xml:space="preserve">indicated benefits/dis-benefits changes by some percentage. Our </w:t>
      </w:r>
      <w:r w:rsidR="002D5CE3" w:rsidRPr="007C0A4D">
        <w:rPr>
          <w:rFonts w:cstheme="minorHAnsi"/>
        </w:rPr>
        <w:t>sensitivity</w:t>
      </w:r>
      <w:r w:rsidRPr="007C0A4D">
        <w:rPr>
          <w:rFonts w:cstheme="minorHAnsi"/>
        </w:rPr>
        <w:t xml:space="preserve"> tests involved changes in key par</w:t>
      </w:r>
      <w:r w:rsidRPr="0070461D">
        <w:rPr>
          <w:rFonts w:cstheme="minorHAnsi"/>
        </w:rPr>
        <w:t xml:space="preserve">ameters in the </w:t>
      </w:r>
      <w:r w:rsidR="002D5CE3" w:rsidRPr="0070461D">
        <w:rPr>
          <w:rFonts w:cstheme="minorHAnsi"/>
        </w:rPr>
        <w:t>electricity</w:t>
      </w:r>
      <w:r w:rsidRPr="0070461D">
        <w:rPr>
          <w:rFonts w:cstheme="minorHAnsi"/>
        </w:rPr>
        <w:t xml:space="preserve"> produ</w:t>
      </w:r>
      <w:r w:rsidRPr="005E5158">
        <w:rPr>
          <w:rFonts w:cstheme="minorHAnsi"/>
        </w:rPr>
        <w:t xml:space="preserve">ction system (e.g. learning rates, CO2 price, investment costs of different electricity production technologies) and the </w:t>
      </w:r>
      <w:r w:rsidR="004B41B0" w:rsidRPr="00202D0C">
        <w:rPr>
          <w:rFonts w:cstheme="minorHAnsi"/>
        </w:rPr>
        <w:t>economic</w:t>
      </w:r>
      <w:r w:rsidRPr="00202D0C">
        <w:rPr>
          <w:rFonts w:cstheme="minorHAnsi"/>
        </w:rPr>
        <w:t xml:space="preserve"> sector</w:t>
      </w:r>
      <w:r w:rsidR="004B41B0" w:rsidRPr="004A4678">
        <w:rPr>
          <w:rFonts w:cstheme="minorHAnsi"/>
        </w:rPr>
        <w:t>s</w:t>
      </w:r>
      <w:r w:rsidRPr="00F14205">
        <w:rPr>
          <w:rFonts w:cstheme="minorHAnsi"/>
        </w:rPr>
        <w:t xml:space="preserve"> (e.g. parameter of substitution</w:t>
      </w:r>
      <w:r w:rsidR="004B41B0" w:rsidRPr="008D06CA">
        <w:rPr>
          <w:rFonts w:cstheme="minorHAnsi"/>
        </w:rPr>
        <w:t>, changes in the link between interest rates and propensity to consume and changes in the reaction of the wave level to the consumer price index</w:t>
      </w:r>
      <w:r w:rsidRPr="00E546D7">
        <w:rPr>
          <w:rFonts w:cstheme="minorHAnsi"/>
        </w:rPr>
        <w:t xml:space="preserve">). </w:t>
      </w:r>
    </w:p>
    <w:p w14:paraId="1099D911" w14:textId="00D4C09C" w:rsidR="00D00837" w:rsidRPr="001D50F6" w:rsidRDefault="00D00837" w:rsidP="00D00837">
      <w:pPr>
        <w:rPr>
          <w:rFonts w:cstheme="minorHAnsi"/>
        </w:rPr>
      </w:pPr>
      <w:r w:rsidRPr="00476427">
        <w:rPr>
          <w:rFonts w:cstheme="minorHAnsi"/>
        </w:rPr>
        <w:t xml:space="preserve">We underline that our study </w:t>
      </w:r>
      <w:r w:rsidR="002D5CE3" w:rsidRPr="00476427">
        <w:rPr>
          <w:rFonts w:cstheme="minorHAnsi"/>
        </w:rPr>
        <w:t>assumes</w:t>
      </w:r>
      <w:r w:rsidRPr="00476427">
        <w:rPr>
          <w:rFonts w:cstheme="minorHAnsi"/>
        </w:rPr>
        <w:t xml:space="preserve"> that storage or demand-side management technologies are available to deal with the higher intermittency of a renewable electricity system. Further, the results</w:t>
      </w:r>
      <w:r w:rsidRPr="00FB6B6F">
        <w:rPr>
          <w:rFonts w:cstheme="minorHAnsi"/>
        </w:rPr>
        <w:t xml:space="preserve"> indicated above</w:t>
      </w:r>
      <w:r w:rsidRPr="00462537">
        <w:rPr>
          <w:rFonts w:cstheme="minorHAnsi"/>
        </w:rPr>
        <w:t xml:space="preserve"> rely on the </w:t>
      </w:r>
      <w:r w:rsidR="004D7A7E">
        <w:rPr>
          <w:rFonts w:cstheme="minorHAnsi"/>
        </w:rPr>
        <w:t xml:space="preserve">links between a scenario aimed to close the green finance gap and its impact on the </w:t>
      </w:r>
      <w:proofErr w:type="spellStart"/>
      <w:r w:rsidR="004D7A7E">
        <w:rPr>
          <w:rFonts w:cstheme="minorHAnsi"/>
        </w:rPr>
        <w:t>intererat</w:t>
      </w:r>
      <w:proofErr w:type="spellEnd"/>
      <w:r w:rsidR="004D7A7E">
        <w:rPr>
          <w:rFonts w:cstheme="minorHAnsi"/>
        </w:rPr>
        <w:t xml:space="preserve"> rates as well as </w:t>
      </w:r>
      <w:r w:rsidRPr="00462537">
        <w:rPr>
          <w:rFonts w:cstheme="minorHAnsi"/>
        </w:rPr>
        <w:t xml:space="preserve">indicated relationship between lower interest rates and higher capital usage in the economic production. Therefore, future research should validate that </w:t>
      </w:r>
      <w:r w:rsidR="004D7A7E">
        <w:rPr>
          <w:rFonts w:cstheme="minorHAnsi"/>
        </w:rPr>
        <w:t>these</w:t>
      </w:r>
      <w:r w:rsidR="004D7A7E" w:rsidRPr="00462537">
        <w:rPr>
          <w:rFonts w:cstheme="minorHAnsi"/>
        </w:rPr>
        <w:t xml:space="preserve"> </w:t>
      </w:r>
      <w:r w:rsidRPr="00462537">
        <w:rPr>
          <w:rFonts w:cstheme="minorHAnsi"/>
        </w:rPr>
        <w:t>link</w:t>
      </w:r>
      <w:r w:rsidR="004D7A7E">
        <w:rPr>
          <w:rFonts w:cstheme="minorHAnsi"/>
        </w:rPr>
        <w:t>s</w:t>
      </w:r>
      <w:r w:rsidRPr="00462537">
        <w:rPr>
          <w:rFonts w:cstheme="minorHAnsi"/>
        </w:rPr>
        <w:t xml:space="preserve"> also hold</w:t>
      </w:r>
      <w:r w:rsidR="004D7A7E">
        <w:rPr>
          <w:rFonts w:cstheme="minorHAnsi"/>
        </w:rPr>
        <w:t xml:space="preserve"> </w:t>
      </w:r>
      <w:r w:rsidRPr="00462537">
        <w:rPr>
          <w:rFonts w:cstheme="minorHAnsi"/>
        </w:rPr>
        <w:t xml:space="preserve">under future circumstances. We also recommend that future research investigates in more detail the complexity of the green finance gap </w:t>
      </w:r>
      <w:r w:rsidR="000B6634" w:rsidRPr="00462537">
        <w:rPr>
          <w:rFonts w:cstheme="minorHAnsi"/>
        </w:rPr>
        <w:t>to</w:t>
      </w:r>
      <w:r w:rsidRPr="00E6651C">
        <w:rPr>
          <w:rFonts w:cstheme="minorHAnsi"/>
        </w:rPr>
        <w:t xml:space="preserve"> </w:t>
      </w:r>
      <w:r w:rsidR="000B6634" w:rsidRPr="003017BC">
        <w:rPr>
          <w:rFonts w:cstheme="minorHAnsi"/>
        </w:rPr>
        <w:t>further</w:t>
      </w:r>
      <w:r w:rsidRPr="00B80041">
        <w:rPr>
          <w:rFonts w:cstheme="minorHAnsi"/>
        </w:rPr>
        <w:t xml:space="preserve"> specify </w:t>
      </w:r>
      <w:r w:rsidR="00585B35">
        <w:rPr>
          <w:rFonts w:cstheme="minorHAnsi"/>
        </w:rPr>
        <w:t>the needed</w:t>
      </w:r>
      <w:r w:rsidR="00585B35" w:rsidRPr="00B80041">
        <w:rPr>
          <w:rFonts w:cstheme="minorHAnsi"/>
        </w:rPr>
        <w:t xml:space="preserve"> </w:t>
      </w:r>
      <w:r w:rsidRPr="00B80041">
        <w:rPr>
          <w:rFonts w:cstheme="minorHAnsi"/>
        </w:rPr>
        <w:t xml:space="preserve">finance system policy. </w:t>
      </w:r>
    </w:p>
    <w:p w14:paraId="11A6D7FE" w14:textId="77777777" w:rsidR="00852531" w:rsidRPr="0099228F" w:rsidRDefault="00852531" w:rsidP="00B8367E">
      <w:pPr>
        <w:pStyle w:val="Heading1"/>
      </w:pPr>
      <w:r w:rsidRPr="0099228F">
        <w:t>Data availability</w:t>
      </w:r>
    </w:p>
    <w:p w14:paraId="48B8F7B3" w14:textId="7CEDC59C" w:rsidR="00852531" w:rsidRPr="00601E17" w:rsidRDefault="00852531" w:rsidP="00852531">
      <w:pPr>
        <w:rPr>
          <w:rFonts w:cstheme="minorHAnsi"/>
        </w:rPr>
      </w:pPr>
      <w:r w:rsidRPr="0099228F">
        <w:rPr>
          <w:rFonts w:cstheme="minorHAnsi"/>
        </w:rPr>
        <w:t xml:space="preserve">The initial data and the simulation outcomes of the model that support the findings of this study are available at: </w:t>
      </w:r>
      <w:hyperlink r:id="rId17" w:tgtFrame="_blank" w:history="1">
        <w:r w:rsidR="00BA566A" w:rsidRPr="0099228F">
          <w:rPr>
            <w:rStyle w:val="Hyperlink"/>
            <w:rFonts w:cstheme="minorHAnsi"/>
          </w:rPr>
          <w:t>https://doi.org/10.25411/aru.14432591</w:t>
        </w:r>
      </w:hyperlink>
      <w:r w:rsidR="00BA566A" w:rsidRPr="0099228F">
        <w:rPr>
          <w:rFonts w:cstheme="minorHAnsi"/>
        </w:rPr>
        <w:t>.</w:t>
      </w:r>
      <w:r w:rsidRPr="00601E17">
        <w:rPr>
          <w:rFonts w:cstheme="minorHAnsi"/>
        </w:rPr>
        <w:t xml:space="preserve">. </w:t>
      </w:r>
    </w:p>
    <w:p w14:paraId="7B03725A" w14:textId="77777777" w:rsidR="00852531" w:rsidRPr="0099228F" w:rsidRDefault="00852531" w:rsidP="00B8367E">
      <w:pPr>
        <w:pStyle w:val="Heading1"/>
      </w:pPr>
      <w:r w:rsidRPr="0099228F">
        <w:t>Code availability</w:t>
      </w:r>
    </w:p>
    <w:p w14:paraId="4E46EF37" w14:textId="48C2E091" w:rsidR="00852531" w:rsidRPr="00601E17" w:rsidRDefault="00852531" w:rsidP="00BA566A">
      <w:pPr>
        <w:rPr>
          <w:rFonts w:cstheme="minorHAnsi"/>
        </w:rPr>
      </w:pPr>
      <w:r w:rsidRPr="0099228F">
        <w:rPr>
          <w:rFonts w:cstheme="minorHAnsi"/>
        </w:rPr>
        <w:t xml:space="preserve">The Green Investment Barrier model was developed in </w:t>
      </w:r>
      <w:proofErr w:type="spellStart"/>
      <w:r w:rsidRPr="0099228F">
        <w:rPr>
          <w:rFonts w:cstheme="minorHAnsi"/>
        </w:rPr>
        <w:t>Vensim</w:t>
      </w:r>
      <w:proofErr w:type="spellEnd"/>
      <w:r w:rsidRPr="0099228F">
        <w:rPr>
          <w:rFonts w:cstheme="minorHAnsi"/>
        </w:rPr>
        <w:t xml:space="preserve"> 7 DSS</w:t>
      </w:r>
      <w:r w:rsidRPr="0099228F">
        <w:rPr>
          <w:rStyle w:val="FootnoteReference"/>
          <w:rFonts w:cstheme="minorHAnsi"/>
        </w:rPr>
        <w:footnoteReference w:id="12"/>
      </w:r>
      <w:r w:rsidRPr="0099228F">
        <w:rPr>
          <w:rFonts w:cstheme="minorHAnsi"/>
        </w:rPr>
        <w:t xml:space="preserve">. The code for the model can be viewed at: </w:t>
      </w:r>
      <w:hyperlink r:id="rId18" w:tgtFrame="_blank" w:history="1">
        <w:r w:rsidR="00BA566A" w:rsidRPr="0099228F">
          <w:rPr>
            <w:rStyle w:val="Hyperlink"/>
            <w:rFonts w:cstheme="minorHAnsi"/>
          </w:rPr>
          <w:t>https://doi.org/10.25411/aru.14432591</w:t>
        </w:r>
      </w:hyperlink>
      <w:r w:rsidR="00BA566A" w:rsidRPr="0099228F">
        <w:rPr>
          <w:rFonts w:cstheme="minorHAnsi"/>
        </w:rPr>
        <w:t xml:space="preserve">. </w:t>
      </w:r>
    </w:p>
    <w:p w14:paraId="1253E906" w14:textId="77777777" w:rsidR="00852531" w:rsidRPr="0099228F" w:rsidRDefault="00852531" w:rsidP="00B8367E">
      <w:pPr>
        <w:pStyle w:val="Heading1"/>
        <w:rPr>
          <w:rFonts w:eastAsia="CharisSIL"/>
        </w:rPr>
      </w:pPr>
      <w:r w:rsidRPr="0099228F">
        <w:rPr>
          <w:rFonts w:eastAsia="CharisSIL"/>
        </w:rPr>
        <w:t>Acknowledgements</w:t>
      </w:r>
    </w:p>
    <w:p w14:paraId="6588A412" w14:textId="314323C9" w:rsidR="002A2338" w:rsidRPr="009C05A3" w:rsidRDefault="00852531" w:rsidP="00B05083">
      <w:pPr>
        <w:rPr>
          <w:rFonts w:cstheme="minorHAnsi"/>
        </w:rPr>
      </w:pPr>
      <w:r w:rsidRPr="0099228F">
        <w:rPr>
          <w:rFonts w:cstheme="minorHAnsi"/>
        </w:rPr>
        <w:t>The financial support of the Economic and Social Research Council for the Centre for the Understanding of Sustainable Prosperity (CUSP) (ESRC grant no: ES/M010163/1) is gratefully acknowledged.</w:t>
      </w:r>
    </w:p>
    <w:p w14:paraId="5CF5B242" w14:textId="77777777" w:rsidR="00657A13" w:rsidRPr="00B8367E" w:rsidRDefault="00657A13" w:rsidP="00657A13">
      <w:pPr>
        <w:pStyle w:val="Title"/>
        <w:spacing w:after="0"/>
        <w:rPr>
          <w:rFonts w:asciiTheme="minorHAnsi" w:hAnsiTheme="minorHAnsi" w:cstheme="minorHAnsi"/>
        </w:rPr>
      </w:pPr>
      <w:r w:rsidRPr="00B8367E">
        <w:rPr>
          <w:rFonts w:asciiTheme="minorHAnsi" w:hAnsiTheme="minorHAnsi" w:cstheme="minorHAnsi"/>
        </w:rPr>
        <w:br w:type="page"/>
      </w:r>
    </w:p>
    <w:p w14:paraId="1A71FD5F" w14:textId="2E85C57A" w:rsidR="008D150C" w:rsidRPr="00B8367E" w:rsidRDefault="008D150C" w:rsidP="00657A13">
      <w:pPr>
        <w:pStyle w:val="Title"/>
        <w:spacing w:after="0"/>
        <w:rPr>
          <w:rFonts w:asciiTheme="minorHAnsi" w:hAnsiTheme="minorHAnsi" w:cstheme="minorHAnsi"/>
        </w:rPr>
      </w:pPr>
      <w:r w:rsidRPr="00B8367E">
        <w:rPr>
          <w:rFonts w:asciiTheme="minorHAnsi" w:hAnsiTheme="minorHAnsi" w:cstheme="minorHAnsi"/>
        </w:rPr>
        <w:lastRenderedPageBreak/>
        <w:t>References</w:t>
      </w:r>
    </w:p>
    <w:tbl>
      <w:tblPr>
        <w:tblW w:w="9406" w:type="dxa"/>
        <w:tblInd w:w="-70" w:type="dxa"/>
        <w:tblCellMar>
          <w:left w:w="70" w:type="dxa"/>
          <w:right w:w="70" w:type="dxa"/>
        </w:tblCellMar>
        <w:tblLook w:val="04A0" w:firstRow="1" w:lastRow="0" w:firstColumn="1" w:lastColumn="0" w:noHBand="0" w:noVBand="1"/>
      </w:tblPr>
      <w:tblGrid>
        <w:gridCol w:w="9406"/>
      </w:tblGrid>
      <w:tr w:rsidR="008D150C" w:rsidRPr="0099228F" w14:paraId="20CCBE73" w14:textId="77777777" w:rsidTr="00697F95">
        <w:trPr>
          <w:trHeight w:val="250"/>
        </w:trPr>
        <w:tc>
          <w:tcPr>
            <w:tcW w:w="9406" w:type="dxa"/>
            <w:tcBorders>
              <w:top w:val="nil"/>
              <w:left w:val="nil"/>
              <w:bottom w:val="nil"/>
              <w:right w:val="nil"/>
            </w:tcBorders>
            <w:shd w:val="clear" w:color="auto" w:fill="auto"/>
            <w:noWrap/>
            <w:vAlign w:val="bottom"/>
            <w:hideMark/>
          </w:tcPr>
          <w:p w14:paraId="2211D2B2" w14:textId="6ABA0118" w:rsidR="008D150C" w:rsidRPr="009C05A3" w:rsidRDefault="008D150C" w:rsidP="00697F95">
            <w:pPr>
              <w:spacing w:before="240" w:after="0" w:line="276" w:lineRule="auto"/>
              <w:ind w:left="709" w:hanging="709"/>
              <w:rPr>
                <w:rFonts w:eastAsia="Times New Roman" w:cstheme="minorHAnsi"/>
                <w:color w:val="000000"/>
                <w:lang w:eastAsia="de-CH"/>
              </w:rPr>
            </w:pPr>
            <w:proofErr w:type="spellStart"/>
            <w:r w:rsidRPr="00080AC8">
              <w:rPr>
                <w:rFonts w:eastAsia="Times New Roman" w:cstheme="minorHAnsi"/>
                <w:color w:val="000000"/>
                <w:lang w:eastAsia="de-CH"/>
              </w:rPr>
              <w:t>Battiston</w:t>
            </w:r>
            <w:proofErr w:type="spellEnd"/>
            <w:r w:rsidRPr="00080AC8">
              <w:rPr>
                <w:rFonts w:eastAsia="Times New Roman" w:cstheme="minorHAnsi"/>
                <w:color w:val="000000"/>
                <w:lang w:eastAsia="de-CH"/>
              </w:rPr>
              <w:t xml:space="preserve">, S., Mandel, A., </w:t>
            </w:r>
            <w:proofErr w:type="spellStart"/>
            <w:r w:rsidRPr="00080AC8">
              <w:rPr>
                <w:rFonts w:eastAsia="Times New Roman" w:cstheme="minorHAnsi"/>
                <w:color w:val="000000"/>
                <w:lang w:eastAsia="de-CH"/>
              </w:rPr>
              <w:t>Monasterolo</w:t>
            </w:r>
            <w:proofErr w:type="spellEnd"/>
            <w:r w:rsidRPr="00080AC8">
              <w:rPr>
                <w:rFonts w:eastAsia="Times New Roman" w:cstheme="minorHAnsi"/>
                <w:color w:val="000000"/>
                <w:lang w:eastAsia="de-CH"/>
              </w:rPr>
              <w:t xml:space="preserve">, I., </w:t>
            </w:r>
            <w:proofErr w:type="spellStart"/>
            <w:r w:rsidRPr="00080AC8">
              <w:rPr>
                <w:rFonts w:eastAsia="Times New Roman" w:cstheme="minorHAnsi"/>
                <w:color w:val="000000"/>
                <w:lang w:eastAsia="de-CH"/>
              </w:rPr>
              <w:t>Schütze</w:t>
            </w:r>
            <w:proofErr w:type="spellEnd"/>
            <w:r w:rsidRPr="00080AC8">
              <w:rPr>
                <w:rFonts w:eastAsia="Times New Roman" w:cstheme="minorHAnsi"/>
                <w:color w:val="000000"/>
                <w:lang w:eastAsia="de-CH"/>
              </w:rPr>
              <w:t xml:space="preserve">, F., &amp; </w:t>
            </w:r>
            <w:proofErr w:type="spellStart"/>
            <w:r w:rsidRPr="00080AC8">
              <w:rPr>
                <w:rFonts w:eastAsia="Times New Roman" w:cstheme="minorHAnsi"/>
                <w:color w:val="000000"/>
                <w:lang w:eastAsia="de-CH"/>
              </w:rPr>
              <w:t>Visentin</w:t>
            </w:r>
            <w:proofErr w:type="spellEnd"/>
            <w:r w:rsidRPr="00080AC8">
              <w:rPr>
                <w:rFonts w:eastAsia="Times New Roman" w:cstheme="minorHAnsi"/>
                <w:color w:val="000000"/>
                <w:lang w:eastAsia="de-CH"/>
              </w:rPr>
              <w:t xml:space="preserve">, G. (2017). </w:t>
            </w:r>
            <w:r w:rsidRPr="0099228F">
              <w:rPr>
                <w:rFonts w:eastAsia="Times New Roman" w:cstheme="minorHAnsi"/>
                <w:color w:val="000000"/>
                <w:lang w:eastAsia="de-CH"/>
              </w:rPr>
              <w:t>A climate stress-test of the financial system. Nature Climate Change, 7(4), 283-288.</w:t>
            </w:r>
          </w:p>
        </w:tc>
      </w:tr>
      <w:tr w:rsidR="008D150C" w:rsidRPr="0099228F" w14:paraId="1188CF83" w14:textId="77777777" w:rsidTr="00697F95">
        <w:trPr>
          <w:trHeight w:val="250"/>
        </w:trPr>
        <w:tc>
          <w:tcPr>
            <w:tcW w:w="9406" w:type="dxa"/>
            <w:tcBorders>
              <w:top w:val="nil"/>
              <w:left w:val="nil"/>
              <w:bottom w:val="nil"/>
              <w:right w:val="nil"/>
            </w:tcBorders>
            <w:shd w:val="clear" w:color="auto" w:fill="auto"/>
            <w:noWrap/>
            <w:vAlign w:val="bottom"/>
            <w:hideMark/>
          </w:tcPr>
          <w:p w14:paraId="36D3AB00" w14:textId="77777777" w:rsidR="00BA566C" w:rsidRPr="0099228F" w:rsidRDefault="00BA566C" w:rsidP="00BA566C">
            <w:pPr>
              <w:spacing w:before="240" w:after="0" w:line="240" w:lineRule="auto"/>
              <w:ind w:left="720" w:hanging="720"/>
              <w:jc w:val="left"/>
              <w:rPr>
                <w:rFonts w:eastAsia="Times New Roman" w:cstheme="minorHAnsi"/>
                <w:lang w:eastAsia="de-CH"/>
              </w:rPr>
            </w:pPr>
            <w:r w:rsidRPr="0099228F">
              <w:rPr>
                <w:rFonts w:eastAsia="Times New Roman" w:cstheme="minorHAnsi"/>
                <w:lang w:eastAsia="de-CH"/>
              </w:rPr>
              <w:t xml:space="preserve">Bernardo, G., &amp; D’Alessandro, S. (2016). Systems-dynamic analysis of employment and inequality impacts of low-carbon investments. </w:t>
            </w:r>
            <w:r w:rsidRPr="0099228F">
              <w:rPr>
                <w:rFonts w:eastAsia="Times New Roman" w:cstheme="minorHAnsi"/>
                <w:i/>
                <w:iCs/>
                <w:lang w:eastAsia="de-CH"/>
              </w:rPr>
              <w:t>Environmental Innovation and Societal Transitions</w:t>
            </w:r>
            <w:r w:rsidRPr="0099228F">
              <w:rPr>
                <w:rFonts w:eastAsia="Times New Roman" w:cstheme="minorHAnsi"/>
                <w:lang w:eastAsia="de-CH"/>
              </w:rPr>
              <w:t xml:space="preserve">, </w:t>
            </w:r>
            <w:r w:rsidRPr="0099228F">
              <w:rPr>
                <w:rFonts w:eastAsia="Times New Roman" w:cstheme="minorHAnsi"/>
                <w:i/>
                <w:iCs/>
                <w:lang w:eastAsia="de-CH"/>
              </w:rPr>
              <w:t>21</w:t>
            </w:r>
            <w:r w:rsidRPr="0099228F">
              <w:rPr>
                <w:rFonts w:eastAsia="Times New Roman" w:cstheme="minorHAnsi"/>
                <w:lang w:eastAsia="de-CH"/>
              </w:rPr>
              <w:t>, 123-144.</w:t>
            </w:r>
          </w:p>
          <w:p w14:paraId="69B2F5B3"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Cambridge Econometrics (CE) (2019). E3ME. Technical Manual, Version 6.1. March 2019. Available: https://www.e3me.com/wp-content/uploads/2019/09/E3ME-Technical-Manual-v6.1-onlineSML.pdf/ (Accessed 01.12.2019).</w:t>
            </w:r>
          </w:p>
        </w:tc>
      </w:tr>
      <w:tr w:rsidR="008D150C" w:rsidRPr="0099228F" w14:paraId="7AA3AF15" w14:textId="77777777" w:rsidTr="00697F95">
        <w:trPr>
          <w:trHeight w:val="250"/>
        </w:trPr>
        <w:tc>
          <w:tcPr>
            <w:tcW w:w="9406" w:type="dxa"/>
            <w:tcBorders>
              <w:top w:val="nil"/>
              <w:left w:val="nil"/>
              <w:bottom w:val="nil"/>
              <w:right w:val="nil"/>
            </w:tcBorders>
            <w:shd w:val="clear" w:color="auto" w:fill="auto"/>
            <w:noWrap/>
            <w:vAlign w:val="bottom"/>
            <w:hideMark/>
          </w:tcPr>
          <w:p w14:paraId="488D9541"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Committee on Climate Change (CCC) (2019). Net Zero – The UK’s contribution to stopping global warming. Available at: https://www.theccc.org.uk/publication/net-zero-the-uks-contribution-to-stopping-global-warming/ (Accessed 14.05.2019)</w:t>
            </w:r>
          </w:p>
        </w:tc>
      </w:tr>
      <w:tr w:rsidR="008D150C" w:rsidRPr="0099228F" w14:paraId="09B84FB3" w14:textId="77777777" w:rsidTr="00697F95">
        <w:trPr>
          <w:trHeight w:val="250"/>
        </w:trPr>
        <w:tc>
          <w:tcPr>
            <w:tcW w:w="9406" w:type="dxa"/>
            <w:tcBorders>
              <w:top w:val="nil"/>
              <w:left w:val="nil"/>
              <w:bottom w:val="nil"/>
              <w:right w:val="nil"/>
            </w:tcBorders>
            <w:shd w:val="clear" w:color="auto" w:fill="auto"/>
            <w:noWrap/>
            <w:vAlign w:val="bottom"/>
            <w:hideMark/>
          </w:tcPr>
          <w:p w14:paraId="7480BBFA" w14:textId="5B34DC56" w:rsidR="00E94D93" w:rsidRPr="0099228F" w:rsidRDefault="008D150C" w:rsidP="00E94D93">
            <w:pPr>
              <w:spacing w:before="240" w:after="220" w:line="276" w:lineRule="auto"/>
              <w:ind w:left="709" w:hanging="709"/>
              <w:rPr>
                <w:rFonts w:eastAsia="Times New Roman" w:cstheme="minorHAnsi"/>
                <w:color w:val="000000"/>
                <w:lang w:eastAsia="de-CH"/>
              </w:rPr>
            </w:pPr>
            <w:r w:rsidRPr="0099228F">
              <w:rPr>
                <w:rFonts w:eastAsia="Times New Roman" w:cstheme="minorHAnsi"/>
                <w:color w:val="000000"/>
                <w:lang w:val="it-IT" w:eastAsia="de-CH"/>
              </w:rPr>
              <w:t xml:space="preserve">D’Alessandro, S., Cieplinski, A., Distefano, T., &amp; Dittmer, K. (2020). </w:t>
            </w:r>
            <w:r w:rsidRPr="0099228F">
              <w:rPr>
                <w:rFonts w:eastAsia="Times New Roman" w:cstheme="minorHAnsi"/>
                <w:color w:val="000000"/>
                <w:lang w:eastAsia="de-CH"/>
              </w:rPr>
              <w:t>Feasible alternatives to green growth. Nature Sustainability, 3(4), 329-335.</w:t>
            </w:r>
          </w:p>
        </w:tc>
      </w:tr>
      <w:tr w:rsidR="008D150C" w:rsidRPr="0099228F" w14:paraId="7974B209" w14:textId="77777777" w:rsidTr="00697F95">
        <w:trPr>
          <w:trHeight w:val="250"/>
        </w:trPr>
        <w:tc>
          <w:tcPr>
            <w:tcW w:w="9406" w:type="dxa"/>
            <w:tcBorders>
              <w:top w:val="nil"/>
              <w:left w:val="nil"/>
              <w:bottom w:val="nil"/>
              <w:right w:val="nil"/>
            </w:tcBorders>
            <w:shd w:val="clear" w:color="auto" w:fill="auto"/>
            <w:noWrap/>
            <w:vAlign w:val="bottom"/>
            <w:hideMark/>
          </w:tcPr>
          <w:p w14:paraId="3138AE0E" w14:textId="57186F32" w:rsidR="004D7A7E" w:rsidRDefault="004D7A7E" w:rsidP="00E94D93">
            <w:pPr>
              <w:spacing w:after="0" w:line="240" w:lineRule="auto"/>
              <w:ind w:left="720" w:hanging="720"/>
              <w:rPr>
                <w:rFonts w:ascii="Arial" w:eastAsia="Times New Roman" w:hAnsi="Arial" w:cs="Arial"/>
                <w:color w:val="222222"/>
                <w:sz w:val="20"/>
                <w:szCs w:val="20"/>
                <w:shd w:val="clear" w:color="auto" w:fill="FFFFFF"/>
                <w:lang w:eastAsia="en-GB"/>
              </w:rPr>
            </w:pPr>
            <w:r w:rsidRPr="00601E17">
              <w:rPr>
                <w:rFonts w:ascii="Arial" w:eastAsia="Times New Roman" w:hAnsi="Arial" w:cs="Arial"/>
                <w:color w:val="222222"/>
                <w:sz w:val="20"/>
                <w:szCs w:val="20"/>
                <w:shd w:val="clear" w:color="auto" w:fill="FFFFFF"/>
                <w:lang w:val="it-IT" w:eastAsia="en-GB"/>
              </w:rPr>
              <w:t xml:space="preserve">Dunz, N., Naqvi, A., &amp; Monasterolo, I. (2021). </w:t>
            </w:r>
            <w:r w:rsidRPr="00646A18">
              <w:rPr>
                <w:rFonts w:ascii="Arial" w:eastAsia="Times New Roman" w:hAnsi="Arial" w:cs="Arial"/>
                <w:color w:val="222222"/>
                <w:sz w:val="20"/>
                <w:szCs w:val="20"/>
                <w:shd w:val="clear" w:color="auto" w:fill="FFFFFF"/>
                <w:lang w:eastAsia="en-GB"/>
              </w:rPr>
              <w:t>Climate sentiments, transition risk, and financial stability in a stock-flow consistent model. </w:t>
            </w:r>
            <w:r w:rsidRPr="00646A18">
              <w:rPr>
                <w:rFonts w:ascii="Arial" w:eastAsia="Times New Roman" w:hAnsi="Arial" w:cs="Arial"/>
                <w:i/>
                <w:iCs/>
                <w:color w:val="222222"/>
                <w:sz w:val="20"/>
                <w:szCs w:val="20"/>
                <w:shd w:val="clear" w:color="auto" w:fill="FFFFFF"/>
                <w:lang w:eastAsia="en-GB"/>
              </w:rPr>
              <w:t>Journal of Financial Stability</w:t>
            </w:r>
            <w:r w:rsidRPr="00646A18">
              <w:rPr>
                <w:rFonts w:ascii="Arial" w:eastAsia="Times New Roman" w:hAnsi="Arial" w:cs="Arial"/>
                <w:color w:val="222222"/>
                <w:sz w:val="20"/>
                <w:szCs w:val="20"/>
                <w:shd w:val="clear" w:color="auto" w:fill="FFFFFF"/>
                <w:lang w:eastAsia="en-GB"/>
              </w:rPr>
              <w:t>, </w:t>
            </w:r>
            <w:r w:rsidRPr="00646A18">
              <w:rPr>
                <w:rFonts w:ascii="Arial" w:eastAsia="Times New Roman" w:hAnsi="Arial" w:cs="Arial"/>
                <w:i/>
                <w:iCs/>
                <w:color w:val="222222"/>
                <w:sz w:val="20"/>
                <w:szCs w:val="20"/>
                <w:shd w:val="clear" w:color="auto" w:fill="FFFFFF"/>
                <w:lang w:eastAsia="en-GB"/>
              </w:rPr>
              <w:t>54</w:t>
            </w:r>
            <w:r w:rsidRPr="00646A18">
              <w:rPr>
                <w:rFonts w:ascii="Arial" w:eastAsia="Times New Roman" w:hAnsi="Arial" w:cs="Arial"/>
                <w:color w:val="222222"/>
                <w:sz w:val="20"/>
                <w:szCs w:val="20"/>
                <w:shd w:val="clear" w:color="auto" w:fill="FFFFFF"/>
                <w:lang w:eastAsia="en-GB"/>
              </w:rPr>
              <w:t>, 100872</w:t>
            </w:r>
            <w:r w:rsidR="00883AA8">
              <w:rPr>
                <w:rFonts w:ascii="Arial" w:eastAsia="Times New Roman" w:hAnsi="Arial" w:cs="Arial"/>
                <w:color w:val="222222"/>
                <w:sz w:val="20"/>
                <w:szCs w:val="20"/>
                <w:shd w:val="clear" w:color="auto" w:fill="FFFFFF"/>
                <w:lang w:eastAsia="en-GB"/>
              </w:rPr>
              <w:t xml:space="preserve">. </w:t>
            </w:r>
          </w:p>
          <w:p w14:paraId="15C62093" w14:textId="77777777" w:rsidR="004D7A7E" w:rsidRDefault="004D7A7E" w:rsidP="00E94D93">
            <w:pPr>
              <w:spacing w:after="0" w:line="240" w:lineRule="auto"/>
              <w:ind w:left="720" w:hanging="720"/>
              <w:rPr>
                <w:rFonts w:ascii="Arial" w:eastAsia="Times New Roman" w:hAnsi="Arial" w:cs="Arial"/>
                <w:color w:val="222222"/>
                <w:sz w:val="20"/>
                <w:szCs w:val="20"/>
                <w:shd w:val="clear" w:color="auto" w:fill="FFFFFF"/>
                <w:lang w:eastAsia="en-GB"/>
              </w:rPr>
            </w:pPr>
          </w:p>
          <w:p w14:paraId="489BEE98" w14:textId="5AAC0EF1" w:rsidR="00E94D93" w:rsidRPr="0099228F" w:rsidRDefault="00E94D93" w:rsidP="00E94D93">
            <w:pPr>
              <w:spacing w:after="0" w:line="240" w:lineRule="auto"/>
              <w:ind w:left="720" w:hanging="720"/>
              <w:rPr>
                <w:rFonts w:eastAsia="Times New Roman" w:cstheme="minorHAnsi"/>
                <w:lang w:eastAsia="de-CH"/>
              </w:rPr>
            </w:pPr>
            <w:r w:rsidRPr="00B8367E">
              <w:rPr>
                <w:rFonts w:eastAsia="Times New Roman" w:cstheme="minorHAnsi"/>
                <w:lang w:eastAsia="de-CH"/>
              </w:rPr>
              <w:t xml:space="preserve">Del </w:t>
            </w:r>
            <w:proofErr w:type="spellStart"/>
            <w:r w:rsidRPr="00B8367E">
              <w:rPr>
                <w:rFonts w:eastAsia="Times New Roman" w:cstheme="minorHAnsi"/>
                <w:lang w:eastAsia="de-CH"/>
              </w:rPr>
              <w:t>Granado</w:t>
            </w:r>
            <w:proofErr w:type="spellEnd"/>
            <w:r w:rsidRPr="00B8367E">
              <w:rPr>
                <w:rFonts w:eastAsia="Times New Roman" w:cstheme="minorHAnsi"/>
                <w:lang w:eastAsia="de-CH"/>
              </w:rPr>
              <w:t xml:space="preserve">, P. C., Van </w:t>
            </w:r>
            <w:proofErr w:type="spellStart"/>
            <w:r w:rsidRPr="00B8367E">
              <w:rPr>
                <w:rFonts w:eastAsia="Times New Roman" w:cstheme="minorHAnsi"/>
                <w:lang w:eastAsia="de-CH"/>
              </w:rPr>
              <w:t>Nieuwkoop</w:t>
            </w:r>
            <w:proofErr w:type="spellEnd"/>
            <w:r w:rsidRPr="00B8367E">
              <w:rPr>
                <w:rFonts w:eastAsia="Times New Roman" w:cstheme="minorHAnsi"/>
                <w:lang w:eastAsia="de-CH"/>
              </w:rPr>
              <w:t xml:space="preserve">, R. H., </w:t>
            </w:r>
            <w:proofErr w:type="spellStart"/>
            <w:r w:rsidRPr="00B8367E">
              <w:rPr>
                <w:rFonts w:eastAsia="Times New Roman" w:cstheme="minorHAnsi"/>
                <w:lang w:eastAsia="de-CH"/>
              </w:rPr>
              <w:t>Kardakos</w:t>
            </w:r>
            <w:proofErr w:type="spellEnd"/>
            <w:r w:rsidRPr="00B8367E">
              <w:rPr>
                <w:rFonts w:eastAsia="Times New Roman" w:cstheme="minorHAnsi"/>
                <w:lang w:eastAsia="de-CH"/>
              </w:rPr>
              <w:t xml:space="preserve">, E. G., &amp; Schaffner, C. (2018). </w:t>
            </w:r>
            <w:r w:rsidRPr="0099228F">
              <w:rPr>
                <w:rFonts w:eastAsia="Times New Roman" w:cstheme="minorHAnsi"/>
                <w:lang w:eastAsia="de-CH"/>
              </w:rPr>
              <w:t xml:space="preserve">Modelling the energy transition: A nexus of energy system and economic models. </w:t>
            </w:r>
            <w:r w:rsidRPr="0099228F">
              <w:rPr>
                <w:rFonts w:eastAsia="Times New Roman" w:cstheme="minorHAnsi"/>
                <w:i/>
                <w:iCs/>
                <w:lang w:eastAsia="de-CH"/>
              </w:rPr>
              <w:t>Energy strategy reviews</w:t>
            </w:r>
            <w:r w:rsidRPr="0099228F">
              <w:rPr>
                <w:rFonts w:eastAsia="Times New Roman" w:cstheme="minorHAnsi"/>
                <w:lang w:eastAsia="de-CH"/>
              </w:rPr>
              <w:t xml:space="preserve">, </w:t>
            </w:r>
            <w:r w:rsidRPr="0099228F">
              <w:rPr>
                <w:rFonts w:eastAsia="Times New Roman" w:cstheme="minorHAnsi"/>
                <w:i/>
                <w:iCs/>
                <w:lang w:eastAsia="de-CH"/>
              </w:rPr>
              <w:t>20</w:t>
            </w:r>
            <w:r w:rsidRPr="0099228F">
              <w:rPr>
                <w:rFonts w:eastAsia="Times New Roman" w:cstheme="minorHAnsi"/>
                <w:lang w:eastAsia="de-CH"/>
              </w:rPr>
              <w:t>, 229-235.</w:t>
            </w:r>
          </w:p>
          <w:p w14:paraId="7ED62C76"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 xml:space="preserve">Ekins, P., </w:t>
            </w:r>
            <w:proofErr w:type="spellStart"/>
            <w:r w:rsidRPr="0099228F">
              <w:rPr>
                <w:rFonts w:eastAsia="Times New Roman" w:cstheme="minorHAnsi"/>
                <w:color w:val="000000"/>
                <w:lang w:eastAsia="de-CH"/>
              </w:rPr>
              <w:t>Anandarajah</w:t>
            </w:r>
            <w:proofErr w:type="spellEnd"/>
            <w:r w:rsidRPr="0099228F">
              <w:rPr>
                <w:rFonts w:eastAsia="Times New Roman" w:cstheme="minorHAnsi"/>
                <w:color w:val="000000"/>
                <w:lang w:eastAsia="de-CH"/>
              </w:rPr>
              <w:t xml:space="preserve">, G., &amp; Strachan, N. (2011). Towards a low-carbon economy: scenarios and policies for the UK. Climate Policy, 11(2), 865-882. </w:t>
            </w:r>
          </w:p>
        </w:tc>
      </w:tr>
      <w:tr w:rsidR="008D150C" w:rsidRPr="0099228F" w14:paraId="60BD9FE9" w14:textId="77777777" w:rsidTr="00697F95">
        <w:trPr>
          <w:trHeight w:val="250"/>
        </w:trPr>
        <w:tc>
          <w:tcPr>
            <w:tcW w:w="9406" w:type="dxa"/>
            <w:tcBorders>
              <w:top w:val="nil"/>
              <w:left w:val="nil"/>
              <w:bottom w:val="nil"/>
              <w:right w:val="nil"/>
            </w:tcBorders>
            <w:shd w:val="clear" w:color="auto" w:fill="auto"/>
            <w:noWrap/>
            <w:vAlign w:val="bottom"/>
            <w:hideMark/>
          </w:tcPr>
          <w:p w14:paraId="0CDEF730"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Fontana, G., &amp; Sawyer, M. (2016). Towards post-Keynesian ecological macroeconomics. Ecological Economics, 121, 186-195.</w:t>
            </w:r>
          </w:p>
        </w:tc>
      </w:tr>
      <w:tr w:rsidR="008D150C" w:rsidRPr="0099228F" w14:paraId="2B5CDD9A" w14:textId="77777777" w:rsidTr="00697F95">
        <w:trPr>
          <w:trHeight w:val="250"/>
        </w:trPr>
        <w:tc>
          <w:tcPr>
            <w:tcW w:w="9406" w:type="dxa"/>
            <w:tcBorders>
              <w:top w:val="nil"/>
              <w:left w:val="nil"/>
              <w:bottom w:val="nil"/>
              <w:right w:val="nil"/>
            </w:tcBorders>
            <w:shd w:val="clear" w:color="auto" w:fill="auto"/>
            <w:noWrap/>
            <w:vAlign w:val="bottom"/>
            <w:hideMark/>
          </w:tcPr>
          <w:p w14:paraId="17D04170" w14:textId="77777777" w:rsidR="00BA566A" w:rsidRPr="00B8367E" w:rsidRDefault="00BA566A" w:rsidP="00BA566A">
            <w:pPr>
              <w:spacing w:after="0" w:line="240" w:lineRule="auto"/>
              <w:jc w:val="left"/>
              <w:rPr>
                <w:rFonts w:eastAsia="Times New Roman" w:cstheme="minorHAnsi"/>
                <w:lang w:eastAsia="en-GB"/>
              </w:rPr>
            </w:pPr>
            <w:r w:rsidRPr="00B8367E">
              <w:rPr>
                <w:rFonts w:eastAsia="Times New Roman" w:cstheme="minorHAnsi"/>
                <w:lang w:val="de-CH" w:eastAsia="en-GB"/>
              </w:rPr>
              <w:t xml:space="preserve">Hafner, S., Jones, A., &amp; Anger-Kraavi, A. (2021). </w:t>
            </w:r>
            <w:r w:rsidRPr="00B8367E">
              <w:rPr>
                <w:rFonts w:eastAsia="Times New Roman" w:cstheme="minorHAnsi"/>
                <w:lang w:eastAsia="en-GB"/>
              </w:rPr>
              <w:t xml:space="preserve">Economic impacts of achieving a net-zero emissions target in the energy sector. </w:t>
            </w:r>
            <w:r w:rsidRPr="00B8367E">
              <w:rPr>
                <w:rFonts w:eastAsia="Times New Roman" w:cstheme="minorHAnsi"/>
                <w:i/>
                <w:iCs/>
                <w:lang w:eastAsia="en-GB"/>
              </w:rPr>
              <w:t>Journal of Cleaner Production</w:t>
            </w:r>
            <w:r w:rsidRPr="00B8367E">
              <w:rPr>
                <w:rFonts w:eastAsia="Times New Roman" w:cstheme="minorHAnsi"/>
                <w:lang w:eastAsia="en-GB"/>
              </w:rPr>
              <w:t>, 127610.</w:t>
            </w:r>
          </w:p>
          <w:p w14:paraId="7764A829" w14:textId="6B942A3F" w:rsidR="007F6BB1" w:rsidRPr="009C05A3" w:rsidRDefault="007F6BB1" w:rsidP="00697F95">
            <w:pPr>
              <w:spacing w:before="240" w:after="0" w:line="276" w:lineRule="auto"/>
              <w:ind w:left="709" w:hanging="709"/>
              <w:rPr>
                <w:rFonts w:eastAsia="Times New Roman" w:cstheme="minorHAnsi"/>
                <w:color w:val="000000"/>
                <w:lang w:eastAsia="de-CH"/>
              </w:rPr>
            </w:pPr>
            <w:r w:rsidRPr="00B8367E">
              <w:rPr>
                <w:rFonts w:eastAsia="Times New Roman" w:cstheme="minorHAnsi"/>
                <w:color w:val="000000"/>
                <w:lang w:eastAsia="de-CH"/>
              </w:rPr>
              <w:t>Hafner, S., Jones, A., Anger-</w:t>
            </w:r>
            <w:proofErr w:type="spellStart"/>
            <w:r w:rsidRPr="00B8367E">
              <w:rPr>
                <w:rFonts w:eastAsia="Times New Roman" w:cstheme="minorHAnsi"/>
                <w:color w:val="000000"/>
                <w:lang w:eastAsia="de-CH"/>
              </w:rPr>
              <w:t>Kraavi</w:t>
            </w:r>
            <w:proofErr w:type="spellEnd"/>
            <w:r w:rsidRPr="00B8367E">
              <w:rPr>
                <w:rFonts w:eastAsia="Times New Roman" w:cstheme="minorHAnsi"/>
                <w:color w:val="000000"/>
                <w:lang w:eastAsia="de-CH"/>
              </w:rPr>
              <w:t xml:space="preserve">, A., &amp; Pohl, J. (2020a). </w:t>
            </w:r>
            <w:r w:rsidRPr="0099228F">
              <w:rPr>
                <w:rFonts w:eastAsia="Times New Roman" w:cstheme="minorHAnsi"/>
                <w:color w:val="000000"/>
                <w:lang w:eastAsia="de-CH"/>
              </w:rPr>
              <w:t xml:space="preserve">Closing the green finance gap–A systems perspective. </w:t>
            </w:r>
            <w:r w:rsidRPr="009C05A3">
              <w:rPr>
                <w:rFonts w:eastAsia="Times New Roman" w:cstheme="minorHAnsi"/>
                <w:color w:val="000000"/>
                <w:lang w:eastAsia="de-CH"/>
              </w:rPr>
              <w:t>Environmental Innovation and Societal Transitions, 34, 26-60.</w:t>
            </w:r>
          </w:p>
          <w:p w14:paraId="65ACA5AD" w14:textId="2E25AEBF" w:rsidR="008D150C" w:rsidRPr="00967105" w:rsidRDefault="008D150C" w:rsidP="00697F95">
            <w:pPr>
              <w:spacing w:before="240" w:after="0" w:line="276" w:lineRule="auto"/>
              <w:ind w:left="709" w:hanging="709"/>
              <w:rPr>
                <w:rFonts w:eastAsia="Times New Roman" w:cstheme="minorHAnsi"/>
                <w:color w:val="000000"/>
                <w:lang w:eastAsia="de-CH"/>
              </w:rPr>
            </w:pPr>
            <w:r w:rsidRPr="009C05A3">
              <w:rPr>
                <w:rFonts w:eastAsia="Times New Roman" w:cstheme="minorHAnsi"/>
                <w:color w:val="000000"/>
                <w:lang w:eastAsia="de-CH"/>
              </w:rPr>
              <w:t>Hafner, S., Anger-</w:t>
            </w:r>
            <w:proofErr w:type="spellStart"/>
            <w:r w:rsidRPr="009C05A3">
              <w:rPr>
                <w:rFonts w:eastAsia="Times New Roman" w:cstheme="minorHAnsi"/>
                <w:color w:val="000000"/>
                <w:lang w:eastAsia="de-CH"/>
              </w:rPr>
              <w:t>Kraavi</w:t>
            </w:r>
            <w:proofErr w:type="spellEnd"/>
            <w:r w:rsidRPr="009C05A3">
              <w:rPr>
                <w:rFonts w:eastAsia="Times New Roman" w:cstheme="minorHAnsi"/>
                <w:color w:val="000000"/>
                <w:lang w:eastAsia="de-CH"/>
              </w:rPr>
              <w:t xml:space="preserve">, A., </w:t>
            </w:r>
            <w:proofErr w:type="spellStart"/>
            <w:r w:rsidRPr="009C05A3">
              <w:rPr>
                <w:rFonts w:eastAsia="Times New Roman" w:cstheme="minorHAnsi"/>
                <w:color w:val="000000"/>
                <w:lang w:eastAsia="de-CH"/>
              </w:rPr>
              <w:t>Monasterolo</w:t>
            </w:r>
            <w:proofErr w:type="spellEnd"/>
            <w:r w:rsidRPr="009C05A3">
              <w:rPr>
                <w:rFonts w:eastAsia="Times New Roman" w:cstheme="minorHAnsi"/>
                <w:color w:val="000000"/>
                <w:lang w:eastAsia="de-CH"/>
              </w:rPr>
              <w:t>, I., &amp; Jones, A. (2020</w:t>
            </w:r>
            <w:r w:rsidR="007F6BB1" w:rsidRPr="009C05A3">
              <w:rPr>
                <w:rFonts w:eastAsia="Times New Roman" w:cstheme="minorHAnsi"/>
                <w:color w:val="000000"/>
                <w:lang w:eastAsia="de-CH"/>
              </w:rPr>
              <w:t>b</w:t>
            </w:r>
            <w:r w:rsidRPr="00967105">
              <w:rPr>
                <w:rFonts w:eastAsia="Times New Roman" w:cstheme="minorHAnsi"/>
                <w:color w:val="000000"/>
                <w:lang w:eastAsia="de-CH"/>
              </w:rPr>
              <w:t>). Emergence of New Economics Energy Transition Models: A Review. Ecological Economics, 177, 106779.</w:t>
            </w:r>
          </w:p>
        </w:tc>
      </w:tr>
      <w:tr w:rsidR="008D150C" w:rsidRPr="0099228F" w14:paraId="48BB02BD" w14:textId="77777777" w:rsidTr="00697F95">
        <w:trPr>
          <w:trHeight w:val="250"/>
        </w:trPr>
        <w:tc>
          <w:tcPr>
            <w:tcW w:w="9406" w:type="dxa"/>
            <w:tcBorders>
              <w:top w:val="nil"/>
              <w:left w:val="nil"/>
              <w:bottom w:val="nil"/>
              <w:right w:val="nil"/>
            </w:tcBorders>
            <w:shd w:val="clear" w:color="auto" w:fill="auto"/>
            <w:noWrap/>
            <w:vAlign w:val="bottom"/>
            <w:hideMark/>
          </w:tcPr>
          <w:p w14:paraId="24AE2B2C"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val="fr-CH" w:eastAsia="de-CH"/>
              </w:rPr>
              <w:t xml:space="preserve">Hafner, S., James, O., &amp; Jones, A. (2019). </w:t>
            </w:r>
            <w:r w:rsidRPr="0099228F">
              <w:rPr>
                <w:rFonts w:eastAsia="Times New Roman" w:cstheme="minorHAnsi"/>
                <w:color w:val="000000"/>
                <w:lang w:eastAsia="de-CH"/>
              </w:rPr>
              <w:t>A scoping review of barriers to investment in climate change solutions. Sustainability, 11(11), 3201.</w:t>
            </w:r>
          </w:p>
        </w:tc>
      </w:tr>
      <w:tr w:rsidR="008D150C" w:rsidRPr="0099228F" w14:paraId="3CD7C619" w14:textId="77777777" w:rsidTr="00697F95">
        <w:trPr>
          <w:trHeight w:val="250"/>
        </w:trPr>
        <w:tc>
          <w:tcPr>
            <w:tcW w:w="9406" w:type="dxa"/>
            <w:tcBorders>
              <w:top w:val="nil"/>
              <w:left w:val="nil"/>
              <w:bottom w:val="nil"/>
              <w:right w:val="nil"/>
            </w:tcBorders>
            <w:shd w:val="clear" w:color="auto" w:fill="auto"/>
            <w:noWrap/>
            <w:vAlign w:val="bottom"/>
            <w:hideMark/>
          </w:tcPr>
          <w:p w14:paraId="4964D8A3" w14:textId="528D8308" w:rsidR="008D150C" w:rsidRPr="0099228F" w:rsidRDefault="008D150C" w:rsidP="00697F95">
            <w:pPr>
              <w:spacing w:before="240" w:after="0" w:line="276" w:lineRule="auto"/>
              <w:ind w:left="709" w:hanging="709"/>
              <w:rPr>
                <w:rFonts w:eastAsia="Times New Roman" w:cstheme="minorHAnsi"/>
                <w:color w:val="000000"/>
                <w:lang w:eastAsia="de-CH"/>
              </w:rPr>
            </w:pPr>
          </w:p>
        </w:tc>
      </w:tr>
      <w:tr w:rsidR="008D150C" w:rsidRPr="0099228F" w14:paraId="4224FFD0" w14:textId="77777777" w:rsidTr="00697F95">
        <w:trPr>
          <w:trHeight w:val="250"/>
        </w:trPr>
        <w:tc>
          <w:tcPr>
            <w:tcW w:w="9406" w:type="dxa"/>
            <w:tcBorders>
              <w:top w:val="nil"/>
              <w:left w:val="nil"/>
              <w:bottom w:val="nil"/>
              <w:right w:val="nil"/>
            </w:tcBorders>
            <w:shd w:val="clear" w:color="auto" w:fill="auto"/>
            <w:noWrap/>
            <w:vAlign w:val="bottom"/>
            <w:hideMark/>
          </w:tcPr>
          <w:p w14:paraId="6A3659EE"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 xml:space="preserve">Hardt, L., &amp; O'Neill, D. W. (2017). Ecological Macroeconomic Models: Assessing Current Developments. Ecological Economics, 134, 198-211. </w:t>
            </w:r>
          </w:p>
        </w:tc>
      </w:tr>
      <w:tr w:rsidR="008D150C" w:rsidRPr="0099228F" w14:paraId="04049F23" w14:textId="77777777" w:rsidTr="00697F95">
        <w:trPr>
          <w:trHeight w:val="250"/>
        </w:trPr>
        <w:tc>
          <w:tcPr>
            <w:tcW w:w="9406" w:type="dxa"/>
            <w:tcBorders>
              <w:top w:val="nil"/>
              <w:left w:val="nil"/>
              <w:bottom w:val="nil"/>
              <w:right w:val="nil"/>
            </w:tcBorders>
            <w:shd w:val="clear" w:color="auto" w:fill="auto"/>
            <w:noWrap/>
            <w:vAlign w:val="bottom"/>
            <w:hideMark/>
          </w:tcPr>
          <w:p w14:paraId="2076AE2C" w14:textId="7EA3537E" w:rsidR="006A1B9A" w:rsidRPr="0099228F" w:rsidRDefault="008D150C" w:rsidP="006A1B9A">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lastRenderedPageBreak/>
              <w:t>HM Treasury &amp; Department for Business, Energy &amp; Industrial Strategy (2019). Green finance strategy. Available at: https://www.gov.uk/government/publications/green-finance-strategy (Accessed 14.08.2020).</w:t>
            </w:r>
          </w:p>
        </w:tc>
      </w:tr>
      <w:tr w:rsidR="008D150C" w:rsidRPr="0099228F" w14:paraId="4AE81D39" w14:textId="77777777" w:rsidTr="00697F95">
        <w:trPr>
          <w:trHeight w:val="250"/>
        </w:trPr>
        <w:tc>
          <w:tcPr>
            <w:tcW w:w="9406" w:type="dxa"/>
            <w:tcBorders>
              <w:top w:val="nil"/>
              <w:left w:val="nil"/>
              <w:bottom w:val="nil"/>
              <w:right w:val="nil"/>
            </w:tcBorders>
            <w:shd w:val="clear" w:color="auto" w:fill="auto"/>
            <w:noWrap/>
            <w:vAlign w:val="bottom"/>
            <w:hideMark/>
          </w:tcPr>
          <w:p w14:paraId="6B8DE5CC" w14:textId="77777777" w:rsidR="006A1B9A" w:rsidRPr="00B8367E" w:rsidRDefault="006A1B9A" w:rsidP="00B8367E">
            <w:pPr>
              <w:spacing w:after="220" w:line="240" w:lineRule="auto"/>
              <w:ind w:left="720" w:hanging="720"/>
              <w:jc w:val="left"/>
              <w:rPr>
                <w:rFonts w:eastAsia="Times New Roman" w:cstheme="minorHAnsi"/>
                <w:sz w:val="24"/>
                <w:szCs w:val="24"/>
                <w:lang w:eastAsia="en-GB"/>
              </w:rPr>
            </w:pPr>
            <w:r w:rsidRPr="00B8367E">
              <w:rPr>
                <w:rFonts w:cstheme="minorHAnsi"/>
                <w:lang w:val="it-IT"/>
              </w:rPr>
              <w:t xml:space="preserve">Janamanchi, B., &amp; Burns, J. R. (2013). </w:t>
            </w:r>
            <w:r w:rsidRPr="00B8367E">
              <w:rPr>
                <w:rFonts w:cstheme="minorHAnsi"/>
              </w:rPr>
              <w:t xml:space="preserve">Control theory concepts applied to retail supply chain: a system dynamics </w:t>
            </w:r>
            <w:proofErr w:type="spellStart"/>
            <w:r w:rsidRPr="00B8367E">
              <w:rPr>
                <w:rFonts w:cstheme="minorHAnsi"/>
              </w:rPr>
              <w:t>modeling</w:t>
            </w:r>
            <w:proofErr w:type="spellEnd"/>
            <w:r w:rsidRPr="00B8367E">
              <w:rPr>
                <w:rFonts w:cstheme="minorHAnsi"/>
              </w:rPr>
              <w:t xml:space="preserve"> environment study. Modelling and Simulation in Engineering, 2013</w:t>
            </w:r>
            <w:r w:rsidRPr="00B8367E">
              <w:rPr>
                <w:rFonts w:eastAsia="Times New Roman" w:cstheme="minorHAnsi"/>
                <w:sz w:val="24"/>
                <w:szCs w:val="24"/>
                <w:lang w:eastAsia="en-GB"/>
              </w:rPr>
              <w:t>.</w:t>
            </w:r>
          </w:p>
          <w:p w14:paraId="4059AA54" w14:textId="77777777" w:rsidR="008D150C" w:rsidRPr="009C05A3" w:rsidRDefault="008D150C" w:rsidP="00697F95">
            <w:pPr>
              <w:spacing w:before="240" w:after="0" w:line="276" w:lineRule="auto"/>
              <w:ind w:left="709" w:hanging="709"/>
              <w:rPr>
                <w:rFonts w:eastAsia="Times New Roman" w:cstheme="minorHAnsi"/>
                <w:color w:val="000000"/>
                <w:lang w:eastAsia="de-CH"/>
              </w:rPr>
            </w:pPr>
            <w:proofErr w:type="spellStart"/>
            <w:r w:rsidRPr="00B8367E">
              <w:rPr>
                <w:rFonts w:eastAsia="Times New Roman" w:cstheme="minorHAnsi"/>
                <w:color w:val="000000"/>
                <w:lang w:eastAsia="de-CH"/>
              </w:rPr>
              <w:t>Lamperti</w:t>
            </w:r>
            <w:proofErr w:type="spellEnd"/>
            <w:r w:rsidRPr="00B8367E">
              <w:rPr>
                <w:rFonts w:eastAsia="Times New Roman" w:cstheme="minorHAnsi"/>
                <w:color w:val="000000"/>
                <w:lang w:eastAsia="de-CH"/>
              </w:rPr>
              <w:t xml:space="preserve">, F., </w:t>
            </w:r>
            <w:proofErr w:type="spellStart"/>
            <w:r w:rsidRPr="00B8367E">
              <w:rPr>
                <w:rFonts w:eastAsia="Times New Roman" w:cstheme="minorHAnsi"/>
                <w:color w:val="000000"/>
                <w:lang w:eastAsia="de-CH"/>
              </w:rPr>
              <w:t>Bosetti</w:t>
            </w:r>
            <w:proofErr w:type="spellEnd"/>
            <w:r w:rsidRPr="00B8367E">
              <w:rPr>
                <w:rFonts w:eastAsia="Times New Roman" w:cstheme="minorHAnsi"/>
                <w:color w:val="000000"/>
                <w:lang w:eastAsia="de-CH"/>
              </w:rPr>
              <w:t xml:space="preserve">, V., </w:t>
            </w:r>
            <w:proofErr w:type="spellStart"/>
            <w:r w:rsidRPr="00B8367E">
              <w:rPr>
                <w:rFonts w:eastAsia="Times New Roman" w:cstheme="minorHAnsi"/>
                <w:color w:val="000000"/>
                <w:lang w:eastAsia="de-CH"/>
              </w:rPr>
              <w:t>Roventini</w:t>
            </w:r>
            <w:proofErr w:type="spellEnd"/>
            <w:r w:rsidRPr="00B8367E">
              <w:rPr>
                <w:rFonts w:eastAsia="Times New Roman" w:cstheme="minorHAnsi"/>
                <w:color w:val="000000"/>
                <w:lang w:eastAsia="de-CH"/>
              </w:rPr>
              <w:t xml:space="preserve">, A., &amp; </w:t>
            </w:r>
            <w:proofErr w:type="spellStart"/>
            <w:r w:rsidRPr="00B8367E">
              <w:rPr>
                <w:rFonts w:eastAsia="Times New Roman" w:cstheme="minorHAnsi"/>
                <w:color w:val="000000"/>
                <w:lang w:eastAsia="de-CH"/>
              </w:rPr>
              <w:t>Tavoni</w:t>
            </w:r>
            <w:proofErr w:type="spellEnd"/>
            <w:r w:rsidRPr="00B8367E">
              <w:rPr>
                <w:rFonts w:eastAsia="Times New Roman" w:cstheme="minorHAnsi"/>
                <w:color w:val="000000"/>
                <w:lang w:eastAsia="de-CH"/>
              </w:rPr>
              <w:t xml:space="preserve">, M. (2019). </w:t>
            </w:r>
            <w:r w:rsidRPr="0099228F">
              <w:rPr>
                <w:rFonts w:eastAsia="Times New Roman" w:cstheme="minorHAnsi"/>
                <w:color w:val="000000"/>
                <w:lang w:eastAsia="de-CH"/>
              </w:rPr>
              <w:t>The public costs of climate-induced financial instabil</w:t>
            </w:r>
            <w:r w:rsidRPr="009C05A3">
              <w:rPr>
                <w:rFonts w:eastAsia="Times New Roman" w:cstheme="minorHAnsi"/>
                <w:color w:val="000000"/>
                <w:lang w:eastAsia="de-CH"/>
              </w:rPr>
              <w:t>ity. Nature Climate Change, 9(11), 829-833.</w:t>
            </w:r>
          </w:p>
        </w:tc>
      </w:tr>
      <w:tr w:rsidR="008D150C" w:rsidRPr="0099228F" w14:paraId="72A5A027" w14:textId="77777777" w:rsidTr="00697F95">
        <w:trPr>
          <w:trHeight w:val="250"/>
        </w:trPr>
        <w:tc>
          <w:tcPr>
            <w:tcW w:w="9406" w:type="dxa"/>
            <w:tcBorders>
              <w:top w:val="nil"/>
              <w:left w:val="nil"/>
              <w:bottom w:val="nil"/>
              <w:right w:val="nil"/>
            </w:tcBorders>
            <w:shd w:val="clear" w:color="auto" w:fill="auto"/>
            <w:noWrap/>
            <w:vAlign w:val="bottom"/>
            <w:hideMark/>
          </w:tcPr>
          <w:p w14:paraId="45B60333"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Lavoie, M. (2014). Post-Keynesian economics: new foundations. Edward Elgar Publishing.</w:t>
            </w:r>
          </w:p>
        </w:tc>
      </w:tr>
      <w:tr w:rsidR="008D150C" w:rsidRPr="0099228F" w14:paraId="67DACA15" w14:textId="77777777" w:rsidTr="00697F95">
        <w:trPr>
          <w:trHeight w:val="250"/>
        </w:trPr>
        <w:tc>
          <w:tcPr>
            <w:tcW w:w="9406" w:type="dxa"/>
            <w:tcBorders>
              <w:top w:val="nil"/>
              <w:left w:val="nil"/>
              <w:bottom w:val="nil"/>
              <w:right w:val="nil"/>
            </w:tcBorders>
            <w:shd w:val="clear" w:color="auto" w:fill="auto"/>
            <w:noWrap/>
            <w:vAlign w:val="bottom"/>
            <w:hideMark/>
          </w:tcPr>
          <w:p w14:paraId="56FDF632"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 xml:space="preserve">Mercure, J. F., Knobloch, F., Pollitt, H., </w:t>
            </w:r>
            <w:proofErr w:type="spellStart"/>
            <w:r w:rsidRPr="0099228F">
              <w:rPr>
                <w:rFonts w:eastAsia="Times New Roman" w:cstheme="minorHAnsi"/>
                <w:color w:val="000000"/>
                <w:lang w:eastAsia="de-CH"/>
              </w:rPr>
              <w:t>Paroussos</w:t>
            </w:r>
            <w:proofErr w:type="spellEnd"/>
            <w:r w:rsidRPr="0099228F">
              <w:rPr>
                <w:rFonts w:eastAsia="Times New Roman" w:cstheme="minorHAnsi"/>
                <w:color w:val="000000"/>
                <w:lang w:eastAsia="de-CH"/>
              </w:rPr>
              <w:t xml:space="preserve">, L., </w:t>
            </w:r>
            <w:proofErr w:type="spellStart"/>
            <w:r w:rsidRPr="0099228F">
              <w:rPr>
                <w:rFonts w:eastAsia="Times New Roman" w:cstheme="minorHAnsi"/>
                <w:color w:val="000000"/>
                <w:lang w:eastAsia="de-CH"/>
              </w:rPr>
              <w:t>Scrieciu</w:t>
            </w:r>
            <w:proofErr w:type="spellEnd"/>
            <w:r w:rsidRPr="0099228F">
              <w:rPr>
                <w:rFonts w:eastAsia="Times New Roman" w:cstheme="minorHAnsi"/>
                <w:color w:val="000000"/>
                <w:lang w:eastAsia="de-CH"/>
              </w:rPr>
              <w:t xml:space="preserve">, S. S., &amp; </w:t>
            </w:r>
            <w:proofErr w:type="spellStart"/>
            <w:r w:rsidRPr="0099228F">
              <w:rPr>
                <w:rFonts w:eastAsia="Times New Roman" w:cstheme="minorHAnsi"/>
                <w:color w:val="000000"/>
                <w:lang w:eastAsia="de-CH"/>
              </w:rPr>
              <w:t>Lewney</w:t>
            </w:r>
            <w:proofErr w:type="spellEnd"/>
            <w:r w:rsidRPr="0099228F">
              <w:rPr>
                <w:rFonts w:eastAsia="Times New Roman" w:cstheme="minorHAnsi"/>
                <w:color w:val="000000"/>
                <w:lang w:eastAsia="de-CH"/>
              </w:rPr>
              <w:t>, R. (2019). Modelling innovation and the macroeconomics of low-carbon transitions: theory, perspectives and practical use. Climate Policy, 19(8), 1019-1037.</w:t>
            </w:r>
          </w:p>
        </w:tc>
      </w:tr>
      <w:tr w:rsidR="008D150C" w:rsidRPr="0099228F" w14:paraId="1A620B5C" w14:textId="77777777" w:rsidTr="00697F95">
        <w:trPr>
          <w:trHeight w:val="250"/>
        </w:trPr>
        <w:tc>
          <w:tcPr>
            <w:tcW w:w="9406" w:type="dxa"/>
            <w:tcBorders>
              <w:top w:val="nil"/>
              <w:left w:val="nil"/>
              <w:bottom w:val="nil"/>
              <w:right w:val="nil"/>
            </w:tcBorders>
            <w:shd w:val="clear" w:color="auto" w:fill="auto"/>
            <w:noWrap/>
            <w:vAlign w:val="bottom"/>
            <w:hideMark/>
          </w:tcPr>
          <w:p w14:paraId="4F877360"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 xml:space="preserve">Mercure, J. F., Pollitt, H., Viñuales, J. E., Edwards, N. R., Holden, P. B., </w:t>
            </w:r>
            <w:proofErr w:type="spellStart"/>
            <w:r w:rsidRPr="0099228F">
              <w:rPr>
                <w:rFonts w:eastAsia="Times New Roman" w:cstheme="minorHAnsi"/>
                <w:color w:val="000000"/>
                <w:lang w:eastAsia="de-CH"/>
              </w:rPr>
              <w:t>Chewpreecha</w:t>
            </w:r>
            <w:proofErr w:type="spellEnd"/>
            <w:r w:rsidRPr="0099228F">
              <w:rPr>
                <w:rFonts w:eastAsia="Times New Roman" w:cstheme="minorHAnsi"/>
                <w:color w:val="000000"/>
                <w:lang w:eastAsia="de-CH"/>
              </w:rPr>
              <w:t>, U., ... &amp; Knobloch, F. (2018). Macroeconomic impact of stranded fossil fuel assets. Nature Climate Change, 8(7), 588-593.</w:t>
            </w:r>
          </w:p>
        </w:tc>
      </w:tr>
      <w:tr w:rsidR="008D150C" w:rsidRPr="0099228F" w14:paraId="321EC368" w14:textId="77777777" w:rsidTr="00697F95">
        <w:trPr>
          <w:trHeight w:val="250"/>
        </w:trPr>
        <w:tc>
          <w:tcPr>
            <w:tcW w:w="9406" w:type="dxa"/>
            <w:tcBorders>
              <w:top w:val="nil"/>
              <w:left w:val="nil"/>
              <w:bottom w:val="nil"/>
              <w:right w:val="nil"/>
            </w:tcBorders>
            <w:shd w:val="clear" w:color="auto" w:fill="auto"/>
            <w:noWrap/>
            <w:vAlign w:val="bottom"/>
            <w:hideMark/>
          </w:tcPr>
          <w:p w14:paraId="0CAFF919" w14:textId="77777777" w:rsidR="008D150C" w:rsidRPr="00742840" w:rsidRDefault="008D150C" w:rsidP="00F24C3B">
            <w:pPr>
              <w:spacing w:before="240" w:line="276" w:lineRule="auto"/>
              <w:ind w:left="709" w:hanging="709"/>
              <w:rPr>
                <w:rFonts w:eastAsia="Times New Roman" w:cstheme="minorHAnsi"/>
                <w:color w:val="000000"/>
                <w:lang w:val="de-CH" w:eastAsia="de-CH"/>
              </w:rPr>
            </w:pPr>
            <w:proofErr w:type="spellStart"/>
            <w:r w:rsidRPr="0099228F">
              <w:rPr>
                <w:rFonts w:eastAsia="Times New Roman" w:cstheme="minorHAnsi"/>
                <w:color w:val="000000"/>
                <w:lang w:eastAsia="de-CH"/>
              </w:rPr>
              <w:t>Monasterolo</w:t>
            </w:r>
            <w:proofErr w:type="spellEnd"/>
            <w:r w:rsidRPr="0099228F">
              <w:rPr>
                <w:rFonts w:eastAsia="Times New Roman" w:cstheme="minorHAnsi"/>
                <w:color w:val="000000"/>
                <w:lang w:eastAsia="de-CH"/>
              </w:rPr>
              <w:t xml:space="preserve">, I., &amp; </w:t>
            </w:r>
            <w:proofErr w:type="spellStart"/>
            <w:r w:rsidRPr="0099228F">
              <w:rPr>
                <w:rFonts w:eastAsia="Times New Roman" w:cstheme="minorHAnsi"/>
                <w:color w:val="000000"/>
                <w:lang w:eastAsia="de-CH"/>
              </w:rPr>
              <w:t>Raberto</w:t>
            </w:r>
            <w:proofErr w:type="spellEnd"/>
            <w:r w:rsidRPr="0099228F">
              <w:rPr>
                <w:rFonts w:eastAsia="Times New Roman" w:cstheme="minorHAnsi"/>
                <w:color w:val="000000"/>
                <w:lang w:eastAsia="de-CH"/>
              </w:rPr>
              <w:t xml:space="preserve">, M. (2019). The impact of phasing out fossil fuel subsidies on the low-carbon transition. </w:t>
            </w:r>
            <w:r w:rsidRPr="00080AC8">
              <w:rPr>
                <w:rFonts w:eastAsia="Times New Roman" w:cstheme="minorHAnsi"/>
                <w:color w:val="000000"/>
                <w:lang w:val="de-CH" w:eastAsia="de-CH"/>
              </w:rPr>
              <w:t>Energy Policy, 124, 355-370.</w:t>
            </w:r>
          </w:p>
          <w:p w14:paraId="3E5A87F6" w14:textId="65ACD218" w:rsidR="00F24C3B" w:rsidRPr="0099228F" w:rsidRDefault="00F24C3B" w:rsidP="00F24C3B">
            <w:pPr>
              <w:spacing w:after="0" w:line="240" w:lineRule="auto"/>
              <w:ind w:left="720" w:hanging="720"/>
              <w:rPr>
                <w:rFonts w:eastAsia="Times New Roman" w:cstheme="minorHAnsi"/>
                <w:lang w:eastAsia="de-CH"/>
              </w:rPr>
            </w:pPr>
            <w:r w:rsidRPr="00742840">
              <w:rPr>
                <w:rFonts w:eastAsia="Times New Roman" w:cstheme="minorHAnsi"/>
                <w:lang w:val="de-CH" w:eastAsia="de-CH"/>
              </w:rPr>
              <w:t xml:space="preserve">Nemet, G. F., Jakob, M., Steckel, J. C., &amp; Edenhofer, O. (2017). </w:t>
            </w:r>
            <w:r w:rsidRPr="0099228F">
              <w:rPr>
                <w:rFonts w:eastAsia="Times New Roman" w:cstheme="minorHAnsi"/>
                <w:lang w:eastAsia="de-CH"/>
              </w:rPr>
              <w:t xml:space="preserve">Addressing policy credibility problems for low-carbon investment. </w:t>
            </w:r>
            <w:r w:rsidRPr="0099228F">
              <w:rPr>
                <w:rFonts w:eastAsia="Times New Roman" w:cstheme="minorHAnsi"/>
                <w:i/>
                <w:iCs/>
                <w:lang w:eastAsia="de-CH"/>
              </w:rPr>
              <w:t>Global Environmental Change</w:t>
            </w:r>
            <w:r w:rsidRPr="0099228F">
              <w:rPr>
                <w:rFonts w:eastAsia="Times New Roman" w:cstheme="minorHAnsi"/>
                <w:lang w:eastAsia="de-CH"/>
              </w:rPr>
              <w:t xml:space="preserve">, </w:t>
            </w:r>
            <w:r w:rsidRPr="0099228F">
              <w:rPr>
                <w:rFonts w:eastAsia="Times New Roman" w:cstheme="minorHAnsi"/>
                <w:i/>
                <w:iCs/>
                <w:lang w:eastAsia="de-CH"/>
              </w:rPr>
              <w:t>42</w:t>
            </w:r>
            <w:r w:rsidRPr="0099228F">
              <w:rPr>
                <w:rFonts w:eastAsia="Times New Roman" w:cstheme="minorHAnsi"/>
                <w:lang w:eastAsia="de-CH"/>
              </w:rPr>
              <w:t>, 47-57.</w:t>
            </w:r>
          </w:p>
        </w:tc>
      </w:tr>
      <w:tr w:rsidR="008D150C" w:rsidRPr="0099228F" w14:paraId="384DC7BD" w14:textId="77777777" w:rsidTr="00697F95">
        <w:trPr>
          <w:trHeight w:val="250"/>
        </w:trPr>
        <w:tc>
          <w:tcPr>
            <w:tcW w:w="9406" w:type="dxa"/>
            <w:tcBorders>
              <w:top w:val="nil"/>
              <w:left w:val="nil"/>
              <w:bottom w:val="nil"/>
              <w:right w:val="nil"/>
            </w:tcBorders>
            <w:shd w:val="clear" w:color="auto" w:fill="auto"/>
            <w:noWrap/>
            <w:vAlign w:val="bottom"/>
            <w:hideMark/>
          </w:tcPr>
          <w:p w14:paraId="613B3ADB"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val="it-IT" w:eastAsia="de-CH"/>
              </w:rPr>
              <w:t xml:space="preserve">Ponta, L., Raberto, M., Teglio, A., &amp; Cincotti, S. (2018). </w:t>
            </w:r>
            <w:r w:rsidRPr="0099228F">
              <w:rPr>
                <w:rFonts w:eastAsia="Times New Roman" w:cstheme="minorHAnsi"/>
                <w:color w:val="000000"/>
                <w:lang w:eastAsia="de-CH"/>
              </w:rPr>
              <w:t>An agent-based stock-flow consistent model of the sustainable transition in the energy sector. Ecological economics, 145, 274-300.</w:t>
            </w:r>
          </w:p>
        </w:tc>
      </w:tr>
      <w:tr w:rsidR="008D150C" w:rsidRPr="0099228F" w14:paraId="2EC1A4DF" w14:textId="77777777" w:rsidTr="00697F95">
        <w:trPr>
          <w:trHeight w:val="250"/>
        </w:trPr>
        <w:tc>
          <w:tcPr>
            <w:tcW w:w="9406" w:type="dxa"/>
            <w:tcBorders>
              <w:top w:val="nil"/>
              <w:left w:val="nil"/>
              <w:bottom w:val="nil"/>
              <w:right w:val="nil"/>
            </w:tcBorders>
            <w:shd w:val="clear" w:color="auto" w:fill="auto"/>
            <w:noWrap/>
            <w:vAlign w:val="bottom"/>
            <w:hideMark/>
          </w:tcPr>
          <w:p w14:paraId="12C7498D" w14:textId="3AEF9A71" w:rsidR="008D150C" w:rsidRPr="0099228F" w:rsidRDefault="008D150C" w:rsidP="00283D10">
            <w:pPr>
              <w:spacing w:before="240" w:line="276" w:lineRule="auto"/>
              <w:ind w:left="709" w:hanging="709"/>
              <w:rPr>
                <w:rFonts w:eastAsia="Times New Roman" w:cstheme="minorHAnsi"/>
                <w:color w:val="000000"/>
                <w:lang w:eastAsia="de-CH"/>
              </w:rPr>
            </w:pPr>
            <w:proofErr w:type="spellStart"/>
            <w:r w:rsidRPr="0099228F">
              <w:rPr>
                <w:rFonts w:eastAsia="Times New Roman" w:cstheme="minorHAnsi"/>
                <w:color w:val="000000"/>
                <w:lang w:eastAsia="de-CH"/>
              </w:rPr>
              <w:t>Sterman</w:t>
            </w:r>
            <w:proofErr w:type="spellEnd"/>
            <w:r w:rsidRPr="0099228F">
              <w:rPr>
                <w:rFonts w:eastAsia="Times New Roman" w:cstheme="minorHAnsi"/>
                <w:color w:val="000000"/>
                <w:lang w:eastAsia="de-CH"/>
              </w:rPr>
              <w:t xml:space="preserve">, J. (2000). Business Dynamics: Systems Thinking and </w:t>
            </w:r>
            <w:proofErr w:type="spellStart"/>
            <w:r w:rsidRPr="0099228F">
              <w:rPr>
                <w:rFonts w:eastAsia="Times New Roman" w:cstheme="minorHAnsi"/>
                <w:color w:val="000000"/>
                <w:lang w:eastAsia="de-CH"/>
              </w:rPr>
              <w:t>Modeling</w:t>
            </w:r>
            <w:proofErr w:type="spellEnd"/>
            <w:r w:rsidRPr="0099228F">
              <w:rPr>
                <w:rFonts w:eastAsia="Times New Roman" w:cstheme="minorHAnsi"/>
                <w:color w:val="000000"/>
                <w:lang w:eastAsia="de-CH"/>
              </w:rPr>
              <w:t xml:space="preserve"> for a Complex World. Irwin/McGraw-Hill, Boston. </w:t>
            </w:r>
          </w:p>
          <w:p w14:paraId="1AF471E2" w14:textId="7F6AB005" w:rsidR="00283D10" w:rsidRPr="0099228F" w:rsidRDefault="00283D10" w:rsidP="00B11895">
            <w:pPr>
              <w:spacing w:after="0" w:line="240" w:lineRule="auto"/>
              <w:ind w:left="720" w:hanging="720"/>
              <w:rPr>
                <w:rFonts w:eastAsia="Times New Roman" w:cstheme="minorHAnsi"/>
                <w:lang w:eastAsia="de-CH"/>
              </w:rPr>
            </w:pPr>
            <w:proofErr w:type="spellStart"/>
            <w:r w:rsidRPr="0099228F">
              <w:rPr>
                <w:rFonts w:eastAsia="Times New Roman" w:cstheme="minorHAnsi"/>
                <w:lang w:eastAsia="de-CH"/>
              </w:rPr>
              <w:t>Vandyck</w:t>
            </w:r>
            <w:proofErr w:type="spellEnd"/>
            <w:r w:rsidRPr="0099228F">
              <w:rPr>
                <w:rFonts w:eastAsia="Times New Roman" w:cstheme="minorHAnsi"/>
                <w:lang w:eastAsia="de-CH"/>
              </w:rPr>
              <w:t xml:space="preserve">, T., Keramidas, K., </w:t>
            </w:r>
            <w:proofErr w:type="spellStart"/>
            <w:r w:rsidRPr="0099228F">
              <w:rPr>
                <w:rFonts w:eastAsia="Times New Roman" w:cstheme="minorHAnsi"/>
                <w:lang w:eastAsia="de-CH"/>
              </w:rPr>
              <w:t>Saveyn</w:t>
            </w:r>
            <w:proofErr w:type="spellEnd"/>
            <w:r w:rsidRPr="0099228F">
              <w:rPr>
                <w:rFonts w:eastAsia="Times New Roman" w:cstheme="minorHAnsi"/>
                <w:lang w:eastAsia="de-CH"/>
              </w:rPr>
              <w:t xml:space="preserve">, B., </w:t>
            </w:r>
            <w:proofErr w:type="spellStart"/>
            <w:r w:rsidRPr="0099228F">
              <w:rPr>
                <w:rFonts w:eastAsia="Times New Roman" w:cstheme="minorHAnsi"/>
                <w:lang w:eastAsia="de-CH"/>
              </w:rPr>
              <w:t>Kitous</w:t>
            </w:r>
            <w:proofErr w:type="spellEnd"/>
            <w:r w:rsidRPr="0099228F">
              <w:rPr>
                <w:rFonts w:eastAsia="Times New Roman" w:cstheme="minorHAnsi"/>
                <w:lang w:eastAsia="de-CH"/>
              </w:rPr>
              <w:t xml:space="preserve">, A., &amp; </w:t>
            </w:r>
            <w:proofErr w:type="spellStart"/>
            <w:r w:rsidRPr="0099228F">
              <w:rPr>
                <w:rFonts w:eastAsia="Times New Roman" w:cstheme="minorHAnsi"/>
                <w:lang w:eastAsia="de-CH"/>
              </w:rPr>
              <w:t>Vrontisi</w:t>
            </w:r>
            <w:proofErr w:type="spellEnd"/>
            <w:r w:rsidRPr="0099228F">
              <w:rPr>
                <w:rFonts w:eastAsia="Times New Roman" w:cstheme="minorHAnsi"/>
                <w:lang w:eastAsia="de-CH"/>
              </w:rPr>
              <w:t xml:space="preserve">, Z. (2016). A global stocktake of the Paris pledges: implications for energy systems and economy. </w:t>
            </w:r>
            <w:r w:rsidRPr="0099228F">
              <w:rPr>
                <w:rFonts w:eastAsia="Times New Roman" w:cstheme="minorHAnsi"/>
                <w:i/>
                <w:iCs/>
                <w:lang w:eastAsia="de-CH"/>
              </w:rPr>
              <w:t>Global Environmental Change</w:t>
            </w:r>
            <w:r w:rsidRPr="0099228F">
              <w:rPr>
                <w:rFonts w:eastAsia="Times New Roman" w:cstheme="minorHAnsi"/>
                <w:lang w:eastAsia="de-CH"/>
              </w:rPr>
              <w:t xml:space="preserve">, </w:t>
            </w:r>
            <w:r w:rsidRPr="0099228F">
              <w:rPr>
                <w:rFonts w:eastAsia="Times New Roman" w:cstheme="minorHAnsi"/>
                <w:i/>
                <w:iCs/>
                <w:lang w:eastAsia="de-CH"/>
              </w:rPr>
              <w:t>41</w:t>
            </w:r>
            <w:r w:rsidRPr="0099228F">
              <w:rPr>
                <w:rFonts w:eastAsia="Times New Roman" w:cstheme="minorHAnsi"/>
                <w:lang w:eastAsia="de-CH"/>
              </w:rPr>
              <w:t>, 46-63.</w:t>
            </w:r>
          </w:p>
        </w:tc>
      </w:tr>
      <w:tr w:rsidR="008D150C" w:rsidRPr="0099228F" w14:paraId="617411E4" w14:textId="77777777" w:rsidTr="00697F95">
        <w:trPr>
          <w:trHeight w:val="250"/>
        </w:trPr>
        <w:tc>
          <w:tcPr>
            <w:tcW w:w="9406" w:type="dxa"/>
            <w:tcBorders>
              <w:top w:val="nil"/>
              <w:left w:val="nil"/>
              <w:bottom w:val="nil"/>
              <w:right w:val="nil"/>
            </w:tcBorders>
            <w:shd w:val="clear" w:color="auto" w:fill="auto"/>
            <w:noWrap/>
            <w:vAlign w:val="bottom"/>
            <w:hideMark/>
          </w:tcPr>
          <w:p w14:paraId="55DEDA93" w14:textId="77777777" w:rsidR="008D150C" w:rsidRPr="0099228F" w:rsidRDefault="008D150C" w:rsidP="00697F95">
            <w:pPr>
              <w:spacing w:before="240" w:after="0" w:line="276" w:lineRule="auto"/>
              <w:ind w:left="709" w:hanging="709"/>
              <w:rPr>
                <w:rFonts w:eastAsia="Times New Roman" w:cstheme="minorHAnsi"/>
                <w:color w:val="000000"/>
                <w:lang w:eastAsia="de-CH"/>
              </w:rPr>
            </w:pPr>
            <w:r w:rsidRPr="0099228F">
              <w:rPr>
                <w:rFonts w:eastAsia="Times New Roman" w:cstheme="minorHAnsi"/>
                <w:color w:val="000000"/>
                <w:lang w:eastAsia="de-CH"/>
              </w:rPr>
              <w:t xml:space="preserve">Vivid Economics (2012). Energy and the economy the 2030 outlook for UK businesses. A London School of Economics Report Commissioned by RWE Power. Available at: www.vivideconomics.com/publications/energy-and-the-economy-the-2030-outlook-for-uk-businesses (Accessed 04.05.2019). </w:t>
            </w:r>
          </w:p>
        </w:tc>
      </w:tr>
    </w:tbl>
    <w:p w14:paraId="3FDFF4C7" w14:textId="3B18FFFC" w:rsidR="00B9531A" w:rsidRPr="0070461D" w:rsidRDefault="00B9531A" w:rsidP="00AA7752">
      <w:pPr>
        <w:rPr>
          <w:rFonts w:cstheme="minorHAnsi"/>
        </w:rPr>
      </w:pPr>
    </w:p>
    <w:p w14:paraId="4921433C" w14:textId="77777777" w:rsidR="00B9531A" w:rsidRPr="00202D0C" w:rsidRDefault="00B9531A">
      <w:pPr>
        <w:spacing w:after="160" w:line="259" w:lineRule="auto"/>
        <w:jc w:val="left"/>
        <w:rPr>
          <w:rFonts w:cstheme="minorHAnsi"/>
        </w:rPr>
      </w:pPr>
      <w:r w:rsidRPr="005E5158">
        <w:rPr>
          <w:rFonts w:cstheme="minorHAnsi"/>
        </w:rPr>
        <w:br w:type="page"/>
      </w:r>
    </w:p>
    <w:p w14:paraId="4996C3C5" w14:textId="77777777" w:rsidR="00B9531A" w:rsidRPr="00B8367E" w:rsidRDefault="00B9531A" w:rsidP="00B9531A">
      <w:pPr>
        <w:pStyle w:val="Title"/>
        <w:rPr>
          <w:rFonts w:asciiTheme="minorHAnsi" w:eastAsia="Calibri" w:hAnsiTheme="minorHAnsi" w:cstheme="minorHAnsi"/>
          <w:sz w:val="40"/>
          <w:szCs w:val="40"/>
        </w:rPr>
      </w:pPr>
      <w:r w:rsidRPr="00B8367E">
        <w:rPr>
          <w:rFonts w:asciiTheme="minorHAnsi" w:eastAsia="Calibri" w:hAnsiTheme="minorHAnsi" w:cstheme="minorHAnsi"/>
          <w:sz w:val="40"/>
          <w:szCs w:val="40"/>
        </w:rPr>
        <w:lastRenderedPageBreak/>
        <w:t>Appendix</w:t>
      </w:r>
    </w:p>
    <w:p w14:paraId="49EFC940" w14:textId="37400413" w:rsidR="00D268AF" w:rsidRPr="0099228F" w:rsidRDefault="00D268AF" w:rsidP="002B08E1">
      <w:pPr>
        <w:pStyle w:val="Heading1"/>
        <w:numPr>
          <w:ilvl w:val="0"/>
          <w:numId w:val="0"/>
        </w:numPr>
      </w:pPr>
      <w:r w:rsidRPr="0099228F">
        <w:t>Appendix A – model building process and calibration strategy</w:t>
      </w:r>
      <w:r w:rsidR="00FD5102" w:rsidRPr="0099228F">
        <w:t xml:space="preserve"> in system dynamics</w:t>
      </w:r>
    </w:p>
    <w:p w14:paraId="74E7CB7A" w14:textId="55961FD2" w:rsidR="00FD5102" w:rsidRPr="009C05A3" w:rsidRDefault="004C48F6" w:rsidP="00B8367E">
      <w:pPr>
        <w:pStyle w:val="Heading2"/>
        <w:rPr>
          <w:color w:val="ED0000"/>
          <w:u w:color="ED0000"/>
        </w:rPr>
      </w:pPr>
      <w:bookmarkStart w:id="35" w:name="_Ref35977274"/>
      <w:bookmarkStart w:id="36" w:name="_Toc39163338"/>
      <w:bookmarkStart w:id="37" w:name="_Ref35977100"/>
      <w:r>
        <w:t xml:space="preserve">1. </w:t>
      </w:r>
      <w:r w:rsidR="00FD5102" w:rsidRPr="009C05A3">
        <w:t>Modelling process</w:t>
      </w:r>
      <w:bookmarkEnd w:id="35"/>
      <w:bookmarkEnd w:id="36"/>
      <w:r w:rsidR="00FD5102" w:rsidRPr="009C05A3">
        <w:t xml:space="preserve"> </w:t>
      </w:r>
      <w:bookmarkEnd w:id="37"/>
    </w:p>
    <w:p w14:paraId="3ADDB557" w14:textId="50E6ED9D" w:rsidR="00FD5102" w:rsidRPr="009C05A3" w:rsidRDefault="00FD5102" w:rsidP="00FD5102">
      <w:pPr>
        <w:rPr>
          <w:rFonts w:cstheme="minorHAnsi"/>
        </w:rPr>
      </w:pPr>
      <w:r w:rsidRPr="0099228F">
        <w:rPr>
          <w:rFonts w:cstheme="minorHAnsi"/>
        </w:rPr>
        <w:t xml:space="preserve">The following sections describe the different steps to build a </w:t>
      </w:r>
      <w:r w:rsidR="00B47EFF">
        <w:rPr>
          <w:rFonts w:cstheme="minorHAnsi"/>
        </w:rPr>
        <w:t>systems dynamics (</w:t>
      </w:r>
      <w:r w:rsidRPr="0099228F">
        <w:rPr>
          <w:rFonts w:cstheme="minorHAnsi"/>
        </w:rPr>
        <w:t>SD</w:t>
      </w:r>
      <w:r w:rsidR="00B47EFF">
        <w:rPr>
          <w:rFonts w:cstheme="minorHAnsi"/>
        </w:rPr>
        <w:t>)</w:t>
      </w:r>
      <w:r w:rsidRPr="0099228F">
        <w:rPr>
          <w:rFonts w:cstheme="minorHAnsi"/>
        </w:rPr>
        <w:t xml:space="preserve"> simulation model. While this is generally </w:t>
      </w:r>
      <w:r w:rsidRPr="009C05A3">
        <w:rPr>
          <w:rFonts w:cstheme="minorHAnsi"/>
        </w:rPr>
        <w:t xml:space="preserve">outlined in chronological order, in reality it is to some extent an iterative process among problem articulation, hypothesis generation, model formulation, testing, and policy analysis (see </w:t>
      </w:r>
      <w:r w:rsidRPr="0099228F">
        <w:rPr>
          <w:rFonts w:cstheme="minorHAnsi"/>
        </w:rPr>
        <w:fldChar w:fldCharType="begin"/>
      </w:r>
      <w:r w:rsidRPr="00967105">
        <w:rPr>
          <w:rFonts w:cstheme="minorHAnsi"/>
        </w:rPr>
        <w:instrText xml:space="preserve"> REF _Ref32565762 \h </w:instrText>
      </w:r>
      <w:r w:rsidR="0099228F">
        <w:rPr>
          <w:rFonts w:cstheme="minorHAnsi"/>
        </w:rPr>
        <w:instrText xml:space="preserve"> \* MERGEFORMAT </w:instrText>
      </w:r>
      <w:r w:rsidRPr="0099228F">
        <w:rPr>
          <w:rFonts w:cstheme="minorHAnsi"/>
        </w:rPr>
      </w:r>
      <w:r w:rsidRPr="0099228F">
        <w:rPr>
          <w:rFonts w:cstheme="minorHAnsi"/>
        </w:rPr>
        <w:fldChar w:fldCharType="separate"/>
      </w:r>
      <w:r w:rsidRPr="0099228F">
        <w:rPr>
          <w:rFonts w:cstheme="minorHAnsi"/>
        </w:rPr>
        <w:t xml:space="preserve">Figure </w:t>
      </w:r>
      <w:r w:rsidR="00AE3895">
        <w:rPr>
          <w:rFonts w:cstheme="minorHAnsi"/>
          <w:noProof/>
        </w:rPr>
        <w:t>A1</w:t>
      </w:r>
      <w:r w:rsidRPr="0099228F">
        <w:rPr>
          <w:rFonts w:cstheme="minorHAnsi"/>
        </w:rPr>
        <w:fldChar w:fldCharType="end"/>
      </w:r>
      <w:r w:rsidRPr="0099228F">
        <w:rPr>
          <w:rFonts w:cstheme="minorHAnsi"/>
        </w:rPr>
        <w:t>). For example, the testing of the model might reveal the necessity to reformulate</w:t>
      </w:r>
      <w:r w:rsidRPr="009C05A3">
        <w:rPr>
          <w:rFonts w:cstheme="minorHAnsi"/>
        </w:rPr>
        <w:t xml:space="preserve"> the research problem and extend the system boundary. This would bring the modeller from step 4 back to step 1 (see </w:t>
      </w:r>
      <w:r w:rsidRPr="0099228F">
        <w:rPr>
          <w:rFonts w:cstheme="minorHAnsi"/>
        </w:rPr>
        <w:fldChar w:fldCharType="begin"/>
      </w:r>
      <w:r w:rsidRPr="00967105">
        <w:rPr>
          <w:rFonts w:cstheme="minorHAnsi"/>
        </w:rPr>
        <w:instrText xml:space="preserve"> REF _Ref32565762 \h </w:instrText>
      </w:r>
      <w:r w:rsidR="0099228F">
        <w:rPr>
          <w:rFonts w:cstheme="minorHAnsi"/>
        </w:rPr>
        <w:instrText xml:space="preserve"> \* MERGEFORMAT </w:instrText>
      </w:r>
      <w:r w:rsidRPr="0099228F">
        <w:rPr>
          <w:rFonts w:cstheme="minorHAnsi"/>
        </w:rPr>
      </w:r>
      <w:r w:rsidRPr="0099228F">
        <w:rPr>
          <w:rFonts w:cstheme="minorHAnsi"/>
        </w:rPr>
        <w:fldChar w:fldCharType="separate"/>
      </w:r>
      <w:r w:rsidRPr="0099228F">
        <w:rPr>
          <w:rFonts w:cstheme="minorHAnsi"/>
        </w:rPr>
        <w:t xml:space="preserve">Figure </w:t>
      </w:r>
      <w:r w:rsidR="00AE3895">
        <w:rPr>
          <w:rFonts w:cstheme="minorHAnsi"/>
          <w:noProof/>
        </w:rPr>
        <w:t>A1</w:t>
      </w:r>
      <w:r w:rsidRPr="0099228F">
        <w:rPr>
          <w:rFonts w:cstheme="minorHAnsi"/>
        </w:rPr>
        <w:fldChar w:fldCharType="end"/>
      </w:r>
      <w:r w:rsidRPr="0099228F">
        <w:rPr>
          <w:rFonts w:cstheme="minorHAnsi"/>
        </w:rPr>
        <w:t>). Alternatively, the formulation of the dynamic hypothesis (step 2) might reveal that the modeller must re-adjust the model boundaries to include the main feedback loops endogenously (step 1)</w:t>
      </w:r>
      <w:r w:rsidRPr="009C05A3">
        <w:rPr>
          <w:rFonts w:cstheme="minorHAnsi"/>
        </w:rPr>
        <w:t xml:space="preserve">. Moreover, the ‘translation’ of the conceptual model into formal equations (step 4) may reveal inconsistencies in the mental map, bringing the modeller back to the model conceptualisation (step 3). The collection of information is present in almost every step of the modelling process. The following description is based on </w:t>
      </w:r>
      <w:proofErr w:type="spellStart"/>
      <w:r w:rsidRPr="009C05A3">
        <w:rPr>
          <w:rFonts w:cstheme="minorHAnsi"/>
        </w:rPr>
        <w:t>Sterman</w:t>
      </w:r>
      <w:proofErr w:type="spellEnd"/>
      <w:r w:rsidRPr="009C05A3">
        <w:rPr>
          <w:rFonts w:cstheme="minorHAnsi"/>
        </w:rPr>
        <w:t xml:space="preserve"> (2000) and Forrester (1994). </w:t>
      </w:r>
    </w:p>
    <w:p w14:paraId="770BF3E1" w14:textId="597FABBE" w:rsidR="00FD5102" w:rsidRPr="00B8367E" w:rsidRDefault="00FD5102" w:rsidP="00FD5102">
      <w:pPr>
        <w:pStyle w:val="Caption"/>
        <w:keepNext/>
        <w:jc w:val="center"/>
        <w:rPr>
          <w:rFonts w:asciiTheme="minorHAnsi" w:hAnsiTheme="minorHAnsi" w:cstheme="minorHAnsi"/>
        </w:rPr>
      </w:pPr>
      <w:bookmarkStart w:id="38" w:name="_Ref32565762"/>
      <w:bookmarkStart w:id="39" w:name="_Toc39163227"/>
      <w:r w:rsidRPr="00B8367E">
        <w:rPr>
          <w:rFonts w:asciiTheme="minorHAnsi" w:hAnsiTheme="minorHAnsi" w:cstheme="minorHAnsi"/>
        </w:rPr>
        <w:t xml:space="preserve">Figure </w:t>
      </w:r>
      <w:bookmarkEnd w:id="38"/>
      <w:r w:rsidR="00AE3895">
        <w:rPr>
          <w:rFonts w:asciiTheme="minorHAnsi" w:hAnsiTheme="minorHAnsi" w:cstheme="minorHAnsi"/>
        </w:rPr>
        <w:t>A1</w:t>
      </w:r>
      <w:r w:rsidRPr="00B8367E">
        <w:rPr>
          <w:rFonts w:asciiTheme="minorHAnsi" w:hAnsiTheme="minorHAnsi" w:cstheme="minorHAnsi"/>
        </w:rPr>
        <w:t>: SD Modelling as an iterative process</w:t>
      </w:r>
      <w:bookmarkEnd w:id="39"/>
    </w:p>
    <w:p w14:paraId="2097F25B" w14:textId="77777777" w:rsidR="00FD5102" w:rsidRPr="0099228F" w:rsidRDefault="00FD5102" w:rsidP="00FD5102">
      <w:pPr>
        <w:jc w:val="center"/>
        <w:rPr>
          <w:rFonts w:eastAsia="Times New Roman" w:cstheme="minorHAnsi"/>
          <w:color w:val="ED0000"/>
          <w:sz w:val="21"/>
          <w:szCs w:val="21"/>
          <w:u w:color="ED0000"/>
        </w:rPr>
      </w:pPr>
      <w:r w:rsidRPr="0099228F">
        <w:rPr>
          <w:rFonts w:cstheme="minorHAnsi"/>
          <w:noProof/>
          <w:lang w:eastAsia="en-GB"/>
        </w:rPr>
        <w:drawing>
          <wp:inline distT="0" distB="0" distL="0" distR="0" wp14:anchorId="385CF97F" wp14:editId="23ADB0D7">
            <wp:extent cx="4241800" cy="2823656"/>
            <wp:effectExtent l="0" t="0" r="0" b="0"/>
            <wp:docPr id="3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79435" cy="2848709"/>
                    </a:xfrm>
                    <a:prstGeom prst="rect">
                      <a:avLst/>
                    </a:prstGeom>
                  </pic:spPr>
                </pic:pic>
              </a:graphicData>
            </a:graphic>
          </wp:inline>
        </w:drawing>
      </w:r>
    </w:p>
    <w:p w14:paraId="00394B07" w14:textId="77777777" w:rsidR="00FD5102" w:rsidRPr="009C05A3" w:rsidRDefault="00FD5102" w:rsidP="00FD5102">
      <w:pPr>
        <w:spacing w:before="120"/>
        <w:jc w:val="center"/>
        <w:rPr>
          <w:rFonts w:eastAsia="Times New Roman" w:cstheme="minorHAnsi"/>
          <w:i/>
          <w:color w:val="ED0000"/>
          <w:u w:color="ED0000"/>
        </w:rPr>
      </w:pPr>
      <w:r w:rsidRPr="009C05A3">
        <w:rPr>
          <w:rFonts w:cstheme="minorHAnsi"/>
          <w:i/>
        </w:rPr>
        <w:t xml:space="preserve">Source: Own elaboration based on </w:t>
      </w:r>
      <w:proofErr w:type="spellStart"/>
      <w:r w:rsidRPr="009C05A3">
        <w:rPr>
          <w:rFonts w:cstheme="minorHAnsi"/>
          <w:i/>
        </w:rPr>
        <w:t>Sterman</w:t>
      </w:r>
      <w:proofErr w:type="spellEnd"/>
      <w:r w:rsidRPr="009C05A3">
        <w:rPr>
          <w:rFonts w:cstheme="minorHAnsi"/>
          <w:i/>
        </w:rPr>
        <w:t xml:space="preserve"> (2000, p. 87ff) and Forrester (1994, p.4)</w:t>
      </w:r>
    </w:p>
    <w:p w14:paraId="31000756" w14:textId="77777777" w:rsidR="00FD5102" w:rsidRPr="00B8367E" w:rsidRDefault="00FD5102" w:rsidP="00FD5102">
      <w:pPr>
        <w:numPr>
          <w:ilvl w:val="0"/>
          <w:numId w:val="51"/>
        </w:numPr>
        <w:pBdr>
          <w:top w:val="nil"/>
          <w:left w:val="nil"/>
          <w:bottom w:val="nil"/>
          <w:right w:val="nil"/>
          <w:between w:val="nil"/>
          <w:bar w:val="nil"/>
        </w:pBdr>
        <w:spacing w:after="220" w:line="360" w:lineRule="auto"/>
        <w:rPr>
          <w:rStyle w:val="Strong"/>
          <w:rFonts w:asciiTheme="minorHAnsi" w:hAnsiTheme="minorHAnsi" w:cstheme="minorHAnsi"/>
        </w:rPr>
      </w:pPr>
      <w:r w:rsidRPr="00B8367E">
        <w:rPr>
          <w:rStyle w:val="Strong"/>
          <w:rFonts w:asciiTheme="minorHAnsi" w:hAnsiTheme="minorHAnsi" w:cstheme="minorHAnsi"/>
        </w:rPr>
        <w:t xml:space="preserve">Problem description, model purpose and model boundary </w:t>
      </w:r>
    </w:p>
    <w:p w14:paraId="69264622" w14:textId="77777777" w:rsidR="00FD5102" w:rsidRPr="009C05A3" w:rsidRDefault="00FD5102" w:rsidP="00FD5102">
      <w:pPr>
        <w:rPr>
          <w:rFonts w:cstheme="minorHAnsi"/>
        </w:rPr>
      </w:pPr>
      <w:r w:rsidRPr="0099228F">
        <w:rPr>
          <w:rFonts w:cstheme="minorHAnsi"/>
        </w:rPr>
        <w:t>The initial identification of a problem followed by the definition of a research/model purpose and the determination of the model boundary is crucial for the success of a</w:t>
      </w:r>
      <w:r w:rsidRPr="009C05A3">
        <w:rPr>
          <w:rFonts w:cstheme="minorHAnsi"/>
        </w:rPr>
        <w:t>n SD application (</w:t>
      </w:r>
      <w:proofErr w:type="spellStart"/>
      <w:r w:rsidRPr="009C05A3">
        <w:rPr>
          <w:rFonts w:cstheme="minorHAnsi"/>
        </w:rPr>
        <w:t>Sterman</w:t>
      </w:r>
      <w:proofErr w:type="spellEnd"/>
      <w:r w:rsidRPr="009C05A3">
        <w:rPr>
          <w:rFonts w:cstheme="minorHAnsi"/>
        </w:rPr>
        <w:t>, 2000).</w:t>
      </w:r>
    </w:p>
    <w:p w14:paraId="7C5D710C" w14:textId="77777777" w:rsidR="00FD5102" w:rsidRPr="00967105" w:rsidRDefault="00FD5102" w:rsidP="00FD5102">
      <w:pPr>
        <w:rPr>
          <w:rFonts w:cstheme="minorHAnsi"/>
        </w:rPr>
      </w:pPr>
      <w:r w:rsidRPr="009C05A3">
        <w:rPr>
          <w:rFonts w:cstheme="minorHAnsi"/>
          <w:color w:val="010101"/>
          <w:u w:color="010101"/>
        </w:rPr>
        <w:t>In</w:t>
      </w:r>
      <w:r w:rsidRPr="009C05A3">
        <w:rPr>
          <w:rFonts w:cstheme="minorHAnsi"/>
        </w:rPr>
        <w:t xml:space="preserve"> SD, the modelling process starts by defining a problem or – in SD terms – the research or policy </w:t>
      </w:r>
      <w:r w:rsidRPr="00B8367E">
        <w:rPr>
          <w:rStyle w:val="Strong"/>
          <w:rFonts w:asciiTheme="minorHAnsi" w:hAnsiTheme="minorHAnsi" w:cstheme="minorHAnsi"/>
        </w:rPr>
        <w:t>problem</w:t>
      </w:r>
      <w:r w:rsidRPr="0099228F">
        <w:rPr>
          <w:rFonts w:cstheme="minorHAnsi"/>
        </w:rPr>
        <w:t>, which is described as ‘undesirable behaviour</w:t>
      </w:r>
      <w:r w:rsidRPr="009C05A3">
        <w:rPr>
          <w:rFonts w:cstheme="minorHAnsi"/>
        </w:rPr>
        <w:t xml:space="preserve">’ that needs to be corrected (Forrester, 1992; </w:t>
      </w:r>
      <w:proofErr w:type="spellStart"/>
      <w:r w:rsidRPr="009C05A3">
        <w:rPr>
          <w:rFonts w:cstheme="minorHAnsi"/>
        </w:rPr>
        <w:t>Sterman</w:t>
      </w:r>
      <w:proofErr w:type="spellEnd"/>
      <w:r w:rsidRPr="009C05A3">
        <w:rPr>
          <w:rFonts w:cstheme="minorHAnsi"/>
        </w:rPr>
        <w:t xml:space="preserve">, 2000). SD modellers describe their problem quantitatively through a ‘reference mode’, </w:t>
      </w:r>
      <w:r w:rsidRPr="009C05A3">
        <w:rPr>
          <w:rFonts w:cstheme="minorHAnsi"/>
        </w:rPr>
        <w:lastRenderedPageBreak/>
        <w:t>which shows the development of the problem</w:t>
      </w:r>
      <w:r w:rsidRPr="0099228F">
        <w:rPr>
          <w:rFonts w:cstheme="minorHAnsi"/>
          <w:vertAlign w:val="superscript"/>
        </w:rPr>
        <w:footnoteReference w:id="13"/>
      </w:r>
      <w:r w:rsidRPr="0099228F">
        <w:rPr>
          <w:rFonts w:cstheme="minorHAnsi"/>
        </w:rPr>
        <w:t xml:space="preserve"> over time (e.g. graphically by data points) and </w:t>
      </w:r>
      <w:r w:rsidRPr="009C05A3">
        <w:rPr>
          <w:rFonts w:cstheme="minorHAnsi"/>
        </w:rPr>
        <w:t>thus represents the past behaviour of the selected variable over a certain time horizon (</w:t>
      </w:r>
      <w:proofErr w:type="spellStart"/>
      <w:r w:rsidRPr="009C05A3">
        <w:rPr>
          <w:rFonts w:cstheme="minorHAnsi"/>
        </w:rPr>
        <w:t>Sterman</w:t>
      </w:r>
      <w:proofErr w:type="spellEnd"/>
      <w:r w:rsidRPr="009C05A3">
        <w:rPr>
          <w:rFonts w:cstheme="minorHAnsi"/>
        </w:rPr>
        <w:t>, 2000). Moreover, the problem description also includes the specification of the time horizon of the simulation. Thereby, SD emphasises the importance of choosing a time horizon that is sufficiently long to avoid the risk of neglecting important dynamics (e.g. due to the time delays between cause and effects relationships), which could influence the choice of policies and hence ultimatel</w:t>
      </w:r>
      <w:r w:rsidRPr="00967105">
        <w:rPr>
          <w:rFonts w:cstheme="minorHAnsi"/>
        </w:rPr>
        <w:t>y affect the (future) state of the real system (</w:t>
      </w:r>
      <w:proofErr w:type="spellStart"/>
      <w:r w:rsidRPr="00967105">
        <w:rPr>
          <w:rFonts w:cstheme="minorHAnsi"/>
        </w:rPr>
        <w:t>Sterman</w:t>
      </w:r>
      <w:proofErr w:type="spellEnd"/>
      <w:r w:rsidRPr="00967105">
        <w:rPr>
          <w:rFonts w:cstheme="minorHAnsi"/>
        </w:rPr>
        <w:t xml:space="preserve">, 2000, p. 94). </w:t>
      </w:r>
    </w:p>
    <w:p w14:paraId="27C6CC60" w14:textId="77777777" w:rsidR="00FD5102" w:rsidRPr="009A2FE1" w:rsidRDefault="00FD5102" w:rsidP="00FD5102">
      <w:pPr>
        <w:rPr>
          <w:rFonts w:cstheme="minorHAnsi"/>
        </w:rPr>
      </w:pPr>
      <w:r w:rsidRPr="00967105">
        <w:rPr>
          <w:rFonts w:cstheme="minorHAnsi"/>
        </w:rPr>
        <w:t>The formulation of the (research) problem determines the purpose of a model, namely 1) to understand the causes of the problematic behaviour (problem) and 2) to provide</w:t>
      </w:r>
      <w:r w:rsidRPr="004C48F6">
        <w:rPr>
          <w:rFonts w:cstheme="minorHAnsi"/>
        </w:rPr>
        <w:t xml:space="preserve"> information about the ‘leverage points’</w:t>
      </w:r>
      <w:r w:rsidRPr="009A2FE1">
        <w:rPr>
          <w:rFonts w:cstheme="minorHAnsi"/>
        </w:rPr>
        <w:t xml:space="preserve"> for efficient policy implementation. According to SD, every model needs a clear purpose (</w:t>
      </w:r>
      <w:proofErr w:type="spellStart"/>
      <w:r w:rsidRPr="009A2FE1">
        <w:rPr>
          <w:rFonts w:cstheme="minorHAnsi"/>
        </w:rPr>
        <w:t>Sterman</w:t>
      </w:r>
      <w:proofErr w:type="spellEnd"/>
      <w:r w:rsidRPr="009A2FE1">
        <w:rPr>
          <w:rFonts w:cstheme="minorHAnsi"/>
        </w:rPr>
        <w:t xml:space="preserve">, 2000). </w:t>
      </w:r>
    </w:p>
    <w:p w14:paraId="109B51D3" w14:textId="533FC7DA" w:rsidR="00FD5102" w:rsidRPr="005E5158" w:rsidRDefault="00FD5102" w:rsidP="00FD5102">
      <w:pPr>
        <w:rPr>
          <w:rFonts w:cstheme="minorHAnsi"/>
        </w:rPr>
      </w:pPr>
      <w:r w:rsidRPr="00787C9A">
        <w:rPr>
          <w:rFonts w:cstheme="minorHAnsi"/>
        </w:rPr>
        <w:t>Based on this, the selection of the model boundary is determined by the research problem and the model purpose</w:t>
      </w:r>
      <w:r w:rsidRPr="00FC1125">
        <w:rPr>
          <w:rFonts w:cstheme="minorHAnsi"/>
        </w:rPr>
        <w:t>, which provides criteria that should be included or excluded from a model (</w:t>
      </w:r>
      <w:proofErr w:type="spellStart"/>
      <w:r w:rsidRPr="00FC1125">
        <w:rPr>
          <w:rFonts w:cstheme="minorHAnsi"/>
        </w:rPr>
        <w:t>Sterman</w:t>
      </w:r>
      <w:proofErr w:type="spellEnd"/>
      <w:r w:rsidRPr="00FC1125">
        <w:rPr>
          <w:rFonts w:cstheme="minorHAnsi"/>
        </w:rPr>
        <w:t xml:space="preserve">, 2000, p.85ff). As explained before, the model should include the main mechanisms </w:t>
      </w:r>
      <w:r w:rsidRPr="007C0A4D">
        <w:rPr>
          <w:rFonts w:cstheme="minorHAnsi"/>
        </w:rPr>
        <w:t>required to understand or expla</w:t>
      </w:r>
      <w:r w:rsidRPr="0070461D">
        <w:rPr>
          <w:rFonts w:cstheme="minorHAnsi"/>
        </w:rPr>
        <w:t xml:space="preserve">in the research problem – and not more than this. That is, a modeller should seek to build a model that represents the system relevant for its purpose, but not enlarge the model if not required for its purpose. </w:t>
      </w:r>
    </w:p>
    <w:p w14:paraId="319EC20D" w14:textId="77777777" w:rsidR="00FD5102" w:rsidRPr="0099228F" w:rsidRDefault="00FD5102" w:rsidP="00FD5102">
      <w:pPr>
        <w:pStyle w:val="TextA"/>
        <w:numPr>
          <w:ilvl w:val="0"/>
          <w:numId w:val="51"/>
        </w:numPr>
        <w:spacing w:line="360" w:lineRule="auto"/>
        <w:rPr>
          <w:rFonts w:asciiTheme="minorHAnsi" w:eastAsia="Times New Roman" w:hAnsiTheme="minorHAnsi" w:cstheme="minorHAnsi"/>
          <w:b/>
          <w:bCs/>
          <w:color w:val="050000"/>
          <w:sz w:val="21"/>
          <w:szCs w:val="21"/>
          <w:u w:color="050000"/>
          <w:lang w:val="en-GB"/>
        </w:rPr>
      </w:pPr>
      <w:r w:rsidRPr="00B8367E">
        <w:rPr>
          <w:rStyle w:val="Strong"/>
          <w:rFonts w:asciiTheme="minorHAnsi" w:hAnsiTheme="minorHAnsi" w:cstheme="minorHAnsi"/>
          <w:lang w:val="en-GB"/>
        </w:rPr>
        <w:t>Information</w:t>
      </w:r>
      <w:r w:rsidRPr="0099228F">
        <w:rPr>
          <w:rFonts w:asciiTheme="minorHAnsi" w:hAnsiTheme="minorHAnsi" w:cstheme="minorHAnsi"/>
          <w:b/>
          <w:bCs/>
          <w:color w:val="050000"/>
          <w:sz w:val="21"/>
          <w:szCs w:val="21"/>
          <w:u w:color="050000"/>
          <w:lang w:val="en-GB"/>
        </w:rPr>
        <w:t xml:space="preserve"> </w:t>
      </w:r>
      <w:r w:rsidRPr="00B8367E">
        <w:rPr>
          <w:rStyle w:val="Strong"/>
          <w:rFonts w:asciiTheme="minorHAnsi" w:hAnsiTheme="minorHAnsi" w:cstheme="minorHAnsi"/>
          <w:lang w:val="en-GB"/>
        </w:rPr>
        <w:t>collection</w:t>
      </w:r>
      <w:r w:rsidRPr="0099228F">
        <w:rPr>
          <w:rFonts w:asciiTheme="minorHAnsi" w:hAnsiTheme="minorHAnsi" w:cstheme="minorHAnsi"/>
          <w:b/>
          <w:bCs/>
          <w:color w:val="050000"/>
          <w:sz w:val="21"/>
          <w:szCs w:val="21"/>
          <w:u w:color="050000"/>
          <w:lang w:val="en-GB"/>
        </w:rPr>
        <w:t xml:space="preserve"> </w:t>
      </w:r>
    </w:p>
    <w:p w14:paraId="3287419E" w14:textId="5B4A7B5F" w:rsidR="00FD5102" w:rsidRPr="0099228F" w:rsidRDefault="00FD5102" w:rsidP="00FD5102">
      <w:pPr>
        <w:rPr>
          <w:rFonts w:cstheme="minorHAnsi"/>
        </w:rPr>
      </w:pPr>
      <w:r w:rsidRPr="009C05A3">
        <w:rPr>
          <w:rFonts w:cstheme="minorHAnsi"/>
        </w:rPr>
        <w:t xml:space="preserve">The initial problem formulation is followed by a more extensive information collection period. This involves reading about the problem, consulting experts from the field and collecting data (e.g. statistics) (Forrester, 1980; 1992). This process enables the modeller to better understand the problem context and either formulate an initial dynamic hypothesis (see point 3) or re-state the initial research question (see point 1). However, as explained in the introductory part of this section, the information collection happens during the entire modelling building process (e.g. </w:t>
      </w:r>
      <w:proofErr w:type="spellStart"/>
      <w:r w:rsidRPr="009C05A3">
        <w:rPr>
          <w:rFonts w:cstheme="minorHAnsi"/>
        </w:rPr>
        <w:t>Sterman</w:t>
      </w:r>
      <w:proofErr w:type="spellEnd"/>
      <w:r w:rsidRPr="009C05A3">
        <w:rPr>
          <w:rFonts w:cstheme="minorHAnsi"/>
        </w:rPr>
        <w:t xml:space="preserve">, 2000). </w:t>
      </w:r>
      <w:r w:rsidR="0099228F">
        <w:rPr>
          <w:rFonts w:cstheme="minorHAnsi"/>
        </w:rPr>
        <w:t xml:space="preserve">This information collection should also include </w:t>
      </w:r>
      <w:r w:rsidR="009C05A3">
        <w:rPr>
          <w:rFonts w:cstheme="minorHAnsi"/>
        </w:rPr>
        <w:t xml:space="preserve">to define sources for appropriate values of parameters (e.g. from econometric studies or other models). </w:t>
      </w:r>
    </w:p>
    <w:p w14:paraId="09ED1C86" w14:textId="77777777" w:rsidR="00FD5102" w:rsidRPr="00B8367E" w:rsidRDefault="00FD5102" w:rsidP="00FD5102">
      <w:pPr>
        <w:pStyle w:val="TextA"/>
        <w:numPr>
          <w:ilvl w:val="0"/>
          <w:numId w:val="51"/>
        </w:numPr>
        <w:spacing w:after="240"/>
        <w:rPr>
          <w:rStyle w:val="Strong"/>
          <w:rFonts w:asciiTheme="minorHAnsi" w:hAnsiTheme="minorHAnsi" w:cstheme="minorHAnsi"/>
          <w:lang w:val="en-GB"/>
        </w:rPr>
      </w:pPr>
      <w:r w:rsidRPr="00B8367E">
        <w:rPr>
          <w:rStyle w:val="Strong"/>
          <w:rFonts w:asciiTheme="minorHAnsi" w:hAnsiTheme="minorHAnsi" w:cstheme="minorHAnsi"/>
          <w:lang w:val="en-GB"/>
        </w:rPr>
        <w:t xml:space="preserve">Dynamic hypothesis and model conceptualisation </w:t>
      </w:r>
    </w:p>
    <w:p w14:paraId="686BF727" w14:textId="77777777" w:rsidR="00FD5102" w:rsidRPr="00967105" w:rsidRDefault="00FD5102" w:rsidP="00FD5102">
      <w:pPr>
        <w:rPr>
          <w:rFonts w:cstheme="minorHAnsi"/>
        </w:rPr>
      </w:pPr>
      <w:r w:rsidRPr="0099228F">
        <w:rPr>
          <w:rFonts w:cstheme="minorHAnsi"/>
        </w:rPr>
        <w:t xml:space="preserve">After an initial phase of information collection, SD practitioners formulate a dynamic hypothesis, </w:t>
      </w:r>
      <w:r w:rsidRPr="009C05A3">
        <w:rPr>
          <w:rFonts w:cstheme="minorHAnsi"/>
        </w:rPr>
        <w:t xml:space="preserve">namely a theory that explains why the reference mode (= research problem) emerged. Thereby, it is important that this theory includes an explanation about the structure and feedback effects (dynamics) that causes the reference modes, which is why it is called a </w:t>
      </w:r>
      <w:r w:rsidRPr="009C05A3">
        <w:rPr>
          <w:rFonts w:cstheme="minorHAnsi"/>
          <w:i/>
          <w:iCs/>
        </w:rPr>
        <w:t>dynamic</w:t>
      </w:r>
      <w:r w:rsidRPr="00967105">
        <w:rPr>
          <w:rFonts w:cstheme="minorHAnsi"/>
        </w:rPr>
        <w:t xml:space="preserve"> hypothesis. Subsequently, the SD model constructed (see point 4, model validation) is used to test the dynamic hypothesis formulated. </w:t>
      </w:r>
    </w:p>
    <w:p w14:paraId="10F56F09" w14:textId="4CCE1549" w:rsidR="00FD5102" w:rsidRPr="009C05A3" w:rsidRDefault="00FD5102" w:rsidP="00FD5102">
      <w:pPr>
        <w:rPr>
          <w:rFonts w:cstheme="minorHAnsi"/>
        </w:rPr>
      </w:pPr>
      <w:r w:rsidRPr="00967105">
        <w:rPr>
          <w:rFonts w:cstheme="minorHAnsi"/>
        </w:rPr>
        <w:t>Subsequently – or during the formulation of a dynamic hypothesis</w:t>
      </w:r>
      <w:r w:rsidRPr="004C48F6">
        <w:rPr>
          <w:rFonts w:cstheme="minorHAnsi"/>
        </w:rPr>
        <w:t xml:space="preserve"> – SD modellers formulate a conceptual model (e.g. by applying a CLD or SFD, see section </w:t>
      </w:r>
      <w:r w:rsidRPr="0099228F">
        <w:rPr>
          <w:rFonts w:cstheme="minorHAnsi"/>
        </w:rPr>
        <w:fldChar w:fldCharType="begin"/>
      </w:r>
      <w:r w:rsidRPr="00967105">
        <w:rPr>
          <w:rFonts w:cstheme="minorHAnsi"/>
        </w:rPr>
        <w:instrText xml:space="preserve"> REF _Ref35977288 \r \h </w:instrText>
      </w:r>
      <w:r w:rsidR="0099228F">
        <w:rPr>
          <w:rFonts w:cstheme="minorHAnsi"/>
        </w:rPr>
        <w:instrText xml:space="preserve"> \* MERGEFORMAT </w:instrText>
      </w:r>
      <w:r w:rsidRPr="0099228F">
        <w:rPr>
          <w:rFonts w:cstheme="minorHAnsi"/>
        </w:rPr>
      </w:r>
      <w:r w:rsidRPr="0099228F">
        <w:rPr>
          <w:rFonts w:cstheme="minorHAnsi"/>
        </w:rPr>
        <w:fldChar w:fldCharType="separate"/>
      </w:r>
      <w:r w:rsidRPr="0099228F">
        <w:rPr>
          <w:rFonts w:cstheme="minorHAnsi"/>
        </w:rPr>
        <w:t>3.2.6</w:t>
      </w:r>
      <w:r w:rsidRPr="0099228F">
        <w:rPr>
          <w:rFonts w:cstheme="minorHAnsi"/>
        </w:rPr>
        <w:fldChar w:fldCharType="end"/>
      </w:r>
      <w:r w:rsidRPr="0099228F">
        <w:rPr>
          <w:rFonts w:cstheme="minorHAnsi"/>
        </w:rPr>
        <w:t>). Conceptual maps are a visual representation of the underlying stru</w:t>
      </w:r>
      <w:r w:rsidRPr="009C05A3">
        <w:rPr>
          <w:rFonts w:cstheme="minorHAnsi"/>
        </w:rPr>
        <w:t xml:space="preserve">cture (namely the linkages between the variables of the relevant system) of the research problem and dynamic hypothesis (e.g. </w:t>
      </w:r>
      <w:proofErr w:type="spellStart"/>
      <w:r w:rsidRPr="009C05A3">
        <w:rPr>
          <w:rFonts w:cstheme="minorHAnsi"/>
        </w:rPr>
        <w:t>Sterman</w:t>
      </w:r>
      <w:proofErr w:type="spellEnd"/>
      <w:r w:rsidRPr="009C05A3">
        <w:rPr>
          <w:rFonts w:cstheme="minorHAnsi"/>
        </w:rPr>
        <w:t xml:space="preserve">, 2000; Randers, 1980). </w:t>
      </w:r>
    </w:p>
    <w:p w14:paraId="32B153E8" w14:textId="77777777" w:rsidR="00FD5102" w:rsidRPr="00B8367E" w:rsidRDefault="00FD5102" w:rsidP="00FD5102">
      <w:pPr>
        <w:pStyle w:val="TextA"/>
        <w:numPr>
          <w:ilvl w:val="0"/>
          <w:numId w:val="51"/>
        </w:numPr>
        <w:spacing w:after="240"/>
        <w:rPr>
          <w:rStyle w:val="Strong"/>
          <w:rFonts w:asciiTheme="minorHAnsi" w:hAnsiTheme="minorHAnsi" w:cstheme="minorHAnsi"/>
          <w:lang w:val="en-GB"/>
        </w:rPr>
      </w:pPr>
      <w:r w:rsidRPr="00B8367E">
        <w:rPr>
          <w:rStyle w:val="Strong"/>
          <w:rFonts w:asciiTheme="minorHAnsi" w:hAnsiTheme="minorHAnsi" w:cstheme="minorHAnsi"/>
          <w:lang w:val="en-GB"/>
        </w:rPr>
        <w:lastRenderedPageBreak/>
        <w:t xml:space="preserve">Model construction and visualisation </w:t>
      </w:r>
    </w:p>
    <w:p w14:paraId="57ECC87E" w14:textId="77777777" w:rsidR="00FD5102" w:rsidRPr="009C05A3" w:rsidRDefault="00FD5102" w:rsidP="00FD5102">
      <w:pPr>
        <w:rPr>
          <w:rFonts w:cstheme="minorHAnsi"/>
        </w:rPr>
      </w:pPr>
      <w:r w:rsidRPr="0099228F">
        <w:rPr>
          <w:rFonts w:cstheme="minorHAnsi"/>
        </w:rPr>
        <w:t xml:space="preserve">Through the application of computer software (e.g. </w:t>
      </w:r>
      <w:proofErr w:type="spellStart"/>
      <w:r w:rsidRPr="0099228F">
        <w:rPr>
          <w:rFonts w:cstheme="minorHAnsi"/>
        </w:rPr>
        <w:t>Vensim</w:t>
      </w:r>
      <w:proofErr w:type="spellEnd"/>
      <w:r w:rsidRPr="0099228F">
        <w:rPr>
          <w:rFonts w:cstheme="minorHAnsi"/>
        </w:rPr>
        <w:t xml:space="preserve">, </w:t>
      </w:r>
      <w:proofErr w:type="spellStart"/>
      <w:r w:rsidRPr="0099228F">
        <w:rPr>
          <w:rFonts w:cstheme="minorHAnsi"/>
        </w:rPr>
        <w:t>iThink</w:t>
      </w:r>
      <w:proofErr w:type="spellEnd"/>
      <w:r w:rsidRPr="0099228F">
        <w:rPr>
          <w:rFonts w:cstheme="minorHAnsi"/>
        </w:rPr>
        <w:t>), the actual model</w:t>
      </w:r>
      <w:r w:rsidRPr="009C05A3">
        <w:rPr>
          <w:rFonts w:cstheme="minorHAnsi"/>
        </w:rPr>
        <w:t xml:space="preserve">-building process involves ‘translating’ the conceptional model into mathematical differential equations. Thereby, SD software represents the model mathematically through equations and visually through stocks (levels), flows (rates) and variables (these concepts are explained in the next section in more detail). </w:t>
      </w:r>
    </w:p>
    <w:p w14:paraId="31D4621D" w14:textId="77777777" w:rsidR="00FD5102" w:rsidRPr="00B8367E" w:rsidRDefault="00FD5102" w:rsidP="00FD5102">
      <w:pPr>
        <w:pStyle w:val="ListParagraph"/>
        <w:numPr>
          <w:ilvl w:val="0"/>
          <w:numId w:val="51"/>
        </w:numPr>
        <w:spacing w:after="160" w:line="259" w:lineRule="auto"/>
        <w:rPr>
          <w:rFonts w:eastAsia="Times New Roman" w:cstheme="minorHAnsi"/>
          <w:b/>
          <w:color w:val="ED0000"/>
          <w:u w:color="ED0000"/>
        </w:rPr>
      </w:pPr>
      <w:r w:rsidRPr="00B8367E">
        <w:rPr>
          <w:rFonts w:cstheme="minorHAnsi"/>
          <w:b/>
        </w:rPr>
        <w:t xml:space="preserve">Model validation </w:t>
      </w:r>
    </w:p>
    <w:p w14:paraId="3BC4D24B" w14:textId="76E8F5D2" w:rsidR="00FD5102" w:rsidRPr="004C48F6" w:rsidRDefault="00FD5102" w:rsidP="00FD5102">
      <w:pPr>
        <w:rPr>
          <w:rFonts w:cstheme="minorHAnsi"/>
        </w:rPr>
      </w:pPr>
      <w:r w:rsidRPr="0099228F">
        <w:rPr>
          <w:rFonts w:cstheme="minorHAnsi"/>
          <w:color w:val="060606"/>
          <w:u w:color="060606"/>
        </w:rPr>
        <w:t>In</w:t>
      </w:r>
      <w:r w:rsidRPr="0099228F">
        <w:rPr>
          <w:rFonts w:cstheme="minorHAnsi"/>
        </w:rPr>
        <w:t xml:space="preserve"> SD, model validation involves both quantitative and qualitative model tests that validate both the model structure and the simulated behaviour (see e.g. </w:t>
      </w:r>
      <w:proofErr w:type="spellStart"/>
      <w:r w:rsidRPr="0099228F">
        <w:rPr>
          <w:rFonts w:cstheme="minorHAnsi"/>
        </w:rPr>
        <w:t>Barlas</w:t>
      </w:r>
      <w:proofErr w:type="spellEnd"/>
      <w:r w:rsidRPr="0099228F">
        <w:rPr>
          <w:rFonts w:cstheme="minorHAnsi"/>
        </w:rPr>
        <w:t xml:space="preserve">, 1961, 1989 or Senge &amp; Forrester, 1980 for an overview </w:t>
      </w:r>
      <w:r w:rsidRPr="009C05A3">
        <w:rPr>
          <w:rFonts w:cstheme="minorHAnsi"/>
        </w:rPr>
        <w:t>of such tests). For example, they involve testing the model under extreme conditions and verifying whether the simulated behaviour is reasonable, or</w:t>
      </w:r>
      <w:r w:rsidRPr="00967105">
        <w:rPr>
          <w:rFonts w:cstheme="minorHAnsi"/>
        </w:rPr>
        <w:t xml:space="preserve"> consulting experts on the topic in order to test the model structure. These tests will be </w:t>
      </w:r>
      <w:r w:rsidR="0099228F" w:rsidRPr="00967105">
        <w:rPr>
          <w:rFonts w:cstheme="minorHAnsi"/>
        </w:rPr>
        <w:t>shown in the next appe</w:t>
      </w:r>
      <w:r w:rsidR="0099228F" w:rsidRPr="004C48F6">
        <w:rPr>
          <w:rFonts w:cstheme="minorHAnsi"/>
        </w:rPr>
        <w:t xml:space="preserve">ndix section. </w:t>
      </w:r>
    </w:p>
    <w:p w14:paraId="08C46655" w14:textId="77777777" w:rsidR="00FD5102" w:rsidRPr="00B8367E" w:rsidRDefault="00FD5102" w:rsidP="00FD5102">
      <w:pPr>
        <w:pStyle w:val="ListParagraph"/>
        <w:numPr>
          <w:ilvl w:val="0"/>
          <w:numId w:val="51"/>
        </w:numPr>
        <w:tabs>
          <w:tab w:val="left" w:pos="220"/>
          <w:tab w:val="left" w:pos="720"/>
        </w:tabs>
        <w:spacing w:after="160" w:line="259" w:lineRule="auto"/>
        <w:rPr>
          <w:rFonts w:eastAsia="Times New Roman" w:cstheme="minorHAnsi"/>
          <w:b/>
          <w:bCs/>
          <w:color w:val="131313"/>
          <w:szCs w:val="21"/>
          <w:u w:color="131313"/>
        </w:rPr>
      </w:pPr>
      <w:r w:rsidRPr="00B8367E">
        <w:rPr>
          <w:rFonts w:cstheme="minorHAnsi"/>
          <w:b/>
          <w:bCs/>
          <w:color w:val="131313"/>
          <w:szCs w:val="21"/>
          <w:u w:color="131313"/>
        </w:rPr>
        <w:t xml:space="preserve">Policy analysis, formulation and evaluation </w:t>
      </w:r>
    </w:p>
    <w:p w14:paraId="76F3D429" w14:textId="5FA068AE" w:rsidR="00450DF3" w:rsidRPr="004C48F6" w:rsidRDefault="00FD5102" w:rsidP="00D268AF">
      <w:pPr>
        <w:rPr>
          <w:rFonts w:cstheme="minorHAnsi"/>
        </w:rPr>
      </w:pPr>
      <w:r w:rsidRPr="0099228F">
        <w:rPr>
          <w:rFonts w:cstheme="minorHAnsi"/>
        </w:rPr>
        <w:t xml:space="preserve">Based on the understanding of the underlying structure of the system through model analysis, SD </w:t>
      </w:r>
      <w:r w:rsidRPr="009C05A3">
        <w:rPr>
          <w:rFonts w:cstheme="minorHAnsi"/>
        </w:rPr>
        <w:t xml:space="preserve">modellers identify ‘leverage points’ for policy interventions. As explained before, those ‘leverage </w:t>
      </w:r>
      <w:r w:rsidRPr="00967105">
        <w:rPr>
          <w:rFonts w:cstheme="minorHAnsi"/>
        </w:rPr>
        <w:t xml:space="preserve">points’ for policy intervention strengthen/weaken desirable/undesirable dynamics and therefore improve the overall state of the system. Moreover, in SD policy design and recommendations include – in contrast to traditional policy analysis – creating entirely new strategies, structures and decision rules. </w:t>
      </w:r>
      <w:r w:rsidRPr="004C48F6">
        <w:rPr>
          <w:rFonts w:cstheme="minorHAnsi"/>
        </w:rPr>
        <w:t>Accordingly, they extend beyond changing certain parameter values (e.g. tax rates) (</w:t>
      </w:r>
      <w:proofErr w:type="spellStart"/>
      <w:r w:rsidRPr="004C48F6">
        <w:rPr>
          <w:rFonts w:cstheme="minorHAnsi"/>
        </w:rPr>
        <w:t>Sterman</w:t>
      </w:r>
      <w:proofErr w:type="spellEnd"/>
      <w:r w:rsidRPr="004C48F6">
        <w:rPr>
          <w:rFonts w:cstheme="minorHAnsi"/>
        </w:rPr>
        <w:t xml:space="preserve">, 2000). After the initial formulation of different policy strategies, those strategies are implemented in the simulation models and tested and evaluated through simulation. If necessary, new strategies are formulated, implemented, tested and evaluated again. Based on those findings, final policy recommendations are formulated. </w:t>
      </w:r>
    </w:p>
    <w:p w14:paraId="08960555" w14:textId="33C7D4B4" w:rsidR="00096951" w:rsidRPr="007C0A4D" w:rsidRDefault="00096951" w:rsidP="00B8367E">
      <w:pPr>
        <w:pStyle w:val="Heading2"/>
        <w:numPr>
          <w:ilvl w:val="0"/>
          <w:numId w:val="66"/>
        </w:numPr>
      </w:pPr>
      <w:proofErr w:type="spellStart"/>
      <w:r w:rsidRPr="004C48F6">
        <w:t>Ve</w:t>
      </w:r>
      <w:r w:rsidRPr="009A2FE1">
        <w:t>n</w:t>
      </w:r>
      <w:r w:rsidRPr="004C71DD">
        <w:t>sim</w:t>
      </w:r>
      <w:proofErr w:type="spellEnd"/>
      <w:r w:rsidRPr="004C71DD">
        <w:t xml:space="preserve"> </w:t>
      </w:r>
      <w:r w:rsidRPr="00787C9A">
        <w:t>calibration</w:t>
      </w:r>
      <w:r w:rsidRPr="0095782C">
        <w:t xml:space="preserve"> tool</w:t>
      </w:r>
      <w:r w:rsidR="009C05A3" w:rsidRPr="0095782C">
        <w:t xml:space="preserve"> for (f</w:t>
      </w:r>
      <w:r w:rsidR="009C05A3" w:rsidRPr="00FC1125">
        <w:t xml:space="preserve">ine-tuned) </w:t>
      </w:r>
      <w:r w:rsidR="00FB6B6F">
        <w:t xml:space="preserve">model </w:t>
      </w:r>
      <w:r w:rsidR="009C05A3" w:rsidRPr="00810ED7">
        <w:t>c</w:t>
      </w:r>
      <w:r w:rsidR="009C05A3" w:rsidRPr="004857A9">
        <w:t>ali</w:t>
      </w:r>
      <w:r w:rsidR="009C05A3" w:rsidRPr="007C0A4D">
        <w:t>bration</w:t>
      </w:r>
    </w:p>
    <w:p w14:paraId="0F086E73" w14:textId="08747687" w:rsidR="00D268AF" w:rsidRPr="004C71DD" w:rsidRDefault="00D268AF" w:rsidP="00D268AF">
      <w:pPr>
        <w:rPr>
          <w:rFonts w:cstheme="minorHAnsi"/>
        </w:rPr>
      </w:pPr>
      <w:r w:rsidRPr="0099228F">
        <w:rPr>
          <w:rFonts w:cstheme="minorHAnsi"/>
        </w:rPr>
        <w:t xml:space="preserve">The simulation software used for GIBM (i.e. </w:t>
      </w:r>
      <w:proofErr w:type="spellStart"/>
      <w:r w:rsidRPr="0099228F">
        <w:rPr>
          <w:rFonts w:cstheme="minorHAnsi"/>
        </w:rPr>
        <w:t>Vensim</w:t>
      </w:r>
      <w:proofErr w:type="spellEnd"/>
      <w:r w:rsidRPr="009C05A3">
        <w:rPr>
          <w:rFonts w:cstheme="minorHAnsi"/>
        </w:rPr>
        <w:t xml:space="preserve">) enables using an optimisation tool. That is, Powell’s ‘hill climbing’ algorithm is built into </w:t>
      </w:r>
      <w:proofErr w:type="spellStart"/>
      <w:r w:rsidRPr="009C05A3">
        <w:rPr>
          <w:rFonts w:cstheme="minorHAnsi"/>
        </w:rPr>
        <w:t>Vensim</w:t>
      </w:r>
      <w:proofErr w:type="spellEnd"/>
      <w:r w:rsidRPr="009C05A3">
        <w:rPr>
          <w:rFonts w:cstheme="minorHAnsi"/>
        </w:rPr>
        <w:t xml:space="preserve"> and can be used to perform the parametric optimi</w:t>
      </w:r>
      <w:r w:rsidRPr="00967105">
        <w:rPr>
          <w:rFonts w:cstheme="minorHAnsi"/>
        </w:rPr>
        <w:t xml:space="preserve">sation. Thereby, optimisation can be used in two ways, namely model calibration and policy optimisation. Model calibration is relevant in this case and here the </w:t>
      </w:r>
      <w:proofErr w:type="spellStart"/>
      <w:r w:rsidRPr="00967105">
        <w:rPr>
          <w:rFonts w:cstheme="minorHAnsi"/>
        </w:rPr>
        <w:t>Vensim</w:t>
      </w:r>
      <w:proofErr w:type="spellEnd"/>
      <w:r w:rsidRPr="00967105">
        <w:rPr>
          <w:rFonts w:cstheme="minorHAnsi"/>
        </w:rPr>
        <w:t xml:space="preserve"> optimisation tool adjusts model parameters (constants) so that the simulated model behavio</w:t>
      </w:r>
      <w:r w:rsidRPr="004C48F6">
        <w:rPr>
          <w:rFonts w:cstheme="minorHAnsi"/>
        </w:rPr>
        <w:t>ur best fits time series data. In more detail, the model user first specifies which model variables should be matched to data series. Subsequently, the model user specifies the model parameters that should be adjusted and within which range they should be varied. This range is generally selected according to information found in current research literature</w:t>
      </w:r>
      <w:r w:rsidRPr="009A2FE1">
        <w:rPr>
          <w:rFonts w:cstheme="minorHAnsi"/>
        </w:rPr>
        <w:t xml:space="preserve"> (</w:t>
      </w:r>
      <w:proofErr w:type="spellStart"/>
      <w:r w:rsidRPr="009A2FE1">
        <w:rPr>
          <w:rFonts w:cstheme="minorHAnsi"/>
        </w:rPr>
        <w:t>Janamanchi</w:t>
      </w:r>
      <w:proofErr w:type="spellEnd"/>
      <w:r w:rsidRPr="009A2FE1">
        <w:rPr>
          <w:rFonts w:cstheme="minorHAnsi"/>
        </w:rPr>
        <w:t>, &amp; Burns, 2013).</w:t>
      </w:r>
      <w:r w:rsidRPr="004C71DD">
        <w:rPr>
          <w:rFonts w:cstheme="minorHAnsi"/>
        </w:rPr>
        <w:t xml:space="preserve"> </w:t>
      </w:r>
    </w:p>
    <w:p w14:paraId="5181EF38" w14:textId="77777777" w:rsidR="00D268AF" w:rsidRPr="00FB6B6F" w:rsidRDefault="00D268AF" w:rsidP="00D268AF">
      <w:pPr>
        <w:rPr>
          <w:rFonts w:cstheme="minorHAnsi"/>
        </w:rPr>
      </w:pPr>
      <w:r w:rsidRPr="00787C9A">
        <w:rPr>
          <w:rFonts w:cstheme="minorHAnsi"/>
        </w:rPr>
        <w:t xml:space="preserve">Powell’s ‘hill climbing’ algorithm is an </w:t>
      </w:r>
      <w:r w:rsidRPr="00787C9A">
        <w:rPr>
          <w:rStyle w:val="Hyperlink"/>
          <w:rFonts w:cstheme="minorHAnsi"/>
          <w:color w:val="auto"/>
          <w:szCs w:val="21"/>
          <w:u w:val="none"/>
        </w:rPr>
        <w:t>iterative algorithm</w:t>
      </w:r>
      <w:r w:rsidRPr="00787C9A">
        <w:rPr>
          <w:rFonts w:cstheme="minorHAnsi"/>
        </w:rPr>
        <w:t xml:space="preserve"> that starts with an arbitrary solution to a problem and it subsequently attempts to find a better solution (i</w:t>
      </w:r>
      <w:r w:rsidRPr="00FC1125">
        <w:rPr>
          <w:rFonts w:cstheme="minorHAnsi"/>
        </w:rPr>
        <w:t xml:space="preserve">.e. reduce the distance between the simulated variable value and time series data) by making an </w:t>
      </w:r>
      <w:r w:rsidRPr="007C0A4D">
        <w:rPr>
          <w:rStyle w:val="Hyperlink"/>
          <w:rFonts w:cstheme="minorHAnsi"/>
          <w:color w:val="auto"/>
          <w:szCs w:val="21"/>
          <w:u w:val="none"/>
        </w:rPr>
        <w:t>incremental</w:t>
      </w:r>
      <w:r w:rsidRPr="007C0A4D">
        <w:rPr>
          <w:rFonts w:cstheme="minorHAnsi"/>
        </w:rPr>
        <w:t xml:space="preserve"> change to the solution. If the change produces a bette</w:t>
      </w:r>
      <w:r w:rsidRPr="0070461D">
        <w:rPr>
          <w:rFonts w:cstheme="minorHAnsi"/>
        </w:rPr>
        <w:t xml:space="preserve">r solution, another incremental change is made in the same direction, which repeats until no further improvements can be found. Put differently, the </w:t>
      </w:r>
      <w:proofErr w:type="spellStart"/>
      <w:r w:rsidRPr="0070461D">
        <w:rPr>
          <w:rFonts w:cstheme="minorHAnsi"/>
        </w:rPr>
        <w:t>Vensim</w:t>
      </w:r>
      <w:proofErr w:type="spellEnd"/>
      <w:r w:rsidRPr="0070461D">
        <w:rPr>
          <w:rFonts w:cstheme="minorHAnsi"/>
        </w:rPr>
        <w:t xml:space="preserve"> optimisation tool compares the model behaviour of the pre-selected model variables with time series data and aims to optimise the pay-off by minimising the distance between the data and the generated model values </w:t>
      </w:r>
      <w:r w:rsidRPr="0070461D">
        <w:rPr>
          <w:rFonts w:cstheme="minorHAnsi"/>
        </w:rPr>
        <w:lastRenderedPageBreak/>
        <w:t>for these variables and changing the selected parameter values within the specified range. A limitation of this mathematical op</w:t>
      </w:r>
      <w:r w:rsidRPr="005E5158">
        <w:rPr>
          <w:rFonts w:cstheme="minorHAnsi"/>
        </w:rPr>
        <w:t xml:space="preserve">timisation technique is that while it finds optimal solutions for </w:t>
      </w:r>
      <w:r w:rsidRPr="00202D0C">
        <w:rPr>
          <w:rStyle w:val="Hyperlink"/>
          <w:rFonts w:cstheme="minorHAnsi"/>
          <w:color w:val="auto"/>
          <w:szCs w:val="21"/>
          <w:u w:val="none"/>
        </w:rPr>
        <w:t>convex</w:t>
      </w:r>
      <w:r w:rsidRPr="004A4678">
        <w:rPr>
          <w:rFonts w:cstheme="minorHAnsi"/>
        </w:rPr>
        <w:t xml:space="preserve"> problems, for other problems it might find only </w:t>
      </w:r>
      <w:r w:rsidRPr="008D06CA">
        <w:rPr>
          <w:rStyle w:val="Hyperlink"/>
          <w:rFonts w:cstheme="minorHAnsi"/>
          <w:color w:val="auto"/>
          <w:szCs w:val="21"/>
          <w:u w:val="none"/>
        </w:rPr>
        <w:t>local optima</w:t>
      </w:r>
      <w:r w:rsidRPr="00A034A4">
        <w:rPr>
          <w:rFonts w:cstheme="minorHAnsi"/>
        </w:rPr>
        <w:t xml:space="preserve"> that are not necessarily the best possible solution (the </w:t>
      </w:r>
      <w:r w:rsidRPr="00E546D7">
        <w:rPr>
          <w:rStyle w:val="Hyperlink"/>
          <w:rFonts w:cstheme="minorHAnsi"/>
          <w:color w:val="auto"/>
          <w:szCs w:val="21"/>
          <w:u w:val="none"/>
        </w:rPr>
        <w:t>global optimum</w:t>
      </w:r>
      <w:r w:rsidRPr="00E546D7">
        <w:rPr>
          <w:rFonts w:cstheme="minorHAnsi"/>
        </w:rPr>
        <w:t xml:space="preserve">) out of all possible solutions (the </w:t>
      </w:r>
      <w:r w:rsidRPr="00E546D7">
        <w:rPr>
          <w:rStyle w:val="Hyperlink"/>
          <w:rFonts w:cstheme="minorHAnsi"/>
          <w:color w:val="auto"/>
          <w:szCs w:val="21"/>
          <w:u w:val="none"/>
        </w:rPr>
        <w:t>search space</w:t>
      </w:r>
      <w:r w:rsidRPr="00E546D7">
        <w:rPr>
          <w:rFonts w:cstheme="minorHAnsi"/>
        </w:rPr>
        <w:t xml:space="preserve">). The </w:t>
      </w:r>
      <w:proofErr w:type="spellStart"/>
      <w:r w:rsidRPr="00E546D7">
        <w:rPr>
          <w:rFonts w:cstheme="minorHAnsi"/>
        </w:rPr>
        <w:t>Vensim</w:t>
      </w:r>
      <w:proofErr w:type="spellEnd"/>
      <w:r w:rsidRPr="00E546D7">
        <w:rPr>
          <w:rFonts w:cstheme="minorHAnsi"/>
        </w:rPr>
        <w:t xml:space="preserve"> optimisation tool is part of the so-called Full-Information </w:t>
      </w:r>
      <w:r w:rsidRPr="00476427">
        <w:rPr>
          <w:rFonts w:cstheme="minorHAnsi"/>
        </w:rPr>
        <w:t xml:space="preserve">Maximum Likelihood via Optimal Filtering (FIMLOF) process (see Peterson, 1975; 1980 for information on the mathematics of this technique). </w:t>
      </w:r>
    </w:p>
    <w:p w14:paraId="00C30F17" w14:textId="77777777" w:rsidR="00D268AF" w:rsidRPr="003017BC" w:rsidRDefault="00D268AF" w:rsidP="00D268AF">
      <w:pPr>
        <w:rPr>
          <w:rFonts w:cstheme="minorHAnsi"/>
        </w:rPr>
      </w:pPr>
      <w:r w:rsidRPr="00462537">
        <w:rPr>
          <w:rFonts w:cstheme="minorHAnsi"/>
        </w:rPr>
        <w:t xml:space="preserve">Methodologically, it is important to underline that in SD, model calibration – as introduced above – should only be applied </w:t>
      </w:r>
      <w:r w:rsidRPr="00462537">
        <w:rPr>
          <w:rFonts w:cstheme="minorHAnsi"/>
          <w:i/>
          <w:iCs/>
        </w:rPr>
        <w:t>once a model is structurally complete and simulates properly</w:t>
      </w:r>
      <w:r w:rsidRPr="00462537">
        <w:rPr>
          <w:rFonts w:cstheme="minorHAnsi"/>
        </w:rPr>
        <w:t>. Model calibration should not be used when the model structure i</w:t>
      </w:r>
      <w:r w:rsidRPr="00E6651C">
        <w:rPr>
          <w:rFonts w:cstheme="minorHAnsi"/>
        </w:rPr>
        <w:t xml:space="preserve">s not yet clear and to force a model to match empirical data. However, it can be used to fine-tune the model and adjust parameter values within plausible ranges. </w:t>
      </w:r>
    </w:p>
    <w:p w14:paraId="7ECE69EC" w14:textId="002F2C3E" w:rsidR="000D3FA9" w:rsidRPr="007269DD" w:rsidRDefault="00D268AF" w:rsidP="00B8367E">
      <w:pPr>
        <w:rPr>
          <w:rFonts w:cstheme="minorHAnsi"/>
        </w:rPr>
      </w:pPr>
      <w:r w:rsidRPr="00B80041">
        <w:rPr>
          <w:rFonts w:cstheme="minorHAnsi"/>
        </w:rPr>
        <w:t xml:space="preserve">In line with the above, the </w:t>
      </w:r>
      <w:proofErr w:type="spellStart"/>
      <w:r w:rsidRPr="00B80041">
        <w:rPr>
          <w:rFonts w:cstheme="minorHAnsi"/>
        </w:rPr>
        <w:t>Vensim</w:t>
      </w:r>
      <w:proofErr w:type="spellEnd"/>
      <w:r w:rsidRPr="00B80041">
        <w:rPr>
          <w:rFonts w:cstheme="minorHAnsi"/>
        </w:rPr>
        <w:t xml:space="preserve"> optimisation tool has been applied for parameter optimisat</w:t>
      </w:r>
      <w:r w:rsidRPr="001D50F6">
        <w:rPr>
          <w:rFonts w:cstheme="minorHAnsi"/>
        </w:rPr>
        <w:t>ion of GIBM as follows. First, values or the range of possible values for most elasticities or other exogenous parameters have been taken from the research literature, which is indicated in the model documentation (see supplementary material of Hafner et a</w:t>
      </w:r>
      <w:r w:rsidRPr="00D35222">
        <w:rPr>
          <w:rFonts w:cstheme="minorHAnsi"/>
        </w:rPr>
        <w:t>l., 2021). Subsequently, these values have been optimised within a plausible range to adjust the simulated model behaviour to the past data. This second step is adequate as the indications in the research literature frequently refer to other countries than</w:t>
      </w:r>
      <w:r w:rsidRPr="00CD755D">
        <w:rPr>
          <w:rFonts w:cstheme="minorHAnsi"/>
        </w:rPr>
        <w:t xml:space="preserve"> the UK and while these countries are comparable to the UK, these parameter values may nevertheless vary to some extent. In addition, the adjustment is also justified as sometimes the time horizon considered differs from the one considered in this model ex</w:t>
      </w:r>
      <w:r w:rsidRPr="00D23754">
        <w:rPr>
          <w:rFonts w:cstheme="minorHAnsi"/>
        </w:rPr>
        <w:t>ercise (</w:t>
      </w:r>
      <w:proofErr w:type="spellStart"/>
      <w:r w:rsidRPr="00D23754">
        <w:rPr>
          <w:rFonts w:cstheme="minorHAnsi"/>
        </w:rPr>
        <w:t>Sterman</w:t>
      </w:r>
      <w:proofErr w:type="spellEnd"/>
      <w:r w:rsidRPr="00D23754">
        <w:rPr>
          <w:rFonts w:cstheme="minorHAnsi"/>
        </w:rPr>
        <w:t xml:space="preserve">, 2000). Indeed, research studies on empirical relationships in the past were used, as there are by definition no empirical estimations on relationships from now on onwards.  </w:t>
      </w:r>
    </w:p>
    <w:p w14:paraId="37E13522" w14:textId="53790098" w:rsidR="00B9531A" w:rsidRPr="0099228F" w:rsidRDefault="00B9531A" w:rsidP="00B8367E">
      <w:pPr>
        <w:pStyle w:val="Heading1"/>
        <w:numPr>
          <w:ilvl w:val="0"/>
          <w:numId w:val="0"/>
        </w:numPr>
        <w:ind w:left="360"/>
      </w:pPr>
      <w:r w:rsidRPr="0099228F">
        <w:t xml:space="preserve">Appendix </w:t>
      </w:r>
      <w:r w:rsidR="00F17347" w:rsidRPr="0099228F">
        <w:t>B</w:t>
      </w:r>
      <w:r w:rsidRPr="0099228F">
        <w:t xml:space="preserve"> - Representation of the green finance gap</w:t>
      </w:r>
      <w:r w:rsidR="001C7685">
        <w:t xml:space="preserve"> and interest rates</w:t>
      </w:r>
      <w:r w:rsidRPr="0099228F">
        <w:t xml:space="preserve"> in the Green Investment Barrier Model (GIBM)</w:t>
      </w:r>
    </w:p>
    <w:p w14:paraId="55C03609" w14:textId="77777777" w:rsidR="00B9531A" w:rsidRPr="0099228F" w:rsidRDefault="00B9531A" w:rsidP="00B9531A">
      <w:pPr>
        <w:rPr>
          <w:rFonts w:cstheme="minorHAnsi"/>
        </w:rPr>
      </w:pPr>
      <w:r w:rsidRPr="0099228F">
        <w:rPr>
          <w:rFonts w:cstheme="minorHAnsi"/>
        </w:rPr>
        <w:t xml:space="preserve">Equation for planned renewable energy capacity additions: </w:t>
      </w:r>
    </w:p>
    <w:p w14:paraId="49E5EB8F" w14:textId="77777777" w:rsidR="00B9531A" w:rsidRPr="00086A44" w:rsidRDefault="00B9531A" w:rsidP="00B9531A">
      <w:pPr>
        <w:pStyle w:val="ListParagraph"/>
        <w:numPr>
          <w:ilvl w:val="0"/>
          <w:numId w:val="37"/>
        </w:numPr>
        <w:spacing w:line="240" w:lineRule="auto"/>
        <w:rPr>
          <w:rFonts w:cstheme="minorHAnsi"/>
        </w:rPr>
      </w:pPr>
      <w:r w:rsidRPr="00B8367E">
        <w:rPr>
          <w:rFonts w:cstheme="minorHAnsi"/>
          <w:i/>
          <w:iCs/>
        </w:rPr>
        <w:t xml:space="preserve">Planned renewable energy capacity additions = IF THEN ELSE (Activate green finance constraint=1, min (RES market share new installations[Renewable energy] * Total additional generation required </w:t>
      </w:r>
      <w:proofErr w:type="spellStart"/>
      <w:r w:rsidRPr="00B8367E">
        <w:rPr>
          <w:rFonts w:cstheme="minorHAnsi"/>
          <w:i/>
          <w:iCs/>
        </w:rPr>
        <w:t>twh</w:t>
      </w:r>
      <w:proofErr w:type="spellEnd"/>
      <w:r w:rsidRPr="00B8367E">
        <w:rPr>
          <w:rFonts w:cstheme="minorHAnsi"/>
          <w:i/>
          <w:iCs/>
        </w:rPr>
        <w:t xml:space="preserve">*MW into </w:t>
      </w:r>
      <w:proofErr w:type="spellStart"/>
      <w:r w:rsidRPr="00B8367E">
        <w:rPr>
          <w:rFonts w:cstheme="minorHAnsi"/>
          <w:i/>
          <w:iCs/>
        </w:rPr>
        <w:t>TWh</w:t>
      </w:r>
      <w:proofErr w:type="spellEnd"/>
      <w:r w:rsidRPr="00B8367E">
        <w:rPr>
          <w:rFonts w:cstheme="minorHAnsi"/>
          <w:i/>
          <w:iCs/>
        </w:rPr>
        <w:t xml:space="preserve"> coefficient RES[Renewable energy], Annual financial RES constraint[Renewable energy]), RES market share new installations [Renewable energy] * Total additional generation required </w:t>
      </w:r>
      <w:proofErr w:type="spellStart"/>
      <w:r w:rsidRPr="00B8367E">
        <w:rPr>
          <w:rFonts w:cstheme="minorHAnsi"/>
          <w:i/>
          <w:iCs/>
        </w:rPr>
        <w:t>twh</w:t>
      </w:r>
      <w:proofErr w:type="spellEnd"/>
      <w:r w:rsidRPr="00B8367E">
        <w:rPr>
          <w:rFonts w:cstheme="minorHAnsi"/>
          <w:i/>
          <w:iCs/>
        </w:rPr>
        <w:t xml:space="preserve"> * MW into </w:t>
      </w:r>
      <w:proofErr w:type="spellStart"/>
      <w:r w:rsidRPr="00B8367E">
        <w:rPr>
          <w:rFonts w:cstheme="minorHAnsi"/>
          <w:i/>
          <w:iCs/>
        </w:rPr>
        <w:t>TWh</w:t>
      </w:r>
      <w:proofErr w:type="spellEnd"/>
      <w:r w:rsidRPr="00B8367E">
        <w:rPr>
          <w:rFonts w:cstheme="minorHAnsi"/>
          <w:i/>
          <w:iCs/>
        </w:rPr>
        <w:t xml:space="preserve"> coefficient RES[Renewable</w:t>
      </w:r>
      <w:r w:rsidRPr="009C05A3">
        <w:rPr>
          <w:rFonts w:cstheme="minorHAnsi"/>
        </w:rPr>
        <w:t xml:space="preserve"> energy])</w:t>
      </w:r>
    </w:p>
    <w:p w14:paraId="148AA332" w14:textId="77777777" w:rsidR="00B9531A" w:rsidRPr="00086A44" w:rsidRDefault="00B9531A" w:rsidP="00B9531A">
      <w:pPr>
        <w:rPr>
          <w:rFonts w:cstheme="minorHAnsi"/>
        </w:rPr>
      </w:pPr>
      <w:r w:rsidRPr="00086A44">
        <w:rPr>
          <w:rFonts w:cstheme="minorHAnsi"/>
        </w:rPr>
        <w:t xml:space="preserve">The green finance gap is formalised by the following equation: </w:t>
      </w:r>
    </w:p>
    <w:p w14:paraId="25A36B44" w14:textId="77777777" w:rsidR="00B9531A" w:rsidRPr="00B8367E" w:rsidRDefault="00B9531A" w:rsidP="00B9531A">
      <w:pPr>
        <w:pStyle w:val="ListParagraph"/>
        <w:numPr>
          <w:ilvl w:val="0"/>
          <w:numId w:val="37"/>
        </w:numPr>
        <w:spacing w:line="240" w:lineRule="auto"/>
        <w:rPr>
          <w:rFonts w:cstheme="minorHAnsi"/>
          <w:i/>
          <w:iCs/>
        </w:rPr>
      </w:pPr>
      <w:r w:rsidRPr="00B8367E">
        <w:rPr>
          <w:rFonts w:cstheme="minorHAnsi"/>
          <w:i/>
          <w:iCs/>
        </w:rPr>
        <w:t xml:space="preserve">Planned renewable energy capacity additions = IF THEN ELSE (Activate green finance constraint=1, min (RES </w:t>
      </w:r>
      <w:proofErr w:type="spellStart"/>
      <w:r w:rsidRPr="00B8367E">
        <w:rPr>
          <w:rFonts w:cstheme="minorHAnsi"/>
          <w:i/>
          <w:iCs/>
        </w:rPr>
        <w:t>marketshare</w:t>
      </w:r>
      <w:proofErr w:type="spellEnd"/>
      <w:r w:rsidRPr="00B8367E">
        <w:rPr>
          <w:rFonts w:cstheme="minorHAnsi"/>
          <w:i/>
          <w:iCs/>
        </w:rPr>
        <w:t xml:space="preserve"> new installations[Renewable energy] * Total additional generation required </w:t>
      </w:r>
      <w:proofErr w:type="spellStart"/>
      <w:r w:rsidRPr="00B8367E">
        <w:rPr>
          <w:rFonts w:cstheme="minorHAnsi"/>
          <w:i/>
          <w:iCs/>
        </w:rPr>
        <w:t>twh</w:t>
      </w:r>
      <w:proofErr w:type="spellEnd"/>
      <w:r w:rsidRPr="00B8367E">
        <w:rPr>
          <w:rFonts w:cstheme="minorHAnsi"/>
          <w:i/>
          <w:iCs/>
        </w:rPr>
        <w:t xml:space="preserve">*MW into </w:t>
      </w:r>
      <w:proofErr w:type="spellStart"/>
      <w:r w:rsidRPr="00B8367E">
        <w:rPr>
          <w:rFonts w:cstheme="minorHAnsi"/>
          <w:i/>
          <w:iCs/>
        </w:rPr>
        <w:t>TWh</w:t>
      </w:r>
      <w:proofErr w:type="spellEnd"/>
      <w:r w:rsidRPr="00B8367E">
        <w:rPr>
          <w:rFonts w:cstheme="minorHAnsi"/>
          <w:i/>
          <w:iCs/>
        </w:rPr>
        <w:t xml:space="preserve"> coefficient RES[Renewable energy], Annual financial RES constraint[Renewable energy]), RES </w:t>
      </w:r>
      <w:proofErr w:type="spellStart"/>
      <w:r w:rsidRPr="00B8367E">
        <w:rPr>
          <w:rFonts w:cstheme="minorHAnsi"/>
          <w:i/>
          <w:iCs/>
        </w:rPr>
        <w:t>marketshare</w:t>
      </w:r>
      <w:proofErr w:type="spellEnd"/>
      <w:r w:rsidRPr="00B8367E">
        <w:rPr>
          <w:rFonts w:cstheme="minorHAnsi"/>
          <w:i/>
          <w:iCs/>
        </w:rPr>
        <w:t xml:space="preserve"> new installations [Renewable energy] * Total additional generation required </w:t>
      </w:r>
      <w:proofErr w:type="spellStart"/>
      <w:r w:rsidRPr="00B8367E">
        <w:rPr>
          <w:rFonts w:cstheme="minorHAnsi"/>
          <w:i/>
          <w:iCs/>
        </w:rPr>
        <w:t>twh</w:t>
      </w:r>
      <w:proofErr w:type="spellEnd"/>
      <w:r w:rsidRPr="00B8367E">
        <w:rPr>
          <w:rFonts w:cstheme="minorHAnsi"/>
          <w:i/>
          <w:iCs/>
        </w:rPr>
        <w:t xml:space="preserve"> * MW into </w:t>
      </w:r>
      <w:proofErr w:type="spellStart"/>
      <w:r w:rsidRPr="00B8367E">
        <w:rPr>
          <w:rFonts w:cstheme="minorHAnsi"/>
          <w:i/>
          <w:iCs/>
        </w:rPr>
        <w:t>TWh</w:t>
      </w:r>
      <w:proofErr w:type="spellEnd"/>
      <w:r w:rsidRPr="00B8367E">
        <w:rPr>
          <w:rFonts w:cstheme="minorHAnsi"/>
          <w:i/>
          <w:iCs/>
        </w:rPr>
        <w:t xml:space="preserve"> coefficient RES[Renewable energy])</w:t>
      </w:r>
    </w:p>
    <w:p w14:paraId="0956C8BA" w14:textId="64CCEA4B" w:rsidR="00B9531A" w:rsidRDefault="00B9531A" w:rsidP="00B9531A">
      <w:pPr>
        <w:rPr>
          <w:rFonts w:cstheme="minorHAnsi"/>
        </w:rPr>
      </w:pPr>
      <w:r w:rsidRPr="00086A44">
        <w:rPr>
          <w:rFonts w:cstheme="minorHAnsi"/>
        </w:rPr>
        <w:t xml:space="preserve">The difference between the desired and planned renewable capacity additions are covered by energy imports from abroad. </w:t>
      </w:r>
    </w:p>
    <w:p w14:paraId="53108934" w14:textId="50791F52" w:rsidR="004D70AB" w:rsidRPr="0023087C" w:rsidRDefault="00DB7960" w:rsidP="004D70AB">
      <w:r>
        <w:t>Furthermore, t</w:t>
      </w:r>
      <w:r w:rsidR="004D70AB">
        <w:t>he</w:t>
      </w:r>
      <w:r w:rsidR="004D70AB" w:rsidRPr="0023087C">
        <w:t xml:space="preserve"> indicated market</w:t>
      </w:r>
      <w:r>
        <w:t xml:space="preserve"> or average</w:t>
      </w:r>
      <w:r w:rsidR="004D70AB" w:rsidRPr="0023087C">
        <w:t xml:space="preserve"> interest rates are given by the following equation: </w:t>
      </w:r>
    </w:p>
    <w:p w14:paraId="3C6C6BC1" w14:textId="77777777" w:rsidR="004D70AB" w:rsidRPr="0023087C" w:rsidRDefault="004D70AB" w:rsidP="00B8367E">
      <w:pPr>
        <w:pStyle w:val="ListParagraph"/>
        <w:numPr>
          <w:ilvl w:val="0"/>
          <w:numId w:val="37"/>
        </w:numPr>
        <w:spacing w:after="160" w:line="276" w:lineRule="auto"/>
        <w:jc w:val="center"/>
        <w:rPr>
          <w:i/>
          <w:sz w:val="20"/>
          <w:szCs w:val="20"/>
        </w:rPr>
      </w:pPr>
      <w:bookmarkStart w:id="40" w:name="_Ref42163838"/>
      <w:r w:rsidRPr="0023087C">
        <w:rPr>
          <w:i/>
          <w:sz w:val="20"/>
          <w:szCs w:val="20"/>
        </w:rPr>
        <w:lastRenderedPageBreak/>
        <w:t>Indicated market interest rate = Init market interest rate*Effect of key policy rate*Effect of profit-share on interest rates*Effect of the exchange rate on interest rates* Effect of productivity on interest rates,</w:t>
      </w:r>
      <w:bookmarkEnd w:id="40"/>
    </w:p>
    <w:p w14:paraId="266E991E" w14:textId="6F951FF5" w:rsidR="004D70AB" w:rsidRPr="0023087C" w:rsidRDefault="004D70AB" w:rsidP="004D70AB">
      <w:r w:rsidRPr="0023087C">
        <w:t>Where</w:t>
      </w:r>
      <w:r>
        <w:t xml:space="preserve"> the initial market rate is given by data in 2016 (see Hafner et al.) and</w:t>
      </w:r>
      <w:r w:rsidRPr="0023087C">
        <w:t xml:space="preserve"> </w:t>
      </w:r>
      <w:r>
        <w:t>the</w:t>
      </w:r>
      <w:r w:rsidRPr="0023087C">
        <w:t xml:space="preserve"> effects are </w:t>
      </w:r>
      <w:r>
        <w:t>given</w:t>
      </w:r>
      <w:r w:rsidRPr="0023087C">
        <w:t xml:space="preserve"> by the following equations: </w:t>
      </w:r>
    </w:p>
    <w:p w14:paraId="7BF4CABE" w14:textId="77777777" w:rsidR="004D70AB" w:rsidRPr="0023087C" w:rsidRDefault="004D70AB" w:rsidP="00B8367E">
      <w:pPr>
        <w:pStyle w:val="ListParagraph"/>
        <w:numPr>
          <w:ilvl w:val="0"/>
          <w:numId w:val="37"/>
        </w:numPr>
        <w:spacing w:after="160" w:line="276" w:lineRule="auto"/>
        <w:jc w:val="left"/>
        <w:rPr>
          <w:rFonts w:ascii="Cambria Math" w:hAnsi="Cambria Math"/>
          <w:i/>
          <w:sz w:val="20"/>
          <w:szCs w:val="20"/>
        </w:rPr>
      </w:pPr>
      <w:r w:rsidRPr="0023087C">
        <w:rPr>
          <w:rFonts w:ascii="Cambria Math" w:hAnsi="Cambria Math"/>
          <w:i/>
          <w:sz w:val="20"/>
          <w:szCs w:val="20"/>
        </w:rPr>
        <w:t xml:space="preserve">Effect of key policy rate = Relative key policy </w:t>
      </w:r>
      <w:proofErr w:type="spellStart"/>
      <w:r w:rsidRPr="0023087C">
        <w:rPr>
          <w:rFonts w:ascii="Cambria Math" w:hAnsi="Cambria Math"/>
          <w:i/>
          <w:sz w:val="20"/>
          <w:szCs w:val="20"/>
        </w:rPr>
        <w:t>rate^Elasticity</w:t>
      </w:r>
      <w:proofErr w:type="spellEnd"/>
      <w:r w:rsidRPr="0023087C">
        <w:rPr>
          <w:rFonts w:ascii="Cambria Math" w:hAnsi="Cambria Math"/>
          <w:i/>
          <w:sz w:val="20"/>
          <w:szCs w:val="20"/>
        </w:rPr>
        <w:t xml:space="preserve"> key policy rate on market interest rate</w:t>
      </w:r>
    </w:p>
    <w:p w14:paraId="7912D9B9" w14:textId="77777777" w:rsidR="004D70AB" w:rsidRPr="0023087C" w:rsidRDefault="004D70AB" w:rsidP="004D70AB">
      <w:pPr>
        <w:pStyle w:val="ListParagraph"/>
        <w:ind w:left="1003"/>
        <w:jc w:val="left"/>
        <w:rPr>
          <w:rFonts w:ascii="Cambria Math" w:hAnsi="Cambria Math"/>
          <w:i/>
          <w:sz w:val="20"/>
          <w:szCs w:val="20"/>
        </w:rPr>
      </w:pPr>
    </w:p>
    <w:p w14:paraId="63379467" w14:textId="77777777" w:rsidR="004D70AB" w:rsidRPr="00953FC2" w:rsidRDefault="004D70AB" w:rsidP="00B8367E">
      <w:pPr>
        <w:pStyle w:val="ListParagraph"/>
        <w:numPr>
          <w:ilvl w:val="0"/>
          <w:numId w:val="37"/>
        </w:numPr>
        <w:spacing w:after="160" w:line="276" w:lineRule="auto"/>
        <w:jc w:val="left"/>
        <w:rPr>
          <w:rFonts w:ascii="Cambria Math" w:hAnsi="Cambria Math"/>
          <w:i/>
          <w:sz w:val="20"/>
          <w:szCs w:val="20"/>
        </w:rPr>
      </w:pPr>
      <w:r w:rsidRPr="0023087C">
        <w:rPr>
          <w:rFonts w:ascii="Cambria Math" w:hAnsi="Cambria Math"/>
          <w:i/>
          <w:sz w:val="20"/>
          <w:szCs w:val="20"/>
        </w:rPr>
        <w:t xml:space="preserve">Effect of profit-share on interest rates = Relative profit </w:t>
      </w:r>
      <w:proofErr w:type="spellStart"/>
      <w:r w:rsidRPr="0023087C">
        <w:rPr>
          <w:rFonts w:ascii="Cambria Math" w:hAnsi="Cambria Math"/>
          <w:i/>
          <w:sz w:val="20"/>
          <w:szCs w:val="20"/>
        </w:rPr>
        <w:t>share^Elasticity</w:t>
      </w:r>
      <w:proofErr w:type="spellEnd"/>
      <w:r w:rsidRPr="0023087C">
        <w:rPr>
          <w:rFonts w:ascii="Cambria Math" w:hAnsi="Cambria Math"/>
          <w:i/>
          <w:sz w:val="20"/>
          <w:szCs w:val="20"/>
        </w:rPr>
        <w:t xml:space="preserve"> of profit on interest rates</w:t>
      </w:r>
    </w:p>
    <w:p w14:paraId="6645198B" w14:textId="77777777" w:rsidR="004D70AB" w:rsidRPr="0023087C" w:rsidRDefault="004D70AB" w:rsidP="004D70AB">
      <w:pPr>
        <w:pStyle w:val="ListParagraph"/>
        <w:ind w:left="1003"/>
        <w:jc w:val="left"/>
        <w:rPr>
          <w:rFonts w:ascii="Cambria Math" w:hAnsi="Cambria Math"/>
          <w:i/>
          <w:sz w:val="20"/>
          <w:szCs w:val="20"/>
        </w:rPr>
      </w:pPr>
    </w:p>
    <w:p w14:paraId="03F1D971" w14:textId="77777777" w:rsidR="004D70AB" w:rsidRPr="0023087C" w:rsidRDefault="004D70AB" w:rsidP="00B8367E">
      <w:pPr>
        <w:pStyle w:val="ListParagraph"/>
        <w:numPr>
          <w:ilvl w:val="0"/>
          <w:numId w:val="37"/>
        </w:numPr>
        <w:spacing w:after="160" w:line="276" w:lineRule="auto"/>
        <w:jc w:val="left"/>
        <w:rPr>
          <w:rFonts w:ascii="Cambria Math" w:hAnsi="Cambria Math"/>
          <w:i/>
          <w:sz w:val="20"/>
          <w:szCs w:val="20"/>
        </w:rPr>
      </w:pPr>
      <w:r w:rsidRPr="0023087C">
        <w:rPr>
          <w:rFonts w:ascii="Cambria Math" w:hAnsi="Cambria Math"/>
          <w:i/>
          <w:sz w:val="20"/>
          <w:szCs w:val="20"/>
        </w:rPr>
        <w:t xml:space="preserve">Effect of the exchange rate on interest rates = Relative exchange </w:t>
      </w:r>
      <w:proofErr w:type="spellStart"/>
      <w:r w:rsidRPr="0023087C">
        <w:rPr>
          <w:rFonts w:ascii="Cambria Math" w:hAnsi="Cambria Math"/>
          <w:i/>
          <w:sz w:val="20"/>
          <w:szCs w:val="20"/>
        </w:rPr>
        <w:t>rate^Elasticity</w:t>
      </w:r>
      <w:proofErr w:type="spellEnd"/>
      <w:r w:rsidRPr="0023087C">
        <w:rPr>
          <w:rFonts w:ascii="Cambria Math" w:hAnsi="Cambria Math"/>
          <w:i/>
          <w:sz w:val="20"/>
          <w:szCs w:val="20"/>
        </w:rPr>
        <w:t xml:space="preserve"> of exchange rates on interest rates</w:t>
      </w:r>
    </w:p>
    <w:p w14:paraId="702F85C3" w14:textId="77777777" w:rsidR="004D70AB" w:rsidRPr="0023087C" w:rsidRDefault="004D70AB" w:rsidP="004D70AB">
      <w:pPr>
        <w:pStyle w:val="ListParagraph"/>
        <w:ind w:left="1003"/>
        <w:jc w:val="left"/>
        <w:rPr>
          <w:rFonts w:ascii="Cambria Math" w:hAnsi="Cambria Math"/>
          <w:i/>
          <w:sz w:val="20"/>
          <w:szCs w:val="20"/>
        </w:rPr>
      </w:pPr>
    </w:p>
    <w:p w14:paraId="6A2B6F24" w14:textId="77777777" w:rsidR="004D70AB" w:rsidRPr="0023087C" w:rsidRDefault="004D70AB" w:rsidP="00B8367E">
      <w:pPr>
        <w:pStyle w:val="ListParagraph"/>
        <w:numPr>
          <w:ilvl w:val="0"/>
          <w:numId w:val="37"/>
        </w:numPr>
        <w:spacing w:after="160" w:line="276" w:lineRule="auto"/>
        <w:jc w:val="left"/>
        <w:rPr>
          <w:rFonts w:ascii="Cambria Math" w:hAnsi="Cambria Math"/>
          <w:i/>
          <w:sz w:val="20"/>
          <w:szCs w:val="20"/>
        </w:rPr>
      </w:pPr>
      <w:r w:rsidRPr="0023087C">
        <w:rPr>
          <w:rFonts w:ascii="Cambria Math" w:hAnsi="Cambria Math"/>
          <w:i/>
          <w:sz w:val="20"/>
          <w:szCs w:val="20"/>
        </w:rPr>
        <w:t xml:space="preserve">Effect of productivity on market interest rates = Relative </w:t>
      </w:r>
      <w:proofErr w:type="spellStart"/>
      <w:r w:rsidRPr="0023087C">
        <w:rPr>
          <w:rFonts w:ascii="Cambria Math" w:hAnsi="Cambria Math"/>
          <w:i/>
          <w:sz w:val="20"/>
          <w:szCs w:val="20"/>
        </w:rPr>
        <w:t>TFP^Elasticity</w:t>
      </w:r>
      <w:proofErr w:type="spellEnd"/>
      <w:r w:rsidRPr="0023087C">
        <w:rPr>
          <w:rFonts w:ascii="Cambria Math" w:hAnsi="Cambria Math"/>
          <w:i/>
          <w:sz w:val="20"/>
          <w:szCs w:val="20"/>
        </w:rPr>
        <w:t xml:space="preserve"> of productivity on market interest rates</w:t>
      </w:r>
    </w:p>
    <w:p w14:paraId="781B7CCC" w14:textId="79C14614" w:rsidR="001C7685" w:rsidRPr="004A4678" w:rsidRDefault="004D70AB" w:rsidP="002C002A">
      <w:r w:rsidRPr="0023087C">
        <w:t xml:space="preserve">The following table provides an overview of the chosen elasticity and other parameter values of constants (e.g. adjustment times) in interest rate sector. </w:t>
      </w:r>
    </w:p>
    <w:p w14:paraId="02425C1E" w14:textId="46F7EA2C" w:rsidR="002C002A" w:rsidRPr="0023087C" w:rsidRDefault="002C002A" w:rsidP="002C002A">
      <w:pPr>
        <w:pStyle w:val="Caption"/>
        <w:keepNext/>
        <w:spacing w:after="0"/>
      </w:pPr>
      <w:bookmarkStart w:id="41" w:name="_Toc39163832"/>
      <w:r w:rsidRPr="0023087C">
        <w:t xml:space="preserve">Table </w:t>
      </w:r>
      <w:r w:rsidR="00F45D06">
        <w:t>A1</w:t>
      </w:r>
      <w:r w:rsidRPr="0023087C">
        <w:t>: Overview of the parameter values in the interest rate sector</w:t>
      </w:r>
      <w:bookmarkEnd w:id="41"/>
    </w:p>
    <w:tbl>
      <w:tblPr>
        <w:tblStyle w:val="GridTable5Dark-Accent3"/>
        <w:tblW w:w="0" w:type="auto"/>
        <w:tblLayout w:type="fixed"/>
        <w:tblLook w:val="04A0" w:firstRow="1" w:lastRow="0" w:firstColumn="1" w:lastColumn="0" w:noHBand="0" w:noVBand="1"/>
      </w:tblPr>
      <w:tblGrid>
        <w:gridCol w:w="2972"/>
        <w:gridCol w:w="2410"/>
        <w:gridCol w:w="2333"/>
        <w:gridCol w:w="1292"/>
      </w:tblGrid>
      <w:tr w:rsidR="002C002A" w:rsidRPr="00953FC2" w14:paraId="1AB23045" w14:textId="77777777" w:rsidTr="00E546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46D4AF62" w14:textId="77777777" w:rsidR="002C002A" w:rsidRPr="00953FC2" w:rsidRDefault="002C002A" w:rsidP="00E546D7">
            <w:pPr>
              <w:pStyle w:val="NoSpacing"/>
              <w:rPr>
                <w:rFonts w:cstheme="minorHAnsi"/>
                <w:sz w:val="16"/>
                <w:szCs w:val="16"/>
              </w:rPr>
            </w:pPr>
            <w:r w:rsidRPr="00953FC2">
              <w:rPr>
                <w:rFonts w:cstheme="minorHAnsi"/>
                <w:sz w:val="16"/>
                <w:szCs w:val="16"/>
              </w:rPr>
              <w:t>Parameter name</w:t>
            </w:r>
          </w:p>
        </w:tc>
        <w:tc>
          <w:tcPr>
            <w:tcW w:w="2410" w:type="dxa"/>
          </w:tcPr>
          <w:p w14:paraId="68591D31" w14:textId="77777777" w:rsidR="002C002A" w:rsidRPr="00953FC2" w:rsidRDefault="002C002A" w:rsidP="00E546D7">
            <w:pPr>
              <w:pStyle w:val="NoSpacing"/>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Values indicated in the literature</w:t>
            </w:r>
          </w:p>
        </w:tc>
        <w:tc>
          <w:tcPr>
            <w:tcW w:w="2333" w:type="dxa"/>
          </w:tcPr>
          <w:p w14:paraId="3DC1C26F" w14:textId="77777777" w:rsidR="002C002A" w:rsidRPr="00953FC2" w:rsidRDefault="002C002A" w:rsidP="00E546D7">
            <w:pPr>
              <w:pStyle w:val="NoSpacing"/>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Range used for optimisation</w:t>
            </w:r>
          </w:p>
        </w:tc>
        <w:tc>
          <w:tcPr>
            <w:tcW w:w="1292" w:type="dxa"/>
          </w:tcPr>
          <w:p w14:paraId="4D4CE9CD" w14:textId="77777777" w:rsidR="002C002A" w:rsidRPr="00953FC2" w:rsidRDefault="002C002A" w:rsidP="00E546D7">
            <w:pPr>
              <w:pStyle w:val="NoSpacing"/>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Applied value</w:t>
            </w:r>
          </w:p>
        </w:tc>
      </w:tr>
      <w:tr w:rsidR="002C002A" w:rsidRPr="00953FC2" w14:paraId="47CB58DD" w14:textId="77777777" w:rsidTr="00E546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40F295E4" w14:textId="77777777" w:rsidR="002C002A" w:rsidRPr="00953FC2" w:rsidRDefault="002C002A" w:rsidP="00E546D7">
            <w:pPr>
              <w:pStyle w:val="NoSpacing"/>
              <w:rPr>
                <w:rFonts w:cstheme="minorHAnsi"/>
                <w:sz w:val="16"/>
                <w:szCs w:val="16"/>
              </w:rPr>
            </w:pPr>
            <w:r w:rsidRPr="00953FC2">
              <w:rPr>
                <w:rFonts w:cstheme="minorHAnsi"/>
                <w:sz w:val="16"/>
                <w:szCs w:val="16"/>
              </w:rPr>
              <w:t>AT of market interest rate</w:t>
            </w:r>
          </w:p>
        </w:tc>
        <w:tc>
          <w:tcPr>
            <w:tcW w:w="2410" w:type="dxa"/>
          </w:tcPr>
          <w:p w14:paraId="356D28F7"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No specific values based on empirical analysis found</w:t>
            </w:r>
          </w:p>
        </w:tc>
        <w:tc>
          <w:tcPr>
            <w:tcW w:w="2333" w:type="dxa"/>
          </w:tcPr>
          <w:p w14:paraId="37C95D1A"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0.25 - 5</w:t>
            </w:r>
          </w:p>
        </w:tc>
        <w:tc>
          <w:tcPr>
            <w:tcW w:w="1292" w:type="dxa"/>
          </w:tcPr>
          <w:p w14:paraId="43059253"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3.13013</w:t>
            </w:r>
          </w:p>
        </w:tc>
      </w:tr>
      <w:tr w:rsidR="002C002A" w:rsidRPr="00953FC2" w14:paraId="1CE51BF2" w14:textId="77777777" w:rsidTr="00E546D7">
        <w:tc>
          <w:tcPr>
            <w:cnfStyle w:val="001000000000" w:firstRow="0" w:lastRow="0" w:firstColumn="1" w:lastColumn="0" w:oddVBand="0" w:evenVBand="0" w:oddHBand="0" w:evenHBand="0" w:firstRowFirstColumn="0" w:firstRowLastColumn="0" w:lastRowFirstColumn="0" w:lastRowLastColumn="0"/>
            <w:tcW w:w="2972" w:type="dxa"/>
          </w:tcPr>
          <w:p w14:paraId="5F1CE08A" w14:textId="77777777" w:rsidR="002C002A" w:rsidRPr="00953FC2" w:rsidRDefault="002C002A" w:rsidP="00E546D7">
            <w:pPr>
              <w:pStyle w:val="NoSpacing"/>
              <w:rPr>
                <w:rFonts w:cstheme="minorHAnsi"/>
                <w:sz w:val="16"/>
                <w:szCs w:val="16"/>
              </w:rPr>
            </w:pPr>
            <w:r w:rsidRPr="00953FC2">
              <w:rPr>
                <w:rFonts w:cstheme="minorHAnsi"/>
                <w:sz w:val="16"/>
                <w:szCs w:val="16"/>
              </w:rPr>
              <w:t>Elasticity key policy rate on market interest rate</w:t>
            </w:r>
          </w:p>
        </w:tc>
        <w:tc>
          <w:tcPr>
            <w:tcW w:w="2410" w:type="dxa"/>
          </w:tcPr>
          <w:p w14:paraId="71DEE832"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No specific values based on empirical analysis found</w:t>
            </w:r>
          </w:p>
        </w:tc>
        <w:tc>
          <w:tcPr>
            <w:tcW w:w="2333" w:type="dxa"/>
          </w:tcPr>
          <w:p w14:paraId="0F7EACBF"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0 - 1</w:t>
            </w:r>
          </w:p>
        </w:tc>
        <w:tc>
          <w:tcPr>
            <w:tcW w:w="1292" w:type="dxa"/>
          </w:tcPr>
          <w:p w14:paraId="09B5C221"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1</w:t>
            </w:r>
          </w:p>
        </w:tc>
      </w:tr>
      <w:tr w:rsidR="002C002A" w:rsidRPr="00953FC2" w14:paraId="2FB13192" w14:textId="77777777" w:rsidTr="00E546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1C6DCFFC" w14:textId="77777777" w:rsidR="002C002A" w:rsidRPr="00953FC2" w:rsidRDefault="002C002A" w:rsidP="00E546D7">
            <w:pPr>
              <w:pStyle w:val="NoSpacing"/>
              <w:rPr>
                <w:rFonts w:cstheme="minorHAnsi"/>
                <w:sz w:val="16"/>
                <w:szCs w:val="16"/>
              </w:rPr>
            </w:pPr>
            <w:r w:rsidRPr="00953FC2">
              <w:rPr>
                <w:rFonts w:cstheme="minorHAnsi"/>
                <w:sz w:val="16"/>
                <w:szCs w:val="16"/>
              </w:rPr>
              <w:t xml:space="preserve">Elasticity of exchange rates on interest rates </w:t>
            </w:r>
          </w:p>
        </w:tc>
        <w:tc>
          <w:tcPr>
            <w:tcW w:w="2410" w:type="dxa"/>
          </w:tcPr>
          <w:p w14:paraId="3BD0AB72"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No specific values based on empirical analysis found</w:t>
            </w:r>
          </w:p>
        </w:tc>
        <w:tc>
          <w:tcPr>
            <w:tcW w:w="2333" w:type="dxa"/>
          </w:tcPr>
          <w:p w14:paraId="4F4E1765"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(-1) - 0</w:t>
            </w:r>
          </w:p>
        </w:tc>
        <w:tc>
          <w:tcPr>
            <w:tcW w:w="1292" w:type="dxa"/>
          </w:tcPr>
          <w:p w14:paraId="01E45583" w14:textId="77777777" w:rsidR="002C002A" w:rsidRPr="00953FC2" w:rsidRDefault="002C002A" w:rsidP="00E546D7">
            <w:pPr>
              <w:pStyle w:val="NoSpacing"/>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953FC2">
              <w:rPr>
                <w:rFonts w:cstheme="minorHAnsi"/>
                <w:sz w:val="16"/>
                <w:szCs w:val="16"/>
              </w:rPr>
              <w:t>-0.039</w:t>
            </w:r>
          </w:p>
        </w:tc>
      </w:tr>
      <w:tr w:rsidR="002C002A" w:rsidRPr="00953FC2" w14:paraId="353CDE7A" w14:textId="77777777" w:rsidTr="00E546D7">
        <w:tc>
          <w:tcPr>
            <w:cnfStyle w:val="001000000000" w:firstRow="0" w:lastRow="0" w:firstColumn="1" w:lastColumn="0" w:oddVBand="0" w:evenVBand="0" w:oddHBand="0" w:evenHBand="0" w:firstRowFirstColumn="0" w:firstRowLastColumn="0" w:lastRowFirstColumn="0" w:lastRowLastColumn="0"/>
            <w:tcW w:w="2972" w:type="dxa"/>
          </w:tcPr>
          <w:p w14:paraId="3BC7839C" w14:textId="77777777" w:rsidR="002C002A" w:rsidRPr="00953FC2" w:rsidRDefault="002C002A" w:rsidP="00E546D7">
            <w:pPr>
              <w:pStyle w:val="NoSpacing"/>
              <w:rPr>
                <w:rFonts w:cstheme="minorHAnsi"/>
                <w:sz w:val="16"/>
                <w:szCs w:val="16"/>
              </w:rPr>
            </w:pPr>
            <w:r w:rsidRPr="00953FC2">
              <w:rPr>
                <w:rFonts w:cstheme="minorHAnsi"/>
                <w:sz w:val="16"/>
                <w:szCs w:val="16"/>
              </w:rPr>
              <w:t>Elasticity of productivity on interest rates</w:t>
            </w:r>
          </w:p>
        </w:tc>
        <w:tc>
          <w:tcPr>
            <w:tcW w:w="2410" w:type="dxa"/>
          </w:tcPr>
          <w:p w14:paraId="7010D2C8"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No specific values based on empirical analysis found</w:t>
            </w:r>
          </w:p>
        </w:tc>
        <w:tc>
          <w:tcPr>
            <w:tcW w:w="2333" w:type="dxa"/>
          </w:tcPr>
          <w:p w14:paraId="50733E10"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0.1 – 1.2</w:t>
            </w:r>
          </w:p>
        </w:tc>
        <w:tc>
          <w:tcPr>
            <w:tcW w:w="1292" w:type="dxa"/>
          </w:tcPr>
          <w:p w14:paraId="7020CBF1" w14:textId="77777777" w:rsidR="002C002A" w:rsidRPr="00953FC2" w:rsidRDefault="002C002A" w:rsidP="00E546D7">
            <w:pPr>
              <w:pStyle w:val="NoSpacing"/>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953FC2">
              <w:rPr>
                <w:rFonts w:cstheme="minorHAnsi"/>
                <w:sz w:val="16"/>
                <w:szCs w:val="16"/>
              </w:rPr>
              <w:t>1.2</w:t>
            </w:r>
          </w:p>
        </w:tc>
      </w:tr>
    </w:tbl>
    <w:p w14:paraId="505BF1E8" w14:textId="77777777" w:rsidR="002C002A" w:rsidRPr="004A4678" w:rsidRDefault="002C002A">
      <w:pPr>
        <w:rPr>
          <w:rFonts w:cstheme="minorHAnsi"/>
        </w:rPr>
      </w:pPr>
    </w:p>
    <w:p w14:paraId="615F43D0" w14:textId="30E7EF4E" w:rsidR="00B9531A" w:rsidRPr="0099228F" w:rsidRDefault="00B9531A" w:rsidP="00B8367E">
      <w:pPr>
        <w:pStyle w:val="Heading1"/>
        <w:numPr>
          <w:ilvl w:val="0"/>
          <w:numId w:val="0"/>
        </w:numPr>
        <w:ind w:left="357"/>
      </w:pPr>
      <w:r w:rsidRPr="0099228F">
        <w:t xml:space="preserve">Appendix </w:t>
      </w:r>
      <w:r w:rsidR="00F17347" w:rsidRPr="0099228F">
        <w:t>C</w:t>
      </w:r>
      <w:r w:rsidRPr="0099228F">
        <w:t xml:space="preserve"> - Key macroeconomic dynamics of GIBM</w:t>
      </w:r>
    </w:p>
    <w:p w14:paraId="1EB95DE7" w14:textId="011B1106" w:rsidR="00B9531A" w:rsidRPr="009C05A3" w:rsidRDefault="00B9531A" w:rsidP="00B8367E">
      <w:pPr>
        <w:pStyle w:val="Heading1"/>
        <w:numPr>
          <w:ilvl w:val="0"/>
          <w:numId w:val="69"/>
        </w:numPr>
      </w:pPr>
      <w:r w:rsidRPr="009C05A3">
        <w:t>Key dynamics induced by the introduction of the low-carbon energy transition scenario</w:t>
      </w:r>
    </w:p>
    <w:p w14:paraId="48542A81" w14:textId="4CD45096" w:rsidR="00B9531A" w:rsidRPr="004857A9" w:rsidRDefault="00B9531A" w:rsidP="00B9531A">
      <w:pPr>
        <w:rPr>
          <w:rFonts w:cstheme="minorHAnsi"/>
        </w:rPr>
      </w:pPr>
      <w:r w:rsidRPr="0099228F">
        <w:rPr>
          <w:rFonts w:cstheme="minorHAnsi"/>
        </w:rPr>
        <w:t>The tested low-carbon energy scenarios require a different amount of capital investments into energy infrastructure</w:t>
      </w:r>
      <w:r w:rsidRPr="009C05A3">
        <w:rPr>
          <w:rFonts w:cstheme="minorHAnsi"/>
        </w:rPr>
        <w:t xml:space="preserve"> than under the base-run simulation due to the </w:t>
      </w:r>
      <w:r w:rsidRPr="00086A44">
        <w:rPr>
          <w:rFonts w:cstheme="minorHAnsi"/>
        </w:rPr>
        <w:t>differences in applied electricity production technologies and the amount of electricity produced. Capital investments are a component of aggregate demand and therefore</w:t>
      </w:r>
      <w:r w:rsidRPr="00967105">
        <w:rPr>
          <w:rFonts w:cstheme="minorHAnsi"/>
        </w:rPr>
        <w:t xml:space="preserve"> differences in the amount of capital investments change the amount of aggregate demand. Furthermore, the installation of renewable electricity infrastructure generally requires more labour inputs than </w:t>
      </w:r>
      <w:r w:rsidR="004857A9">
        <w:rPr>
          <w:rFonts w:cstheme="minorHAnsi"/>
        </w:rPr>
        <w:t>high-carbon</w:t>
      </w:r>
      <w:r w:rsidR="004857A9" w:rsidRPr="00967105">
        <w:rPr>
          <w:rFonts w:cstheme="minorHAnsi"/>
        </w:rPr>
        <w:t xml:space="preserve"> </w:t>
      </w:r>
      <w:r w:rsidRPr="00967105">
        <w:rPr>
          <w:rFonts w:cstheme="minorHAnsi"/>
        </w:rPr>
        <w:t>infrastructure (Wei, 2010) and therefore the tested low-carbon energy scenario leads to a higher amount of direct employment in the electricity sector and consequently of aggregate employment as compared to the base-run. Finally, the electricity system</w:t>
      </w:r>
      <w:r w:rsidRPr="004C48F6">
        <w:rPr>
          <w:rFonts w:cstheme="minorHAnsi"/>
        </w:rPr>
        <w:t xml:space="preserve"> costs, including operational and capital costs and investments into grid and storage infrastructure, vary between </w:t>
      </w:r>
      <w:r w:rsidRPr="009A2FE1">
        <w:rPr>
          <w:rFonts w:cstheme="minorHAnsi"/>
        </w:rPr>
        <w:t>the</w:t>
      </w:r>
      <w:r w:rsidRPr="004C71DD">
        <w:rPr>
          <w:rFonts w:cstheme="minorHAnsi"/>
        </w:rPr>
        <w:t xml:space="preserve"> tested </w:t>
      </w:r>
      <w:r w:rsidRPr="00787C9A">
        <w:rPr>
          <w:rFonts w:cstheme="minorHAnsi"/>
        </w:rPr>
        <w:t>low-carbon energy scenario and the base-run. Electricity</w:t>
      </w:r>
      <w:r w:rsidRPr="00FC1125">
        <w:rPr>
          <w:rFonts w:cstheme="minorHAnsi"/>
        </w:rPr>
        <w:t xml:space="preserve"> system costs in turn influence subsequently domestic electricity prices, which then impact the</w:t>
      </w:r>
      <w:r w:rsidRPr="004857A9">
        <w:rPr>
          <w:rFonts w:cstheme="minorHAnsi"/>
        </w:rPr>
        <w:t xml:space="preserve"> average price level. </w:t>
      </w:r>
    </w:p>
    <w:p w14:paraId="5FEF6A8E" w14:textId="77777777" w:rsidR="00B9531A" w:rsidRPr="00202D0C" w:rsidRDefault="00B9531A" w:rsidP="00B9531A">
      <w:pPr>
        <w:rPr>
          <w:rFonts w:cstheme="minorHAnsi"/>
        </w:rPr>
      </w:pPr>
      <w:r w:rsidRPr="007C0A4D">
        <w:rPr>
          <w:rFonts w:cstheme="minorHAnsi"/>
        </w:rPr>
        <w:lastRenderedPageBreak/>
        <w:t xml:space="preserve">Given the above, the following three variables in the macroeconomy are influenced </w:t>
      </w:r>
      <w:r w:rsidRPr="0070461D">
        <w:rPr>
          <w:rFonts w:cstheme="minorHAnsi"/>
          <w:i/>
        </w:rPr>
        <w:t>direct</w:t>
      </w:r>
      <w:r w:rsidRPr="005E5158">
        <w:rPr>
          <w:rFonts w:cstheme="minorHAnsi"/>
        </w:rPr>
        <w:t xml:space="preserve">ly by the tested low-carbon energy scenario: </w:t>
      </w:r>
    </w:p>
    <w:p w14:paraId="7ED7C5AA" w14:textId="77777777" w:rsidR="00B9531A" w:rsidRPr="00B8367E" w:rsidRDefault="00B9531A" w:rsidP="00B9531A">
      <w:pPr>
        <w:pStyle w:val="ListParagraph"/>
        <w:numPr>
          <w:ilvl w:val="0"/>
          <w:numId w:val="32"/>
        </w:numPr>
        <w:spacing w:line="360" w:lineRule="auto"/>
        <w:rPr>
          <w:rFonts w:cstheme="minorHAnsi"/>
        </w:rPr>
      </w:pPr>
      <w:r w:rsidRPr="00B8367E">
        <w:rPr>
          <w:rFonts w:cstheme="minorHAnsi"/>
        </w:rPr>
        <w:t xml:space="preserve">Capital investments (i.e. electricity capacity and grid) investments </w:t>
      </w:r>
      <w:r w:rsidRPr="00B8367E">
        <w:rPr>
          <w:rFonts w:cstheme="minorHAnsi"/>
        </w:rPr>
        <w:tab/>
      </w:r>
    </w:p>
    <w:p w14:paraId="36C7032B" w14:textId="77777777" w:rsidR="00B9531A" w:rsidRPr="00B8367E" w:rsidRDefault="00B9531A" w:rsidP="00B9531A">
      <w:pPr>
        <w:pStyle w:val="ListParagraph"/>
        <w:numPr>
          <w:ilvl w:val="1"/>
          <w:numId w:val="32"/>
        </w:numPr>
        <w:spacing w:line="360" w:lineRule="auto"/>
        <w:rPr>
          <w:rFonts w:cstheme="minorHAnsi"/>
        </w:rPr>
      </w:pPr>
      <w:r w:rsidRPr="00B8367E">
        <w:rPr>
          <w:rFonts w:cstheme="minorHAnsi"/>
        </w:rPr>
        <w:t>Directly influence aggregate demand</w:t>
      </w:r>
    </w:p>
    <w:p w14:paraId="0BD15E91" w14:textId="77777777" w:rsidR="00B9531A" w:rsidRPr="00B8367E" w:rsidRDefault="00B9531A" w:rsidP="00B9531A">
      <w:pPr>
        <w:pStyle w:val="ListParagraph"/>
        <w:numPr>
          <w:ilvl w:val="0"/>
          <w:numId w:val="32"/>
        </w:numPr>
        <w:spacing w:line="360" w:lineRule="auto"/>
        <w:rPr>
          <w:rFonts w:cstheme="minorHAnsi"/>
        </w:rPr>
      </w:pPr>
      <w:r w:rsidRPr="00B8367E">
        <w:rPr>
          <w:rFonts w:cstheme="minorHAnsi"/>
        </w:rPr>
        <w:t xml:space="preserve">Direct employment </w:t>
      </w:r>
    </w:p>
    <w:p w14:paraId="7A25A143" w14:textId="77777777" w:rsidR="00B9531A" w:rsidRPr="00B8367E" w:rsidRDefault="00B9531A" w:rsidP="00B9531A">
      <w:pPr>
        <w:pStyle w:val="ListParagraph"/>
        <w:numPr>
          <w:ilvl w:val="1"/>
          <w:numId w:val="32"/>
        </w:numPr>
        <w:spacing w:line="360" w:lineRule="auto"/>
        <w:rPr>
          <w:rFonts w:cstheme="minorHAnsi"/>
        </w:rPr>
      </w:pPr>
      <w:r w:rsidRPr="00B8367E">
        <w:rPr>
          <w:rFonts w:cstheme="minorHAnsi"/>
        </w:rPr>
        <w:t>Directly influence desired employment</w:t>
      </w:r>
    </w:p>
    <w:p w14:paraId="10A87736" w14:textId="77777777" w:rsidR="00B9531A" w:rsidRPr="00B8367E" w:rsidRDefault="00B9531A" w:rsidP="00B9531A">
      <w:pPr>
        <w:pStyle w:val="ListParagraph"/>
        <w:numPr>
          <w:ilvl w:val="0"/>
          <w:numId w:val="32"/>
        </w:numPr>
        <w:spacing w:line="360" w:lineRule="auto"/>
        <w:rPr>
          <w:rFonts w:cstheme="minorHAnsi"/>
        </w:rPr>
      </w:pPr>
      <w:r w:rsidRPr="00B8367E">
        <w:rPr>
          <w:rFonts w:cstheme="minorHAnsi"/>
        </w:rPr>
        <w:t xml:space="preserve">Electricity system costs </w:t>
      </w:r>
    </w:p>
    <w:p w14:paraId="29F20D70" w14:textId="77777777" w:rsidR="00B9531A" w:rsidRPr="00B8367E" w:rsidRDefault="00B9531A" w:rsidP="00B9531A">
      <w:pPr>
        <w:pStyle w:val="ListParagraph"/>
        <w:numPr>
          <w:ilvl w:val="1"/>
          <w:numId w:val="32"/>
        </w:numPr>
        <w:spacing w:line="360" w:lineRule="auto"/>
        <w:rPr>
          <w:rFonts w:cstheme="minorHAnsi"/>
        </w:rPr>
      </w:pPr>
      <w:r w:rsidRPr="00B8367E">
        <w:rPr>
          <w:rFonts w:cstheme="minorHAnsi"/>
        </w:rPr>
        <w:t>Directly influence domestic electricity prices</w:t>
      </w:r>
    </w:p>
    <w:p w14:paraId="45FA4BB7" w14:textId="7D209369" w:rsidR="00B9531A" w:rsidRPr="00086A44" w:rsidRDefault="00B9531A" w:rsidP="00B9531A">
      <w:pPr>
        <w:rPr>
          <w:rFonts w:cstheme="minorHAnsi"/>
        </w:rPr>
      </w:pPr>
      <w:r w:rsidRPr="0099228F">
        <w:rPr>
          <w:rFonts w:cstheme="minorHAnsi"/>
        </w:rPr>
        <w:t>In the following, it is described how these directly triggered macroeconomic variables induce</w:t>
      </w:r>
      <w:r w:rsidRPr="009C05A3">
        <w:rPr>
          <w:rFonts w:cstheme="minorHAnsi"/>
        </w:rPr>
        <w:t xml:space="preserve"> various macroeconomic dynamics in GIBM, whereby </w:t>
      </w:r>
      <w:r w:rsidR="00F45D06" w:rsidRPr="0099228F">
        <w:rPr>
          <w:rFonts w:cstheme="minorHAnsi"/>
        </w:rPr>
        <w:fldChar w:fldCharType="begin"/>
      </w:r>
      <w:r w:rsidR="00F45D06" w:rsidRPr="00086A44">
        <w:rPr>
          <w:rFonts w:cstheme="minorHAnsi"/>
        </w:rPr>
        <w:instrText xml:space="preserve"> REF _Ref35883440 \h </w:instrText>
      </w:r>
      <w:r w:rsidR="00F45D06">
        <w:rPr>
          <w:rFonts w:cstheme="minorHAnsi"/>
        </w:rPr>
        <w:instrText xml:space="preserve"> \* MERGEFORMAT </w:instrText>
      </w:r>
      <w:r w:rsidR="00F45D06" w:rsidRPr="0099228F">
        <w:rPr>
          <w:rFonts w:cstheme="minorHAnsi"/>
        </w:rPr>
      </w:r>
      <w:r w:rsidR="00F45D06" w:rsidRPr="0099228F">
        <w:rPr>
          <w:rFonts w:cstheme="minorHAnsi"/>
        </w:rPr>
        <w:fldChar w:fldCharType="separate"/>
      </w:r>
      <w:r w:rsidR="00F45D06" w:rsidRPr="0099228F">
        <w:rPr>
          <w:rFonts w:cstheme="minorHAnsi"/>
        </w:rPr>
        <w:t xml:space="preserve">Figure </w:t>
      </w:r>
      <w:r w:rsidR="00F45D06">
        <w:rPr>
          <w:rFonts w:cstheme="minorHAnsi"/>
          <w:noProof/>
        </w:rPr>
        <w:t>A2</w:t>
      </w:r>
      <w:r w:rsidR="00F45D06" w:rsidRPr="0099228F">
        <w:rPr>
          <w:rFonts w:cstheme="minorHAnsi"/>
        </w:rPr>
        <w:fldChar w:fldCharType="end"/>
      </w:r>
      <w:r w:rsidR="00F45D06" w:rsidRPr="00086A44">
        <w:rPr>
          <w:rFonts w:cstheme="minorHAnsi"/>
        </w:rPr>
        <w:fldChar w:fldCharType="begin"/>
      </w:r>
      <w:r w:rsidR="00F45D06" w:rsidRPr="00086A44">
        <w:rPr>
          <w:rFonts w:cstheme="minorHAnsi"/>
        </w:rPr>
        <w:instrText xml:space="preserve"> REF _Ref35883440 \h </w:instrText>
      </w:r>
      <w:r w:rsidR="00F45D06">
        <w:rPr>
          <w:rFonts w:cstheme="minorHAnsi"/>
        </w:rPr>
        <w:instrText xml:space="preserve"> \* MERGEFORMAT </w:instrText>
      </w:r>
      <w:r w:rsidR="00F45D06" w:rsidRPr="00086A44">
        <w:rPr>
          <w:rFonts w:cstheme="minorHAnsi"/>
        </w:rPr>
      </w:r>
      <w:r w:rsidR="00F45D06" w:rsidRPr="00086A44">
        <w:rPr>
          <w:rFonts w:cstheme="minorHAnsi"/>
        </w:rPr>
        <w:fldChar w:fldCharType="end"/>
      </w:r>
      <w:r w:rsidR="00F45D06" w:rsidRPr="0099228F">
        <w:rPr>
          <w:rFonts w:cstheme="minorHAnsi"/>
        </w:rPr>
        <w:t xml:space="preserve"> </w:t>
      </w:r>
      <w:r w:rsidRPr="0099228F">
        <w:rPr>
          <w:rFonts w:cstheme="minorHAnsi"/>
        </w:rPr>
        <w:t xml:space="preserve">presents a visual overview thereof, using a Causal-Loop-Diagram (CLD) that is often applied in system dynamics (e.g. </w:t>
      </w:r>
      <w:proofErr w:type="spellStart"/>
      <w:r w:rsidRPr="0099228F">
        <w:rPr>
          <w:rFonts w:cstheme="minorHAnsi"/>
        </w:rPr>
        <w:t>Sterman</w:t>
      </w:r>
      <w:proofErr w:type="spellEnd"/>
      <w:r w:rsidRPr="0099228F">
        <w:rPr>
          <w:rFonts w:cstheme="minorHAnsi"/>
        </w:rPr>
        <w:t xml:space="preserve">, </w:t>
      </w:r>
      <w:r w:rsidRPr="009C05A3">
        <w:rPr>
          <w:rFonts w:cstheme="minorHAnsi"/>
        </w:rPr>
        <w:t>2000). Regarding figure 1</w:t>
      </w:r>
      <w:r w:rsidRPr="00086A44">
        <w:rPr>
          <w:rFonts w:cstheme="minorHAnsi"/>
        </w:rPr>
        <w:t xml:space="preserve">, the signs close to the arrows indicate whether the following variables change in the same (+) or opposite direction (-). For example, a plus sign between variable x and y means that if x decreased, y would also decrease. By contrast, a minus sign between variables implies that if variable x decreased, y would increase. Two lines on the arrow between two variables indicate that the impact happens with a delay. A positive sign in the loop description situated in the middle of a feedback loop indicates that it is a reinforcing loop (i.e. the initial impact is reinforced via this loop) and a negative sign indicates that it is a balancing loop (i.e. the initial impact is weakened/balanced via the loop). </w:t>
      </w:r>
    </w:p>
    <w:p w14:paraId="2E379701" w14:textId="77777777" w:rsidR="00B9531A" w:rsidRPr="00967105" w:rsidRDefault="00B9531A" w:rsidP="00B9531A">
      <w:pPr>
        <w:rPr>
          <w:rFonts w:cstheme="minorHAnsi"/>
        </w:rPr>
      </w:pPr>
      <w:r w:rsidRPr="00086A44">
        <w:rPr>
          <w:rFonts w:cstheme="minorHAnsi"/>
        </w:rPr>
        <w:t xml:space="preserve">Finally, it is noted that for simplification the macroeconomic dynamics triggered by the tested low-carbon energy scenario are explained </w:t>
      </w:r>
      <w:r w:rsidRPr="00967105">
        <w:rPr>
          <w:rFonts w:cstheme="minorHAnsi"/>
        </w:rPr>
        <w:t xml:space="preserve">in the following based on the assumption that the direct impacts (1) to (3) are positive/increase subsequent to the scenario introduction; in the opposite case these dynamics would naturally occur in the opposite direction, applying the same logic. </w:t>
      </w:r>
    </w:p>
    <w:p w14:paraId="25A8CDF1" w14:textId="65C42571" w:rsidR="00B9531A" w:rsidRPr="00B8367E" w:rsidRDefault="00B9531A" w:rsidP="00B9531A">
      <w:pPr>
        <w:pStyle w:val="Caption"/>
        <w:keepNext/>
        <w:rPr>
          <w:rFonts w:asciiTheme="minorHAnsi" w:hAnsiTheme="minorHAnsi" w:cstheme="minorHAnsi"/>
        </w:rPr>
      </w:pPr>
      <w:bookmarkStart w:id="42" w:name="_Ref35883440"/>
      <w:bookmarkStart w:id="43" w:name="_Toc39163269"/>
      <w:bookmarkStart w:id="44" w:name="_Ref46496731"/>
      <w:bookmarkStart w:id="45" w:name="_Hlk54272548"/>
      <w:r w:rsidRPr="00B8367E">
        <w:rPr>
          <w:rFonts w:asciiTheme="minorHAnsi" w:hAnsiTheme="minorHAnsi" w:cstheme="minorHAnsi"/>
        </w:rPr>
        <w:lastRenderedPageBreak/>
        <w:t xml:space="preserve">Figure </w:t>
      </w:r>
      <w:bookmarkEnd w:id="42"/>
      <w:r w:rsidR="00F45D06">
        <w:rPr>
          <w:rFonts w:asciiTheme="minorHAnsi" w:hAnsiTheme="minorHAnsi" w:cstheme="minorHAnsi"/>
        </w:rPr>
        <w:t>A2</w:t>
      </w:r>
      <w:r w:rsidRPr="00B8367E">
        <w:rPr>
          <w:rFonts w:asciiTheme="minorHAnsi" w:hAnsiTheme="minorHAnsi" w:cstheme="minorHAnsi"/>
          <w:noProof/>
        </w:rPr>
        <w:t>:</w:t>
      </w:r>
      <w:r w:rsidRPr="00B8367E">
        <w:rPr>
          <w:rFonts w:asciiTheme="minorHAnsi" w:hAnsiTheme="minorHAnsi" w:cstheme="minorHAnsi"/>
        </w:rPr>
        <w:t xml:space="preserve"> </w:t>
      </w:r>
      <w:bookmarkEnd w:id="43"/>
      <w:r w:rsidRPr="00B8367E">
        <w:rPr>
          <w:rFonts w:asciiTheme="minorHAnsi" w:hAnsiTheme="minorHAnsi" w:cstheme="minorHAnsi"/>
        </w:rPr>
        <w:t>Macroeconomic feedback loops triggered by the renewable energy policy scenario</w:t>
      </w:r>
      <w:bookmarkEnd w:id="44"/>
    </w:p>
    <w:bookmarkEnd w:id="45"/>
    <w:p w14:paraId="35BBF68B" w14:textId="140F757F" w:rsidR="004B03FB" w:rsidRDefault="005E5158" w:rsidP="00B9531A">
      <w:pPr>
        <w:rPr>
          <w:rFonts w:cstheme="minorHAnsi"/>
        </w:rPr>
      </w:pPr>
      <w:r w:rsidRPr="009655AE">
        <w:rPr>
          <w:noProof/>
          <w:lang w:eastAsia="en-GB"/>
        </w:rPr>
        <w:drawing>
          <wp:inline distT="0" distB="0" distL="0" distR="0" wp14:anchorId="3C870F6B" wp14:editId="67FFEAF8">
            <wp:extent cx="5683250" cy="6031481"/>
            <wp:effectExtent l="0" t="0" r="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a:extLst>
                        <a:ext uri="{28A0092B-C50C-407E-A947-70E740481C1C}">
                          <a14:useLocalDpi xmlns:a14="http://schemas.microsoft.com/office/drawing/2010/main" val="0"/>
                        </a:ext>
                      </a:extLst>
                    </a:blip>
                    <a:srcRect r="47590" b="30930"/>
                    <a:stretch/>
                  </pic:blipFill>
                  <pic:spPr bwMode="auto">
                    <a:xfrm>
                      <a:off x="0" y="0"/>
                      <a:ext cx="5695224" cy="6044189"/>
                    </a:xfrm>
                    <a:prstGeom prst="rect">
                      <a:avLst/>
                    </a:prstGeom>
                    <a:noFill/>
                    <a:ln>
                      <a:noFill/>
                    </a:ln>
                    <a:extLst>
                      <a:ext uri="{53640926-AAD7-44D8-BBD7-CCE9431645EC}">
                        <a14:shadowObscured xmlns:a14="http://schemas.microsoft.com/office/drawing/2010/main"/>
                      </a:ext>
                    </a:extLst>
                  </pic:spPr>
                </pic:pic>
              </a:graphicData>
            </a:graphic>
          </wp:inline>
        </w:drawing>
      </w:r>
    </w:p>
    <w:p w14:paraId="26D6DC82" w14:textId="29FD3F1B" w:rsidR="004B03FB" w:rsidRPr="00B8367E" w:rsidRDefault="004B03FB" w:rsidP="00B8367E">
      <w:pPr>
        <w:jc w:val="center"/>
        <w:rPr>
          <w:rFonts w:cstheme="minorHAnsi"/>
          <w:i/>
          <w:iCs/>
        </w:rPr>
      </w:pPr>
      <w:r w:rsidRPr="00B8367E">
        <w:rPr>
          <w:rFonts w:cstheme="minorHAnsi"/>
          <w:i/>
          <w:iCs/>
        </w:rPr>
        <w:t xml:space="preserve">Note: </w:t>
      </w:r>
      <w:r>
        <w:rPr>
          <w:rFonts w:cstheme="minorHAnsi"/>
          <w:i/>
          <w:iCs/>
        </w:rPr>
        <w:t>variables in red are impacted directly by the introduced policy scenarios.</w:t>
      </w:r>
    </w:p>
    <w:p w14:paraId="57F16274" w14:textId="66A6C4C0" w:rsidR="00B9531A" w:rsidRPr="00967105" w:rsidRDefault="00B9531A" w:rsidP="00B9531A">
      <w:pPr>
        <w:rPr>
          <w:rFonts w:cstheme="minorHAnsi"/>
        </w:rPr>
      </w:pPr>
      <w:r w:rsidRPr="0099228F">
        <w:rPr>
          <w:rFonts w:cstheme="minorHAnsi"/>
        </w:rPr>
        <w:t xml:space="preserve">With regard to the first direct impact of a low-carbon transition scenario, the figure above shows that higher capital investments into </w:t>
      </w:r>
      <w:r w:rsidRPr="009C05A3">
        <w:rPr>
          <w:rFonts w:cstheme="minorHAnsi"/>
        </w:rPr>
        <w:t>electricity capacity or grid and storage infrastructure lead to higher aggregate demand, production, GDP and therefore employment,</w:t>
      </w:r>
      <w:r w:rsidRPr="00086A44">
        <w:rPr>
          <w:rFonts w:cstheme="minorHAnsi"/>
        </w:rPr>
        <w:t xml:space="preserve"> which in turn implies higher disposable income, consumption, aggregate demand, etc., leading to reinforcing multiplier effects named </w:t>
      </w:r>
      <w:r w:rsidRPr="00086A44">
        <w:rPr>
          <w:rFonts w:cstheme="minorHAnsi"/>
          <w:i/>
        </w:rPr>
        <w:t>1) GDP multiplier feedback loop +</w:t>
      </w:r>
      <w:r w:rsidRPr="00086A44">
        <w:rPr>
          <w:rFonts w:cstheme="minorHAnsi"/>
        </w:rPr>
        <w:t xml:space="preserve">. Subsequently, this </w:t>
      </w:r>
      <w:r w:rsidRPr="00086A44">
        <w:rPr>
          <w:rFonts w:cstheme="minorHAnsi"/>
          <w:i/>
        </w:rPr>
        <w:t>GDP multiplier feedback loop +</w:t>
      </w:r>
      <w:r w:rsidRPr="00086A44">
        <w:rPr>
          <w:rFonts w:cstheme="minorHAnsi"/>
        </w:rPr>
        <w:t xml:space="preserve"> triggers a number of further – mostly reinforcing – feedback loops, including the following. First, increases in GDP lead to higher employment: as production increases, more labour inputs are required to produce it. An increase in employment in turn leads to a higher wage level, which leads to higher consumption, thus increasing GDP and adding to the previously described feedback loop. This feedback loop is labelled as </w:t>
      </w:r>
      <w:r w:rsidRPr="00086A44">
        <w:rPr>
          <w:rFonts w:cstheme="minorHAnsi"/>
          <w:i/>
        </w:rPr>
        <w:t>2) Employment feedback loop +</w:t>
      </w:r>
      <w:r w:rsidRPr="00086A44">
        <w:rPr>
          <w:rFonts w:cstheme="minorHAnsi"/>
        </w:rPr>
        <w:t xml:space="preserve">. Moreover, the increase in investments has a positive </w:t>
      </w:r>
      <w:r w:rsidRPr="00086A44">
        <w:rPr>
          <w:rFonts w:cstheme="minorHAnsi"/>
        </w:rPr>
        <w:lastRenderedPageBreak/>
        <w:t xml:space="preserve">impact on the total factor productivity, which is determined by the invested R&amp;D capital (assumed to always be one-third of total capital). In particular, the increase in aggregate demand caused by the increase in capital investment leads to an increased use of all production inputs – including capital – thus leading to an increased productivity level. An increase in productivity leads first to an increased production given the used production inputs, and subsequently to higher GDP, employment, disposable income and aggregate demand. As the production inputs required to produce the desired amount are only lowered after a delay, the productivity dynamics further reinforce the previously-introduced multiplier effects (this feedback loop is named as </w:t>
      </w:r>
      <w:r w:rsidRPr="00967105">
        <w:rPr>
          <w:rFonts w:cstheme="minorHAnsi"/>
          <w:i/>
        </w:rPr>
        <w:t>3) Productivity feedback loop</w:t>
      </w:r>
      <w:r w:rsidRPr="00967105">
        <w:rPr>
          <w:rFonts w:cstheme="minorHAnsi"/>
        </w:rPr>
        <w:t xml:space="preserve">). </w:t>
      </w:r>
    </w:p>
    <w:p w14:paraId="625AD60E" w14:textId="19ECAEAB" w:rsidR="00B9531A" w:rsidRPr="00967105" w:rsidRDefault="00B9531A" w:rsidP="00B9531A">
      <w:pPr>
        <w:rPr>
          <w:rFonts w:cstheme="minorHAnsi"/>
        </w:rPr>
      </w:pPr>
      <w:r w:rsidRPr="00967105">
        <w:rPr>
          <w:rFonts w:cstheme="minorHAnsi"/>
        </w:rPr>
        <w:t xml:space="preserve">Regarding the second direct impact via the low-carbon scenario, the installation of RES infrastructure generally requires more labour inputs than </w:t>
      </w:r>
      <w:r w:rsidR="004857A9">
        <w:rPr>
          <w:rFonts w:cstheme="minorHAnsi"/>
        </w:rPr>
        <w:t>high-carbon</w:t>
      </w:r>
      <w:r w:rsidR="004857A9" w:rsidRPr="00967105">
        <w:rPr>
          <w:rFonts w:cstheme="minorHAnsi"/>
        </w:rPr>
        <w:t xml:space="preserve"> </w:t>
      </w:r>
      <w:r w:rsidRPr="00967105">
        <w:rPr>
          <w:rFonts w:cstheme="minorHAnsi"/>
        </w:rPr>
        <w:t xml:space="preserve">infrastructure (see Wei, 2010) and therefore the installation of renewable electricity infrastructure creates more additional direct employment in the electricity sector as compared to the building-up of </w:t>
      </w:r>
      <w:r w:rsidR="004857A9">
        <w:rPr>
          <w:rFonts w:cstheme="minorHAnsi"/>
        </w:rPr>
        <w:t>high-carbon</w:t>
      </w:r>
      <w:r w:rsidR="004857A9" w:rsidRPr="00967105">
        <w:rPr>
          <w:rFonts w:cstheme="minorHAnsi"/>
        </w:rPr>
        <w:t xml:space="preserve"> </w:t>
      </w:r>
      <w:r w:rsidRPr="00967105">
        <w:rPr>
          <w:rFonts w:cstheme="minorHAnsi"/>
        </w:rPr>
        <w:t xml:space="preserve">electricity capacity. The higher labour inputs in the electricity sector add to overall employment levels, and thus strengthen the feedback loops described before. Thereby, it is important to note that the labour costs for the RES infrastructure installations are already included in the LCOE of RES and therefore no additional labour costs need to be considered. </w:t>
      </w:r>
    </w:p>
    <w:p w14:paraId="51D2AFBA" w14:textId="0B063AD4" w:rsidR="00B9531A" w:rsidRPr="00086A44" w:rsidRDefault="00B9531A" w:rsidP="00B9531A">
      <w:pPr>
        <w:rPr>
          <w:rFonts w:cstheme="minorHAnsi"/>
        </w:rPr>
      </w:pPr>
      <w:r w:rsidRPr="00967105">
        <w:rPr>
          <w:rFonts w:cstheme="minorHAnsi"/>
        </w:rPr>
        <w:t xml:space="preserve">Finally, regarding the third direct impact due to the implementation of a low-carbon scenario, higher electricity system costs lead to higher domestic electricity prices, a higher price level and therefore higher interest rates and wage levels (see </w:t>
      </w:r>
      <w:r w:rsidRPr="0099228F">
        <w:rPr>
          <w:rFonts w:cstheme="minorHAnsi"/>
        </w:rPr>
        <w:fldChar w:fldCharType="begin"/>
      </w:r>
      <w:r w:rsidRPr="00086A44">
        <w:rPr>
          <w:rFonts w:cstheme="minorHAnsi"/>
        </w:rPr>
        <w:instrText xml:space="preserve"> REF _Ref35883440 \h </w:instrText>
      </w:r>
      <w:r w:rsidR="0099228F">
        <w:rPr>
          <w:rFonts w:cstheme="minorHAnsi"/>
        </w:rPr>
        <w:instrText xml:space="preserve"> \* MERGEFORMAT </w:instrText>
      </w:r>
      <w:r w:rsidRPr="0099228F">
        <w:rPr>
          <w:rFonts w:cstheme="minorHAnsi"/>
        </w:rPr>
      </w:r>
      <w:r w:rsidRPr="0099228F">
        <w:rPr>
          <w:rFonts w:cstheme="minorHAnsi"/>
        </w:rPr>
        <w:fldChar w:fldCharType="separate"/>
      </w:r>
      <w:r w:rsidRPr="0099228F">
        <w:rPr>
          <w:rFonts w:cstheme="minorHAnsi"/>
        </w:rPr>
        <w:t>figure</w:t>
      </w:r>
      <w:r w:rsidRPr="0099228F">
        <w:rPr>
          <w:rFonts w:cstheme="minorHAnsi"/>
        </w:rPr>
        <w:fldChar w:fldCharType="end"/>
      </w:r>
      <w:r w:rsidRPr="0099228F">
        <w:rPr>
          <w:rFonts w:cstheme="minorHAnsi"/>
        </w:rPr>
        <w:t xml:space="preserve"> above). Higher interest rates lead to a higher propensity to consume, which leads to higher consumption and higher GDP, forming the reinforcing loop termed </w:t>
      </w:r>
      <w:r w:rsidRPr="009C05A3">
        <w:rPr>
          <w:rFonts w:cstheme="minorHAnsi"/>
          <w:i/>
        </w:rPr>
        <w:t>4) interest rate consumption feedback loop +</w:t>
      </w:r>
      <w:r w:rsidRPr="009C05A3">
        <w:rPr>
          <w:rFonts w:cstheme="minorHAnsi"/>
        </w:rPr>
        <w:t xml:space="preserve">. On the other hand, higher interest rates lead to less capital inputs and thus to less productivity increases than otherwise, thus forming a balancing loop labelled as </w:t>
      </w:r>
      <w:r w:rsidRPr="00086A44">
        <w:rPr>
          <w:rFonts w:cstheme="minorHAnsi"/>
          <w:i/>
        </w:rPr>
        <w:t>5) Interest rate capital input feedback loop</w:t>
      </w:r>
      <w:r w:rsidRPr="00086A44">
        <w:rPr>
          <w:rFonts w:cstheme="minorHAnsi"/>
        </w:rPr>
        <w:t xml:space="preserve">. </w:t>
      </w:r>
    </w:p>
    <w:p w14:paraId="1AAC47D7" w14:textId="17DF2DD5" w:rsidR="00B9531A" w:rsidRPr="0099228F" w:rsidRDefault="00B9531A" w:rsidP="00B9531A">
      <w:pPr>
        <w:rPr>
          <w:rFonts w:cstheme="minorHAnsi"/>
        </w:rPr>
      </w:pPr>
      <w:r w:rsidRPr="00086A44">
        <w:rPr>
          <w:rFonts w:cstheme="minorHAnsi"/>
        </w:rPr>
        <w:t xml:space="preserve">Besides these main mechanisms, some smaller reinforcing loops are relevant here. In particular, an increase in the wage level leads to an increased price level, which subsequently leads to a higher wage level with a delay, which causes a higher price level, thus forming a reinforcing feedback loop. The same holds true for the market interest rates and the price levels. These additional loops reinforce the previously described reinforcing feedback loops </w:t>
      </w:r>
      <w:r w:rsidRPr="00967105">
        <w:rPr>
          <w:rFonts w:cstheme="minorHAnsi"/>
        </w:rPr>
        <w:t xml:space="preserve">further (see </w:t>
      </w:r>
      <w:r w:rsidRPr="0099228F">
        <w:rPr>
          <w:rFonts w:cstheme="minorHAnsi"/>
        </w:rPr>
        <w:fldChar w:fldCharType="begin"/>
      </w:r>
      <w:r w:rsidRPr="00086A44">
        <w:rPr>
          <w:rFonts w:cstheme="minorHAnsi"/>
        </w:rPr>
        <w:instrText xml:space="preserve"> REF _Ref35883440 \h </w:instrText>
      </w:r>
      <w:r w:rsidR="0099228F">
        <w:rPr>
          <w:rFonts w:cstheme="minorHAnsi"/>
        </w:rPr>
        <w:instrText xml:space="preserve"> \* MERGEFORMAT </w:instrText>
      </w:r>
      <w:r w:rsidRPr="0099228F">
        <w:rPr>
          <w:rFonts w:cstheme="minorHAnsi"/>
        </w:rPr>
      </w:r>
      <w:r w:rsidRPr="0099228F">
        <w:rPr>
          <w:rFonts w:cstheme="minorHAnsi"/>
        </w:rPr>
        <w:fldChar w:fldCharType="separate"/>
      </w:r>
      <w:r w:rsidRPr="0099228F">
        <w:rPr>
          <w:rFonts w:cstheme="minorHAnsi"/>
        </w:rPr>
        <w:t xml:space="preserve">Figure </w:t>
      </w:r>
      <w:r w:rsidR="00F45D06">
        <w:rPr>
          <w:rFonts w:cstheme="minorHAnsi"/>
          <w:noProof/>
        </w:rPr>
        <w:t>A3</w:t>
      </w:r>
      <w:r w:rsidRPr="0099228F">
        <w:rPr>
          <w:rFonts w:cstheme="minorHAnsi"/>
        </w:rPr>
        <w:fldChar w:fldCharType="end"/>
      </w:r>
      <w:r w:rsidRPr="0099228F">
        <w:rPr>
          <w:rFonts w:cstheme="minorHAnsi"/>
        </w:rPr>
        <w:t xml:space="preserve">). </w:t>
      </w:r>
    </w:p>
    <w:p w14:paraId="5E4CD1B4" w14:textId="67EDF887" w:rsidR="00B9531A" w:rsidRPr="009C05A3" w:rsidRDefault="00B9531A" w:rsidP="00B9531A">
      <w:pPr>
        <w:rPr>
          <w:rFonts w:cstheme="minorHAnsi"/>
        </w:rPr>
      </w:pPr>
      <w:r w:rsidRPr="009C05A3">
        <w:rPr>
          <w:rFonts w:cstheme="minorHAnsi"/>
        </w:rPr>
        <w:t xml:space="preserve">The impacts of the low-carbon energy transition scenario are </w:t>
      </w:r>
      <w:r w:rsidR="00F45D06" w:rsidRPr="009C05A3">
        <w:rPr>
          <w:rFonts w:cstheme="minorHAnsi"/>
        </w:rPr>
        <w:t>summari</w:t>
      </w:r>
      <w:r w:rsidR="00F45D06">
        <w:rPr>
          <w:rFonts w:cstheme="minorHAnsi"/>
        </w:rPr>
        <w:t>s</w:t>
      </w:r>
      <w:r w:rsidR="00F45D06" w:rsidRPr="009C05A3">
        <w:rPr>
          <w:rFonts w:cstheme="minorHAnsi"/>
        </w:rPr>
        <w:t xml:space="preserve">ed </w:t>
      </w:r>
      <w:r w:rsidRPr="009C05A3">
        <w:rPr>
          <w:rFonts w:cstheme="minorHAnsi"/>
        </w:rPr>
        <w:t xml:space="preserve">as well in the figure below. Here, the minus and plus signs refer to the impacts of the policy on the variable. So, for example, if sign of an arrow before the next variable is positive (negative), it means that the impact of the policy on this particular variable is positive (negative) as well. </w:t>
      </w:r>
    </w:p>
    <w:p w14:paraId="4415D4FC" w14:textId="2F643D11" w:rsidR="00B9531A" w:rsidRPr="00B8367E" w:rsidRDefault="00B9531A" w:rsidP="00B9531A">
      <w:pPr>
        <w:pStyle w:val="Caption"/>
        <w:keepNext/>
        <w:spacing w:after="0"/>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A3</w:t>
      </w:r>
      <w:r w:rsidRPr="00B8367E">
        <w:rPr>
          <w:rFonts w:asciiTheme="minorHAnsi" w:hAnsiTheme="minorHAnsi" w:cstheme="minorHAnsi"/>
        </w:rPr>
        <w:t>: Overview on key impacts of a low-carbon energy transition policy scenario</w:t>
      </w:r>
    </w:p>
    <w:p w14:paraId="1498A549" w14:textId="77777777" w:rsidR="00B9531A" w:rsidRPr="0099228F" w:rsidRDefault="00B9531A" w:rsidP="00B9531A">
      <w:pPr>
        <w:rPr>
          <w:rFonts w:cstheme="minorHAnsi"/>
        </w:rPr>
      </w:pPr>
      <w:r w:rsidRPr="0099228F">
        <w:rPr>
          <w:rFonts w:cstheme="minorHAnsi"/>
          <w:noProof/>
        </w:rPr>
        <w:drawing>
          <wp:inline distT="0" distB="0" distL="0" distR="0" wp14:anchorId="6C06A962" wp14:editId="569D139B">
            <wp:extent cx="5860451" cy="2200939"/>
            <wp:effectExtent l="0" t="0" r="6985" b="889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37724" cy="2229959"/>
                    </a:xfrm>
                    <a:prstGeom prst="rect">
                      <a:avLst/>
                    </a:prstGeom>
                    <a:noFill/>
                  </pic:spPr>
                </pic:pic>
              </a:graphicData>
            </a:graphic>
          </wp:inline>
        </w:drawing>
      </w:r>
    </w:p>
    <w:p w14:paraId="3F099DEA" w14:textId="64DC57CF" w:rsidR="00B9531A" w:rsidRPr="009C05A3" w:rsidRDefault="00B9531A" w:rsidP="00B8367E">
      <w:pPr>
        <w:pStyle w:val="Heading1"/>
        <w:numPr>
          <w:ilvl w:val="0"/>
          <w:numId w:val="73"/>
        </w:numPr>
      </w:pPr>
      <w:r w:rsidRPr="009C05A3">
        <w:t xml:space="preserve">Key dynamics induced by the </w:t>
      </w:r>
      <w:r w:rsidR="001359C9">
        <w:t>closing the green finance gap</w:t>
      </w:r>
      <w:r w:rsidRPr="009C05A3">
        <w:t xml:space="preserve"> scenario (</w:t>
      </w:r>
      <w:r w:rsidR="001B024A">
        <w:t>GFGS</w:t>
      </w:r>
      <w:r w:rsidRPr="009C05A3">
        <w:t>)</w:t>
      </w:r>
    </w:p>
    <w:p w14:paraId="6EFBDCEB" w14:textId="47F3EE06" w:rsidR="00B9531A" w:rsidRPr="0099228F" w:rsidRDefault="00B9531A" w:rsidP="00B9531A">
      <w:pPr>
        <w:rPr>
          <w:rFonts w:cstheme="minorHAnsi"/>
        </w:rPr>
      </w:pPr>
      <w:r w:rsidRPr="0099228F">
        <w:rPr>
          <w:rFonts w:cstheme="minorHAnsi"/>
        </w:rPr>
        <w:t xml:space="preserve">In the following, key macroeconomic mechanisms triggered by the implementation of a systems policy are introduced. </w:t>
      </w:r>
      <w:r w:rsidR="00F45D06" w:rsidRPr="0099228F">
        <w:rPr>
          <w:rFonts w:cstheme="minorHAnsi"/>
          <w:highlight w:val="yellow"/>
        </w:rPr>
        <w:fldChar w:fldCharType="begin"/>
      </w:r>
      <w:r w:rsidR="00F45D06" w:rsidRPr="00086A44">
        <w:rPr>
          <w:rFonts w:cstheme="minorHAnsi"/>
        </w:rPr>
        <w:instrText xml:space="preserve"> REF _Ref32590882 \h </w:instrText>
      </w:r>
      <w:r w:rsidR="00F45D06">
        <w:rPr>
          <w:rFonts w:cstheme="minorHAnsi"/>
          <w:highlight w:val="yellow"/>
        </w:rPr>
        <w:instrText xml:space="preserve"> \* MERGEFORMAT </w:instrText>
      </w:r>
      <w:r w:rsidR="00F45D06" w:rsidRPr="0099228F">
        <w:rPr>
          <w:rFonts w:cstheme="minorHAnsi"/>
          <w:highlight w:val="yellow"/>
        </w:rPr>
      </w:r>
      <w:r w:rsidR="00F45D06" w:rsidRPr="0099228F">
        <w:rPr>
          <w:rFonts w:cstheme="minorHAnsi"/>
          <w:highlight w:val="yellow"/>
        </w:rPr>
        <w:fldChar w:fldCharType="separate"/>
      </w:r>
      <w:r w:rsidR="00F45D06" w:rsidRPr="0099228F">
        <w:rPr>
          <w:rFonts w:cstheme="minorHAnsi"/>
        </w:rPr>
        <w:t xml:space="preserve">Figure </w:t>
      </w:r>
      <w:r w:rsidR="00F45D06">
        <w:rPr>
          <w:rFonts w:cstheme="minorHAnsi"/>
          <w:noProof/>
        </w:rPr>
        <w:t>A4</w:t>
      </w:r>
      <w:r w:rsidR="00F45D06" w:rsidRPr="0099228F">
        <w:rPr>
          <w:rFonts w:cstheme="minorHAnsi"/>
          <w:highlight w:val="yellow"/>
        </w:rPr>
        <w:fldChar w:fldCharType="end"/>
      </w:r>
      <w:r w:rsidR="00F45D06" w:rsidRPr="0099228F">
        <w:rPr>
          <w:rFonts w:cstheme="minorHAnsi"/>
        </w:rPr>
        <w:t xml:space="preserve"> </w:t>
      </w:r>
      <w:r w:rsidRPr="0099228F">
        <w:rPr>
          <w:rFonts w:cstheme="minorHAnsi"/>
        </w:rPr>
        <w:t xml:space="preserve">displays these dynamics. </w:t>
      </w:r>
    </w:p>
    <w:p w14:paraId="4F570514" w14:textId="77777777" w:rsidR="00B9531A" w:rsidRPr="00086A44" w:rsidRDefault="00B9531A" w:rsidP="00B9531A">
      <w:pPr>
        <w:rPr>
          <w:rFonts w:cstheme="minorHAnsi"/>
        </w:rPr>
      </w:pPr>
      <w:r w:rsidRPr="009C05A3">
        <w:rPr>
          <w:rFonts w:cstheme="minorHAnsi"/>
        </w:rPr>
        <w:t>The introduction of a systems policy lowers (</w:t>
      </w:r>
      <w:proofErr w:type="spellStart"/>
      <w:r w:rsidRPr="009C05A3">
        <w:rPr>
          <w:rFonts w:cstheme="minorHAnsi"/>
        </w:rPr>
        <w:t>i</w:t>
      </w:r>
      <w:proofErr w:type="spellEnd"/>
      <w:r w:rsidRPr="009C05A3">
        <w:rPr>
          <w:rFonts w:cstheme="minorHAnsi"/>
        </w:rPr>
        <w:t>) average</w:t>
      </w:r>
      <w:r w:rsidRPr="00086A44">
        <w:rPr>
          <w:rFonts w:cstheme="minorHAnsi"/>
        </w:rPr>
        <w:t xml:space="preserve"> interest rates and (ii) interest rate spreads for renewable electricity technology investment, and (iii) if applicable closes the green finance gap. Thus, the implementation of a systems policy leads to the following direct impacts (see also figure below): </w:t>
      </w:r>
    </w:p>
    <w:p w14:paraId="586AA4B5" w14:textId="77777777" w:rsidR="00B9531A" w:rsidRPr="00B8367E" w:rsidRDefault="00B9531A" w:rsidP="00B9531A">
      <w:pPr>
        <w:pStyle w:val="ListParagraph"/>
        <w:numPr>
          <w:ilvl w:val="0"/>
          <w:numId w:val="33"/>
        </w:numPr>
        <w:spacing w:line="360" w:lineRule="auto"/>
        <w:rPr>
          <w:rFonts w:cstheme="minorHAnsi"/>
        </w:rPr>
      </w:pPr>
      <w:r w:rsidRPr="00B8367E">
        <w:rPr>
          <w:rFonts w:cstheme="minorHAnsi"/>
        </w:rPr>
        <w:t xml:space="preserve">Lower average market interest rates </w:t>
      </w:r>
    </w:p>
    <w:p w14:paraId="0E3DA8CC" w14:textId="77777777" w:rsidR="00B9531A" w:rsidRPr="00B8367E" w:rsidRDefault="00B9531A" w:rsidP="00B9531A">
      <w:pPr>
        <w:pStyle w:val="ListParagraph"/>
        <w:numPr>
          <w:ilvl w:val="1"/>
          <w:numId w:val="33"/>
        </w:numPr>
        <w:spacing w:line="360" w:lineRule="auto"/>
        <w:rPr>
          <w:rFonts w:cstheme="minorHAnsi"/>
        </w:rPr>
      </w:pPr>
      <w:r w:rsidRPr="00B8367E">
        <w:rPr>
          <w:rFonts w:cstheme="minorHAnsi"/>
        </w:rPr>
        <w:t>This leads to higher capital investments in the production process</w:t>
      </w:r>
    </w:p>
    <w:p w14:paraId="6E8142F1" w14:textId="77777777" w:rsidR="00B9531A" w:rsidRPr="00B8367E" w:rsidRDefault="00B9531A" w:rsidP="00B9531A">
      <w:pPr>
        <w:pStyle w:val="ListParagraph"/>
        <w:numPr>
          <w:ilvl w:val="0"/>
          <w:numId w:val="33"/>
        </w:numPr>
        <w:spacing w:line="360" w:lineRule="auto"/>
        <w:rPr>
          <w:rFonts w:cstheme="minorHAnsi"/>
        </w:rPr>
      </w:pPr>
      <w:r w:rsidRPr="00B8367E">
        <w:rPr>
          <w:rFonts w:cstheme="minorHAnsi"/>
        </w:rPr>
        <w:t xml:space="preserve">Lower interest rates spread for renewable electricity capital investments </w:t>
      </w:r>
    </w:p>
    <w:p w14:paraId="6FF21787" w14:textId="77777777" w:rsidR="00B9531A" w:rsidRPr="00B8367E" w:rsidRDefault="00B9531A" w:rsidP="00B9531A">
      <w:pPr>
        <w:pStyle w:val="ListParagraph"/>
        <w:numPr>
          <w:ilvl w:val="1"/>
          <w:numId w:val="33"/>
        </w:numPr>
        <w:spacing w:line="360" w:lineRule="auto"/>
        <w:rPr>
          <w:rFonts w:cstheme="minorHAnsi"/>
        </w:rPr>
      </w:pPr>
      <w:r w:rsidRPr="00B8367E">
        <w:rPr>
          <w:rFonts w:cstheme="minorHAnsi"/>
        </w:rPr>
        <w:t>This leads to lower electricity system costs and electricity price level</w:t>
      </w:r>
    </w:p>
    <w:p w14:paraId="357D792D" w14:textId="77777777" w:rsidR="00B9531A" w:rsidRPr="00B8367E" w:rsidRDefault="00B9531A" w:rsidP="00B9531A">
      <w:pPr>
        <w:pStyle w:val="ListParagraph"/>
        <w:numPr>
          <w:ilvl w:val="0"/>
          <w:numId w:val="33"/>
        </w:numPr>
        <w:spacing w:line="360" w:lineRule="auto"/>
        <w:rPr>
          <w:rFonts w:cstheme="minorHAnsi"/>
        </w:rPr>
      </w:pPr>
      <w:r w:rsidRPr="00B8367E">
        <w:rPr>
          <w:rFonts w:cstheme="minorHAnsi"/>
        </w:rPr>
        <w:t>Availability of sufficient green finance</w:t>
      </w:r>
    </w:p>
    <w:p w14:paraId="299E72D0" w14:textId="77777777" w:rsidR="00B9531A" w:rsidRPr="00B8367E" w:rsidRDefault="00B9531A" w:rsidP="00B9531A">
      <w:pPr>
        <w:pStyle w:val="ListParagraph"/>
        <w:numPr>
          <w:ilvl w:val="1"/>
          <w:numId w:val="33"/>
        </w:numPr>
        <w:spacing w:line="360" w:lineRule="auto"/>
        <w:rPr>
          <w:rFonts w:cstheme="minorHAnsi"/>
        </w:rPr>
      </w:pPr>
      <w:r w:rsidRPr="00B8367E">
        <w:rPr>
          <w:rFonts w:cstheme="minorHAnsi"/>
        </w:rPr>
        <w:t>This leads to higher shares of renewable electricity installations, leading to the key macroeconomic dynamics introduced in the previous section.</w:t>
      </w:r>
    </w:p>
    <w:p w14:paraId="3EA769A2" w14:textId="73FF2BD3" w:rsidR="00B9531A" w:rsidRPr="00086A44" w:rsidRDefault="00B9531A" w:rsidP="00B9531A">
      <w:pPr>
        <w:rPr>
          <w:rFonts w:cstheme="minorHAnsi"/>
        </w:rPr>
      </w:pPr>
      <w:r w:rsidRPr="0099228F">
        <w:rPr>
          <w:rFonts w:cstheme="minorHAnsi"/>
        </w:rPr>
        <w:t>The macroeconomic dynamics induced by the above-introduced direct impacts are summarized in the following</w:t>
      </w:r>
      <w:r w:rsidRPr="009C05A3">
        <w:rPr>
          <w:rFonts w:cstheme="minorHAnsi"/>
        </w:rPr>
        <w:t>. A decrease in the average market interest rates and decrease in electricity prices triggers the same macroeconomic</w:t>
      </w:r>
      <w:r w:rsidRPr="00086A44">
        <w:rPr>
          <w:rFonts w:cstheme="minorHAnsi"/>
        </w:rPr>
        <w:t xml:space="preserve">s dynamics as introduced before (see feedback loops 1) to 4) in </w:t>
      </w:r>
      <w:r w:rsidR="00F45D06" w:rsidRPr="0099228F">
        <w:rPr>
          <w:rFonts w:cstheme="minorHAnsi"/>
        </w:rPr>
        <w:fldChar w:fldCharType="begin"/>
      </w:r>
      <w:r w:rsidR="00F45D06" w:rsidRPr="00086A44">
        <w:rPr>
          <w:rFonts w:cstheme="minorHAnsi"/>
        </w:rPr>
        <w:instrText xml:space="preserve"> REF _Ref35883440 \h </w:instrText>
      </w:r>
      <w:r w:rsidR="00F45D06">
        <w:rPr>
          <w:rFonts w:cstheme="minorHAnsi"/>
        </w:rPr>
        <w:instrText xml:space="preserve"> \* MERGEFORMAT </w:instrText>
      </w:r>
      <w:r w:rsidR="00F45D06" w:rsidRPr="0099228F">
        <w:rPr>
          <w:rFonts w:cstheme="minorHAnsi"/>
        </w:rPr>
      </w:r>
      <w:r w:rsidR="00F45D06" w:rsidRPr="0099228F">
        <w:rPr>
          <w:rFonts w:cstheme="minorHAnsi"/>
        </w:rPr>
        <w:fldChar w:fldCharType="separate"/>
      </w:r>
      <w:r w:rsidR="00F45D06" w:rsidRPr="0099228F">
        <w:rPr>
          <w:rFonts w:cstheme="minorHAnsi"/>
        </w:rPr>
        <w:t xml:space="preserve">Figure </w:t>
      </w:r>
      <w:r w:rsidR="00F45D06">
        <w:rPr>
          <w:rFonts w:cstheme="minorHAnsi"/>
          <w:noProof/>
        </w:rPr>
        <w:t>A4</w:t>
      </w:r>
      <w:r w:rsidR="00F45D06" w:rsidRPr="0099228F">
        <w:rPr>
          <w:rFonts w:cstheme="minorHAnsi"/>
        </w:rPr>
        <w:fldChar w:fldCharType="end"/>
      </w:r>
      <w:r w:rsidRPr="0099228F">
        <w:rPr>
          <w:rFonts w:cstheme="minorHAnsi"/>
        </w:rPr>
        <w:t xml:space="preserve">). Second, the availability of green </w:t>
      </w:r>
      <w:r w:rsidRPr="009C05A3">
        <w:rPr>
          <w:rFonts w:cstheme="minorHAnsi"/>
        </w:rPr>
        <w:t>finance leads to a higher share of renewables in the UK elec</w:t>
      </w:r>
      <w:r w:rsidRPr="00086A44">
        <w:rPr>
          <w:rFonts w:cstheme="minorHAnsi"/>
        </w:rPr>
        <w:t xml:space="preserve">tricity system and thus to the same macroeconomic dynamics as introduced in the first section for the ow-carbon energy scenario. </w:t>
      </w:r>
    </w:p>
    <w:p w14:paraId="378C3E0C" w14:textId="1F414114" w:rsidR="00B9531A" w:rsidRPr="00B8367E" w:rsidRDefault="00B9531A" w:rsidP="00B9531A">
      <w:pPr>
        <w:pStyle w:val="Caption"/>
        <w:keepNext/>
        <w:rPr>
          <w:rFonts w:asciiTheme="minorHAnsi" w:hAnsiTheme="minorHAnsi" w:cstheme="minorHAnsi"/>
        </w:rPr>
      </w:pPr>
      <w:bookmarkStart w:id="46" w:name="_Ref32590882"/>
      <w:bookmarkStart w:id="47" w:name="_Toc39163279"/>
      <w:bookmarkStart w:id="48" w:name="_Hlk54272562"/>
      <w:r w:rsidRPr="00B8367E">
        <w:rPr>
          <w:rFonts w:asciiTheme="minorHAnsi" w:hAnsiTheme="minorHAnsi" w:cstheme="minorHAnsi"/>
        </w:rPr>
        <w:lastRenderedPageBreak/>
        <w:t xml:space="preserve">Figure </w:t>
      </w:r>
      <w:bookmarkEnd w:id="46"/>
      <w:r w:rsidR="00F45D06">
        <w:rPr>
          <w:rFonts w:asciiTheme="minorHAnsi" w:hAnsiTheme="minorHAnsi" w:cstheme="minorHAnsi"/>
        </w:rPr>
        <w:t>A4</w:t>
      </w:r>
      <w:r w:rsidRPr="00B8367E">
        <w:rPr>
          <w:rFonts w:asciiTheme="minorHAnsi" w:hAnsiTheme="minorHAnsi" w:cstheme="minorHAnsi"/>
        </w:rPr>
        <w:t>: Economic feedback loops triggered by the introduction of a systems policy</w:t>
      </w:r>
      <w:bookmarkEnd w:id="47"/>
    </w:p>
    <w:bookmarkEnd w:id="48"/>
    <w:p w14:paraId="3707A880" w14:textId="435E0389" w:rsidR="005E5158" w:rsidRDefault="005E5158" w:rsidP="00B9531A">
      <w:pPr>
        <w:rPr>
          <w:rFonts w:cstheme="minorHAnsi"/>
        </w:rPr>
      </w:pPr>
      <w:r w:rsidRPr="009655AE">
        <w:rPr>
          <w:noProof/>
          <w:lang w:eastAsia="en-GB"/>
        </w:rPr>
        <w:drawing>
          <wp:inline distT="0" distB="0" distL="0" distR="0" wp14:anchorId="5595B9EA" wp14:editId="6CB6AB00">
            <wp:extent cx="5708650" cy="6421062"/>
            <wp:effectExtent l="0" t="0" r="0" b="0"/>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a:extLst>
                        <a:ext uri="{28A0092B-C50C-407E-A947-70E740481C1C}">
                          <a14:useLocalDpi xmlns:a14="http://schemas.microsoft.com/office/drawing/2010/main" val="0"/>
                        </a:ext>
                      </a:extLst>
                    </a:blip>
                    <a:srcRect r="32525" b="30913"/>
                    <a:stretch/>
                  </pic:blipFill>
                  <pic:spPr bwMode="auto">
                    <a:xfrm>
                      <a:off x="0" y="0"/>
                      <a:ext cx="5714842" cy="6428027"/>
                    </a:xfrm>
                    <a:prstGeom prst="rect">
                      <a:avLst/>
                    </a:prstGeom>
                    <a:noFill/>
                    <a:ln>
                      <a:noFill/>
                    </a:ln>
                    <a:extLst>
                      <a:ext uri="{53640926-AAD7-44D8-BBD7-CCE9431645EC}">
                        <a14:shadowObscured xmlns:a14="http://schemas.microsoft.com/office/drawing/2010/main"/>
                      </a:ext>
                    </a:extLst>
                  </pic:spPr>
                </pic:pic>
              </a:graphicData>
            </a:graphic>
          </wp:inline>
        </w:drawing>
      </w:r>
    </w:p>
    <w:p w14:paraId="1A35362B" w14:textId="0515F93F" w:rsidR="00B9531A" w:rsidRPr="00967105" w:rsidRDefault="00B9531A" w:rsidP="00B9531A">
      <w:pPr>
        <w:rPr>
          <w:rFonts w:cstheme="minorHAnsi"/>
        </w:rPr>
      </w:pPr>
      <w:r w:rsidRPr="0099228F">
        <w:rPr>
          <w:rFonts w:cstheme="minorHAnsi"/>
        </w:rPr>
        <w:t xml:space="preserve">As shown in the results section in the main part of this article, when a finance </w:t>
      </w:r>
      <w:r w:rsidRPr="009C05A3">
        <w:rPr>
          <w:rFonts w:cstheme="minorHAnsi"/>
        </w:rPr>
        <w:t>systems policy is added to the tested low-carbon energy scenario it has no impact on accumulated emissions but decreases emissions when added to the base-run.</w:t>
      </w:r>
      <w:r w:rsidRPr="00086A44">
        <w:rPr>
          <w:rFonts w:cstheme="minorHAnsi"/>
        </w:rPr>
        <w:t xml:space="preserve"> Moreover, introducing a finance systems policy on top of the low-carbon energy scenario or base-run </w:t>
      </w:r>
      <w:r w:rsidRPr="00967105">
        <w:rPr>
          <w:rFonts w:cstheme="minorHAnsi"/>
        </w:rPr>
        <w:t xml:space="preserve">leads to an increase in electricity system costs, GDP and a decrease in unemployment. This explained in more detail in the following. </w:t>
      </w:r>
    </w:p>
    <w:p w14:paraId="066BC101" w14:textId="77777777" w:rsidR="00B9531A" w:rsidRPr="004C71DD" w:rsidRDefault="00B9531A" w:rsidP="00B9531A">
      <w:pPr>
        <w:rPr>
          <w:rFonts w:cstheme="minorHAnsi"/>
        </w:rPr>
      </w:pPr>
      <w:r w:rsidRPr="00967105">
        <w:rPr>
          <w:rFonts w:cstheme="minorHAnsi"/>
        </w:rPr>
        <w:t xml:space="preserve">First, when a finance system policy is introduced emissions remain at the same level in case of a low-carbon energy transition as any new installations in these scenarios are always carbon-neutral, and thus emissions will not further increase when electricity production is increased. Under the base-run plus finance systems policy, emissions decrease because of the higher share of low-carbon electricity </w:t>
      </w:r>
      <w:r w:rsidRPr="00967105">
        <w:rPr>
          <w:rFonts w:cstheme="minorHAnsi"/>
        </w:rPr>
        <w:lastRenderedPageBreak/>
        <w:t xml:space="preserve">sources in the electricity production. This is because </w:t>
      </w:r>
      <w:r w:rsidRPr="004C48F6">
        <w:rPr>
          <w:rFonts w:cstheme="minorHAnsi"/>
        </w:rPr>
        <w:t>renewable electricity technologies become more cost-efficient due to the lower mark-up on the interest rates for renewable electricity technologies</w:t>
      </w:r>
      <w:r w:rsidRPr="009A2FE1">
        <w:rPr>
          <w:rFonts w:cstheme="minorHAnsi"/>
        </w:rPr>
        <w:t xml:space="preserve">. </w:t>
      </w:r>
    </w:p>
    <w:p w14:paraId="6ED7EB5F" w14:textId="0A81344D" w:rsidR="00B9531A" w:rsidRPr="00086A44" w:rsidRDefault="00B9531A" w:rsidP="00B9531A">
      <w:pPr>
        <w:rPr>
          <w:rFonts w:cstheme="minorHAnsi"/>
        </w:rPr>
      </w:pPr>
      <w:r w:rsidRPr="00787C9A">
        <w:rPr>
          <w:rFonts w:cstheme="minorHAnsi"/>
        </w:rPr>
        <w:t xml:space="preserve">Second, </w:t>
      </w:r>
      <w:r w:rsidRPr="0095782C">
        <w:rPr>
          <w:rFonts w:cstheme="minorHAnsi"/>
        </w:rPr>
        <w:t xml:space="preserve">the introduction of a finance systems policy leads to a higher GDP. This mainly is due to the lower </w:t>
      </w:r>
      <w:r w:rsidRPr="00FC1125">
        <w:rPr>
          <w:rFonts w:cstheme="minorHAnsi"/>
        </w:rPr>
        <w:t>average interest rate, leading to higher capital inputs in the macroeconomy, and therefore to higher productivity while at the s</w:t>
      </w:r>
      <w:r w:rsidRPr="007C0A4D">
        <w:rPr>
          <w:rFonts w:cstheme="minorHAnsi"/>
        </w:rPr>
        <w:t xml:space="preserve">ame time also triggering the reinforcing feedback loop (i.e. 1 to 3). However, these positive </w:t>
      </w:r>
      <w:r w:rsidRPr="0070461D">
        <w:rPr>
          <w:rFonts w:cstheme="minorHAnsi"/>
        </w:rPr>
        <w:t>effects caused by these multiple reinforcing feedback loops are count</w:t>
      </w:r>
      <w:r w:rsidRPr="005E5158">
        <w:rPr>
          <w:rFonts w:cstheme="minorHAnsi"/>
        </w:rPr>
        <w:t xml:space="preserve">eracted by the impact of the lower prices and reinforcing feedback loops working towards the opposite direction to some extent (see </w:t>
      </w:r>
      <w:r w:rsidR="00F45D06" w:rsidRPr="0099228F">
        <w:rPr>
          <w:rFonts w:cstheme="minorHAnsi"/>
        </w:rPr>
        <w:fldChar w:fldCharType="begin"/>
      </w:r>
      <w:r w:rsidR="00F45D06" w:rsidRPr="00086A44">
        <w:rPr>
          <w:rFonts w:cstheme="minorHAnsi"/>
        </w:rPr>
        <w:instrText xml:space="preserve"> REF _Ref32590882 \h  \* MERGEFORMAT </w:instrText>
      </w:r>
      <w:r w:rsidR="00F45D06" w:rsidRPr="0099228F">
        <w:rPr>
          <w:rFonts w:cstheme="minorHAnsi"/>
        </w:rPr>
      </w:r>
      <w:r w:rsidR="00F45D06" w:rsidRPr="0099228F">
        <w:rPr>
          <w:rFonts w:cstheme="minorHAnsi"/>
        </w:rPr>
        <w:fldChar w:fldCharType="separate"/>
      </w:r>
      <w:r w:rsidR="00F45D06" w:rsidRPr="0099228F">
        <w:rPr>
          <w:rFonts w:cstheme="minorHAnsi"/>
        </w:rPr>
        <w:t xml:space="preserve">Figure </w:t>
      </w:r>
      <w:r w:rsidR="00F45D06">
        <w:rPr>
          <w:rFonts w:cstheme="minorHAnsi"/>
        </w:rPr>
        <w:t>A5</w:t>
      </w:r>
      <w:r w:rsidR="00F45D06" w:rsidRPr="0099228F">
        <w:rPr>
          <w:rFonts w:cstheme="minorHAnsi"/>
        </w:rPr>
        <w:fldChar w:fldCharType="end"/>
      </w:r>
      <w:r w:rsidRPr="0099228F">
        <w:rPr>
          <w:rFonts w:cstheme="minorHAnsi"/>
        </w:rPr>
        <w:t xml:space="preserve">). In addition, lower average interest rates also lead to a lower propensity to consume, </w:t>
      </w:r>
      <w:r w:rsidRPr="009C05A3">
        <w:rPr>
          <w:rFonts w:cstheme="minorHAnsi"/>
        </w:rPr>
        <w:t xml:space="preserve">which then </w:t>
      </w:r>
      <w:r w:rsidRPr="00086A44">
        <w:rPr>
          <w:rFonts w:cstheme="minorHAnsi"/>
        </w:rPr>
        <w:t xml:space="preserve">lowers consumption, aggregate demand and therefore GDP. Nonetheless, overall, the reinforcing feedback loop induced due to higher capital inputs and higher productivity overweighs the reinforcing mechanisms working towards the opposite direction. This is why, overall, there is a positive impact due to a finance system’s policy on GDP. </w:t>
      </w:r>
    </w:p>
    <w:p w14:paraId="6C6D9B90" w14:textId="77777777" w:rsidR="00B9531A" w:rsidRPr="00086A44" w:rsidRDefault="00B9531A" w:rsidP="00B9531A">
      <w:pPr>
        <w:rPr>
          <w:rFonts w:cstheme="minorHAnsi"/>
        </w:rPr>
      </w:pPr>
      <w:r w:rsidRPr="00086A44">
        <w:rPr>
          <w:rFonts w:cstheme="minorHAnsi"/>
        </w:rPr>
        <w:t xml:space="preserve">Importantly, it needs to be underlined that the overall impact of lower interest rates of a systems policy is positive on GDP because the impact of the finance systems policy on the average interest rate is permanent. By contrast, the impact of lower prices on interest rates is a one-off impact that is subsequently counteracted by the various reinforcing feedback loops driving the system in the opposite direction. </w:t>
      </w:r>
    </w:p>
    <w:p w14:paraId="43F5CD7C" w14:textId="77777777" w:rsidR="00B9531A" w:rsidRPr="00967105" w:rsidRDefault="00B9531A" w:rsidP="00B9531A">
      <w:pPr>
        <w:rPr>
          <w:rFonts w:cstheme="minorHAnsi"/>
        </w:rPr>
      </w:pPr>
      <w:r w:rsidRPr="00086A44">
        <w:rPr>
          <w:rFonts w:cstheme="minorHAnsi"/>
        </w:rPr>
        <w:t xml:space="preserve">Third, the impact of a systems policy on unemployment when added to any policy is negative, i.e. it leads to decrease in unemployment compared with the situation without a systems policy. This is due to the higher GDP caused by the introduction of a systems policy, which subsequently leads to higher employment level and lower </w:t>
      </w:r>
      <w:r w:rsidRPr="00967105">
        <w:rPr>
          <w:rFonts w:cstheme="minorHAnsi"/>
        </w:rPr>
        <w:t xml:space="preserve">unemployment levels.  </w:t>
      </w:r>
    </w:p>
    <w:p w14:paraId="47D8F6B9" w14:textId="77777777" w:rsidR="00B9531A" w:rsidRPr="004C48F6" w:rsidRDefault="00B9531A" w:rsidP="00B9531A">
      <w:pPr>
        <w:rPr>
          <w:rFonts w:cstheme="minorHAnsi"/>
        </w:rPr>
      </w:pPr>
      <w:r w:rsidRPr="00967105">
        <w:rPr>
          <w:rFonts w:cstheme="minorHAnsi"/>
        </w:rPr>
        <w:t>Finally, the electricity system costs increase when a finance systems policy is introduced. This is because of the caused increase in GDP and the therefore higher required electricity production. However, the electricity system costs per unit of produced electricity decrease (due to the lower fin</w:t>
      </w:r>
      <w:r w:rsidRPr="004C48F6">
        <w:rPr>
          <w:rFonts w:cstheme="minorHAnsi"/>
        </w:rPr>
        <w:t xml:space="preserve">ancing costs of electricity capacity). </w:t>
      </w:r>
    </w:p>
    <w:p w14:paraId="697DE787" w14:textId="19C02160" w:rsidR="00B9531A" w:rsidRPr="00787C9A" w:rsidRDefault="00B9531A" w:rsidP="00B9531A">
      <w:pPr>
        <w:rPr>
          <w:rFonts w:cstheme="minorHAnsi"/>
        </w:rPr>
      </w:pPr>
      <w:r w:rsidRPr="004C48F6">
        <w:rPr>
          <w:rFonts w:cstheme="minorHAnsi"/>
        </w:rPr>
        <w:t xml:space="preserve">The impacts of the finance systems policy are </w:t>
      </w:r>
      <w:r w:rsidR="00F45D06" w:rsidRPr="004C48F6">
        <w:rPr>
          <w:rFonts w:cstheme="minorHAnsi"/>
        </w:rPr>
        <w:t>summari</w:t>
      </w:r>
      <w:r w:rsidR="00F45D06">
        <w:rPr>
          <w:rFonts w:cstheme="minorHAnsi"/>
        </w:rPr>
        <w:t>s</w:t>
      </w:r>
      <w:r w:rsidR="00F45D06" w:rsidRPr="004C48F6">
        <w:rPr>
          <w:rFonts w:cstheme="minorHAnsi"/>
        </w:rPr>
        <w:t>ed</w:t>
      </w:r>
      <w:r w:rsidRPr="004C48F6">
        <w:rPr>
          <w:rFonts w:cstheme="minorHAnsi"/>
        </w:rPr>
        <w:t xml:space="preserve"> as well in the figure below. Here, the minus and plus signs refer to the impacts of the policy on the variable. So, for example, if sign of an arrow before the</w:t>
      </w:r>
      <w:r w:rsidRPr="009A2FE1">
        <w:rPr>
          <w:rFonts w:cstheme="minorHAnsi"/>
        </w:rPr>
        <w:t xml:space="preserve"> next variable is positive (negative)</w:t>
      </w:r>
      <w:r w:rsidRPr="004C71DD">
        <w:rPr>
          <w:rFonts w:cstheme="minorHAnsi"/>
        </w:rPr>
        <w:t xml:space="preserve">, it means that the impact of the policy on this particular variable is positive (negative) as well. </w:t>
      </w:r>
    </w:p>
    <w:p w14:paraId="1E281B75" w14:textId="7ACD2A93" w:rsidR="00B9531A" w:rsidRPr="00B8367E" w:rsidRDefault="00B9531A" w:rsidP="00B9531A">
      <w:pPr>
        <w:pStyle w:val="Caption"/>
        <w:keepNext/>
        <w:spacing w:after="0"/>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A5</w:t>
      </w:r>
      <w:r w:rsidRPr="00B8367E">
        <w:rPr>
          <w:rFonts w:asciiTheme="minorHAnsi" w:hAnsiTheme="minorHAnsi" w:cstheme="minorHAnsi"/>
        </w:rPr>
        <w:t>: Overview on key impacts of a finance systems policy</w:t>
      </w:r>
    </w:p>
    <w:p w14:paraId="03B2232F" w14:textId="77777777" w:rsidR="00B9531A" w:rsidRPr="0099228F" w:rsidRDefault="00B9531A" w:rsidP="00B9531A">
      <w:pPr>
        <w:rPr>
          <w:rFonts w:cstheme="minorHAnsi"/>
        </w:rPr>
      </w:pPr>
      <w:r w:rsidRPr="0099228F">
        <w:rPr>
          <w:rFonts w:cstheme="minorHAnsi"/>
          <w:noProof/>
        </w:rPr>
        <w:drawing>
          <wp:inline distT="0" distB="0" distL="0" distR="0" wp14:anchorId="46CAFA45" wp14:editId="73F00740">
            <wp:extent cx="5784155" cy="1976511"/>
            <wp:effectExtent l="0" t="0" r="7620" b="5080"/>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80240" cy="2009344"/>
                    </a:xfrm>
                    <a:prstGeom prst="rect">
                      <a:avLst/>
                    </a:prstGeom>
                    <a:noFill/>
                  </pic:spPr>
                </pic:pic>
              </a:graphicData>
            </a:graphic>
          </wp:inline>
        </w:drawing>
      </w:r>
    </w:p>
    <w:p w14:paraId="63FC8715" w14:textId="2BE74D47" w:rsidR="00B9531A" w:rsidRPr="0099228F" w:rsidRDefault="00B9531A" w:rsidP="00B8367E">
      <w:pPr>
        <w:pStyle w:val="Heading1"/>
        <w:numPr>
          <w:ilvl w:val="0"/>
          <w:numId w:val="0"/>
        </w:numPr>
        <w:ind w:left="357"/>
      </w:pPr>
      <w:r w:rsidRPr="0099228F">
        <w:lastRenderedPageBreak/>
        <w:t xml:space="preserve">Appendix </w:t>
      </w:r>
      <w:r w:rsidR="00F17347" w:rsidRPr="0099228F">
        <w:t>D</w:t>
      </w:r>
      <w:r w:rsidRPr="0099228F">
        <w:t xml:space="preserve"> - Sensitivity testing</w:t>
      </w:r>
    </w:p>
    <w:p w14:paraId="69D715A1" w14:textId="77777777" w:rsidR="00B9531A" w:rsidRPr="009C05A3" w:rsidRDefault="00B9531A" w:rsidP="00893ABB">
      <w:pPr>
        <w:pStyle w:val="Heading2"/>
        <w:numPr>
          <w:ilvl w:val="0"/>
          <w:numId w:val="44"/>
        </w:numPr>
      </w:pPr>
      <w:r w:rsidRPr="009C05A3">
        <w:t>Parameter changes in the electricity sector</w:t>
      </w:r>
    </w:p>
    <w:p w14:paraId="7B65BBFE" w14:textId="77777777" w:rsidR="00B9531A" w:rsidRPr="00967105" w:rsidRDefault="00B9531A" w:rsidP="00B9531A">
      <w:pPr>
        <w:rPr>
          <w:rFonts w:cstheme="minorHAnsi"/>
        </w:rPr>
      </w:pPr>
      <w:r w:rsidRPr="0099228F">
        <w:rPr>
          <w:rFonts w:cstheme="minorHAnsi"/>
        </w:rPr>
        <w:t xml:space="preserve">In this appendix section, the results of two extreme scenarios involving changes in parameter values in the </w:t>
      </w:r>
      <w:r w:rsidRPr="009C05A3">
        <w:rPr>
          <w:rFonts w:cstheme="minorHAnsi"/>
        </w:rPr>
        <w:t>electricity supply sector are presented. The table below provides an overview of the amended variable values for each of the two tested extreme scenarios</w:t>
      </w:r>
      <w:r w:rsidRPr="00967105">
        <w:rPr>
          <w:rFonts w:cstheme="minorHAnsi"/>
        </w:rPr>
        <w:t xml:space="preserve">. Scenario 0 is the default case and related results are reported in the result section of the main body of this article. </w:t>
      </w:r>
    </w:p>
    <w:p w14:paraId="08E9FECE" w14:textId="638C6AA4"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Table </w:t>
      </w:r>
      <w:r w:rsidR="00F45D06">
        <w:rPr>
          <w:rFonts w:asciiTheme="minorHAnsi" w:hAnsiTheme="minorHAnsi" w:cstheme="minorHAnsi"/>
        </w:rPr>
        <w:t>A2</w:t>
      </w:r>
      <w:r w:rsidRPr="00B8367E">
        <w:rPr>
          <w:rFonts w:asciiTheme="minorHAnsi" w:hAnsiTheme="minorHAnsi" w:cstheme="minorHAnsi"/>
        </w:rPr>
        <w:t>: Overview of parameter values for the different scenarios</w:t>
      </w:r>
    </w:p>
    <w:tbl>
      <w:tblPr>
        <w:tblStyle w:val="GridTable5Dark-Accent3"/>
        <w:tblW w:w="5000" w:type="pct"/>
        <w:tblLook w:val="04A0" w:firstRow="1" w:lastRow="0" w:firstColumn="1" w:lastColumn="0" w:noHBand="0" w:noVBand="1"/>
      </w:tblPr>
      <w:tblGrid>
        <w:gridCol w:w="2123"/>
        <w:gridCol w:w="2409"/>
        <w:gridCol w:w="2268"/>
        <w:gridCol w:w="2216"/>
      </w:tblGrid>
      <w:tr w:rsidR="00B9531A" w:rsidRPr="0099228F" w14:paraId="16306588" w14:textId="77777777" w:rsidTr="00BA566A">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177" w:type="pct"/>
            <w:shd w:val="clear" w:color="auto" w:fill="FFFFFF" w:themeFill="background1"/>
          </w:tcPr>
          <w:p w14:paraId="13E0DE4F" w14:textId="77777777" w:rsidR="00B9531A" w:rsidRPr="0099228F" w:rsidRDefault="00B9531A" w:rsidP="00BA566A">
            <w:pPr>
              <w:rPr>
                <w:rFonts w:cstheme="minorHAnsi"/>
                <w:color w:val="auto"/>
                <w:sz w:val="20"/>
                <w:szCs w:val="20"/>
              </w:rPr>
            </w:pPr>
          </w:p>
        </w:tc>
        <w:tc>
          <w:tcPr>
            <w:tcW w:w="1336" w:type="pct"/>
          </w:tcPr>
          <w:p w14:paraId="34BD3C64" w14:textId="77777777" w:rsidR="00B9531A" w:rsidRPr="009C05A3" w:rsidRDefault="00B9531A" w:rsidP="00BA566A">
            <w:pPr>
              <w:jc w:val="left"/>
              <w:cnfStyle w:val="100000000000" w:firstRow="1" w:lastRow="0" w:firstColumn="0" w:lastColumn="0" w:oddVBand="0" w:evenVBand="0" w:oddHBand="0" w:evenHBand="0" w:firstRowFirstColumn="0" w:firstRowLastColumn="0" w:lastRowFirstColumn="0" w:lastRowLastColumn="0"/>
              <w:rPr>
                <w:rFonts w:cstheme="minorHAnsi"/>
                <w:color w:val="auto"/>
                <w:sz w:val="20"/>
                <w:szCs w:val="20"/>
              </w:rPr>
            </w:pPr>
            <w:r w:rsidRPr="009C05A3">
              <w:rPr>
                <w:rFonts w:cstheme="minorHAnsi"/>
                <w:color w:val="auto"/>
                <w:sz w:val="20"/>
                <w:szCs w:val="20"/>
              </w:rPr>
              <w:t>Scenario 0</w:t>
            </w:r>
          </w:p>
        </w:tc>
        <w:tc>
          <w:tcPr>
            <w:tcW w:w="1258" w:type="pct"/>
          </w:tcPr>
          <w:p w14:paraId="5AC28AF0" w14:textId="77777777" w:rsidR="00B9531A" w:rsidRPr="00967105" w:rsidRDefault="00B9531A" w:rsidP="00BA566A">
            <w:pPr>
              <w:jc w:val="left"/>
              <w:cnfStyle w:val="100000000000" w:firstRow="1" w:lastRow="0" w:firstColumn="0" w:lastColumn="0" w:oddVBand="0" w:evenVBand="0" w:oddHBand="0" w:evenHBand="0" w:firstRowFirstColumn="0" w:firstRowLastColumn="0" w:lastRowFirstColumn="0" w:lastRowLastColumn="0"/>
              <w:rPr>
                <w:rFonts w:cstheme="minorHAnsi"/>
                <w:color w:val="auto"/>
                <w:sz w:val="20"/>
                <w:szCs w:val="20"/>
              </w:rPr>
            </w:pPr>
            <w:r w:rsidRPr="00967105">
              <w:rPr>
                <w:rFonts w:cstheme="minorHAnsi"/>
                <w:color w:val="auto"/>
                <w:sz w:val="20"/>
                <w:szCs w:val="20"/>
              </w:rPr>
              <w:t>Scenario high (SH)</w:t>
            </w:r>
          </w:p>
        </w:tc>
        <w:tc>
          <w:tcPr>
            <w:tcW w:w="1229" w:type="pct"/>
          </w:tcPr>
          <w:p w14:paraId="74590562" w14:textId="77777777" w:rsidR="00B9531A" w:rsidRPr="00967105" w:rsidRDefault="00B9531A" w:rsidP="00BA566A">
            <w:pPr>
              <w:jc w:val="left"/>
              <w:cnfStyle w:val="100000000000" w:firstRow="1" w:lastRow="0" w:firstColumn="0" w:lastColumn="0" w:oddVBand="0" w:evenVBand="0" w:oddHBand="0" w:evenHBand="0" w:firstRowFirstColumn="0" w:firstRowLastColumn="0" w:lastRowFirstColumn="0" w:lastRowLastColumn="0"/>
              <w:rPr>
                <w:rFonts w:cstheme="minorHAnsi"/>
                <w:color w:val="auto"/>
                <w:sz w:val="20"/>
                <w:szCs w:val="20"/>
              </w:rPr>
            </w:pPr>
            <w:r w:rsidRPr="00967105">
              <w:rPr>
                <w:rFonts w:cstheme="minorHAnsi"/>
                <w:color w:val="auto"/>
                <w:sz w:val="20"/>
                <w:szCs w:val="20"/>
              </w:rPr>
              <w:t>Scenario low (SL)</w:t>
            </w:r>
          </w:p>
        </w:tc>
      </w:tr>
      <w:tr w:rsidR="00B9531A" w:rsidRPr="0099228F" w14:paraId="12A64363" w14:textId="77777777" w:rsidTr="00BA566A">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177" w:type="pct"/>
          </w:tcPr>
          <w:p w14:paraId="59B3DFA8" w14:textId="77777777" w:rsidR="00B9531A" w:rsidRPr="0099228F" w:rsidRDefault="00B9531A" w:rsidP="00BA566A">
            <w:pPr>
              <w:spacing w:line="276" w:lineRule="auto"/>
              <w:jc w:val="left"/>
              <w:rPr>
                <w:rFonts w:cstheme="minorHAnsi"/>
                <w:color w:val="auto"/>
                <w:sz w:val="20"/>
                <w:szCs w:val="20"/>
              </w:rPr>
            </w:pPr>
            <w:r w:rsidRPr="0099228F">
              <w:rPr>
                <w:rFonts w:cstheme="minorHAnsi"/>
                <w:sz w:val="20"/>
                <w:szCs w:val="20"/>
              </w:rPr>
              <w:t xml:space="preserve">Learning rates (concern the </w:t>
            </w:r>
            <w:r w:rsidRPr="0099228F">
              <w:rPr>
                <w:rFonts w:cstheme="minorHAnsi"/>
                <w:i/>
                <w:sz w:val="20"/>
                <w:szCs w:val="20"/>
              </w:rPr>
              <w:t>regional</w:t>
            </w:r>
            <w:r w:rsidRPr="0099228F">
              <w:rPr>
                <w:rFonts w:cstheme="minorHAnsi"/>
                <w:sz w:val="20"/>
                <w:szCs w:val="20"/>
              </w:rPr>
              <w:t xml:space="preserve"> part of the RES construction cost)</w:t>
            </w:r>
          </w:p>
        </w:tc>
        <w:tc>
          <w:tcPr>
            <w:tcW w:w="1336" w:type="pct"/>
          </w:tcPr>
          <w:p w14:paraId="64981449"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Biomass: 0.074</w:t>
            </w:r>
            <w:r w:rsidRPr="0099228F">
              <w:rPr>
                <w:rFonts w:cstheme="minorHAnsi"/>
                <w:sz w:val="20"/>
                <w:szCs w:val="20"/>
              </w:rPr>
              <w:tab/>
            </w:r>
          </w:p>
          <w:p w14:paraId="394F0FB5"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Hydro: -0.02</w:t>
            </w:r>
            <w:r w:rsidRPr="0099228F">
              <w:rPr>
                <w:rFonts w:cstheme="minorHAnsi"/>
                <w:sz w:val="20"/>
                <w:szCs w:val="20"/>
              </w:rPr>
              <w:tab/>
            </w:r>
          </w:p>
          <w:p w14:paraId="291A6EC4"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Onshore wind: -0.105</w:t>
            </w:r>
          </w:p>
          <w:p w14:paraId="76183123"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Offshore wind: -0.136</w:t>
            </w:r>
            <w:r w:rsidRPr="0099228F">
              <w:rPr>
                <w:rFonts w:cstheme="minorHAnsi"/>
                <w:sz w:val="20"/>
                <w:szCs w:val="20"/>
              </w:rPr>
              <w:tab/>
            </w:r>
          </w:p>
          <w:p w14:paraId="1922070D"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Solar: -0.269</w:t>
            </w:r>
            <w:r w:rsidRPr="0099228F">
              <w:rPr>
                <w:rFonts w:cstheme="minorHAnsi"/>
                <w:sz w:val="20"/>
                <w:szCs w:val="20"/>
              </w:rPr>
              <w:tab/>
            </w:r>
          </w:p>
          <w:p w14:paraId="49753099"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thermal: -0.074</w:t>
            </w:r>
            <w:r w:rsidRPr="0099228F">
              <w:rPr>
                <w:rFonts w:cstheme="minorHAnsi"/>
                <w:sz w:val="20"/>
                <w:szCs w:val="20"/>
              </w:rPr>
              <w:tab/>
            </w:r>
          </w:p>
          <w:p w14:paraId="2FD6443C"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renewable: - 0.06</w:t>
            </w:r>
          </w:p>
        </w:tc>
        <w:tc>
          <w:tcPr>
            <w:tcW w:w="1258" w:type="pct"/>
          </w:tcPr>
          <w:p w14:paraId="4A0485CB"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1.25 times base-run learning rates</w:t>
            </w:r>
          </w:p>
        </w:tc>
        <w:tc>
          <w:tcPr>
            <w:tcW w:w="1229" w:type="pct"/>
          </w:tcPr>
          <w:p w14:paraId="2A8D87FA"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0.75 times base-run learning rates</w:t>
            </w:r>
          </w:p>
        </w:tc>
      </w:tr>
      <w:tr w:rsidR="00B9531A" w:rsidRPr="0099228F" w14:paraId="087B7B6B" w14:textId="77777777" w:rsidTr="00BA566A">
        <w:trPr>
          <w:trHeight w:val="92"/>
        </w:trPr>
        <w:tc>
          <w:tcPr>
            <w:cnfStyle w:val="001000000000" w:firstRow="0" w:lastRow="0" w:firstColumn="1" w:lastColumn="0" w:oddVBand="0" w:evenVBand="0" w:oddHBand="0" w:evenHBand="0" w:firstRowFirstColumn="0" w:firstRowLastColumn="0" w:lastRowFirstColumn="0" w:lastRowLastColumn="0"/>
            <w:tcW w:w="1177" w:type="pct"/>
          </w:tcPr>
          <w:p w14:paraId="0F73DDF9" w14:textId="77777777" w:rsidR="00B9531A" w:rsidRPr="0099228F" w:rsidRDefault="00B9531A" w:rsidP="00BA566A">
            <w:pPr>
              <w:spacing w:line="276" w:lineRule="auto"/>
              <w:jc w:val="left"/>
              <w:rPr>
                <w:rFonts w:cstheme="minorHAnsi"/>
                <w:color w:val="auto"/>
                <w:sz w:val="20"/>
                <w:szCs w:val="20"/>
              </w:rPr>
            </w:pPr>
            <w:r w:rsidRPr="0099228F">
              <w:rPr>
                <w:rFonts w:cstheme="minorHAnsi"/>
                <w:sz w:val="20"/>
                <w:szCs w:val="20"/>
              </w:rPr>
              <w:t xml:space="preserve">Cost reduction potential for </w:t>
            </w:r>
            <w:proofErr w:type="spellStart"/>
            <w:r w:rsidRPr="0099228F">
              <w:rPr>
                <w:rFonts w:cstheme="minorHAnsi"/>
                <w:sz w:val="20"/>
                <w:szCs w:val="20"/>
              </w:rPr>
              <w:t>Opex</w:t>
            </w:r>
            <w:proofErr w:type="spellEnd"/>
            <w:r w:rsidRPr="0099228F">
              <w:rPr>
                <w:rFonts w:cstheme="minorHAnsi"/>
                <w:sz w:val="20"/>
                <w:szCs w:val="20"/>
              </w:rPr>
              <w:t xml:space="preserve"> (lowest possible value of </w:t>
            </w:r>
            <w:proofErr w:type="spellStart"/>
            <w:r w:rsidRPr="0099228F">
              <w:rPr>
                <w:rFonts w:cstheme="minorHAnsi"/>
                <w:sz w:val="20"/>
                <w:szCs w:val="20"/>
              </w:rPr>
              <w:t>Opex</w:t>
            </w:r>
            <w:proofErr w:type="spellEnd"/>
            <w:r w:rsidRPr="0099228F">
              <w:rPr>
                <w:rFonts w:cstheme="minorHAnsi"/>
                <w:sz w:val="20"/>
                <w:szCs w:val="20"/>
              </w:rPr>
              <w:t>) (£/MW)</w:t>
            </w:r>
          </w:p>
        </w:tc>
        <w:tc>
          <w:tcPr>
            <w:tcW w:w="1336" w:type="pct"/>
          </w:tcPr>
          <w:p w14:paraId="6B1744FD"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228F">
              <w:rPr>
                <w:rFonts w:eastAsia="Times New Roman" w:cstheme="minorHAnsi"/>
                <w:sz w:val="20"/>
                <w:szCs w:val="20"/>
                <w:lang w:eastAsia="en-GB"/>
              </w:rPr>
              <w:t>Coal: 179015</w:t>
            </w:r>
          </w:p>
          <w:p w14:paraId="76BE8C34"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eastAsia="Times New Roman" w:cstheme="minorHAnsi"/>
                <w:sz w:val="20"/>
                <w:szCs w:val="20"/>
                <w:lang w:eastAsia="en-GB"/>
              </w:rPr>
              <w:t>Gas: 500008</w:t>
            </w:r>
          </w:p>
        </w:tc>
        <w:tc>
          <w:tcPr>
            <w:tcW w:w="1258" w:type="pct"/>
          </w:tcPr>
          <w:p w14:paraId="07158F1F"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228F">
              <w:rPr>
                <w:rFonts w:eastAsia="Times New Roman" w:cstheme="minorHAnsi"/>
                <w:sz w:val="20"/>
                <w:szCs w:val="20"/>
                <w:lang w:eastAsia="en-GB"/>
              </w:rPr>
              <w:t xml:space="preserve">Coal: 232719 </w:t>
            </w:r>
          </w:p>
          <w:p w14:paraId="61203ED9"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eastAsia="Times New Roman" w:cstheme="minorHAnsi"/>
                <w:sz w:val="20"/>
                <w:szCs w:val="20"/>
                <w:lang w:eastAsia="en-GB"/>
              </w:rPr>
              <w:t xml:space="preserve">Gas: 64010 </w:t>
            </w:r>
          </w:p>
        </w:tc>
        <w:tc>
          <w:tcPr>
            <w:tcW w:w="1229" w:type="pct"/>
          </w:tcPr>
          <w:p w14:paraId="2D17F994"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cstheme="minorHAnsi"/>
                <w:sz w:val="20"/>
                <w:szCs w:val="20"/>
              </w:rPr>
              <w:t xml:space="preserve">Coal: </w:t>
            </w:r>
            <w:r w:rsidRPr="0099228F">
              <w:rPr>
                <w:rFonts w:eastAsia="Times New Roman" w:cstheme="minorHAnsi"/>
                <w:sz w:val="20"/>
                <w:szCs w:val="20"/>
                <w:lang w:eastAsia="en-GB"/>
              </w:rPr>
              <w:t xml:space="preserve">131272 </w:t>
            </w:r>
          </w:p>
          <w:p w14:paraId="0BCE6814"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cstheme="minorHAnsi"/>
                <w:sz w:val="20"/>
                <w:szCs w:val="20"/>
              </w:rPr>
              <w:t xml:space="preserve">Gas: </w:t>
            </w:r>
            <w:r w:rsidRPr="0099228F">
              <w:rPr>
                <w:rFonts w:eastAsia="Times New Roman" w:cstheme="minorHAnsi"/>
                <w:sz w:val="20"/>
                <w:szCs w:val="20"/>
                <w:lang w:eastAsia="en-GB"/>
              </w:rPr>
              <w:t xml:space="preserve">31755 </w:t>
            </w:r>
          </w:p>
        </w:tc>
      </w:tr>
      <w:tr w:rsidR="00B9531A" w:rsidRPr="0099228F" w14:paraId="1DA0DDE4" w14:textId="77777777" w:rsidTr="00BA566A">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1177" w:type="pct"/>
          </w:tcPr>
          <w:p w14:paraId="043A7B89" w14:textId="77777777" w:rsidR="00B9531A" w:rsidRPr="0099228F" w:rsidRDefault="00B9531A" w:rsidP="00BA566A">
            <w:pPr>
              <w:spacing w:line="276" w:lineRule="auto"/>
              <w:jc w:val="left"/>
              <w:rPr>
                <w:rFonts w:cstheme="minorHAnsi"/>
                <w:color w:val="auto"/>
                <w:sz w:val="20"/>
                <w:szCs w:val="20"/>
              </w:rPr>
            </w:pPr>
            <w:r w:rsidRPr="0099228F">
              <w:rPr>
                <w:rFonts w:cstheme="minorHAnsi"/>
                <w:sz w:val="20"/>
                <w:szCs w:val="20"/>
              </w:rPr>
              <w:t>Construction costs international lowest value (£/MW)</w:t>
            </w:r>
          </w:p>
        </w:tc>
        <w:tc>
          <w:tcPr>
            <w:tcW w:w="1336" w:type="pct"/>
          </w:tcPr>
          <w:p w14:paraId="52A1EB12"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Biomass: 664080</w:t>
            </w:r>
            <w:r w:rsidRPr="0099228F">
              <w:rPr>
                <w:rFonts w:cstheme="minorHAnsi"/>
                <w:sz w:val="20"/>
                <w:szCs w:val="20"/>
              </w:rPr>
              <w:tab/>
            </w:r>
          </w:p>
          <w:p w14:paraId="28C3E323"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Hydro: no cost reduction potential</w:t>
            </w:r>
          </w:p>
          <w:p w14:paraId="7DED8822"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Marine: 3083000</w:t>
            </w:r>
          </w:p>
          <w:p w14:paraId="1C8C7910"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Onshore wind: 571710</w:t>
            </w:r>
          </w:p>
          <w:p w14:paraId="540D2644"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Offshore wind: 1058200</w:t>
            </w:r>
          </w:p>
          <w:p w14:paraId="1781D52C"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Solar: 337330</w:t>
            </w:r>
            <w:r w:rsidRPr="0099228F">
              <w:rPr>
                <w:rFonts w:cstheme="minorHAnsi"/>
                <w:sz w:val="20"/>
                <w:szCs w:val="20"/>
              </w:rPr>
              <w:tab/>
            </w:r>
            <w:r w:rsidRPr="0099228F">
              <w:rPr>
                <w:rFonts w:cstheme="minorHAnsi"/>
                <w:sz w:val="20"/>
                <w:szCs w:val="20"/>
              </w:rPr>
              <w:tab/>
            </w:r>
          </w:p>
          <w:p w14:paraId="6ADBC3FC"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thermal: 3223500</w:t>
            </w:r>
            <w:r w:rsidRPr="0099228F">
              <w:rPr>
                <w:rFonts w:cstheme="minorHAnsi"/>
                <w:sz w:val="20"/>
                <w:szCs w:val="20"/>
              </w:rPr>
              <w:tab/>
            </w:r>
          </w:p>
          <w:p w14:paraId="0BFA93EF"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renewable: 3545850</w:t>
            </w:r>
          </w:p>
        </w:tc>
        <w:tc>
          <w:tcPr>
            <w:tcW w:w="1258" w:type="pct"/>
          </w:tcPr>
          <w:p w14:paraId="2709F531"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Biomass: 557040</w:t>
            </w:r>
          </w:p>
          <w:p w14:paraId="44102993"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Hydro: no cost reduction potential</w:t>
            </w:r>
          </w:p>
          <w:p w14:paraId="3B17BEE6"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Marine: 1481000</w:t>
            </w:r>
          </w:p>
          <w:p w14:paraId="190356DF"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Onshore wind: 339150</w:t>
            </w:r>
          </w:p>
          <w:p w14:paraId="30287045"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Offshore wind: 857450</w:t>
            </w:r>
          </w:p>
          <w:p w14:paraId="1A67D6F1"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Solar: 275720</w:t>
            </w:r>
            <w:r w:rsidRPr="0099228F">
              <w:rPr>
                <w:rFonts w:cstheme="minorHAnsi"/>
                <w:sz w:val="20"/>
                <w:szCs w:val="20"/>
              </w:rPr>
              <w:tab/>
            </w:r>
          </w:p>
          <w:p w14:paraId="1CADA728"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thermal: 1362000</w:t>
            </w:r>
          </w:p>
          <w:p w14:paraId="4CF26792"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renewable: 1498200</w:t>
            </w:r>
          </w:p>
        </w:tc>
        <w:tc>
          <w:tcPr>
            <w:tcW w:w="1229" w:type="pct"/>
          </w:tcPr>
          <w:p w14:paraId="0A7C352B"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Biomass: 690960</w:t>
            </w:r>
            <w:r w:rsidRPr="0099228F">
              <w:rPr>
                <w:rFonts w:cstheme="minorHAnsi"/>
                <w:sz w:val="20"/>
                <w:szCs w:val="20"/>
              </w:rPr>
              <w:tab/>
            </w:r>
          </w:p>
          <w:p w14:paraId="5A106007"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Hydro: no cost reduction potential</w:t>
            </w:r>
          </w:p>
          <w:p w14:paraId="4140C93B"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Marine: 4652000</w:t>
            </w:r>
          </w:p>
          <w:p w14:paraId="6D74AA5B"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Onshore wind: 639030</w:t>
            </w:r>
          </w:p>
          <w:p w14:paraId="2FB861AA"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Offshore wind: 1304050</w:t>
            </w:r>
          </w:p>
          <w:p w14:paraId="4F87934B"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Solar: 426390</w:t>
            </w:r>
            <w:r w:rsidRPr="0099228F">
              <w:rPr>
                <w:rFonts w:cstheme="minorHAnsi"/>
                <w:sz w:val="20"/>
                <w:szCs w:val="20"/>
              </w:rPr>
              <w:tab/>
            </w:r>
          </w:p>
          <w:p w14:paraId="1F2A8A9A"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thermal: 3453500</w:t>
            </w:r>
          </w:p>
          <w:p w14:paraId="3E13EE11"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Other renewable: 3798850</w:t>
            </w:r>
          </w:p>
        </w:tc>
      </w:tr>
      <w:tr w:rsidR="00B9531A" w:rsidRPr="0099228F" w14:paraId="0D8F1D5F" w14:textId="77777777" w:rsidTr="00BA566A">
        <w:trPr>
          <w:trHeight w:val="92"/>
        </w:trPr>
        <w:tc>
          <w:tcPr>
            <w:cnfStyle w:val="001000000000" w:firstRow="0" w:lastRow="0" w:firstColumn="1" w:lastColumn="0" w:oddVBand="0" w:evenVBand="0" w:oddHBand="0" w:evenHBand="0" w:firstRowFirstColumn="0" w:firstRowLastColumn="0" w:lastRowFirstColumn="0" w:lastRowLastColumn="0"/>
            <w:tcW w:w="1177" w:type="pct"/>
          </w:tcPr>
          <w:p w14:paraId="3F6D33E4" w14:textId="77777777" w:rsidR="00B9531A" w:rsidRPr="0099228F" w:rsidRDefault="00B9531A" w:rsidP="00BA566A">
            <w:pPr>
              <w:spacing w:line="276" w:lineRule="auto"/>
              <w:jc w:val="left"/>
              <w:rPr>
                <w:rFonts w:cstheme="minorHAnsi"/>
                <w:color w:val="auto"/>
                <w:sz w:val="20"/>
                <w:szCs w:val="20"/>
              </w:rPr>
            </w:pPr>
            <w:r w:rsidRPr="0099228F">
              <w:rPr>
                <w:rFonts w:cstheme="minorHAnsi"/>
                <w:sz w:val="20"/>
                <w:szCs w:val="20"/>
              </w:rPr>
              <w:t>Discount rates</w:t>
            </w:r>
          </w:p>
        </w:tc>
        <w:tc>
          <w:tcPr>
            <w:tcW w:w="1336" w:type="pct"/>
          </w:tcPr>
          <w:p w14:paraId="5B6C9748"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cstheme="minorHAnsi"/>
                <w:sz w:val="20"/>
                <w:szCs w:val="20"/>
              </w:rPr>
              <w:t>0.075</w:t>
            </w:r>
          </w:p>
        </w:tc>
        <w:tc>
          <w:tcPr>
            <w:tcW w:w="1258" w:type="pct"/>
          </w:tcPr>
          <w:p w14:paraId="6FF47CBF"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cstheme="minorHAnsi"/>
                <w:sz w:val="20"/>
                <w:szCs w:val="20"/>
              </w:rPr>
              <w:t>0.07</w:t>
            </w:r>
          </w:p>
        </w:tc>
        <w:tc>
          <w:tcPr>
            <w:tcW w:w="1229" w:type="pct"/>
          </w:tcPr>
          <w:p w14:paraId="11629231" w14:textId="77777777" w:rsidR="00B9531A" w:rsidRPr="0099228F" w:rsidRDefault="00B9531A" w:rsidP="00BA566A">
            <w:pPr>
              <w:spacing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9228F">
              <w:rPr>
                <w:rFonts w:cstheme="minorHAnsi"/>
                <w:sz w:val="20"/>
                <w:szCs w:val="20"/>
              </w:rPr>
              <w:t>0.08</w:t>
            </w:r>
          </w:p>
        </w:tc>
      </w:tr>
      <w:tr w:rsidR="00B9531A" w:rsidRPr="0099228F" w14:paraId="06D905A2" w14:textId="77777777" w:rsidTr="00BA566A">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1177" w:type="pct"/>
          </w:tcPr>
          <w:p w14:paraId="4666887F" w14:textId="77777777" w:rsidR="00B9531A" w:rsidRPr="0099228F" w:rsidRDefault="00B9531A" w:rsidP="00BA566A">
            <w:pPr>
              <w:spacing w:line="276" w:lineRule="auto"/>
              <w:jc w:val="left"/>
              <w:rPr>
                <w:rFonts w:cstheme="minorHAnsi"/>
                <w:color w:val="auto"/>
                <w:sz w:val="20"/>
                <w:szCs w:val="20"/>
              </w:rPr>
            </w:pPr>
            <w:r w:rsidRPr="0099228F">
              <w:rPr>
                <w:rFonts w:cstheme="minorHAnsi"/>
                <w:sz w:val="20"/>
                <w:szCs w:val="20"/>
              </w:rPr>
              <w:t>Emission tax-rate (highest value in 2050) (£/tonne)</w:t>
            </w:r>
          </w:p>
        </w:tc>
        <w:tc>
          <w:tcPr>
            <w:tcW w:w="1336" w:type="pct"/>
            <w:shd w:val="clear" w:color="auto" w:fill="E7E6E6" w:themeFill="background2"/>
          </w:tcPr>
          <w:p w14:paraId="668F58CF"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 xml:space="preserve">42 </w:t>
            </w:r>
          </w:p>
        </w:tc>
        <w:tc>
          <w:tcPr>
            <w:tcW w:w="1258" w:type="pct"/>
            <w:shd w:val="clear" w:color="auto" w:fill="E7E6E6" w:themeFill="background2"/>
          </w:tcPr>
          <w:p w14:paraId="244EF3E3"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 xml:space="preserve">220 </w:t>
            </w:r>
          </w:p>
        </w:tc>
        <w:tc>
          <w:tcPr>
            <w:tcW w:w="1229" w:type="pct"/>
            <w:shd w:val="clear" w:color="auto" w:fill="E7E6E6" w:themeFill="background2"/>
          </w:tcPr>
          <w:p w14:paraId="03EF1A85" w14:textId="77777777" w:rsidR="00B9531A" w:rsidRPr="0099228F" w:rsidRDefault="00B9531A" w:rsidP="00BA566A">
            <w:pPr>
              <w:spacing w:line="240"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9228F">
              <w:rPr>
                <w:rFonts w:cstheme="minorHAnsi"/>
                <w:sz w:val="20"/>
                <w:szCs w:val="20"/>
              </w:rPr>
              <w:t>38</w:t>
            </w:r>
          </w:p>
        </w:tc>
      </w:tr>
    </w:tbl>
    <w:p w14:paraId="4EB9DCDC" w14:textId="77777777" w:rsidR="00B9531A" w:rsidRPr="004A4678" w:rsidRDefault="00B9531A" w:rsidP="00B9531A">
      <w:pPr>
        <w:spacing w:line="240" w:lineRule="auto"/>
        <w:rPr>
          <w:rFonts w:cstheme="minorHAnsi"/>
          <w:i/>
        </w:rPr>
      </w:pPr>
      <w:r w:rsidRPr="0070461D">
        <w:rPr>
          <w:rFonts w:cstheme="minorHAnsi"/>
          <w:b/>
          <w:i/>
        </w:rPr>
        <w:t>Note:</w:t>
      </w:r>
      <w:r w:rsidRPr="005E5158">
        <w:rPr>
          <w:rFonts w:cstheme="minorHAnsi"/>
          <w:i/>
        </w:rPr>
        <w:t xml:space="preserve"> The ‘scenario – high’ represents the case that all cost components ‘are to the benefit’ of the capacity accumulation of renewables (e.g. high learning rates, high carbon taxes), and the ‘scenario – low’ assumes that all variables are to the dis-benefit of</w:t>
      </w:r>
      <w:r w:rsidRPr="00202D0C">
        <w:rPr>
          <w:rFonts w:cstheme="minorHAnsi"/>
          <w:i/>
        </w:rPr>
        <w:t xml:space="preserve"> renewables (e.g. low learning rates, low carbon taxes). </w:t>
      </w:r>
    </w:p>
    <w:p w14:paraId="4B5AC8ED" w14:textId="77777777" w:rsidR="00B9531A" w:rsidRPr="008D06CA" w:rsidRDefault="00B9531A" w:rsidP="00B9531A">
      <w:pPr>
        <w:spacing w:line="240" w:lineRule="auto"/>
        <w:rPr>
          <w:rFonts w:cstheme="minorHAnsi"/>
          <w:iCs/>
        </w:rPr>
      </w:pPr>
    </w:p>
    <w:p w14:paraId="74DB003D" w14:textId="77777777" w:rsidR="00B9531A" w:rsidRPr="00E546D7" w:rsidRDefault="00B9531A" w:rsidP="00B9531A">
      <w:pPr>
        <w:spacing w:line="240" w:lineRule="auto"/>
        <w:rPr>
          <w:rFonts w:cstheme="minorHAnsi"/>
          <w:i/>
        </w:rPr>
      </w:pPr>
      <w:r w:rsidRPr="008D06CA">
        <w:rPr>
          <w:rFonts w:cstheme="minorHAnsi"/>
          <w:iCs/>
        </w:rPr>
        <w:lastRenderedPageBreak/>
        <w:t xml:space="preserve">Similar as in the result section, </w:t>
      </w:r>
      <w:r w:rsidRPr="00A034A4">
        <w:rPr>
          <w:rFonts w:cstheme="minorHAnsi"/>
        </w:rPr>
        <w:t xml:space="preserve">we present the simulation results of our sensitivity tests for the following key policy indicators (in accumulated terms): </w:t>
      </w:r>
    </w:p>
    <w:p w14:paraId="10A523B1" w14:textId="77777777" w:rsidR="00B9531A" w:rsidRPr="00B8367E" w:rsidRDefault="00B9531A" w:rsidP="00B9531A">
      <w:pPr>
        <w:pStyle w:val="ListParagraph"/>
        <w:numPr>
          <w:ilvl w:val="0"/>
          <w:numId w:val="8"/>
        </w:numPr>
        <w:spacing w:line="360" w:lineRule="auto"/>
        <w:rPr>
          <w:rFonts w:cstheme="minorHAnsi"/>
          <w:color w:val="000000"/>
          <w:sz w:val="19"/>
          <w:szCs w:val="19"/>
        </w:rPr>
      </w:pPr>
      <w:r w:rsidRPr="00E546D7">
        <w:rPr>
          <w:rFonts w:cstheme="minorHAnsi"/>
        </w:rPr>
        <w:t>Greenhouse gas emissions of the electricity supply system</w:t>
      </w:r>
    </w:p>
    <w:p w14:paraId="2A56F6C6" w14:textId="77777777" w:rsidR="00B9531A" w:rsidRPr="00B8367E" w:rsidRDefault="00B9531A" w:rsidP="00B9531A">
      <w:pPr>
        <w:pStyle w:val="ListParagraph"/>
        <w:numPr>
          <w:ilvl w:val="0"/>
          <w:numId w:val="8"/>
        </w:numPr>
        <w:spacing w:line="360" w:lineRule="auto"/>
        <w:rPr>
          <w:rFonts w:cstheme="minorHAnsi"/>
          <w:color w:val="000000"/>
          <w:sz w:val="19"/>
          <w:szCs w:val="19"/>
        </w:rPr>
      </w:pPr>
      <w:r w:rsidRPr="0099228F">
        <w:rPr>
          <w:rFonts w:cstheme="minorHAnsi"/>
        </w:rPr>
        <w:t>Unemployed workers plus inactive working age population</w:t>
      </w:r>
    </w:p>
    <w:p w14:paraId="6545C99E" w14:textId="77777777" w:rsidR="00B9531A" w:rsidRPr="00B8367E" w:rsidRDefault="00B9531A" w:rsidP="00B9531A">
      <w:pPr>
        <w:pStyle w:val="ListParagraph"/>
        <w:numPr>
          <w:ilvl w:val="0"/>
          <w:numId w:val="8"/>
        </w:numPr>
        <w:spacing w:line="360" w:lineRule="auto"/>
        <w:rPr>
          <w:rFonts w:cstheme="minorHAnsi"/>
          <w:color w:val="000000"/>
          <w:sz w:val="19"/>
          <w:szCs w:val="19"/>
        </w:rPr>
      </w:pPr>
      <w:r w:rsidRPr="0099228F">
        <w:rPr>
          <w:rFonts w:cstheme="minorHAnsi"/>
        </w:rPr>
        <w:t>GDP</w:t>
      </w:r>
    </w:p>
    <w:p w14:paraId="41549B60" w14:textId="77777777" w:rsidR="00B9531A" w:rsidRPr="00B8367E" w:rsidRDefault="00B9531A" w:rsidP="00B9531A">
      <w:pPr>
        <w:pStyle w:val="ListParagraph"/>
        <w:numPr>
          <w:ilvl w:val="0"/>
          <w:numId w:val="8"/>
        </w:numPr>
        <w:spacing w:line="360" w:lineRule="auto"/>
        <w:rPr>
          <w:rFonts w:cstheme="minorHAnsi"/>
          <w:color w:val="000000"/>
          <w:sz w:val="19"/>
          <w:szCs w:val="19"/>
        </w:rPr>
      </w:pPr>
      <w:r w:rsidRPr="0099228F">
        <w:rPr>
          <w:rFonts w:cstheme="minorHAnsi"/>
        </w:rPr>
        <w:t>Electricity system costs</w:t>
      </w:r>
    </w:p>
    <w:p w14:paraId="65D977B5" w14:textId="77777777" w:rsidR="00B9531A" w:rsidRPr="00B8367E" w:rsidRDefault="00B9531A" w:rsidP="00B9531A">
      <w:pPr>
        <w:pStyle w:val="ListParagraph"/>
        <w:numPr>
          <w:ilvl w:val="0"/>
          <w:numId w:val="8"/>
        </w:numPr>
        <w:spacing w:line="360" w:lineRule="auto"/>
        <w:rPr>
          <w:rFonts w:cstheme="minorHAnsi"/>
          <w:color w:val="000000"/>
          <w:sz w:val="19"/>
          <w:szCs w:val="19"/>
        </w:rPr>
      </w:pPr>
      <w:r w:rsidRPr="0099228F">
        <w:rPr>
          <w:rFonts w:cstheme="minorHAnsi"/>
        </w:rPr>
        <w:t>Direct generated employment by the electricity transition</w:t>
      </w:r>
    </w:p>
    <w:p w14:paraId="62D23FAE" w14:textId="77777777" w:rsidR="00B9531A" w:rsidRPr="00B8367E" w:rsidRDefault="00B9531A" w:rsidP="00B9531A">
      <w:pPr>
        <w:pStyle w:val="Heading3"/>
        <w:numPr>
          <w:ilvl w:val="1"/>
          <w:numId w:val="46"/>
        </w:numPr>
        <w:spacing w:line="360" w:lineRule="auto"/>
        <w:rPr>
          <w:rFonts w:asciiTheme="minorHAnsi" w:hAnsiTheme="minorHAnsi" w:cstheme="minorHAnsi"/>
        </w:rPr>
      </w:pPr>
      <w:r w:rsidRPr="00B8367E">
        <w:rPr>
          <w:rFonts w:asciiTheme="minorHAnsi" w:hAnsiTheme="minorHAnsi" w:cstheme="minorHAnsi"/>
        </w:rPr>
        <w:t>Scenario high</w:t>
      </w:r>
    </w:p>
    <w:p w14:paraId="36E1E9C0" w14:textId="546DFC52" w:rsidR="00B9531A" w:rsidRPr="00967105" w:rsidRDefault="00B9531A" w:rsidP="00B9531A">
      <w:pPr>
        <w:rPr>
          <w:rFonts w:cstheme="minorHAnsi"/>
        </w:rPr>
      </w:pPr>
      <w:r w:rsidRPr="0099228F">
        <w:rPr>
          <w:rFonts w:cstheme="minorHAnsi"/>
        </w:rPr>
        <w:t xml:space="preserve">The table below shows the results of the simulated </w:t>
      </w:r>
      <w:r w:rsidRPr="009C05A3">
        <w:rPr>
          <w:rFonts w:cstheme="minorHAnsi"/>
        </w:rPr>
        <w:t xml:space="preserve">energy policy scenarios of scenario high in terms of the chosen policy indicators </w:t>
      </w:r>
      <w:r w:rsidRPr="00967105">
        <w:rPr>
          <w:rFonts w:cstheme="minorHAnsi"/>
          <w:i/>
        </w:rPr>
        <w:t>as percentages against the base-run simulation results</w:t>
      </w:r>
      <w:r w:rsidRPr="00967105">
        <w:rPr>
          <w:rFonts w:cstheme="minorHAnsi"/>
        </w:rPr>
        <w:t xml:space="preserve"> of the same policy indicator under scenario high (always referring to accumulated numbers). </w:t>
      </w:r>
    </w:p>
    <w:p w14:paraId="13D1480A" w14:textId="1A75BBEB" w:rsidR="00B9531A" w:rsidRPr="00B8367E" w:rsidRDefault="00B9531A" w:rsidP="00B9531A">
      <w:pPr>
        <w:pStyle w:val="Caption"/>
        <w:keepNext/>
        <w:spacing w:line="240" w:lineRule="auto"/>
        <w:rPr>
          <w:rFonts w:asciiTheme="minorHAnsi" w:hAnsiTheme="minorHAnsi" w:cstheme="minorHAnsi"/>
          <w:b w:val="0"/>
          <w:bCs/>
        </w:rPr>
      </w:pPr>
      <w:r w:rsidRPr="00B8367E">
        <w:rPr>
          <w:rFonts w:asciiTheme="minorHAnsi" w:hAnsiTheme="minorHAnsi" w:cstheme="minorHAnsi"/>
        </w:rPr>
        <w:t xml:space="preserve">Table </w:t>
      </w:r>
      <w:r w:rsidR="00F45D06">
        <w:rPr>
          <w:rFonts w:asciiTheme="minorHAnsi" w:hAnsiTheme="minorHAnsi" w:cstheme="minorHAnsi"/>
        </w:rPr>
        <w:t>A3</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 xml:space="preserve">red colour highlights the worst achieved results and the blue colour the best achieved one of all tested low-carbon policy scenarios, impacts on accumulated variables from 2016 to 2050 in comparison to the base-run. </w:t>
      </w:r>
    </w:p>
    <w:tbl>
      <w:tblPr>
        <w:tblW w:w="5000" w:type="pct"/>
        <w:tblLayout w:type="fixed"/>
        <w:tblLook w:val="04A0" w:firstRow="1" w:lastRow="0" w:firstColumn="1" w:lastColumn="0" w:noHBand="0" w:noVBand="1"/>
      </w:tblPr>
      <w:tblGrid>
        <w:gridCol w:w="2271"/>
        <w:gridCol w:w="1351"/>
        <w:gridCol w:w="1351"/>
        <w:gridCol w:w="1351"/>
        <w:gridCol w:w="1351"/>
        <w:gridCol w:w="1346"/>
      </w:tblGrid>
      <w:tr w:rsidR="00B9531A" w:rsidRPr="0099228F" w14:paraId="73DCE325" w14:textId="77777777" w:rsidTr="00BA566A">
        <w:trPr>
          <w:trHeight w:val="209"/>
        </w:trPr>
        <w:tc>
          <w:tcPr>
            <w:tcW w:w="1258" w:type="pct"/>
            <w:tcBorders>
              <w:bottom w:val="single" w:sz="4" w:space="0" w:color="auto"/>
              <w:right w:val="single" w:sz="4" w:space="0" w:color="auto"/>
            </w:tcBorders>
            <w:shd w:val="clear" w:color="000000" w:fill="FFFFFF"/>
            <w:noWrap/>
            <w:vAlign w:val="bottom"/>
            <w:hideMark/>
          </w:tcPr>
          <w:p w14:paraId="5EC56094" w14:textId="77777777" w:rsidR="00B9531A" w:rsidRPr="00B8367E" w:rsidRDefault="00B9531A" w:rsidP="00BA566A">
            <w:pPr>
              <w:spacing w:after="0" w:line="240" w:lineRule="auto"/>
              <w:jc w:val="left"/>
              <w:rPr>
                <w:rFonts w:eastAsia="Times New Roman" w:cstheme="minorHAnsi"/>
                <w:sz w:val="18"/>
                <w:szCs w:val="18"/>
                <w:lang w:eastAsia="en-GB"/>
              </w:rPr>
            </w:pPr>
            <w:r w:rsidRPr="00B8367E">
              <w:rPr>
                <w:rFonts w:eastAsia="Times New Roman" w:cstheme="minorHAnsi"/>
                <w:sz w:val="18"/>
                <w:szCs w:val="18"/>
                <w:lang w:eastAsia="en-GB"/>
              </w:rPr>
              <w:t> </w:t>
            </w:r>
          </w:p>
        </w:tc>
        <w:tc>
          <w:tcPr>
            <w:tcW w:w="749"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5516E967" w14:textId="77777777" w:rsidR="00B9531A" w:rsidRPr="00B8367E" w:rsidRDefault="00B9531A" w:rsidP="00BA566A">
            <w:pPr>
              <w:spacing w:after="0" w:line="240" w:lineRule="auto"/>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Emissions (%)</w:t>
            </w:r>
          </w:p>
        </w:tc>
        <w:tc>
          <w:tcPr>
            <w:tcW w:w="749" w:type="pct"/>
            <w:tcBorders>
              <w:top w:val="single" w:sz="4" w:space="0" w:color="auto"/>
              <w:left w:val="nil"/>
              <w:bottom w:val="single" w:sz="4" w:space="0" w:color="auto"/>
              <w:right w:val="single" w:sz="4" w:space="0" w:color="auto"/>
            </w:tcBorders>
            <w:shd w:val="clear" w:color="auto" w:fill="44546A" w:themeFill="text2"/>
            <w:vAlign w:val="center"/>
            <w:hideMark/>
          </w:tcPr>
          <w:p w14:paraId="6B04F3E0"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GDP (%)</w:t>
            </w:r>
          </w:p>
        </w:tc>
        <w:tc>
          <w:tcPr>
            <w:tcW w:w="749" w:type="pct"/>
            <w:tcBorders>
              <w:top w:val="single" w:sz="4" w:space="0" w:color="auto"/>
              <w:left w:val="nil"/>
              <w:bottom w:val="single" w:sz="4" w:space="0" w:color="auto"/>
              <w:right w:val="single" w:sz="4" w:space="0" w:color="auto"/>
            </w:tcBorders>
            <w:shd w:val="clear" w:color="auto" w:fill="44546A" w:themeFill="text2"/>
            <w:vAlign w:val="center"/>
            <w:hideMark/>
          </w:tcPr>
          <w:p w14:paraId="380CC1F3"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Unemployment (%)</w:t>
            </w:r>
          </w:p>
        </w:tc>
        <w:tc>
          <w:tcPr>
            <w:tcW w:w="749" w:type="pct"/>
            <w:tcBorders>
              <w:top w:val="single" w:sz="4" w:space="0" w:color="auto"/>
              <w:left w:val="nil"/>
              <w:bottom w:val="single" w:sz="4" w:space="0" w:color="auto"/>
              <w:right w:val="single" w:sz="4" w:space="0" w:color="auto"/>
            </w:tcBorders>
            <w:shd w:val="clear" w:color="auto" w:fill="44546A" w:themeFill="text2"/>
            <w:vAlign w:val="center"/>
            <w:hideMark/>
          </w:tcPr>
          <w:p w14:paraId="5C795E91"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Direct employment (%)</w:t>
            </w:r>
          </w:p>
        </w:tc>
        <w:tc>
          <w:tcPr>
            <w:tcW w:w="746" w:type="pct"/>
            <w:tcBorders>
              <w:top w:val="single" w:sz="4" w:space="0" w:color="auto"/>
              <w:left w:val="nil"/>
              <w:bottom w:val="single" w:sz="4" w:space="0" w:color="auto"/>
              <w:right w:val="single" w:sz="4" w:space="0" w:color="auto"/>
            </w:tcBorders>
            <w:shd w:val="clear" w:color="auto" w:fill="44546A" w:themeFill="text2"/>
            <w:vAlign w:val="center"/>
            <w:hideMark/>
          </w:tcPr>
          <w:p w14:paraId="372DD1F8"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System costs (%)</w:t>
            </w:r>
          </w:p>
        </w:tc>
      </w:tr>
      <w:tr w:rsidR="00B9531A" w:rsidRPr="0099228F" w14:paraId="6C12C557" w14:textId="77777777" w:rsidTr="00BA566A">
        <w:trPr>
          <w:trHeight w:val="262"/>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7C02EA4A" w14:textId="3645D300" w:rsidR="00B9531A" w:rsidRPr="00B8367E" w:rsidRDefault="001359C9" w:rsidP="00BA566A">
            <w:pPr>
              <w:spacing w:after="0" w:line="240" w:lineRule="auto"/>
              <w:jc w:val="left"/>
              <w:rPr>
                <w:rFonts w:eastAsia="Times New Roman" w:cstheme="minorHAnsi"/>
                <w:color w:val="E7E6E6" w:themeColor="background2"/>
                <w:sz w:val="18"/>
                <w:szCs w:val="18"/>
                <w:lang w:eastAsia="en-GB"/>
              </w:rPr>
            </w:pPr>
            <w:r>
              <w:rPr>
                <w:rFonts w:eastAsia="Times New Roman" w:cstheme="minorHAnsi"/>
                <w:color w:val="E7E6E6" w:themeColor="background2"/>
                <w:sz w:val="18"/>
                <w:szCs w:val="18"/>
                <w:lang w:eastAsia="en-GB"/>
              </w:rPr>
              <w:t>Green Finance Gap</w:t>
            </w:r>
            <w:r w:rsidR="00B9531A" w:rsidRPr="00B8367E">
              <w:rPr>
                <w:rFonts w:eastAsia="Times New Roman" w:cstheme="minorHAnsi"/>
                <w:color w:val="E7E6E6" w:themeColor="background2"/>
                <w:sz w:val="18"/>
                <w:szCs w:val="18"/>
                <w:lang w:eastAsia="en-GB"/>
              </w:rPr>
              <w:t xml:space="preserve"> (</w:t>
            </w:r>
            <w:r w:rsidR="001B024A">
              <w:rPr>
                <w:rFonts w:eastAsia="Times New Roman" w:cstheme="minorHAnsi"/>
                <w:color w:val="E7E6E6" w:themeColor="background2"/>
                <w:sz w:val="18"/>
                <w:szCs w:val="18"/>
                <w:lang w:eastAsia="en-GB"/>
              </w:rPr>
              <w:t>GFGS</w:t>
            </w:r>
            <w:r w:rsidR="00B9531A" w:rsidRPr="00B8367E">
              <w:rPr>
                <w:rFonts w:eastAsia="Times New Roman" w:cstheme="minorHAnsi"/>
                <w:color w:val="E7E6E6" w:themeColor="background2"/>
                <w:sz w:val="18"/>
                <w:szCs w:val="18"/>
                <w:lang w:eastAsia="en-GB"/>
              </w:rPr>
              <w:t>)</w:t>
            </w:r>
          </w:p>
        </w:tc>
        <w:tc>
          <w:tcPr>
            <w:tcW w:w="749"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16E30FCC"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-5.94</w:t>
            </w:r>
          </w:p>
        </w:tc>
        <w:tc>
          <w:tcPr>
            <w:tcW w:w="74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FE1C2C7"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2.93</w:t>
            </w:r>
          </w:p>
        </w:tc>
        <w:tc>
          <w:tcPr>
            <w:tcW w:w="749"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32FA1294"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-1.46</w:t>
            </w:r>
          </w:p>
        </w:tc>
        <w:tc>
          <w:tcPr>
            <w:tcW w:w="74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A779C7"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23.55</w:t>
            </w:r>
          </w:p>
        </w:tc>
        <w:tc>
          <w:tcPr>
            <w:tcW w:w="746"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39F7A21B"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-5.44</w:t>
            </w:r>
          </w:p>
        </w:tc>
      </w:tr>
      <w:tr w:rsidR="00B9531A" w:rsidRPr="0099228F" w14:paraId="49AA9C66" w14:textId="77777777" w:rsidTr="00BA566A">
        <w:trPr>
          <w:trHeight w:val="209"/>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27298B26" w14:textId="2FBC70A8" w:rsidR="00B9531A" w:rsidRPr="00B8367E" w:rsidRDefault="00B9531A" w:rsidP="00BA566A">
            <w:pPr>
              <w:spacing w:after="0" w:line="240" w:lineRule="auto"/>
              <w:jc w:val="left"/>
              <w:rPr>
                <w:rFonts w:eastAsia="Times New Roman" w:cstheme="minorHAnsi"/>
                <w:color w:val="E7E6E6" w:themeColor="background2"/>
                <w:sz w:val="18"/>
                <w:szCs w:val="18"/>
                <w:lang w:eastAsia="en-GB"/>
              </w:rPr>
            </w:pPr>
            <w:r w:rsidRPr="0070461D">
              <w:rPr>
                <w:rFonts w:cstheme="minorHAnsi"/>
                <w:color w:val="E7E6E6" w:themeColor="background2"/>
                <w:sz w:val="18"/>
                <w:szCs w:val="18"/>
              </w:rPr>
              <w:t>Low-carbon energy transition scenario (</w:t>
            </w:r>
            <w:r w:rsidR="001B024A">
              <w:rPr>
                <w:rFonts w:cstheme="minorHAnsi"/>
                <w:color w:val="E7E6E6" w:themeColor="background2"/>
                <w:sz w:val="18"/>
                <w:szCs w:val="18"/>
              </w:rPr>
              <w:t>LETS</w:t>
            </w:r>
            <w:r w:rsidRPr="0070461D">
              <w:rPr>
                <w:rFonts w:cstheme="minorHAnsi"/>
                <w:color w:val="E7E6E6" w:themeColor="background2"/>
                <w:sz w:val="18"/>
                <w:szCs w:val="18"/>
              </w:rPr>
              <w:t>)</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7FCC040C"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-41.58</w:t>
            </w:r>
          </w:p>
        </w:tc>
        <w:tc>
          <w:tcPr>
            <w:tcW w:w="749" w:type="pct"/>
            <w:tcBorders>
              <w:top w:val="single" w:sz="4" w:space="0" w:color="auto"/>
              <w:left w:val="nil"/>
              <w:bottom w:val="single" w:sz="4" w:space="0" w:color="auto"/>
              <w:right w:val="single" w:sz="4" w:space="0" w:color="auto"/>
            </w:tcBorders>
            <w:shd w:val="clear" w:color="000000" w:fill="F4B084"/>
            <w:vAlign w:val="bottom"/>
            <w:hideMark/>
          </w:tcPr>
          <w:p w14:paraId="50C438FE"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0.50</w:t>
            </w:r>
          </w:p>
        </w:tc>
        <w:tc>
          <w:tcPr>
            <w:tcW w:w="749" w:type="pct"/>
            <w:tcBorders>
              <w:top w:val="single" w:sz="4" w:space="0" w:color="auto"/>
              <w:left w:val="nil"/>
              <w:bottom w:val="single" w:sz="4" w:space="0" w:color="auto"/>
              <w:right w:val="single" w:sz="4" w:space="0" w:color="auto"/>
            </w:tcBorders>
            <w:shd w:val="clear" w:color="000000" w:fill="F4B084"/>
            <w:vAlign w:val="bottom"/>
            <w:hideMark/>
          </w:tcPr>
          <w:p w14:paraId="12CB5333"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0.23</w:t>
            </w:r>
          </w:p>
        </w:tc>
        <w:tc>
          <w:tcPr>
            <w:tcW w:w="749" w:type="pct"/>
            <w:tcBorders>
              <w:top w:val="single" w:sz="4" w:space="0" w:color="auto"/>
              <w:left w:val="nil"/>
              <w:bottom w:val="single" w:sz="4" w:space="0" w:color="auto"/>
              <w:right w:val="single" w:sz="4" w:space="0" w:color="auto"/>
            </w:tcBorders>
            <w:shd w:val="clear" w:color="000000" w:fill="F4B084"/>
            <w:vAlign w:val="bottom"/>
            <w:hideMark/>
          </w:tcPr>
          <w:p w14:paraId="1D4386B9"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-5.41</w:t>
            </w:r>
          </w:p>
        </w:tc>
        <w:tc>
          <w:tcPr>
            <w:tcW w:w="746" w:type="pct"/>
            <w:tcBorders>
              <w:top w:val="single" w:sz="4" w:space="0" w:color="auto"/>
              <w:left w:val="nil"/>
              <w:bottom w:val="single" w:sz="4" w:space="0" w:color="auto"/>
              <w:right w:val="single" w:sz="4" w:space="0" w:color="auto"/>
            </w:tcBorders>
            <w:shd w:val="clear" w:color="000000" w:fill="F4B084"/>
            <w:vAlign w:val="bottom"/>
            <w:hideMark/>
          </w:tcPr>
          <w:p w14:paraId="42942DB7"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12.48</w:t>
            </w:r>
          </w:p>
        </w:tc>
      </w:tr>
      <w:tr w:rsidR="00B9531A" w:rsidRPr="0099228F" w14:paraId="67B63547" w14:textId="77777777" w:rsidTr="00BA566A">
        <w:trPr>
          <w:trHeight w:val="398"/>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313EC381" w14:textId="06550C15" w:rsidR="00B9531A" w:rsidRPr="00B8367E" w:rsidRDefault="001B024A" w:rsidP="00BA566A">
            <w:pPr>
              <w:spacing w:after="0" w:line="240" w:lineRule="auto"/>
              <w:jc w:val="left"/>
              <w:rPr>
                <w:rFonts w:eastAsia="Times New Roman" w:cstheme="minorHAnsi"/>
                <w:color w:val="E7E6E6" w:themeColor="background2"/>
                <w:sz w:val="18"/>
                <w:szCs w:val="18"/>
                <w:lang w:eastAsia="en-GB"/>
              </w:rPr>
            </w:pPr>
            <w:r>
              <w:rPr>
                <w:rFonts w:cstheme="minorHAnsi"/>
                <w:color w:val="E7E6E6" w:themeColor="background2"/>
                <w:sz w:val="18"/>
                <w:szCs w:val="18"/>
              </w:rPr>
              <w:t>GFGS</w:t>
            </w:r>
            <w:r w:rsidR="00B9531A" w:rsidRPr="0070461D">
              <w:rPr>
                <w:rFonts w:cstheme="minorHAnsi"/>
                <w:color w:val="E7E6E6" w:themeColor="background2"/>
                <w:sz w:val="18"/>
                <w:szCs w:val="18"/>
              </w:rPr>
              <w:t xml:space="preserve"> and </w:t>
            </w:r>
            <w:r>
              <w:rPr>
                <w:rFonts w:cstheme="minorHAnsi"/>
                <w:color w:val="E7E6E6" w:themeColor="background2"/>
                <w:sz w:val="18"/>
                <w:szCs w:val="18"/>
              </w:rPr>
              <w:t>LETS</w:t>
            </w:r>
            <w:r w:rsidR="00B9531A" w:rsidRPr="005E5158">
              <w:rPr>
                <w:rFonts w:cstheme="minorHAnsi"/>
                <w:color w:val="E7E6E6" w:themeColor="background2"/>
                <w:sz w:val="18"/>
                <w:szCs w:val="18"/>
              </w:rPr>
              <w:t xml:space="preserve"> combined</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4FDF0C85"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-41.58</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3AF0304B"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3.38</w:t>
            </w:r>
          </w:p>
        </w:tc>
        <w:tc>
          <w:tcPr>
            <w:tcW w:w="749" w:type="pct"/>
            <w:tcBorders>
              <w:top w:val="single" w:sz="4" w:space="0" w:color="auto"/>
              <w:left w:val="nil"/>
              <w:bottom w:val="single" w:sz="4" w:space="0" w:color="auto"/>
              <w:right w:val="single" w:sz="4" w:space="0" w:color="auto"/>
            </w:tcBorders>
            <w:shd w:val="clear" w:color="auto" w:fill="auto"/>
            <w:vAlign w:val="bottom"/>
            <w:hideMark/>
          </w:tcPr>
          <w:p w14:paraId="2B798F41"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-1.39</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71797A91"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45.53</w:t>
            </w:r>
          </w:p>
        </w:tc>
        <w:tc>
          <w:tcPr>
            <w:tcW w:w="746" w:type="pct"/>
            <w:tcBorders>
              <w:top w:val="single" w:sz="4" w:space="0" w:color="auto"/>
              <w:left w:val="nil"/>
              <w:bottom w:val="single" w:sz="4" w:space="0" w:color="auto"/>
              <w:right w:val="single" w:sz="4" w:space="0" w:color="auto"/>
            </w:tcBorders>
            <w:shd w:val="clear" w:color="auto" w:fill="auto"/>
            <w:vAlign w:val="bottom"/>
            <w:hideMark/>
          </w:tcPr>
          <w:p w14:paraId="5C5FF13A"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-0.12</w:t>
            </w:r>
          </w:p>
        </w:tc>
      </w:tr>
    </w:tbl>
    <w:p w14:paraId="5426E49F" w14:textId="77777777" w:rsidR="00B9531A" w:rsidRPr="0070461D" w:rsidRDefault="00B9531A" w:rsidP="00B9531A">
      <w:pPr>
        <w:rPr>
          <w:rFonts w:cstheme="minorHAnsi"/>
        </w:rPr>
      </w:pPr>
    </w:p>
    <w:p w14:paraId="731D7CF4" w14:textId="07BD2766" w:rsidR="00B9531A" w:rsidRPr="004A4678" w:rsidRDefault="00B9531A" w:rsidP="00B9531A">
      <w:pPr>
        <w:rPr>
          <w:rFonts w:cstheme="minorHAnsi"/>
        </w:rPr>
      </w:pPr>
      <w:r w:rsidRPr="005E5158">
        <w:rPr>
          <w:rFonts w:cstheme="minorHAnsi"/>
        </w:rPr>
        <w:t>Important</w:t>
      </w:r>
      <w:r w:rsidR="00F45D06">
        <w:rPr>
          <w:rFonts w:cstheme="minorHAnsi"/>
        </w:rPr>
        <w:t>l</w:t>
      </w:r>
      <w:r w:rsidRPr="005E5158">
        <w:rPr>
          <w:rFonts w:cstheme="minorHAnsi"/>
        </w:rPr>
        <w:t xml:space="preserve">y, in aggregated terms, the different policies rank the same as under scenario 0. Moreover, the results </w:t>
      </w:r>
      <w:proofErr w:type="spellStart"/>
      <w:r w:rsidRPr="005E5158">
        <w:rPr>
          <w:rFonts w:cstheme="minorHAnsi"/>
        </w:rPr>
        <w:t>do</w:t>
      </w:r>
      <w:proofErr w:type="spellEnd"/>
      <w:r w:rsidRPr="005E5158">
        <w:rPr>
          <w:rFonts w:cstheme="minorHAnsi"/>
        </w:rPr>
        <w:t xml:space="preserve"> differ by more than by 5% and therefore the results are not described here in more detail. The figures below show the development from 2016</w:t>
      </w:r>
      <w:r w:rsidRPr="00202D0C">
        <w:rPr>
          <w:rFonts w:cstheme="minorHAnsi"/>
        </w:rPr>
        <w:t xml:space="preserve"> to 2050 of the considered key indicators under scenario high. Moreover, the figures below shows the development from 2016 to 2050 of the considered key indicators under scenario high. </w:t>
      </w:r>
    </w:p>
    <w:p w14:paraId="4D4F8AA3" w14:textId="7E9D1625"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A6</w:t>
      </w:r>
      <w:r w:rsidRPr="00B8367E">
        <w:rPr>
          <w:rFonts w:asciiTheme="minorHAnsi" w:hAnsiTheme="minorHAnsi" w:cstheme="minorHAnsi"/>
        </w:rPr>
        <w:t>: Annual emissions from the electricity sector</w:t>
      </w:r>
    </w:p>
    <w:p w14:paraId="7F865B90" w14:textId="77777777" w:rsidR="00B9531A" w:rsidRPr="0099228F" w:rsidRDefault="00B9531A" w:rsidP="00B9531A">
      <w:pPr>
        <w:rPr>
          <w:rFonts w:cstheme="minorHAnsi"/>
        </w:rPr>
      </w:pPr>
      <w:r w:rsidRPr="0099228F">
        <w:rPr>
          <w:rFonts w:cstheme="minorHAnsi"/>
          <w:noProof/>
        </w:rPr>
        <w:drawing>
          <wp:inline distT="0" distB="0" distL="0" distR="0" wp14:anchorId="5A530873" wp14:editId="3E781AB0">
            <wp:extent cx="5731510" cy="2173185"/>
            <wp:effectExtent l="0" t="0" r="2540" b="17780"/>
            <wp:docPr id="19" name="Diagramm 19">
              <a:extLst xmlns:a="http://schemas.openxmlformats.org/drawingml/2006/main">
                <a:ext uri="{FF2B5EF4-FFF2-40B4-BE49-F238E27FC236}">
                  <a16:creationId xmlns:a16="http://schemas.microsoft.com/office/drawing/2014/main" id="{F75F8BD2-DDEC-4CE9-90C5-FADA2C8EE8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073A709" w14:textId="6B677C14"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A7</w:t>
      </w:r>
      <w:r w:rsidRPr="00B8367E">
        <w:rPr>
          <w:rFonts w:asciiTheme="minorHAnsi" w:hAnsiTheme="minorHAnsi" w:cstheme="minorHAnsi"/>
        </w:rPr>
        <w:t>: Electricity imports due to the green finance gap</w:t>
      </w:r>
    </w:p>
    <w:p w14:paraId="4FDBEAB2" w14:textId="77777777" w:rsidR="00B9531A" w:rsidRPr="0099228F" w:rsidRDefault="00B9531A" w:rsidP="00B9531A">
      <w:pPr>
        <w:rPr>
          <w:rFonts w:cstheme="minorHAnsi"/>
        </w:rPr>
      </w:pPr>
      <w:r w:rsidRPr="0099228F">
        <w:rPr>
          <w:rFonts w:cstheme="minorHAnsi"/>
          <w:noProof/>
        </w:rPr>
        <w:drawing>
          <wp:inline distT="0" distB="0" distL="0" distR="0" wp14:anchorId="20A4B5E5" wp14:editId="69E2D181">
            <wp:extent cx="5731510" cy="2125683"/>
            <wp:effectExtent l="0" t="0" r="2540" b="8255"/>
            <wp:docPr id="2" name="Diagramm 2">
              <a:extLst xmlns:a="http://schemas.openxmlformats.org/drawingml/2006/main">
                <a:ext uri="{FF2B5EF4-FFF2-40B4-BE49-F238E27FC236}">
                  <a16:creationId xmlns:a16="http://schemas.microsoft.com/office/drawing/2014/main" id="{596F8357-EE3E-445E-8981-07F448626C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2C7941E" w14:textId="7C10082B"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A8</w:t>
      </w:r>
      <w:r w:rsidRPr="00B8367E">
        <w:rPr>
          <w:rFonts w:asciiTheme="minorHAnsi" w:hAnsiTheme="minorHAnsi" w:cstheme="minorHAnsi"/>
        </w:rPr>
        <w:t>: Annual unemployment</w:t>
      </w:r>
    </w:p>
    <w:p w14:paraId="7D8A1A7C" w14:textId="77777777" w:rsidR="00B9531A" w:rsidRPr="0099228F" w:rsidRDefault="00B9531A" w:rsidP="00B9531A">
      <w:pPr>
        <w:rPr>
          <w:rFonts w:cstheme="minorHAnsi"/>
        </w:rPr>
      </w:pPr>
      <w:r w:rsidRPr="0099228F">
        <w:rPr>
          <w:rFonts w:cstheme="minorHAnsi"/>
          <w:noProof/>
        </w:rPr>
        <w:drawing>
          <wp:inline distT="0" distB="0" distL="0" distR="0" wp14:anchorId="3D8C2E5C" wp14:editId="45DB59DC">
            <wp:extent cx="5731510" cy="2315845"/>
            <wp:effectExtent l="0" t="0" r="2540" b="8255"/>
            <wp:docPr id="20" name="Diagramm 20">
              <a:extLst xmlns:a="http://schemas.openxmlformats.org/drawingml/2006/main">
                <a:ext uri="{FF2B5EF4-FFF2-40B4-BE49-F238E27FC236}">
                  <a16:creationId xmlns:a16="http://schemas.microsoft.com/office/drawing/2014/main" id="{C551DE72-0889-42FB-AD53-89FB9D990F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6271436" w14:textId="0E165209"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A9</w:t>
      </w:r>
      <w:r w:rsidRPr="00B8367E">
        <w:rPr>
          <w:rFonts w:asciiTheme="minorHAnsi" w:hAnsiTheme="minorHAnsi" w:cstheme="minorHAnsi"/>
        </w:rPr>
        <w:t>: Annual GDP (in 2016 prices)</w:t>
      </w:r>
    </w:p>
    <w:p w14:paraId="143F3D8D" w14:textId="77777777" w:rsidR="00B9531A" w:rsidRPr="0099228F" w:rsidRDefault="00B9531A" w:rsidP="00B9531A">
      <w:pPr>
        <w:rPr>
          <w:rFonts w:cstheme="minorHAnsi"/>
        </w:rPr>
      </w:pPr>
      <w:r w:rsidRPr="0099228F">
        <w:rPr>
          <w:rFonts w:cstheme="minorHAnsi"/>
          <w:noProof/>
        </w:rPr>
        <w:drawing>
          <wp:inline distT="0" distB="0" distL="0" distR="0" wp14:anchorId="0B132FFB" wp14:editId="7A24689A">
            <wp:extent cx="5731510" cy="2242185"/>
            <wp:effectExtent l="0" t="0" r="2540" b="5715"/>
            <wp:docPr id="21" name="Diagramm 21">
              <a:extLst xmlns:a="http://schemas.openxmlformats.org/drawingml/2006/main">
                <a:ext uri="{FF2B5EF4-FFF2-40B4-BE49-F238E27FC236}">
                  <a16:creationId xmlns:a16="http://schemas.microsoft.com/office/drawing/2014/main" id="{A281640E-F272-42FA-903D-996C8A9D00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9290D35" w14:textId="0955D2DA"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A10</w:t>
      </w:r>
      <w:r w:rsidRPr="00B8367E">
        <w:rPr>
          <w:rFonts w:asciiTheme="minorHAnsi" w:hAnsiTheme="minorHAnsi" w:cstheme="minorHAnsi"/>
        </w:rPr>
        <w:t>: Annual electricity system costs</w:t>
      </w:r>
    </w:p>
    <w:p w14:paraId="16EC92EE" w14:textId="77777777" w:rsidR="00B9531A" w:rsidRPr="0099228F" w:rsidRDefault="00B9531A" w:rsidP="00B9531A">
      <w:pPr>
        <w:rPr>
          <w:rFonts w:cstheme="minorHAnsi"/>
        </w:rPr>
      </w:pPr>
      <w:r w:rsidRPr="0099228F">
        <w:rPr>
          <w:rFonts w:cstheme="minorHAnsi"/>
          <w:noProof/>
        </w:rPr>
        <w:drawing>
          <wp:inline distT="0" distB="0" distL="0" distR="0" wp14:anchorId="61CDD387" wp14:editId="3038DE5A">
            <wp:extent cx="5731510" cy="2238375"/>
            <wp:effectExtent l="0" t="0" r="2540" b="9525"/>
            <wp:docPr id="22" name="Diagramm 22">
              <a:extLst xmlns:a="http://schemas.openxmlformats.org/drawingml/2006/main">
                <a:ext uri="{FF2B5EF4-FFF2-40B4-BE49-F238E27FC236}">
                  <a16:creationId xmlns:a16="http://schemas.microsoft.com/office/drawing/2014/main" id="{13EEF636-F357-46F7-82E4-35DDFFC5C3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CCD84CA" w14:textId="3C86B5C9"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A11</w:t>
      </w:r>
      <w:r w:rsidRPr="00B8367E">
        <w:rPr>
          <w:rFonts w:asciiTheme="minorHAnsi" w:hAnsiTheme="minorHAnsi" w:cstheme="minorHAnsi"/>
        </w:rPr>
        <w:t>: Annual direct employment</w:t>
      </w:r>
    </w:p>
    <w:p w14:paraId="436BE212" w14:textId="77777777" w:rsidR="00B9531A" w:rsidRPr="0099228F" w:rsidRDefault="00B9531A" w:rsidP="00B9531A">
      <w:pPr>
        <w:rPr>
          <w:rFonts w:cstheme="minorHAnsi"/>
        </w:rPr>
      </w:pPr>
      <w:r w:rsidRPr="0099228F">
        <w:rPr>
          <w:rFonts w:cstheme="minorHAnsi"/>
          <w:noProof/>
        </w:rPr>
        <w:drawing>
          <wp:inline distT="0" distB="0" distL="0" distR="0" wp14:anchorId="10B6E349" wp14:editId="533A3106">
            <wp:extent cx="5731510" cy="2337435"/>
            <wp:effectExtent l="0" t="0" r="2540" b="5715"/>
            <wp:docPr id="23" name="Diagramm 23">
              <a:extLst xmlns:a="http://schemas.openxmlformats.org/drawingml/2006/main">
                <a:ext uri="{FF2B5EF4-FFF2-40B4-BE49-F238E27FC236}">
                  <a16:creationId xmlns:a16="http://schemas.microsoft.com/office/drawing/2014/main" id="{574E3324-27C6-457C-81F2-B63E2B84F2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99228F">
        <w:rPr>
          <w:rFonts w:cstheme="minorHAnsi"/>
        </w:rPr>
        <w:br w:type="page"/>
      </w:r>
    </w:p>
    <w:p w14:paraId="1CCC9838" w14:textId="77777777" w:rsidR="00B9531A" w:rsidRPr="00B8367E" w:rsidRDefault="00B9531A" w:rsidP="00B9531A">
      <w:pPr>
        <w:pStyle w:val="Heading3"/>
        <w:numPr>
          <w:ilvl w:val="1"/>
          <w:numId w:val="45"/>
        </w:numPr>
        <w:spacing w:line="360" w:lineRule="auto"/>
        <w:rPr>
          <w:rFonts w:asciiTheme="minorHAnsi" w:hAnsiTheme="minorHAnsi" w:cstheme="minorHAnsi"/>
        </w:rPr>
      </w:pPr>
      <w:r w:rsidRPr="00B8367E">
        <w:rPr>
          <w:rFonts w:asciiTheme="minorHAnsi" w:hAnsiTheme="minorHAnsi" w:cstheme="minorHAnsi"/>
        </w:rPr>
        <w:lastRenderedPageBreak/>
        <w:t>Scenario low</w:t>
      </w:r>
    </w:p>
    <w:p w14:paraId="6FF8615A" w14:textId="77777777" w:rsidR="00B9531A" w:rsidRPr="00967105" w:rsidRDefault="00B9531A" w:rsidP="00B9531A">
      <w:pPr>
        <w:rPr>
          <w:rFonts w:cstheme="minorHAnsi"/>
        </w:rPr>
      </w:pPr>
      <w:r w:rsidRPr="0099228F">
        <w:rPr>
          <w:rFonts w:cstheme="minorHAnsi"/>
        </w:rPr>
        <w:t xml:space="preserve">The table </w:t>
      </w:r>
      <w:proofErr w:type="spellStart"/>
      <w:r w:rsidRPr="0099228F">
        <w:rPr>
          <w:rFonts w:cstheme="minorHAnsi"/>
        </w:rPr>
        <w:t>belows</w:t>
      </w:r>
      <w:proofErr w:type="spellEnd"/>
      <w:r w:rsidRPr="0099228F">
        <w:rPr>
          <w:rFonts w:cstheme="minorHAnsi"/>
        </w:rPr>
        <w:t xml:space="preserve"> the results of the simulated </w:t>
      </w:r>
      <w:r w:rsidRPr="009C05A3">
        <w:rPr>
          <w:rFonts w:cstheme="minorHAnsi"/>
        </w:rPr>
        <w:t xml:space="preserve">electricity policy scenarios of scenario low in terms of the chosen policy indicators </w:t>
      </w:r>
      <w:r w:rsidRPr="009C05A3">
        <w:rPr>
          <w:rFonts w:cstheme="minorHAnsi"/>
          <w:i/>
        </w:rPr>
        <w:t>as percentages against the base-run simulation results</w:t>
      </w:r>
      <w:r w:rsidRPr="00086A44">
        <w:rPr>
          <w:rFonts w:cstheme="minorHAnsi"/>
        </w:rPr>
        <w:t xml:space="preserve"> under scenario low of the same policy indicator (always referring to accumulated numbers). </w:t>
      </w:r>
    </w:p>
    <w:p w14:paraId="26BB9EB3" w14:textId="16F8A987" w:rsidR="00B9531A" w:rsidRPr="00B8367E" w:rsidRDefault="00B9531A" w:rsidP="00B9531A">
      <w:pPr>
        <w:pStyle w:val="Caption"/>
        <w:keepNext/>
        <w:spacing w:line="240" w:lineRule="auto"/>
        <w:rPr>
          <w:rFonts w:asciiTheme="minorHAnsi" w:hAnsiTheme="minorHAnsi" w:cstheme="minorHAnsi"/>
          <w:b w:val="0"/>
          <w:bCs/>
        </w:rPr>
      </w:pPr>
      <w:r w:rsidRPr="00B8367E">
        <w:rPr>
          <w:rFonts w:asciiTheme="minorHAnsi" w:hAnsiTheme="minorHAnsi" w:cstheme="minorHAnsi"/>
        </w:rPr>
        <w:t xml:space="preserve">Table </w:t>
      </w:r>
      <w:r w:rsidR="00F45D06">
        <w:rPr>
          <w:rFonts w:asciiTheme="minorHAnsi" w:hAnsiTheme="minorHAnsi" w:cstheme="minorHAnsi"/>
        </w:rPr>
        <w:t>A4</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 xml:space="preserve">red colour highlights the worst achieved results and the blue colour the best achieved one of all tested low-carbon policy scenarios, impacts on accumulated variables from 2016 to 2050 in comparison to the base-run. </w:t>
      </w:r>
    </w:p>
    <w:tbl>
      <w:tblPr>
        <w:tblW w:w="5000" w:type="pct"/>
        <w:tblLayout w:type="fixed"/>
        <w:tblLook w:val="04A0" w:firstRow="1" w:lastRow="0" w:firstColumn="1" w:lastColumn="0" w:noHBand="0" w:noVBand="1"/>
      </w:tblPr>
      <w:tblGrid>
        <w:gridCol w:w="2271"/>
        <w:gridCol w:w="1351"/>
        <w:gridCol w:w="1317"/>
        <w:gridCol w:w="1387"/>
        <w:gridCol w:w="1351"/>
        <w:gridCol w:w="1344"/>
      </w:tblGrid>
      <w:tr w:rsidR="00B9531A" w:rsidRPr="0099228F" w14:paraId="4F7A3430" w14:textId="77777777" w:rsidTr="00BA566A">
        <w:trPr>
          <w:trHeight w:val="554"/>
        </w:trPr>
        <w:tc>
          <w:tcPr>
            <w:tcW w:w="1258" w:type="pct"/>
            <w:tcBorders>
              <w:bottom w:val="single" w:sz="4" w:space="0" w:color="auto"/>
              <w:right w:val="single" w:sz="4" w:space="0" w:color="auto"/>
            </w:tcBorders>
            <w:shd w:val="clear" w:color="000000" w:fill="FFFFFF"/>
            <w:noWrap/>
            <w:vAlign w:val="bottom"/>
            <w:hideMark/>
          </w:tcPr>
          <w:p w14:paraId="06C40D2D" w14:textId="77777777" w:rsidR="00B9531A" w:rsidRPr="00B8367E" w:rsidRDefault="00B9531A" w:rsidP="00BA566A">
            <w:pPr>
              <w:spacing w:after="0" w:line="240" w:lineRule="auto"/>
              <w:jc w:val="left"/>
              <w:rPr>
                <w:rFonts w:eastAsia="Times New Roman" w:cstheme="minorHAnsi"/>
                <w:sz w:val="18"/>
                <w:szCs w:val="18"/>
                <w:lang w:eastAsia="en-GB"/>
              </w:rPr>
            </w:pPr>
            <w:r w:rsidRPr="00B8367E">
              <w:rPr>
                <w:rFonts w:eastAsia="Times New Roman" w:cstheme="minorHAnsi"/>
                <w:sz w:val="18"/>
                <w:szCs w:val="18"/>
                <w:lang w:eastAsia="en-GB"/>
              </w:rPr>
              <w:t> </w:t>
            </w:r>
          </w:p>
        </w:tc>
        <w:tc>
          <w:tcPr>
            <w:tcW w:w="749"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2A3A2A27" w14:textId="77777777" w:rsidR="00B9531A" w:rsidRPr="00B8367E" w:rsidRDefault="00B9531A" w:rsidP="00BA566A">
            <w:pPr>
              <w:spacing w:after="0" w:line="240" w:lineRule="auto"/>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Emissions (%)</w:t>
            </w:r>
          </w:p>
        </w:tc>
        <w:tc>
          <w:tcPr>
            <w:tcW w:w="730" w:type="pct"/>
            <w:tcBorders>
              <w:top w:val="single" w:sz="4" w:space="0" w:color="auto"/>
              <w:left w:val="nil"/>
              <w:bottom w:val="single" w:sz="4" w:space="0" w:color="auto"/>
              <w:right w:val="single" w:sz="4" w:space="0" w:color="auto"/>
            </w:tcBorders>
            <w:shd w:val="clear" w:color="auto" w:fill="44546A" w:themeFill="text2"/>
            <w:vAlign w:val="center"/>
            <w:hideMark/>
          </w:tcPr>
          <w:p w14:paraId="146FD37E"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GDP (%)</w:t>
            </w:r>
          </w:p>
        </w:tc>
        <w:tc>
          <w:tcPr>
            <w:tcW w:w="769" w:type="pct"/>
            <w:tcBorders>
              <w:top w:val="single" w:sz="4" w:space="0" w:color="auto"/>
              <w:left w:val="nil"/>
              <w:bottom w:val="single" w:sz="4" w:space="0" w:color="auto"/>
              <w:right w:val="single" w:sz="4" w:space="0" w:color="auto"/>
            </w:tcBorders>
            <w:shd w:val="clear" w:color="auto" w:fill="44546A" w:themeFill="text2"/>
            <w:vAlign w:val="center"/>
            <w:hideMark/>
          </w:tcPr>
          <w:p w14:paraId="21113A87"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Unemployment (%)</w:t>
            </w:r>
          </w:p>
        </w:tc>
        <w:tc>
          <w:tcPr>
            <w:tcW w:w="749" w:type="pct"/>
            <w:tcBorders>
              <w:top w:val="single" w:sz="4" w:space="0" w:color="auto"/>
              <w:left w:val="nil"/>
              <w:bottom w:val="single" w:sz="4" w:space="0" w:color="auto"/>
              <w:right w:val="single" w:sz="4" w:space="0" w:color="auto"/>
            </w:tcBorders>
            <w:shd w:val="clear" w:color="auto" w:fill="44546A" w:themeFill="text2"/>
            <w:vAlign w:val="center"/>
            <w:hideMark/>
          </w:tcPr>
          <w:p w14:paraId="2CFF17E6"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Direct employment (%)</w:t>
            </w:r>
          </w:p>
        </w:tc>
        <w:tc>
          <w:tcPr>
            <w:tcW w:w="745" w:type="pct"/>
            <w:tcBorders>
              <w:top w:val="single" w:sz="4" w:space="0" w:color="auto"/>
              <w:left w:val="nil"/>
              <w:bottom w:val="single" w:sz="4" w:space="0" w:color="auto"/>
              <w:right w:val="single" w:sz="4" w:space="0" w:color="auto"/>
            </w:tcBorders>
            <w:shd w:val="clear" w:color="auto" w:fill="44546A" w:themeFill="text2"/>
            <w:vAlign w:val="center"/>
            <w:hideMark/>
          </w:tcPr>
          <w:p w14:paraId="514497A3"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eastAsia="en-GB"/>
              </w:rPr>
            </w:pPr>
            <w:r w:rsidRPr="00B8367E">
              <w:rPr>
                <w:rFonts w:eastAsia="Times New Roman" w:cstheme="minorHAnsi"/>
                <w:i/>
                <w:iCs/>
                <w:color w:val="E7E6E6" w:themeColor="background2"/>
                <w:sz w:val="18"/>
                <w:szCs w:val="18"/>
                <w:lang w:eastAsia="en-GB"/>
              </w:rPr>
              <w:t>System costs (%)</w:t>
            </w:r>
          </w:p>
        </w:tc>
      </w:tr>
      <w:tr w:rsidR="00B9531A" w:rsidRPr="0099228F" w14:paraId="4948C1F2" w14:textId="77777777" w:rsidTr="00BA566A">
        <w:trPr>
          <w:trHeight w:val="363"/>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1E30E577" w14:textId="4B9470B2" w:rsidR="00B9531A" w:rsidRPr="00B8367E" w:rsidRDefault="001359C9" w:rsidP="00BA566A">
            <w:pPr>
              <w:spacing w:after="0" w:line="240" w:lineRule="auto"/>
              <w:jc w:val="left"/>
              <w:rPr>
                <w:rFonts w:eastAsia="Times New Roman" w:cstheme="minorHAnsi"/>
                <w:color w:val="E7E6E6" w:themeColor="background2"/>
                <w:sz w:val="18"/>
                <w:szCs w:val="18"/>
                <w:lang w:eastAsia="en-GB"/>
              </w:rPr>
            </w:pPr>
            <w:r>
              <w:rPr>
                <w:rFonts w:eastAsia="Times New Roman" w:cstheme="minorHAnsi"/>
                <w:color w:val="E7E6E6" w:themeColor="background2"/>
                <w:sz w:val="18"/>
                <w:szCs w:val="18"/>
                <w:lang w:eastAsia="en-GB"/>
              </w:rPr>
              <w:t>Green finance gap</w:t>
            </w:r>
            <w:r w:rsidR="00B9531A" w:rsidRPr="00B8367E">
              <w:rPr>
                <w:rFonts w:eastAsia="Times New Roman" w:cstheme="minorHAnsi"/>
                <w:color w:val="E7E6E6" w:themeColor="background2"/>
                <w:sz w:val="18"/>
                <w:szCs w:val="18"/>
                <w:lang w:eastAsia="en-GB"/>
              </w:rPr>
              <w:t xml:space="preserve"> (</w:t>
            </w:r>
            <w:r w:rsidR="001B024A">
              <w:rPr>
                <w:rFonts w:eastAsia="Times New Roman" w:cstheme="minorHAnsi"/>
                <w:color w:val="E7E6E6" w:themeColor="background2"/>
                <w:sz w:val="18"/>
                <w:szCs w:val="18"/>
                <w:lang w:eastAsia="en-GB"/>
              </w:rPr>
              <w:t>GFGS</w:t>
            </w:r>
            <w:r w:rsidR="00B9531A" w:rsidRPr="00B8367E">
              <w:rPr>
                <w:rFonts w:eastAsia="Times New Roman" w:cstheme="minorHAnsi"/>
                <w:color w:val="E7E6E6" w:themeColor="background2"/>
                <w:sz w:val="18"/>
                <w:szCs w:val="18"/>
                <w:lang w:eastAsia="en-GB"/>
              </w:rPr>
              <w:t>)</w:t>
            </w:r>
          </w:p>
        </w:tc>
        <w:tc>
          <w:tcPr>
            <w:tcW w:w="749"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54DFB968"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-4.41</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8A6F2"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3.14</w:t>
            </w:r>
          </w:p>
        </w:tc>
        <w:tc>
          <w:tcPr>
            <w:tcW w:w="769"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0389556E"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-1.51</w:t>
            </w:r>
          </w:p>
        </w:tc>
        <w:tc>
          <w:tcPr>
            <w:tcW w:w="74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69F0353"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14.91</w:t>
            </w:r>
          </w:p>
        </w:tc>
        <w:tc>
          <w:tcPr>
            <w:tcW w:w="745"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5D4F60FD"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-0.34</w:t>
            </w:r>
          </w:p>
        </w:tc>
      </w:tr>
      <w:tr w:rsidR="00B9531A" w:rsidRPr="0099228F" w14:paraId="111DF40A" w14:textId="77777777" w:rsidTr="00BA566A">
        <w:trPr>
          <w:trHeight w:val="290"/>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07453A4F" w14:textId="18B428DE" w:rsidR="00B9531A" w:rsidRPr="00B8367E" w:rsidRDefault="00B9531A" w:rsidP="00BA566A">
            <w:pPr>
              <w:spacing w:after="0" w:line="240" w:lineRule="auto"/>
              <w:jc w:val="left"/>
              <w:rPr>
                <w:rFonts w:eastAsia="Times New Roman" w:cstheme="minorHAnsi"/>
                <w:color w:val="E7E6E6" w:themeColor="background2"/>
                <w:sz w:val="18"/>
                <w:szCs w:val="18"/>
                <w:lang w:eastAsia="en-GB"/>
              </w:rPr>
            </w:pPr>
            <w:r w:rsidRPr="0070461D">
              <w:rPr>
                <w:rFonts w:cstheme="minorHAnsi"/>
                <w:color w:val="E7E6E6" w:themeColor="background2"/>
                <w:sz w:val="18"/>
                <w:szCs w:val="18"/>
              </w:rPr>
              <w:t>Low-carbon energy transition scenario (</w:t>
            </w:r>
            <w:r w:rsidR="001B024A">
              <w:rPr>
                <w:rFonts w:cstheme="minorHAnsi"/>
                <w:color w:val="E7E6E6" w:themeColor="background2"/>
                <w:sz w:val="18"/>
                <w:szCs w:val="18"/>
              </w:rPr>
              <w:t>LETS</w:t>
            </w:r>
            <w:r w:rsidRPr="0070461D">
              <w:rPr>
                <w:rFonts w:cstheme="minorHAnsi"/>
                <w:color w:val="E7E6E6" w:themeColor="background2"/>
                <w:sz w:val="18"/>
                <w:szCs w:val="18"/>
              </w:rPr>
              <w:t>)</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05DA9091"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-49.24</w:t>
            </w:r>
          </w:p>
        </w:tc>
        <w:tc>
          <w:tcPr>
            <w:tcW w:w="730" w:type="pct"/>
            <w:tcBorders>
              <w:top w:val="single" w:sz="4" w:space="0" w:color="auto"/>
              <w:left w:val="nil"/>
              <w:bottom w:val="single" w:sz="4" w:space="0" w:color="auto"/>
              <w:right w:val="single" w:sz="4" w:space="0" w:color="auto"/>
            </w:tcBorders>
            <w:shd w:val="clear" w:color="000000" w:fill="F4B084"/>
            <w:vAlign w:val="bottom"/>
            <w:hideMark/>
          </w:tcPr>
          <w:p w14:paraId="2CE8B011"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0.56</w:t>
            </w:r>
          </w:p>
        </w:tc>
        <w:tc>
          <w:tcPr>
            <w:tcW w:w="769" w:type="pct"/>
            <w:tcBorders>
              <w:top w:val="single" w:sz="4" w:space="0" w:color="auto"/>
              <w:left w:val="nil"/>
              <w:bottom w:val="single" w:sz="4" w:space="0" w:color="auto"/>
              <w:right w:val="single" w:sz="4" w:space="0" w:color="auto"/>
            </w:tcBorders>
            <w:shd w:val="clear" w:color="000000" w:fill="F4B084"/>
            <w:vAlign w:val="bottom"/>
            <w:hideMark/>
          </w:tcPr>
          <w:p w14:paraId="75B74826"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0.19</w:t>
            </w:r>
          </w:p>
        </w:tc>
        <w:tc>
          <w:tcPr>
            <w:tcW w:w="749" w:type="pct"/>
            <w:tcBorders>
              <w:top w:val="single" w:sz="4" w:space="0" w:color="auto"/>
              <w:left w:val="nil"/>
              <w:bottom w:val="single" w:sz="4" w:space="0" w:color="auto"/>
              <w:right w:val="single" w:sz="4" w:space="0" w:color="auto"/>
            </w:tcBorders>
            <w:shd w:val="clear" w:color="000000" w:fill="F4B084"/>
            <w:vAlign w:val="bottom"/>
            <w:hideMark/>
          </w:tcPr>
          <w:p w14:paraId="1357E10E"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0.12</w:t>
            </w:r>
          </w:p>
        </w:tc>
        <w:tc>
          <w:tcPr>
            <w:tcW w:w="745" w:type="pct"/>
            <w:tcBorders>
              <w:top w:val="single" w:sz="4" w:space="0" w:color="auto"/>
              <w:left w:val="nil"/>
              <w:bottom w:val="single" w:sz="4" w:space="0" w:color="auto"/>
              <w:right w:val="single" w:sz="4" w:space="0" w:color="auto"/>
            </w:tcBorders>
            <w:shd w:val="clear" w:color="000000" w:fill="F4B084"/>
            <w:vAlign w:val="bottom"/>
            <w:hideMark/>
          </w:tcPr>
          <w:p w14:paraId="2D618451"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17.06</w:t>
            </w:r>
          </w:p>
        </w:tc>
      </w:tr>
      <w:tr w:rsidR="00B9531A" w:rsidRPr="0099228F" w14:paraId="5E1CF223" w14:textId="77777777" w:rsidTr="00BA566A">
        <w:trPr>
          <w:trHeight w:val="439"/>
        </w:trPr>
        <w:tc>
          <w:tcPr>
            <w:tcW w:w="1258" w:type="pct"/>
            <w:tcBorders>
              <w:top w:val="single" w:sz="4" w:space="0" w:color="auto"/>
              <w:left w:val="single" w:sz="4" w:space="0" w:color="auto"/>
              <w:bottom w:val="single" w:sz="4" w:space="0" w:color="auto"/>
              <w:right w:val="single" w:sz="4" w:space="0" w:color="auto"/>
            </w:tcBorders>
            <w:shd w:val="clear" w:color="auto" w:fill="44546A" w:themeFill="text2"/>
            <w:noWrap/>
            <w:vAlign w:val="bottom"/>
            <w:hideMark/>
          </w:tcPr>
          <w:p w14:paraId="4527EA97" w14:textId="3C590F37" w:rsidR="00B9531A" w:rsidRPr="00B8367E" w:rsidRDefault="001B024A" w:rsidP="00BA566A">
            <w:pPr>
              <w:spacing w:after="0" w:line="240" w:lineRule="auto"/>
              <w:jc w:val="left"/>
              <w:rPr>
                <w:rFonts w:eastAsia="Times New Roman" w:cstheme="minorHAnsi"/>
                <w:color w:val="E7E6E6" w:themeColor="background2"/>
                <w:sz w:val="18"/>
                <w:szCs w:val="18"/>
                <w:lang w:eastAsia="en-GB"/>
              </w:rPr>
            </w:pPr>
            <w:r>
              <w:rPr>
                <w:rFonts w:cstheme="minorHAnsi"/>
                <w:color w:val="E7E6E6" w:themeColor="background2"/>
                <w:sz w:val="18"/>
                <w:szCs w:val="18"/>
              </w:rPr>
              <w:t>GFGS</w:t>
            </w:r>
            <w:r w:rsidR="00B9531A" w:rsidRPr="0070461D">
              <w:rPr>
                <w:rFonts w:cstheme="minorHAnsi"/>
                <w:color w:val="E7E6E6" w:themeColor="background2"/>
                <w:sz w:val="18"/>
                <w:szCs w:val="18"/>
              </w:rPr>
              <w:t xml:space="preserve"> and </w:t>
            </w:r>
            <w:r>
              <w:rPr>
                <w:rFonts w:cstheme="minorHAnsi"/>
                <w:color w:val="E7E6E6" w:themeColor="background2"/>
                <w:sz w:val="18"/>
                <w:szCs w:val="18"/>
              </w:rPr>
              <w:t>LETS</w:t>
            </w:r>
            <w:r w:rsidR="00B9531A" w:rsidRPr="005E5158">
              <w:rPr>
                <w:rFonts w:cstheme="minorHAnsi"/>
                <w:color w:val="E7E6E6" w:themeColor="background2"/>
                <w:sz w:val="18"/>
                <w:szCs w:val="18"/>
              </w:rPr>
              <w:t xml:space="preserve"> combined</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275F7D39"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-49.24</w:t>
            </w:r>
          </w:p>
        </w:tc>
        <w:tc>
          <w:tcPr>
            <w:tcW w:w="730" w:type="pct"/>
            <w:tcBorders>
              <w:top w:val="single" w:sz="4" w:space="0" w:color="auto"/>
              <w:left w:val="nil"/>
              <w:bottom w:val="single" w:sz="4" w:space="0" w:color="auto"/>
              <w:right w:val="single" w:sz="4" w:space="0" w:color="auto"/>
            </w:tcBorders>
            <w:shd w:val="clear" w:color="000000" w:fill="9BC2E6"/>
            <w:vAlign w:val="bottom"/>
            <w:hideMark/>
          </w:tcPr>
          <w:p w14:paraId="1553A96F"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3.63</w:t>
            </w:r>
          </w:p>
        </w:tc>
        <w:tc>
          <w:tcPr>
            <w:tcW w:w="769" w:type="pct"/>
            <w:tcBorders>
              <w:top w:val="single" w:sz="4" w:space="0" w:color="auto"/>
              <w:left w:val="nil"/>
              <w:bottom w:val="single" w:sz="4" w:space="0" w:color="auto"/>
              <w:right w:val="single" w:sz="4" w:space="0" w:color="auto"/>
            </w:tcBorders>
            <w:shd w:val="clear" w:color="auto" w:fill="auto"/>
            <w:vAlign w:val="bottom"/>
            <w:hideMark/>
          </w:tcPr>
          <w:p w14:paraId="4597C3DE"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-1.44</w:t>
            </w:r>
          </w:p>
        </w:tc>
        <w:tc>
          <w:tcPr>
            <w:tcW w:w="749" w:type="pct"/>
            <w:tcBorders>
              <w:top w:val="single" w:sz="4" w:space="0" w:color="auto"/>
              <w:left w:val="nil"/>
              <w:bottom w:val="single" w:sz="4" w:space="0" w:color="auto"/>
              <w:right w:val="single" w:sz="4" w:space="0" w:color="auto"/>
            </w:tcBorders>
            <w:shd w:val="clear" w:color="000000" w:fill="9BC2E6"/>
            <w:vAlign w:val="bottom"/>
            <w:hideMark/>
          </w:tcPr>
          <w:p w14:paraId="6A41EC7E"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50.51</w:t>
            </w:r>
          </w:p>
        </w:tc>
        <w:tc>
          <w:tcPr>
            <w:tcW w:w="745" w:type="pct"/>
            <w:tcBorders>
              <w:top w:val="single" w:sz="4" w:space="0" w:color="auto"/>
              <w:left w:val="nil"/>
              <w:bottom w:val="single" w:sz="4" w:space="0" w:color="auto"/>
              <w:right w:val="single" w:sz="4" w:space="0" w:color="auto"/>
            </w:tcBorders>
            <w:shd w:val="clear" w:color="auto" w:fill="auto"/>
            <w:vAlign w:val="bottom"/>
            <w:hideMark/>
          </w:tcPr>
          <w:p w14:paraId="7E1A9D99" w14:textId="77777777" w:rsidR="00B9531A" w:rsidRPr="00B8367E" w:rsidRDefault="00B9531A" w:rsidP="00BA566A">
            <w:pPr>
              <w:spacing w:after="0" w:line="240" w:lineRule="auto"/>
              <w:jc w:val="center"/>
              <w:rPr>
                <w:rFonts w:eastAsia="Times New Roman" w:cstheme="minorHAnsi"/>
                <w:color w:val="000000"/>
                <w:sz w:val="18"/>
                <w:szCs w:val="18"/>
                <w:lang w:eastAsia="en-GB"/>
              </w:rPr>
            </w:pPr>
            <w:r w:rsidRPr="00B8367E">
              <w:rPr>
                <w:rFonts w:cstheme="minorHAnsi"/>
                <w:color w:val="000000"/>
                <w:sz w:val="18"/>
                <w:szCs w:val="18"/>
              </w:rPr>
              <w:t>9.42</w:t>
            </w:r>
          </w:p>
        </w:tc>
      </w:tr>
    </w:tbl>
    <w:p w14:paraId="178216CA" w14:textId="77777777" w:rsidR="00B9531A" w:rsidRPr="0070461D" w:rsidRDefault="00B9531A" w:rsidP="00B9531A">
      <w:pPr>
        <w:rPr>
          <w:rFonts w:cstheme="minorHAnsi"/>
        </w:rPr>
      </w:pPr>
    </w:p>
    <w:p w14:paraId="74B0F056" w14:textId="3FA997DB" w:rsidR="00B9531A" w:rsidRPr="00F14205" w:rsidRDefault="00F45D06" w:rsidP="00B9531A">
      <w:pPr>
        <w:rPr>
          <w:rFonts w:cstheme="minorHAnsi"/>
        </w:rPr>
      </w:pPr>
      <w:r w:rsidRPr="005E5158">
        <w:rPr>
          <w:rFonts w:cstheme="minorHAnsi"/>
        </w:rPr>
        <w:t>Importantly</w:t>
      </w:r>
      <w:r w:rsidR="00B9531A" w:rsidRPr="005E5158">
        <w:rPr>
          <w:rFonts w:cstheme="minorHAnsi"/>
        </w:rPr>
        <w:t xml:space="preserve">, in aggregated terms, the different policies rank the same as under scenario 0. Moreover, the results </w:t>
      </w:r>
      <w:proofErr w:type="spellStart"/>
      <w:r w:rsidR="00B9531A" w:rsidRPr="005E5158">
        <w:rPr>
          <w:rFonts w:cstheme="minorHAnsi"/>
        </w:rPr>
        <w:t>do</w:t>
      </w:r>
      <w:proofErr w:type="spellEnd"/>
      <w:r w:rsidR="00B9531A" w:rsidRPr="005E5158">
        <w:rPr>
          <w:rFonts w:cstheme="minorHAnsi"/>
        </w:rPr>
        <w:t xml:space="preserve"> differ by more than by 10% and therefore the results are not described here in </w:t>
      </w:r>
      <w:r w:rsidR="00B9531A" w:rsidRPr="00202D0C">
        <w:rPr>
          <w:rFonts w:cstheme="minorHAnsi"/>
        </w:rPr>
        <w:t>more detail. The figures below show the development from 201</w:t>
      </w:r>
      <w:r w:rsidR="00B9531A" w:rsidRPr="004A4678">
        <w:rPr>
          <w:rFonts w:cstheme="minorHAnsi"/>
        </w:rPr>
        <w:t>6 to 2050 of the considered key indicators under scenario low.</w:t>
      </w:r>
    </w:p>
    <w:p w14:paraId="430112D8" w14:textId="77777777" w:rsidR="00B9531A" w:rsidRPr="003C3C28" w:rsidRDefault="00B9531A" w:rsidP="00B9531A">
      <w:pPr>
        <w:rPr>
          <w:rFonts w:cstheme="minorHAnsi"/>
        </w:rPr>
      </w:pPr>
      <w:r w:rsidRPr="00F14205">
        <w:rPr>
          <w:rFonts w:cstheme="minorHAnsi"/>
        </w:rPr>
        <w:t>The figures below shows the development from 2016 to 2050 of the considered key indicators under scenario low.</w:t>
      </w:r>
    </w:p>
    <w:p w14:paraId="1B3CCF33" w14:textId="68339575"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A12</w:t>
      </w:r>
      <w:r w:rsidRPr="00B8367E">
        <w:rPr>
          <w:rFonts w:asciiTheme="minorHAnsi" w:hAnsiTheme="minorHAnsi" w:cstheme="minorHAnsi"/>
        </w:rPr>
        <w:t>: Annual emissions from the electricity sector</w:t>
      </w:r>
    </w:p>
    <w:p w14:paraId="06E58C21" w14:textId="77777777" w:rsidR="00B9531A" w:rsidRPr="0099228F" w:rsidRDefault="00B9531A" w:rsidP="00B9531A">
      <w:pPr>
        <w:rPr>
          <w:rFonts w:cstheme="minorHAnsi"/>
        </w:rPr>
      </w:pPr>
      <w:r w:rsidRPr="0099228F">
        <w:rPr>
          <w:rFonts w:cstheme="minorHAnsi"/>
          <w:noProof/>
        </w:rPr>
        <w:drawing>
          <wp:inline distT="0" distB="0" distL="0" distR="0" wp14:anchorId="7A779449" wp14:editId="58809DF1">
            <wp:extent cx="5731510" cy="2271395"/>
            <wp:effectExtent l="0" t="0" r="2540" b="14605"/>
            <wp:docPr id="24" name="Diagramm 24">
              <a:extLst xmlns:a="http://schemas.openxmlformats.org/drawingml/2006/main">
                <a:ext uri="{FF2B5EF4-FFF2-40B4-BE49-F238E27FC236}">
                  <a16:creationId xmlns:a16="http://schemas.microsoft.com/office/drawing/2014/main" id="{AF8EECF6-C4E3-4941-83F6-AC7CB4DD4E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F3D9519" w14:textId="09E584FD"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A13</w:t>
      </w:r>
      <w:r w:rsidRPr="00B8367E">
        <w:rPr>
          <w:rFonts w:asciiTheme="minorHAnsi" w:hAnsiTheme="minorHAnsi" w:cstheme="minorHAnsi"/>
        </w:rPr>
        <w:t xml:space="preserve">: Annual </w:t>
      </w:r>
      <w:r w:rsidR="00F45D06" w:rsidRPr="00F45D06">
        <w:rPr>
          <w:rFonts w:asciiTheme="minorHAnsi" w:hAnsiTheme="minorHAnsi" w:cstheme="minorHAnsi"/>
        </w:rPr>
        <w:t>electricity</w:t>
      </w:r>
      <w:r w:rsidRPr="00B8367E">
        <w:rPr>
          <w:rFonts w:asciiTheme="minorHAnsi" w:hAnsiTheme="minorHAnsi" w:cstheme="minorHAnsi"/>
        </w:rPr>
        <w:t xml:space="preserve"> imports due to the green finance gap</w:t>
      </w:r>
    </w:p>
    <w:p w14:paraId="688DA204" w14:textId="77777777" w:rsidR="00B9531A" w:rsidRPr="0099228F" w:rsidRDefault="00B9531A" w:rsidP="00B9531A">
      <w:pPr>
        <w:rPr>
          <w:rFonts w:cstheme="minorHAnsi"/>
        </w:rPr>
      </w:pPr>
      <w:r w:rsidRPr="0099228F">
        <w:rPr>
          <w:rFonts w:cstheme="minorHAnsi"/>
          <w:noProof/>
        </w:rPr>
        <w:drawing>
          <wp:inline distT="0" distB="0" distL="0" distR="0" wp14:anchorId="59381645" wp14:editId="57BB283C">
            <wp:extent cx="5731510" cy="2411730"/>
            <wp:effectExtent l="0" t="0" r="2540" b="7620"/>
            <wp:docPr id="8" name="Diagramm 8">
              <a:extLst xmlns:a="http://schemas.openxmlformats.org/drawingml/2006/main">
                <a:ext uri="{FF2B5EF4-FFF2-40B4-BE49-F238E27FC236}">
                  <a16:creationId xmlns:a16="http://schemas.microsoft.com/office/drawing/2014/main" id="{B0541430-CD30-412B-9AA3-F5F576D259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C8D6DAA" w14:textId="452B8459"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A14</w:t>
      </w:r>
      <w:r w:rsidRPr="00B8367E">
        <w:rPr>
          <w:rFonts w:asciiTheme="minorHAnsi" w:hAnsiTheme="minorHAnsi" w:cstheme="minorHAnsi"/>
        </w:rPr>
        <w:t>: Annual unemployment</w:t>
      </w:r>
    </w:p>
    <w:p w14:paraId="78B4D00C" w14:textId="77777777" w:rsidR="00B9531A" w:rsidRPr="0099228F" w:rsidRDefault="00B9531A" w:rsidP="00B9531A">
      <w:pPr>
        <w:rPr>
          <w:rFonts w:cstheme="minorHAnsi"/>
        </w:rPr>
      </w:pPr>
      <w:r w:rsidRPr="0099228F">
        <w:rPr>
          <w:rFonts w:cstheme="minorHAnsi"/>
          <w:noProof/>
        </w:rPr>
        <w:drawing>
          <wp:inline distT="0" distB="0" distL="0" distR="0" wp14:anchorId="42037777" wp14:editId="1A0AD8C4">
            <wp:extent cx="5731510" cy="2346960"/>
            <wp:effectExtent l="0" t="0" r="2540" b="15240"/>
            <wp:docPr id="33" name="Diagramm 33">
              <a:extLst xmlns:a="http://schemas.openxmlformats.org/drawingml/2006/main">
                <a:ext uri="{FF2B5EF4-FFF2-40B4-BE49-F238E27FC236}">
                  <a16:creationId xmlns:a16="http://schemas.microsoft.com/office/drawing/2014/main" id="{3FBC3DA6-998D-489F-899C-658CE16549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4B9E4C87" w14:textId="31812B24"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A15</w:t>
      </w:r>
      <w:r w:rsidRPr="00B8367E">
        <w:rPr>
          <w:rFonts w:asciiTheme="minorHAnsi" w:hAnsiTheme="minorHAnsi" w:cstheme="minorHAnsi"/>
        </w:rPr>
        <w:t>: Annual GDP (in 2016 prices)</w:t>
      </w:r>
    </w:p>
    <w:p w14:paraId="12EAADBD" w14:textId="77777777" w:rsidR="00B9531A" w:rsidRPr="0099228F" w:rsidRDefault="00B9531A" w:rsidP="00B9531A">
      <w:pPr>
        <w:rPr>
          <w:rFonts w:cstheme="minorHAnsi"/>
        </w:rPr>
      </w:pPr>
      <w:r w:rsidRPr="0099228F">
        <w:rPr>
          <w:rFonts w:cstheme="minorHAnsi"/>
          <w:noProof/>
        </w:rPr>
        <w:drawing>
          <wp:inline distT="0" distB="0" distL="0" distR="0" wp14:anchorId="2D2A8416" wp14:editId="531A1243">
            <wp:extent cx="5731510" cy="2388870"/>
            <wp:effectExtent l="0" t="0" r="2540" b="11430"/>
            <wp:docPr id="34" name="Diagramm 34">
              <a:extLst xmlns:a="http://schemas.openxmlformats.org/drawingml/2006/main">
                <a:ext uri="{FF2B5EF4-FFF2-40B4-BE49-F238E27FC236}">
                  <a16:creationId xmlns:a16="http://schemas.microsoft.com/office/drawing/2014/main" id="{7A8284B1-2623-4B69-89D1-F9A78A3F89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017E534" w14:textId="4360D1A1"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A16</w:t>
      </w:r>
      <w:r w:rsidRPr="00B8367E">
        <w:rPr>
          <w:rFonts w:asciiTheme="minorHAnsi" w:hAnsiTheme="minorHAnsi" w:cstheme="minorHAnsi"/>
        </w:rPr>
        <w:t>: Annual electricity costs</w:t>
      </w:r>
    </w:p>
    <w:p w14:paraId="3FC0E8E9" w14:textId="77777777" w:rsidR="00B9531A" w:rsidRPr="0099228F" w:rsidRDefault="00B9531A" w:rsidP="00B9531A">
      <w:pPr>
        <w:rPr>
          <w:rFonts w:cstheme="minorHAnsi"/>
        </w:rPr>
      </w:pPr>
      <w:r w:rsidRPr="0099228F">
        <w:rPr>
          <w:rFonts w:cstheme="minorHAnsi"/>
          <w:noProof/>
        </w:rPr>
        <w:drawing>
          <wp:inline distT="0" distB="0" distL="0" distR="0" wp14:anchorId="2A3B7F1D" wp14:editId="47884F28">
            <wp:extent cx="5731510" cy="2366010"/>
            <wp:effectExtent l="0" t="0" r="2540" b="15240"/>
            <wp:docPr id="35" name="Diagramm 35">
              <a:extLst xmlns:a="http://schemas.openxmlformats.org/drawingml/2006/main">
                <a:ext uri="{FF2B5EF4-FFF2-40B4-BE49-F238E27FC236}">
                  <a16:creationId xmlns:a16="http://schemas.microsoft.com/office/drawing/2014/main" id="{330898AF-3E4C-42C7-867A-B96C0826F3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66B4177F" w14:textId="7456E740"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A17</w:t>
      </w:r>
      <w:r w:rsidRPr="00B8367E">
        <w:rPr>
          <w:rFonts w:asciiTheme="minorHAnsi" w:hAnsiTheme="minorHAnsi" w:cstheme="minorHAnsi"/>
        </w:rPr>
        <w:t>: Annual direct employment</w:t>
      </w:r>
    </w:p>
    <w:p w14:paraId="25F64FB6" w14:textId="77777777" w:rsidR="00B9531A" w:rsidRPr="0099228F" w:rsidRDefault="00B9531A" w:rsidP="00B9531A">
      <w:pPr>
        <w:rPr>
          <w:rFonts w:cstheme="minorHAnsi"/>
        </w:rPr>
      </w:pPr>
      <w:r w:rsidRPr="0099228F">
        <w:rPr>
          <w:rFonts w:cstheme="minorHAnsi"/>
          <w:noProof/>
        </w:rPr>
        <w:drawing>
          <wp:inline distT="0" distB="0" distL="0" distR="0" wp14:anchorId="53518048" wp14:editId="78B32052">
            <wp:extent cx="5731510" cy="2332355"/>
            <wp:effectExtent l="0" t="0" r="2540" b="10795"/>
            <wp:docPr id="12" name="Diagramm 12">
              <a:extLst xmlns:a="http://schemas.openxmlformats.org/drawingml/2006/main">
                <a:ext uri="{FF2B5EF4-FFF2-40B4-BE49-F238E27FC236}">
                  <a16:creationId xmlns:a16="http://schemas.microsoft.com/office/drawing/2014/main" id="{DC7FCCFF-1A80-42ED-BCF4-C9771C9717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55CB428" w14:textId="77777777" w:rsidR="00B9531A" w:rsidRPr="009C05A3" w:rsidRDefault="00B9531A" w:rsidP="00893ABB">
      <w:pPr>
        <w:pStyle w:val="Heading2"/>
        <w:numPr>
          <w:ilvl w:val="0"/>
          <w:numId w:val="45"/>
        </w:numPr>
      </w:pPr>
      <w:r w:rsidRPr="009C05A3">
        <w:t>Parameter changes in the economy</w:t>
      </w:r>
    </w:p>
    <w:p w14:paraId="007867D5" w14:textId="77777777" w:rsidR="00B9531A" w:rsidRPr="009C05A3" w:rsidRDefault="00B9531A" w:rsidP="00B9531A">
      <w:pPr>
        <w:rPr>
          <w:rFonts w:cstheme="minorHAnsi"/>
        </w:rPr>
      </w:pPr>
      <w:r w:rsidRPr="0099228F">
        <w:rPr>
          <w:rFonts w:cstheme="minorHAnsi"/>
        </w:rPr>
        <w:t xml:space="preserve">The following sensitivity tests involves changes in key economics parameters. The table below gives an overview on the tested parameter changes. </w:t>
      </w:r>
    </w:p>
    <w:p w14:paraId="26340F40" w14:textId="44F27351" w:rsidR="00B9531A" w:rsidRPr="00B8367E" w:rsidRDefault="00B9531A" w:rsidP="00B9531A">
      <w:pPr>
        <w:pStyle w:val="Caption"/>
        <w:keepNext/>
        <w:rPr>
          <w:rFonts w:asciiTheme="minorHAnsi" w:hAnsiTheme="minorHAnsi" w:cstheme="minorHAnsi"/>
        </w:rPr>
      </w:pPr>
      <w:r w:rsidRPr="00B8367E">
        <w:rPr>
          <w:rFonts w:asciiTheme="minorHAnsi" w:hAnsiTheme="minorHAnsi" w:cstheme="minorHAnsi"/>
        </w:rPr>
        <w:t xml:space="preserve">Table </w:t>
      </w:r>
      <w:r w:rsidR="00F45D06">
        <w:rPr>
          <w:rFonts w:asciiTheme="minorHAnsi" w:hAnsiTheme="minorHAnsi" w:cstheme="minorHAnsi"/>
        </w:rPr>
        <w:t>A5</w:t>
      </w:r>
      <w:r w:rsidRPr="00B8367E">
        <w:rPr>
          <w:rFonts w:asciiTheme="minorHAnsi" w:hAnsiTheme="minorHAnsi" w:cstheme="minorHAnsi"/>
        </w:rPr>
        <w:t xml:space="preserve">: Overview on sensitivity tests </w:t>
      </w:r>
      <w:proofErr w:type="spellStart"/>
      <w:r w:rsidRPr="00B8367E">
        <w:rPr>
          <w:rFonts w:asciiTheme="minorHAnsi" w:hAnsiTheme="minorHAnsi" w:cstheme="minorHAnsi"/>
        </w:rPr>
        <w:t>concening</w:t>
      </w:r>
      <w:proofErr w:type="spellEnd"/>
      <w:r w:rsidRPr="00B8367E">
        <w:rPr>
          <w:rFonts w:asciiTheme="minorHAnsi" w:hAnsiTheme="minorHAnsi" w:cstheme="minorHAnsi"/>
        </w:rPr>
        <w:t xml:space="preserve"> the economy in GIBM</w:t>
      </w:r>
    </w:p>
    <w:tbl>
      <w:tblPr>
        <w:tblStyle w:val="GridTable5Dark-Accent3"/>
        <w:tblW w:w="9351" w:type="dxa"/>
        <w:tblLook w:val="04A0" w:firstRow="1" w:lastRow="0" w:firstColumn="1" w:lastColumn="0" w:noHBand="0" w:noVBand="1"/>
      </w:tblPr>
      <w:tblGrid>
        <w:gridCol w:w="2405"/>
        <w:gridCol w:w="6946"/>
      </w:tblGrid>
      <w:tr w:rsidR="00B9531A" w:rsidRPr="0099228F" w14:paraId="0F954FAA" w14:textId="77777777" w:rsidTr="00BA5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639DEEC" w14:textId="77777777" w:rsidR="00B9531A" w:rsidRPr="0099228F" w:rsidRDefault="00B9531A" w:rsidP="00BA566A">
            <w:pPr>
              <w:rPr>
                <w:rFonts w:cstheme="minorHAnsi"/>
                <w:color w:val="auto"/>
                <w:sz w:val="18"/>
                <w:szCs w:val="18"/>
              </w:rPr>
            </w:pPr>
            <w:r w:rsidRPr="0099228F">
              <w:rPr>
                <w:rFonts w:cstheme="minorHAnsi"/>
                <w:color w:val="auto"/>
                <w:sz w:val="18"/>
                <w:szCs w:val="18"/>
              </w:rPr>
              <w:t>Scenarios</w:t>
            </w:r>
          </w:p>
        </w:tc>
        <w:tc>
          <w:tcPr>
            <w:tcW w:w="6946" w:type="dxa"/>
          </w:tcPr>
          <w:p w14:paraId="6529CC73" w14:textId="77777777" w:rsidR="00B9531A" w:rsidRPr="00086A44" w:rsidRDefault="00B9531A" w:rsidP="00BA566A">
            <w:pPr>
              <w:cnfStyle w:val="100000000000" w:firstRow="1" w:lastRow="0" w:firstColumn="0" w:lastColumn="0" w:oddVBand="0" w:evenVBand="0" w:oddHBand="0" w:evenHBand="0" w:firstRowFirstColumn="0" w:firstRowLastColumn="0" w:lastRowFirstColumn="0" w:lastRowLastColumn="0"/>
              <w:rPr>
                <w:rFonts w:cstheme="minorHAnsi"/>
                <w:color w:val="auto"/>
                <w:sz w:val="18"/>
                <w:szCs w:val="18"/>
              </w:rPr>
            </w:pPr>
            <w:r w:rsidRPr="009C05A3">
              <w:rPr>
                <w:rFonts w:cstheme="minorHAnsi"/>
                <w:color w:val="auto"/>
                <w:sz w:val="18"/>
                <w:szCs w:val="18"/>
              </w:rPr>
              <w:t>Description</w:t>
            </w:r>
          </w:p>
        </w:tc>
      </w:tr>
      <w:tr w:rsidR="00B9531A" w:rsidRPr="0099228F" w14:paraId="14CF7D67" w14:textId="77777777" w:rsidTr="00BA566A">
        <w:trPr>
          <w:cnfStyle w:val="000000100000" w:firstRow="0" w:lastRow="0" w:firstColumn="0" w:lastColumn="0" w:oddVBand="0" w:evenVBand="0" w:oddHBand="1" w:evenHBand="0" w:firstRowFirstColumn="0" w:firstRowLastColumn="0" w:lastRowFirstColumn="0" w:lastRowLastColumn="0"/>
          <w:trHeight w:val="1916"/>
        </w:trPr>
        <w:tc>
          <w:tcPr>
            <w:cnfStyle w:val="001000000000" w:firstRow="0" w:lastRow="0" w:firstColumn="1" w:lastColumn="0" w:oddVBand="0" w:evenVBand="0" w:oddHBand="0" w:evenHBand="0" w:firstRowFirstColumn="0" w:firstRowLastColumn="0" w:lastRowFirstColumn="0" w:lastRowLastColumn="0"/>
            <w:tcW w:w="2405" w:type="dxa"/>
          </w:tcPr>
          <w:p w14:paraId="6E1DF835" w14:textId="77777777" w:rsidR="00B9531A" w:rsidRPr="00202D0C" w:rsidRDefault="00B9531A" w:rsidP="00BA566A">
            <w:pPr>
              <w:jc w:val="left"/>
              <w:rPr>
                <w:rFonts w:cstheme="minorHAnsi"/>
                <w:color w:val="auto"/>
                <w:sz w:val="18"/>
                <w:szCs w:val="18"/>
              </w:rPr>
            </w:pPr>
            <w:r w:rsidRPr="0070461D">
              <w:rPr>
                <w:rFonts w:cstheme="minorHAnsi"/>
                <w:sz w:val="18"/>
                <w:szCs w:val="18"/>
                <w:lang w:eastAsia="de-CH"/>
              </w:rPr>
              <w:t>No link between interest rates and propensity to consume (PC)</w:t>
            </w:r>
            <w:r w:rsidRPr="005E5158">
              <w:rPr>
                <w:rFonts w:cstheme="minorHAnsi"/>
                <w:sz w:val="18"/>
                <w:szCs w:val="18"/>
              </w:rPr>
              <w:t xml:space="preserve"> </w:t>
            </w:r>
          </w:p>
          <w:p w14:paraId="0EC80616" w14:textId="77777777" w:rsidR="00B9531A" w:rsidRPr="004A4678" w:rsidRDefault="00B9531A" w:rsidP="00BA566A">
            <w:pPr>
              <w:rPr>
                <w:rFonts w:cstheme="minorHAnsi"/>
                <w:color w:val="auto"/>
                <w:sz w:val="18"/>
                <w:szCs w:val="18"/>
              </w:rPr>
            </w:pPr>
          </w:p>
        </w:tc>
        <w:tc>
          <w:tcPr>
            <w:tcW w:w="6946" w:type="dxa"/>
          </w:tcPr>
          <w:p w14:paraId="2A9E4526" w14:textId="77777777" w:rsidR="00B9531A" w:rsidRPr="008D06CA" w:rsidRDefault="00B9531A" w:rsidP="00BA566A">
            <w:pPr>
              <w:jc w:val="left"/>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14205">
              <w:rPr>
                <w:rFonts w:cstheme="minorHAnsi"/>
                <w:sz w:val="18"/>
                <w:szCs w:val="18"/>
              </w:rPr>
              <w:t xml:space="preserve">Under scenario 0, the propensity to consume increases when interest rates increase as savers need now to save less to reach their saving targets. Under scenario PC, this link is taken out of the model. This means that the saving rate is independent of the </w:t>
            </w:r>
            <w:r w:rsidRPr="008D06CA">
              <w:rPr>
                <w:rFonts w:cstheme="minorHAnsi"/>
                <w:sz w:val="18"/>
                <w:szCs w:val="18"/>
              </w:rPr>
              <w:t xml:space="preserve">interest rates. This scenario is relevant as the link between the interest rates and the propensity to consume has changed in the current context of zero interest rates. </w:t>
            </w:r>
          </w:p>
        </w:tc>
      </w:tr>
      <w:tr w:rsidR="00B9531A" w:rsidRPr="0099228F" w14:paraId="694C8E44" w14:textId="77777777" w:rsidTr="00BA566A">
        <w:tc>
          <w:tcPr>
            <w:cnfStyle w:val="001000000000" w:firstRow="0" w:lastRow="0" w:firstColumn="1" w:lastColumn="0" w:oddVBand="0" w:evenVBand="0" w:oddHBand="0" w:evenHBand="0" w:firstRowFirstColumn="0" w:firstRowLastColumn="0" w:lastRowFirstColumn="0" w:lastRowLastColumn="0"/>
            <w:tcW w:w="2405" w:type="dxa"/>
          </w:tcPr>
          <w:p w14:paraId="770A8D8A" w14:textId="77777777" w:rsidR="00B9531A" w:rsidRPr="005E5158" w:rsidRDefault="00B9531A" w:rsidP="00BA566A">
            <w:pPr>
              <w:jc w:val="left"/>
              <w:rPr>
                <w:rFonts w:cstheme="minorHAnsi"/>
                <w:color w:val="auto"/>
                <w:sz w:val="18"/>
                <w:szCs w:val="18"/>
              </w:rPr>
            </w:pPr>
            <w:proofErr w:type="spellStart"/>
            <w:r w:rsidRPr="0070461D">
              <w:rPr>
                <w:rFonts w:cstheme="minorHAnsi"/>
                <w:sz w:val="18"/>
                <w:szCs w:val="18"/>
              </w:rPr>
              <w:t>Doubeling</w:t>
            </w:r>
            <w:proofErr w:type="spellEnd"/>
            <w:r w:rsidRPr="0070461D">
              <w:rPr>
                <w:rFonts w:cstheme="minorHAnsi"/>
                <w:sz w:val="18"/>
                <w:szCs w:val="18"/>
              </w:rPr>
              <w:t xml:space="preserve"> of the import prices for electricity (IP)</w:t>
            </w:r>
          </w:p>
        </w:tc>
        <w:tc>
          <w:tcPr>
            <w:tcW w:w="6946" w:type="dxa"/>
          </w:tcPr>
          <w:p w14:paraId="6AE4DF04" w14:textId="77777777" w:rsidR="00B9531A" w:rsidRPr="004A4678" w:rsidRDefault="00B9531A" w:rsidP="00BA56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202D0C">
              <w:rPr>
                <w:rFonts w:cstheme="minorHAnsi"/>
                <w:sz w:val="18"/>
                <w:szCs w:val="18"/>
              </w:rPr>
              <w:t xml:space="preserve">This scenario assumes a doubling of import prices of electricity compared to scenario 0. </w:t>
            </w:r>
          </w:p>
        </w:tc>
      </w:tr>
      <w:tr w:rsidR="00B9531A" w:rsidRPr="0099228F" w14:paraId="3291CDD8" w14:textId="77777777" w:rsidTr="00BA56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8FAC39C" w14:textId="243EC803" w:rsidR="00B9531A" w:rsidRPr="00202D0C" w:rsidRDefault="00B9531A" w:rsidP="00BA566A">
            <w:pPr>
              <w:jc w:val="left"/>
              <w:rPr>
                <w:rFonts w:cstheme="minorHAnsi"/>
                <w:color w:val="auto"/>
                <w:sz w:val="18"/>
                <w:szCs w:val="18"/>
                <w:lang w:eastAsia="de-CH"/>
              </w:rPr>
            </w:pPr>
            <w:r w:rsidRPr="0070461D">
              <w:rPr>
                <w:rFonts w:cstheme="minorHAnsi"/>
                <w:sz w:val="18"/>
                <w:szCs w:val="18"/>
                <w:lang w:eastAsia="de-CH"/>
              </w:rPr>
              <w:lastRenderedPageBreak/>
              <w:t xml:space="preserve">No adjustment in salaries when the average price level (consumer price index) increases and </w:t>
            </w:r>
            <w:proofErr w:type="spellStart"/>
            <w:r w:rsidRPr="005E5158">
              <w:rPr>
                <w:rFonts w:cstheme="minorHAnsi"/>
                <w:sz w:val="18"/>
                <w:szCs w:val="18"/>
              </w:rPr>
              <w:t>Doubeling</w:t>
            </w:r>
            <w:proofErr w:type="spellEnd"/>
            <w:r w:rsidRPr="005E5158">
              <w:rPr>
                <w:rFonts w:cstheme="minorHAnsi"/>
                <w:sz w:val="18"/>
                <w:szCs w:val="18"/>
              </w:rPr>
              <w:t xml:space="preserve"> of the import prices for electricity (IPNW)</w:t>
            </w:r>
          </w:p>
        </w:tc>
        <w:tc>
          <w:tcPr>
            <w:tcW w:w="6946" w:type="dxa"/>
          </w:tcPr>
          <w:p w14:paraId="072F09A6" w14:textId="77777777" w:rsidR="00B9531A" w:rsidRPr="008D06CA" w:rsidRDefault="00B9531A" w:rsidP="00BA566A">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A4678">
              <w:rPr>
                <w:rFonts w:cstheme="minorHAnsi"/>
                <w:sz w:val="18"/>
                <w:szCs w:val="18"/>
              </w:rPr>
              <w:t>This scenario no l</w:t>
            </w:r>
            <w:r w:rsidRPr="00F14205">
              <w:rPr>
                <w:rFonts w:cstheme="minorHAnsi"/>
                <w:sz w:val="18"/>
                <w:szCs w:val="18"/>
              </w:rPr>
              <w:t xml:space="preserve">onger assumes that the wage level changes proportional to changes of the average </w:t>
            </w:r>
            <w:proofErr w:type="spellStart"/>
            <w:r w:rsidRPr="00F14205">
              <w:rPr>
                <w:rFonts w:cstheme="minorHAnsi"/>
                <w:sz w:val="18"/>
                <w:szCs w:val="18"/>
              </w:rPr>
              <w:t>pricel</w:t>
            </w:r>
            <w:proofErr w:type="spellEnd"/>
            <w:r w:rsidRPr="00F14205">
              <w:rPr>
                <w:rFonts w:cstheme="minorHAnsi"/>
                <w:sz w:val="18"/>
                <w:szCs w:val="18"/>
              </w:rPr>
              <w:t xml:space="preserve"> level. That is, the wage level is independent of the wage level. In addition, this scenario assumes a doubling of import prices of electricity compared to scenario 0. </w:t>
            </w:r>
          </w:p>
        </w:tc>
      </w:tr>
    </w:tbl>
    <w:p w14:paraId="1E929536" w14:textId="77777777" w:rsidR="00B9531A" w:rsidRPr="0070461D" w:rsidRDefault="00B9531A" w:rsidP="00B9531A">
      <w:pPr>
        <w:rPr>
          <w:rFonts w:cstheme="minorHAnsi"/>
        </w:rPr>
      </w:pPr>
    </w:p>
    <w:p w14:paraId="787305DD" w14:textId="77777777" w:rsidR="00B9531A" w:rsidRPr="00B8367E" w:rsidRDefault="00B9531A" w:rsidP="00B9531A">
      <w:pPr>
        <w:pStyle w:val="Heading3"/>
        <w:ind w:left="720" w:hanging="720"/>
        <w:rPr>
          <w:rFonts w:asciiTheme="minorHAnsi" w:hAnsiTheme="minorHAnsi" w:cstheme="minorHAnsi"/>
        </w:rPr>
      </w:pPr>
      <w:r w:rsidRPr="00B8367E">
        <w:rPr>
          <w:rFonts w:asciiTheme="minorHAnsi" w:eastAsia="Times New Roman" w:hAnsiTheme="minorHAnsi" w:cstheme="minorHAnsi"/>
          <w:lang w:eastAsia="de-CH"/>
        </w:rPr>
        <w:t>2.1. No link between interest rates and propensity to consume</w:t>
      </w:r>
      <w:r w:rsidRPr="00B8367E">
        <w:rPr>
          <w:rFonts w:asciiTheme="minorHAnsi" w:hAnsiTheme="minorHAnsi" w:cstheme="minorHAnsi"/>
        </w:rPr>
        <w:t xml:space="preserve"> </w:t>
      </w:r>
    </w:p>
    <w:p w14:paraId="6FB4F9E6" w14:textId="77777777" w:rsidR="00B9531A" w:rsidRPr="00967105" w:rsidRDefault="00B9531A" w:rsidP="00B9531A">
      <w:pPr>
        <w:rPr>
          <w:rFonts w:cstheme="minorHAnsi"/>
        </w:rPr>
      </w:pPr>
      <w:r w:rsidRPr="0099228F">
        <w:rPr>
          <w:rFonts w:cstheme="minorHAnsi"/>
        </w:rPr>
        <w:t xml:space="preserve">This section presents the results of the simulated policy scenarios </w:t>
      </w:r>
      <w:r w:rsidRPr="009C05A3">
        <w:rPr>
          <w:rFonts w:cstheme="minorHAnsi"/>
        </w:rPr>
        <w:t xml:space="preserve">under the scenario ‘no link between the interest rates and the propensity to consume’ (‘PC’). The results in the table below are shown in </w:t>
      </w:r>
      <w:r w:rsidRPr="00967105">
        <w:rPr>
          <w:rFonts w:cstheme="minorHAnsi"/>
        </w:rPr>
        <w:t xml:space="preserve">in terms of the chosen policy indicators </w:t>
      </w:r>
      <w:r w:rsidRPr="00967105">
        <w:rPr>
          <w:rFonts w:cstheme="minorHAnsi"/>
          <w:i/>
        </w:rPr>
        <w:t>as percentages against the base-run simulation results</w:t>
      </w:r>
      <w:r w:rsidRPr="00967105">
        <w:rPr>
          <w:rFonts w:cstheme="minorHAnsi"/>
        </w:rPr>
        <w:t xml:space="preserve"> under scenario PS of the same policy indicator (always referring to accumulated numbers). </w:t>
      </w:r>
    </w:p>
    <w:p w14:paraId="0CE3EE42" w14:textId="178BEFE9" w:rsidR="00B9531A" w:rsidRPr="00B8367E" w:rsidRDefault="00B9531A" w:rsidP="00B9531A">
      <w:pPr>
        <w:pStyle w:val="Caption"/>
        <w:keepNext/>
        <w:spacing w:line="240" w:lineRule="auto"/>
        <w:rPr>
          <w:rFonts w:asciiTheme="minorHAnsi" w:hAnsiTheme="minorHAnsi" w:cstheme="minorHAnsi"/>
          <w:b w:val="0"/>
          <w:bCs/>
        </w:rPr>
      </w:pPr>
      <w:r w:rsidRPr="00B8367E">
        <w:rPr>
          <w:rFonts w:asciiTheme="minorHAnsi" w:hAnsiTheme="minorHAnsi" w:cstheme="minorHAnsi"/>
        </w:rPr>
        <w:t xml:space="preserve">Table </w:t>
      </w:r>
      <w:r w:rsidR="00F45D06">
        <w:rPr>
          <w:rFonts w:asciiTheme="minorHAnsi" w:hAnsiTheme="minorHAnsi" w:cstheme="minorHAnsi"/>
        </w:rPr>
        <w:t>A6</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 xml:space="preserve">red colour highlights the worst achieved results and the blue colour the best achieved one of all tested low-carbon policy scenarios, impacts on accumulated variables from 2016 to 2050 in comparison to the base-run. </w:t>
      </w:r>
    </w:p>
    <w:tbl>
      <w:tblPr>
        <w:tblW w:w="5011" w:type="pct"/>
        <w:tblLayout w:type="fixed"/>
        <w:tblCellMar>
          <w:left w:w="70" w:type="dxa"/>
          <w:right w:w="70" w:type="dxa"/>
        </w:tblCellMar>
        <w:tblLook w:val="04A0" w:firstRow="1" w:lastRow="0" w:firstColumn="1" w:lastColumn="0" w:noHBand="0" w:noVBand="1"/>
      </w:tblPr>
      <w:tblGrid>
        <w:gridCol w:w="1985"/>
        <w:gridCol w:w="1559"/>
        <w:gridCol w:w="1277"/>
        <w:gridCol w:w="1430"/>
        <w:gridCol w:w="1419"/>
        <w:gridCol w:w="1371"/>
      </w:tblGrid>
      <w:tr w:rsidR="00B9531A" w:rsidRPr="0099228F" w14:paraId="0A00B9F1" w14:textId="77777777" w:rsidTr="00BA566A">
        <w:trPr>
          <w:trHeight w:val="295"/>
        </w:trPr>
        <w:tc>
          <w:tcPr>
            <w:tcW w:w="1098" w:type="pct"/>
            <w:shd w:val="clear" w:color="auto" w:fill="FFFFFF" w:themeFill="background1"/>
            <w:noWrap/>
            <w:vAlign w:val="bottom"/>
            <w:hideMark/>
          </w:tcPr>
          <w:p w14:paraId="1F381DA4" w14:textId="77777777" w:rsidR="00B9531A" w:rsidRPr="00B8367E" w:rsidRDefault="00B9531A" w:rsidP="00BA566A">
            <w:pPr>
              <w:spacing w:after="0" w:line="240" w:lineRule="auto"/>
              <w:jc w:val="left"/>
              <w:rPr>
                <w:rFonts w:eastAsia="Times New Roman" w:cstheme="minorHAnsi"/>
                <w:sz w:val="18"/>
                <w:szCs w:val="18"/>
                <w:lang w:eastAsia="de-CH"/>
              </w:rPr>
            </w:pPr>
            <w:r w:rsidRPr="00B8367E">
              <w:rPr>
                <w:rFonts w:eastAsia="Times New Roman" w:cstheme="minorHAnsi"/>
                <w:sz w:val="18"/>
                <w:szCs w:val="18"/>
                <w:lang w:eastAsia="de-CH"/>
              </w:rPr>
              <w:t> </w:t>
            </w:r>
          </w:p>
        </w:tc>
        <w:tc>
          <w:tcPr>
            <w:tcW w:w="862" w:type="pct"/>
            <w:tcBorders>
              <w:top w:val="single" w:sz="4" w:space="0" w:color="auto"/>
              <w:left w:val="nil"/>
              <w:bottom w:val="single" w:sz="4" w:space="0" w:color="auto"/>
              <w:right w:val="single" w:sz="4" w:space="0" w:color="auto"/>
            </w:tcBorders>
            <w:shd w:val="clear" w:color="auto" w:fill="44546A" w:themeFill="text2"/>
            <w:vAlign w:val="center"/>
            <w:hideMark/>
          </w:tcPr>
          <w:p w14:paraId="46D5D0E1"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Emissions (%)</w:t>
            </w:r>
          </w:p>
        </w:tc>
        <w:tc>
          <w:tcPr>
            <w:tcW w:w="706" w:type="pct"/>
            <w:tcBorders>
              <w:top w:val="single" w:sz="4" w:space="0" w:color="auto"/>
              <w:left w:val="nil"/>
              <w:bottom w:val="single" w:sz="4" w:space="0" w:color="auto"/>
              <w:right w:val="single" w:sz="4" w:space="0" w:color="auto"/>
            </w:tcBorders>
            <w:shd w:val="clear" w:color="auto" w:fill="44546A" w:themeFill="text2"/>
            <w:vAlign w:val="center"/>
            <w:hideMark/>
          </w:tcPr>
          <w:p w14:paraId="13BB1957"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GDP (%)</w:t>
            </w:r>
          </w:p>
        </w:tc>
        <w:tc>
          <w:tcPr>
            <w:tcW w:w="791" w:type="pct"/>
            <w:tcBorders>
              <w:top w:val="single" w:sz="4" w:space="0" w:color="auto"/>
              <w:left w:val="nil"/>
              <w:bottom w:val="single" w:sz="4" w:space="0" w:color="auto"/>
              <w:right w:val="single" w:sz="4" w:space="0" w:color="auto"/>
            </w:tcBorders>
            <w:shd w:val="clear" w:color="auto" w:fill="44546A" w:themeFill="text2"/>
            <w:vAlign w:val="center"/>
            <w:hideMark/>
          </w:tcPr>
          <w:p w14:paraId="0BC7CAAB"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Unemployment (%)</w:t>
            </w:r>
          </w:p>
        </w:tc>
        <w:tc>
          <w:tcPr>
            <w:tcW w:w="785" w:type="pct"/>
            <w:tcBorders>
              <w:top w:val="single" w:sz="4" w:space="0" w:color="auto"/>
              <w:left w:val="nil"/>
              <w:bottom w:val="single" w:sz="4" w:space="0" w:color="auto"/>
              <w:right w:val="single" w:sz="4" w:space="0" w:color="auto"/>
            </w:tcBorders>
            <w:shd w:val="clear" w:color="auto" w:fill="44546A" w:themeFill="text2"/>
            <w:vAlign w:val="center"/>
            <w:hideMark/>
          </w:tcPr>
          <w:p w14:paraId="0AB6AE1C"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Direct employment (%)</w:t>
            </w:r>
          </w:p>
        </w:tc>
        <w:tc>
          <w:tcPr>
            <w:tcW w:w="758" w:type="pct"/>
            <w:tcBorders>
              <w:top w:val="single" w:sz="4" w:space="0" w:color="auto"/>
              <w:left w:val="nil"/>
              <w:bottom w:val="single" w:sz="4" w:space="0" w:color="auto"/>
              <w:right w:val="single" w:sz="4" w:space="0" w:color="auto"/>
            </w:tcBorders>
            <w:shd w:val="clear" w:color="auto" w:fill="44546A" w:themeFill="text2"/>
            <w:vAlign w:val="center"/>
            <w:hideMark/>
          </w:tcPr>
          <w:p w14:paraId="1D420D30"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System costs (%)</w:t>
            </w:r>
          </w:p>
        </w:tc>
      </w:tr>
      <w:tr w:rsidR="00B9531A" w:rsidRPr="0099228F" w14:paraId="62E562BB" w14:textId="77777777" w:rsidTr="00BA566A">
        <w:trPr>
          <w:trHeight w:val="312"/>
        </w:trPr>
        <w:tc>
          <w:tcPr>
            <w:tcW w:w="1098" w:type="pct"/>
            <w:tcBorders>
              <w:left w:val="single" w:sz="4" w:space="0" w:color="auto"/>
              <w:bottom w:val="single" w:sz="4" w:space="0" w:color="auto"/>
              <w:right w:val="single" w:sz="4" w:space="0" w:color="auto"/>
            </w:tcBorders>
            <w:shd w:val="clear" w:color="auto" w:fill="44546A" w:themeFill="text2"/>
            <w:noWrap/>
            <w:vAlign w:val="bottom"/>
            <w:hideMark/>
          </w:tcPr>
          <w:p w14:paraId="58E9FB50" w14:textId="77777777" w:rsidR="00B9531A" w:rsidRPr="00B8367E" w:rsidRDefault="00B9531A" w:rsidP="00BA566A">
            <w:pPr>
              <w:spacing w:after="0" w:line="240" w:lineRule="auto"/>
              <w:jc w:val="left"/>
              <w:rPr>
                <w:rFonts w:eastAsia="Times New Roman" w:cstheme="minorHAnsi"/>
                <w:color w:val="E7E6E6" w:themeColor="background2"/>
                <w:sz w:val="18"/>
                <w:szCs w:val="18"/>
                <w:lang w:eastAsia="de-CH"/>
              </w:rPr>
            </w:pPr>
            <w:r w:rsidRPr="00B8367E">
              <w:rPr>
                <w:rFonts w:eastAsia="Times New Roman" w:cstheme="minorHAnsi"/>
                <w:color w:val="E7E6E6" w:themeColor="background2"/>
                <w:sz w:val="18"/>
                <w:szCs w:val="18"/>
                <w:lang w:eastAsia="de-CH"/>
              </w:rPr>
              <w:t>Finance system’s policy (FSP) PC</w:t>
            </w:r>
          </w:p>
        </w:tc>
        <w:tc>
          <w:tcPr>
            <w:tcW w:w="862" w:type="pct"/>
            <w:tcBorders>
              <w:top w:val="nil"/>
              <w:left w:val="nil"/>
              <w:bottom w:val="single" w:sz="4" w:space="0" w:color="auto"/>
              <w:right w:val="single" w:sz="4" w:space="0" w:color="auto"/>
            </w:tcBorders>
            <w:shd w:val="clear" w:color="000000" w:fill="F4B084"/>
            <w:vAlign w:val="bottom"/>
            <w:hideMark/>
          </w:tcPr>
          <w:p w14:paraId="235AFEB6"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-7.01</w:t>
            </w:r>
          </w:p>
        </w:tc>
        <w:tc>
          <w:tcPr>
            <w:tcW w:w="706" w:type="pct"/>
            <w:tcBorders>
              <w:top w:val="nil"/>
              <w:left w:val="nil"/>
              <w:bottom w:val="single" w:sz="4" w:space="0" w:color="auto"/>
              <w:right w:val="single" w:sz="4" w:space="0" w:color="auto"/>
            </w:tcBorders>
            <w:shd w:val="clear" w:color="auto" w:fill="auto"/>
            <w:vAlign w:val="bottom"/>
            <w:hideMark/>
          </w:tcPr>
          <w:p w14:paraId="74EA4D01"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3.14</w:t>
            </w:r>
          </w:p>
        </w:tc>
        <w:tc>
          <w:tcPr>
            <w:tcW w:w="791" w:type="pct"/>
            <w:tcBorders>
              <w:top w:val="nil"/>
              <w:left w:val="nil"/>
              <w:bottom w:val="single" w:sz="4" w:space="0" w:color="auto"/>
              <w:right w:val="single" w:sz="4" w:space="0" w:color="auto"/>
            </w:tcBorders>
            <w:shd w:val="clear" w:color="000000" w:fill="9BC2E6"/>
            <w:vAlign w:val="bottom"/>
            <w:hideMark/>
          </w:tcPr>
          <w:p w14:paraId="5B9904BD"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-1.48</w:t>
            </w:r>
          </w:p>
        </w:tc>
        <w:tc>
          <w:tcPr>
            <w:tcW w:w="785" w:type="pct"/>
            <w:tcBorders>
              <w:top w:val="nil"/>
              <w:left w:val="nil"/>
              <w:bottom w:val="single" w:sz="4" w:space="0" w:color="auto"/>
              <w:right w:val="single" w:sz="4" w:space="0" w:color="auto"/>
            </w:tcBorders>
            <w:shd w:val="clear" w:color="auto" w:fill="auto"/>
            <w:vAlign w:val="bottom"/>
            <w:hideMark/>
          </w:tcPr>
          <w:p w14:paraId="1857BDB9"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15.07</w:t>
            </w:r>
          </w:p>
        </w:tc>
        <w:tc>
          <w:tcPr>
            <w:tcW w:w="758" w:type="pct"/>
            <w:tcBorders>
              <w:top w:val="nil"/>
              <w:left w:val="nil"/>
              <w:bottom w:val="single" w:sz="4" w:space="0" w:color="auto"/>
              <w:right w:val="single" w:sz="4" w:space="0" w:color="auto"/>
            </w:tcBorders>
            <w:shd w:val="clear" w:color="000000" w:fill="9BC2E6"/>
            <w:vAlign w:val="bottom"/>
            <w:hideMark/>
          </w:tcPr>
          <w:p w14:paraId="79162DBB"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-2.30</w:t>
            </w:r>
          </w:p>
        </w:tc>
      </w:tr>
      <w:tr w:rsidR="00B9531A" w:rsidRPr="0099228F" w14:paraId="79A1F4BD" w14:textId="77777777" w:rsidTr="00BA566A">
        <w:trPr>
          <w:trHeight w:val="125"/>
        </w:trPr>
        <w:tc>
          <w:tcPr>
            <w:tcW w:w="1098"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15098D42" w14:textId="6E7F88CC" w:rsidR="00B9531A" w:rsidRPr="00B8367E" w:rsidRDefault="00B9531A" w:rsidP="00BA566A">
            <w:pPr>
              <w:spacing w:after="0" w:line="240" w:lineRule="auto"/>
              <w:jc w:val="left"/>
              <w:rPr>
                <w:rFonts w:eastAsia="Times New Roman" w:cstheme="minorHAnsi"/>
                <w:color w:val="E7E6E6" w:themeColor="background2"/>
                <w:sz w:val="18"/>
                <w:szCs w:val="18"/>
                <w:lang w:eastAsia="de-CH"/>
              </w:rPr>
            </w:pPr>
            <w:r w:rsidRPr="00B8367E">
              <w:rPr>
                <w:rFonts w:eastAsia="Times New Roman" w:cstheme="minorHAnsi"/>
                <w:color w:val="E7E6E6" w:themeColor="background2"/>
                <w:sz w:val="18"/>
                <w:szCs w:val="18"/>
                <w:lang w:eastAsia="de-CH"/>
              </w:rPr>
              <w:t>Low-carbon energy transition scenario (</w:t>
            </w:r>
            <w:r w:rsidR="001B024A">
              <w:rPr>
                <w:rFonts w:eastAsia="Times New Roman" w:cstheme="minorHAnsi"/>
                <w:color w:val="E7E6E6" w:themeColor="background2"/>
                <w:sz w:val="18"/>
                <w:szCs w:val="18"/>
                <w:lang w:eastAsia="de-CH"/>
              </w:rPr>
              <w:t>LETS</w:t>
            </w:r>
            <w:r w:rsidRPr="00B8367E">
              <w:rPr>
                <w:rFonts w:eastAsia="Times New Roman" w:cstheme="minorHAnsi"/>
                <w:color w:val="E7E6E6" w:themeColor="background2"/>
                <w:sz w:val="18"/>
                <w:szCs w:val="18"/>
                <w:lang w:eastAsia="de-CH"/>
              </w:rPr>
              <w:t>) PC</w:t>
            </w:r>
          </w:p>
        </w:tc>
        <w:tc>
          <w:tcPr>
            <w:tcW w:w="862" w:type="pct"/>
            <w:tcBorders>
              <w:top w:val="nil"/>
              <w:left w:val="nil"/>
              <w:bottom w:val="single" w:sz="4" w:space="0" w:color="auto"/>
              <w:right w:val="single" w:sz="4" w:space="0" w:color="auto"/>
            </w:tcBorders>
            <w:shd w:val="clear" w:color="000000" w:fill="9BC2E6"/>
            <w:vAlign w:val="bottom"/>
            <w:hideMark/>
          </w:tcPr>
          <w:p w14:paraId="2A7CD0FA"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-44.86</w:t>
            </w:r>
          </w:p>
        </w:tc>
        <w:tc>
          <w:tcPr>
            <w:tcW w:w="706" w:type="pct"/>
            <w:tcBorders>
              <w:top w:val="nil"/>
              <w:left w:val="nil"/>
              <w:bottom w:val="single" w:sz="4" w:space="0" w:color="auto"/>
              <w:right w:val="single" w:sz="4" w:space="0" w:color="auto"/>
            </w:tcBorders>
            <w:shd w:val="clear" w:color="000000" w:fill="F4B084"/>
            <w:vAlign w:val="bottom"/>
            <w:hideMark/>
          </w:tcPr>
          <w:p w14:paraId="1169E2E9" w14:textId="77777777" w:rsidR="00B9531A" w:rsidRPr="00B8367E" w:rsidRDefault="00B9531A" w:rsidP="00BA566A">
            <w:pPr>
              <w:spacing w:after="0" w:line="240" w:lineRule="auto"/>
              <w:jc w:val="center"/>
              <w:rPr>
                <w:rFonts w:eastAsia="Times New Roman" w:cstheme="minorHAnsi"/>
                <w:color w:val="E7E6E6" w:themeColor="background2"/>
                <w:sz w:val="18"/>
                <w:szCs w:val="18"/>
                <w:lang w:val="de-CH" w:eastAsia="de-CH"/>
              </w:rPr>
            </w:pPr>
            <w:r w:rsidRPr="00B8367E">
              <w:rPr>
                <w:rFonts w:eastAsia="Times New Roman" w:cstheme="minorHAnsi"/>
                <w:color w:val="000000"/>
                <w:sz w:val="18"/>
                <w:szCs w:val="18"/>
                <w:lang w:val="de-CH" w:eastAsia="de-CH"/>
              </w:rPr>
              <w:t>0.49</w:t>
            </w:r>
          </w:p>
        </w:tc>
        <w:tc>
          <w:tcPr>
            <w:tcW w:w="791" w:type="pct"/>
            <w:tcBorders>
              <w:top w:val="nil"/>
              <w:left w:val="nil"/>
              <w:bottom w:val="single" w:sz="4" w:space="0" w:color="auto"/>
              <w:right w:val="single" w:sz="4" w:space="0" w:color="auto"/>
            </w:tcBorders>
            <w:shd w:val="clear" w:color="000000" w:fill="F4B084"/>
            <w:vAlign w:val="bottom"/>
            <w:hideMark/>
          </w:tcPr>
          <w:p w14:paraId="2632C130"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0.20</w:t>
            </w:r>
          </w:p>
        </w:tc>
        <w:tc>
          <w:tcPr>
            <w:tcW w:w="785" w:type="pct"/>
            <w:tcBorders>
              <w:top w:val="nil"/>
              <w:left w:val="nil"/>
              <w:bottom w:val="single" w:sz="4" w:space="0" w:color="auto"/>
              <w:right w:val="single" w:sz="4" w:space="0" w:color="auto"/>
            </w:tcBorders>
            <w:shd w:val="clear" w:color="000000" w:fill="F4B084"/>
            <w:vAlign w:val="bottom"/>
            <w:hideMark/>
          </w:tcPr>
          <w:p w14:paraId="042A1F4A"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-6.81</w:t>
            </w:r>
          </w:p>
        </w:tc>
        <w:tc>
          <w:tcPr>
            <w:tcW w:w="758" w:type="pct"/>
            <w:tcBorders>
              <w:top w:val="nil"/>
              <w:left w:val="nil"/>
              <w:bottom w:val="single" w:sz="4" w:space="0" w:color="auto"/>
              <w:right w:val="single" w:sz="4" w:space="0" w:color="auto"/>
            </w:tcBorders>
            <w:shd w:val="clear" w:color="000000" w:fill="F4B084"/>
            <w:vAlign w:val="bottom"/>
            <w:hideMark/>
          </w:tcPr>
          <w:p w14:paraId="5EFF0CFB"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12.92</w:t>
            </w:r>
          </w:p>
        </w:tc>
      </w:tr>
      <w:tr w:rsidR="00B9531A" w:rsidRPr="0099228F" w14:paraId="2EE34E4C" w14:textId="77777777" w:rsidTr="00BA566A">
        <w:trPr>
          <w:trHeight w:val="333"/>
        </w:trPr>
        <w:tc>
          <w:tcPr>
            <w:tcW w:w="1098"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5536E4A7" w14:textId="2DAFDB11" w:rsidR="00B9531A" w:rsidRPr="00B8367E" w:rsidRDefault="00B9531A" w:rsidP="00BA566A">
            <w:pPr>
              <w:spacing w:after="0" w:line="240" w:lineRule="auto"/>
              <w:jc w:val="left"/>
              <w:rPr>
                <w:rFonts w:eastAsia="Times New Roman" w:cstheme="minorHAnsi"/>
                <w:color w:val="E7E6E6" w:themeColor="background2"/>
                <w:sz w:val="18"/>
                <w:szCs w:val="18"/>
                <w:lang w:eastAsia="de-CH"/>
              </w:rPr>
            </w:pPr>
            <w:r w:rsidRPr="00B8367E">
              <w:rPr>
                <w:rFonts w:eastAsia="Times New Roman" w:cstheme="minorHAnsi"/>
                <w:color w:val="E7E6E6" w:themeColor="background2"/>
                <w:sz w:val="18"/>
                <w:szCs w:val="18"/>
                <w:lang w:eastAsia="de-CH"/>
              </w:rPr>
              <w:t xml:space="preserve">FSP and </w:t>
            </w:r>
            <w:r w:rsidR="001B024A">
              <w:rPr>
                <w:rFonts w:eastAsia="Times New Roman" w:cstheme="minorHAnsi"/>
                <w:color w:val="E7E6E6" w:themeColor="background2"/>
                <w:sz w:val="18"/>
                <w:szCs w:val="18"/>
                <w:lang w:eastAsia="de-CH"/>
              </w:rPr>
              <w:t>LETS</w:t>
            </w:r>
            <w:r w:rsidRPr="00B8367E">
              <w:rPr>
                <w:rFonts w:eastAsia="Times New Roman" w:cstheme="minorHAnsi"/>
                <w:color w:val="E7E6E6" w:themeColor="background2"/>
                <w:sz w:val="18"/>
                <w:szCs w:val="18"/>
                <w:lang w:eastAsia="de-CH"/>
              </w:rPr>
              <w:t xml:space="preserve"> combined PC</w:t>
            </w:r>
          </w:p>
        </w:tc>
        <w:tc>
          <w:tcPr>
            <w:tcW w:w="862" w:type="pct"/>
            <w:tcBorders>
              <w:top w:val="nil"/>
              <w:left w:val="nil"/>
              <w:bottom w:val="single" w:sz="4" w:space="0" w:color="auto"/>
              <w:right w:val="single" w:sz="4" w:space="0" w:color="auto"/>
            </w:tcBorders>
            <w:shd w:val="clear" w:color="000000" w:fill="9BC2E6"/>
            <w:vAlign w:val="bottom"/>
            <w:hideMark/>
          </w:tcPr>
          <w:p w14:paraId="35EECD62"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-44.86</w:t>
            </w:r>
          </w:p>
        </w:tc>
        <w:tc>
          <w:tcPr>
            <w:tcW w:w="706" w:type="pct"/>
            <w:tcBorders>
              <w:top w:val="nil"/>
              <w:left w:val="nil"/>
              <w:bottom w:val="single" w:sz="4" w:space="0" w:color="auto"/>
              <w:right w:val="single" w:sz="4" w:space="0" w:color="auto"/>
            </w:tcBorders>
            <w:shd w:val="clear" w:color="000000" w:fill="9BC2E6"/>
            <w:vAlign w:val="bottom"/>
            <w:hideMark/>
          </w:tcPr>
          <w:p w14:paraId="254A05F7"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3.54</w:t>
            </w:r>
          </w:p>
        </w:tc>
        <w:tc>
          <w:tcPr>
            <w:tcW w:w="791" w:type="pct"/>
            <w:tcBorders>
              <w:top w:val="nil"/>
              <w:left w:val="nil"/>
              <w:bottom w:val="single" w:sz="4" w:space="0" w:color="auto"/>
              <w:right w:val="single" w:sz="4" w:space="0" w:color="auto"/>
            </w:tcBorders>
            <w:shd w:val="clear" w:color="auto" w:fill="auto"/>
            <w:vAlign w:val="bottom"/>
            <w:hideMark/>
          </w:tcPr>
          <w:p w14:paraId="23D394A5"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-1.41</w:t>
            </w:r>
          </w:p>
        </w:tc>
        <w:tc>
          <w:tcPr>
            <w:tcW w:w="785" w:type="pct"/>
            <w:tcBorders>
              <w:top w:val="nil"/>
              <w:left w:val="nil"/>
              <w:bottom w:val="single" w:sz="4" w:space="0" w:color="auto"/>
              <w:right w:val="single" w:sz="4" w:space="0" w:color="auto"/>
            </w:tcBorders>
            <w:shd w:val="clear" w:color="000000" w:fill="9BC2E6"/>
            <w:vAlign w:val="bottom"/>
            <w:hideMark/>
          </w:tcPr>
          <w:p w14:paraId="06FA5576"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40.19</w:t>
            </w:r>
          </w:p>
        </w:tc>
        <w:tc>
          <w:tcPr>
            <w:tcW w:w="758" w:type="pct"/>
            <w:tcBorders>
              <w:top w:val="nil"/>
              <w:left w:val="nil"/>
              <w:bottom w:val="single" w:sz="4" w:space="0" w:color="auto"/>
              <w:right w:val="single" w:sz="4" w:space="0" w:color="auto"/>
            </w:tcBorders>
            <w:shd w:val="clear" w:color="auto" w:fill="auto"/>
            <w:vAlign w:val="bottom"/>
            <w:hideMark/>
          </w:tcPr>
          <w:p w14:paraId="4CAD4956"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4.10</w:t>
            </w:r>
          </w:p>
        </w:tc>
      </w:tr>
    </w:tbl>
    <w:p w14:paraId="613F7C38"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5B8D5C8A" w14:textId="4E73F6D0" w:rsidR="00B9531A" w:rsidRPr="009C05A3" w:rsidRDefault="00F45D06" w:rsidP="00B9531A">
      <w:pPr>
        <w:rPr>
          <w:rFonts w:cstheme="minorHAnsi"/>
        </w:rPr>
      </w:pPr>
      <w:r w:rsidRPr="0099228F">
        <w:rPr>
          <w:rFonts w:cstheme="minorHAnsi"/>
        </w:rPr>
        <w:t>Importantly</w:t>
      </w:r>
      <w:r w:rsidR="00B9531A" w:rsidRPr="0099228F">
        <w:rPr>
          <w:rFonts w:cstheme="minorHAnsi"/>
        </w:rPr>
        <w:t xml:space="preserve">, in aggregated terms, the different policies rank the same as under scenario 0. Moreover, the results </w:t>
      </w:r>
      <w:proofErr w:type="spellStart"/>
      <w:r w:rsidR="00B9531A" w:rsidRPr="0099228F">
        <w:rPr>
          <w:rFonts w:cstheme="minorHAnsi"/>
        </w:rPr>
        <w:t>do</w:t>
      </w:r>
      <w:proofErr w:type="spellEnd"/>
      <w:r w:rsidR="00B9531A" w:rsidRPr="0099228F">
        <w:rPr>
          <w:rFonts w:cstheme="minorHAnsi"/>
        </w:rPr>
        <w:t xml:space="preserve"> differ by more than by 1% and therefore the results are not described here in more detail. The figures below show the development from 2016</w:t>
      </w:r>
      <w:r w:rsidR="00B9531A" w:rsidRPr="009C05A3">
        <w:rPr>
          <w:rFonts w:cstheme="minorHAnsi"/>
        </w:rPr>
        <w:t xml:space="preserve"> to 2050 of the considered key indicators under scenario PC. </w:t>
      </w:r>
    </w:p>
    <w:p w14:paraId="5923FF0F"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54FCD5FD" w14:textId="51D06905"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A18</w:t>
      </w:r>
      <w:r w:rsidRPr="00B8367E">
        <w:rPr>
          <w:rFonts w:asciiTheme="minorHAnsi" w:hAnsiTheme="minorHAnsi" w:cstheme="minorHAnsi"/>
        </w:rPr>
        <w:t>: Annual emissions from the electricity sector</w:t>
      </w:r>
    </w:p>
    <w:p w14:paraId="02AA2833"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0AEBE5A6" wp14:editId="41300011">
            <wp:extent cx="5731510" cy="2313830"/>
            <wp:effectExtent l="0" t="0" r="2540" b="10795"/>
            <wp:docPr id="13" name="Diagramm 13">
              <a:extLst xmlns:a="http://schemas.openxmlformats.org/drawingml/2006/main">
                <a:ext uri="{FF2B5EF4-FFF2-40B4-BE49-F238E27FC236}">
                  <a16:creationId xmlns:a16="http://schemas.microsoft.com/office/drawing/2014/main" id="{FA7C9485-9B20-4233-B8B9-4081C4A548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4D4E579"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6742E9A"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322C73AE" w14:textId="4359CE64"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A19</w:t>
      </w:r>
      <w:r w:rsidRPr="00B8367E">
        <w:rPr>
          <w:rFonts w:asciiTheme="minorHAnsi" w:hAnsiTheme="minorHAnsi" w:cstheme="minorHAnsi"/>
        </w:rPr>
        <w:t>: Domestic electricity price</w:t>
      </w:r>
    </w:p>
    <w:p w14:paraId="6E5EBAB7"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2360AD85" wp14:editId="5DDCE028">
            <wp:extent cx="5677231" cy="2282025"/>
            <wp:effectExtent l="0" t="0" r="0" b="4445"/>
            <wp:docPr id="14" name="Diagramm 14">
              <a:extLst xmlns:a="http://schemas.openxmlformats.org/drawingml/2006/main">
                <a:ext uri="{FF2B5EF4-FFF2-40B4-BE49-F238E27FC236}">
                  <a16:creationId xmlns:a16="http://schemas.microsoft.com/office/drawing/2014/main" id="{961CE5C4-796B-495F-98C7-844F17FFBB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32DFCE2"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564B546C"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22F2A9C6" w14:textId="674FA98B"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A20</w:t>
      </w:r>
      <w:r w:rsidRPr="00B8367E">
        <w:rPr>
          <w:rFonts w:asciiTheme="minorHAnsi" w:hAnsiTheme="minorHAnsi" w:cstheme="minorHAnsi"/>
        </w:rPr>
        <w:t>: Annual unemployment</w:t>
      </w:r>
    </w:p>
    <w:p w14:paraId="5267D20B"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07AF0DDF" wp14:editId="7DDAAC30">
            <wp:extent cx="5731510" cy="2161540"/>
            <wp:effectExtent l="0" t="0" r="2540" b="10160"/>
            <wp:docPr id="15" name="Diagramm 15">
              <a:extLst xmlns:a="http://schemas.openxmlformats.org/drawingml/2006/main">
                <a:ext uri="{FF2B5EF4-FFF2-40B4-BE49-F238E27FC236}">
                  <a16:creationId xmlns:a16="http://schemas.microsoft.com/office/drawing/2014/main" id="{0CAEB4B0-E62B-4316-B054-9C8B8FF4B3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3F1C3EA"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1CF5D2A2"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1D9E569D" w14:textId="762823D1"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A21</w:t>
      </w:r>
      <w:r w:rsidRPr="00B8367E">
        <w:rPr>
          <w:rFonts w:asciiTheme="minorHAnsi" w:hAnsiTheme="minorHAnsi" w:cstheme="minorHAnsi"/>
        </w:rPr>
        <w:t>: Annual GDP (in 2016 prices)</w:t>
      </w:r>
    </w:p>
    <w:p w14:paraId="5E6D7CA1"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49A3FBFF" wp14:editId="3402E209">
            <wp:extent cx="5731510" cy="2198370"/>
            <wp:effectExtent l="0" t="0" r="2540" b="11430"/>
            <wp:docPr id="16" name="Diagramm 16">
              <a:extLst xmlns:a="http://schemas.openxmlformats.org/drawingml/2006/main">
                <a:ext uri="{FF2B5EF4-FFF2-40B4-BE49-F238E27FC236}">
                  <a16:creationId xmlns:a16="http://schemas.microsoft.com/office/drawing/2014/main" id="{09DDD42F-5A8D-406C-A768-4843FBEAD1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29532427"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759EA2B6"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61D5294F" w14:textId="7CF2FF75"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 xml:space="preserve">Figure </w:t>
      </w:r>
      <w:r w:rsidR="00F45D06">
        <w:rPr>
          <w:rFonts w:asciiTheme="minorHAnsi" w:hAnsiTheme="minorHAnsi" w:cstheme="minorHAnsi"/>
        </w:rPr>
        <w:t>A22</w:t>
      </w:r>
      <w:r w:rsidRPr="00B8367E">
        <w:rPr>
          <w:rFonts w:asciiTheme="minorHAnsi" w:hAnsiTheme="minorHAnsi" w:cstheme="minorHAnsi"/>
        </w:rPr>
        <w:t>: Annual electricity system costs (in 2016 prices)</w:t>
      </w:r>
    </w:p>
    <w:p w14:paraId="499EAC0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3B28D9D1" wp14:editId="62DC823A">
            <wp:extent cx="5731510" cy="2178050"/>
            <wp:effectExtent l="0" t="0" r="2540" b="12700"/>
            <wp:docPr id="17" name="Diagramm 17">
              <a:extLst xmlns:a="http://schemas.openxmlformats.org/drawingml/2006/main">
                <a:ext uri="{FF2B5EF4-FFF2-40B4-BE49-F238E27FC236}">
                  <a16:creationId xmlns:a16="http://schemas.microsoft.com/office/drawing/2014/main" id="{D1B87CDF-8EED-4526-AE26-DEC8D40EE8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6739FA01"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3638EF6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4145F420" w14:textId="113F397F"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F45D06">
        <w:rPr>
          <w:rFonts w:asciiTheme="minorHAnsi" w:hAnsiTheme="minorHAnsi" w:cstheme="minorHAnsi"/>
        </w:rPr>
        <w:t>A23</w:t>
      </w:r>
      <w:r w:rsidRPr="00B8367E">
        <w:rPr>
          <w:rFonts w:asciiTheme="minorHAnsi" w:hAnsiTheme="minorHAnsi" w:cstheme="minorHAnsi"/>
        </w:rPr>
        <w:t>: Annual direct employment in the power sector</w:t>
      </w:r>
    </w:p>
    <w:p w14:paraId="33B34D10"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098C0024" wp14:editId="2A406B9E">
            <wp:extent cx="5731510" cy="2141855"/>
            <wp:effectExtent l="0" t="0" r="2540" b="10795"/>
            <wp:docPr id="18" name="Diagramm 18">
              <a:extLst xmlns:a="http://schemas.openxmlformats.org/drawingml/2006/main">
                <a:ext uri="{FF2B5EF4-FFF2-40B4-BE49-F238E27FC236}">
                  <a16:creationId xmlns:a16="http://schemas.microsoft.com/office/drawing/2014/main" id="{EA3FA818-E60F-4617-B5D2-2D946D4CFD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00A025B3"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1AD2F110" w14:textId="77777777" w:rsidR="00B9531A" w:rsidRPr="00B8367E" w:rsidRDefault="00B9531A" w:rsidP="00B9531A">
      <w:pPr>
        <w:pStyle w:val="Heading3"/>
        <w:numPr>
          <w:ilvl w:val="1"/>
          <w:numId w:val="45"/>
        </w:numPr>
        <w:spacing w:line="360" w:lineRule="auto"/>
        <w:rPr>
          <w:rFonts w:asciiTheme="minorHAnsi" w:eastAsia="Times New Roman" w:hAnsiTheme="minorHAnsi" w:cstheme="minorHAnsi"/>
          <w:lang w:eastAsia="de-CH"/>
        </w:rPr>
      </w:pPr>
      <w:r w:rsidRPr="00B8367E">
        <w:rPr>
          <w:rFonts w:asciiTheme="minorHAnsi" w:eastAsia="Times New Roman" w:hAnsiTheme="minorHAnsi" w:cstheme="minorHAnsi"/>
          <w:lang w:eastAsia="de-CH"/>
        </w:rPr>
        <w:t>High import prices</w:t>
      </w:r>
    </w:p>
    <w:p w14:paraId="2976ACA9" w14:textId="77777777" w:rsidR="00B9531A" w:rsidRPr="00967105" w:rsidRDefault="00B9531A" w:rsidP="00B9531A">
      <w:pPr>
        <w:rPr>
          <w:rFonts w:cstheme="minorHAnsi"/>
        </w:rPr>
      </w:pPr>
      <w:r w:rsidRPr="0099228F">
        <w:rPr>
          <w:rFonts w:cstheme="minorHAnsi"/>
        </w:rPr>
        <w:t xml:space="preserve">The table below shows the results of the </w:t>
      </w:r>
      <w:r w:rsidRPr="009C05A3">
        <w:rPr>
          <w:rFonts w:cstheme="minorHAnsi"/>
        </w:rPr>
        <w:t>tested policy scenarios under</w:t>
      </w:r>
      <w:r w:rsidRPr="00086A44">
        <w:rPr>
          <w:rFonts w:cstheme="minorHAnsi"/>
        </w:rPr>
        <w:t xml:space="preserve"> a scenario that doubles the prices for electricity imports and </w:t>
      </w:r>
      <w:proofErr w:type="spellStart"/>
      <w:r w:rsidRPr="00086A44">
        <w:rPr>
          <w:rFonts w:cstheme="minorHAnsi"/>
        </w:rPr>
        <w:t>ist</w:t>
      </w:r>
      <w:proofErr w:type="spellEnd"/>
      <w:r w:rsidRPr="00086A44">
        <w:rPr>
          <w:rFonts w:cstheme="minorHAnsi"/>
        </w:rPr>
        <w:t xml:space="preserve"> called the high import scenario (‘IP’). </w:t>
      </w:r>
    </w:p>
    <w:p w14:paraId="48CA9710" w14:textId="77777777" w:rsidR="00B9531A" w:rsidRPr="004C48F6" w:rsidRDefault="00B9531A" w:rsidP="00B9531A">
      <w:pPr>
        <w:rPr>
          <w:rFonts w:cstheme="minorHAnsi"/>
        </w:rPr>
      </w:pPr>
      <w:r w:rsidRPr="00967105">
        <w:rPr>
          <w:rFonts w:cstheme="minorHAnsi"/>
        </w:rPr>
        <w:t xml:space="preserve">The table below shows the results in terms of the chosen policy indicators </w:t>
      </w:r>
      <w:r w:rsidRPr="00967105">
        <w:rPr>
          <w:rFonts w:cstheme="minorHAnsi"/>
          <w:i/>
        </w:rPr>
        <w:t>as percentages against the base-run simulation results</w:t>
      </w:r>
      <w:r w:rsidRPr="00967105">
        <w:rPr>
          <w:rFonts w:cstheme="minorHAnsi"/>
        </w:rPr>
        <w:t xml:space="preserve"> under scenario IP of the same policy indicator and in aggregated terms (i.e. summing up the values during the simulation period). </w:t>
      </w:r>
    </w:p>
    <w:p w14:paraId="1F1223D5" w14:textId="418D78B4" w:rsidR="00B9531A" w:rsidRPr="00B8367E" w:rsidRDefault="00B9531A" w:rsidP="00B9531A">
      <w:pPr>
        <w:pStyle w:val="Caption"/>
        <w:keepNext/>
        <w:spacing w:line="240" w:lineRule="auto"/>
        <w:rPr>
          <w:rFonts w:asciiTheme="minorHAnsi" w:hAnsiTheme="minorHAnsi" w:cstheme="minorHAnsi"/>
          <w:b w:val="0"/>
          <w:bCs/>
        </w:rPr>
      </w:pPr>
      <w:r w:rsidRPr="00B8367E">
        <w:rPr>
          <w:rFonts w:asciiTheme="minorHAnsi" w:hAnsiTheme="minorHAnsi" w:cstheme="minorHAnsi"/>
        </w:rPr>
        <w:t xml:space="preserve">Table </w:t>
      </w:r>
      <w:r w:rsidR="00F45D06">
        <w:rPr>
          <w:rFonts w:asciiTheme="minorHAnsi" w:hAnsiTheme="minorHAnsi" w:cstheme="minorHAnsi"/>
        </w:rPr>
        <w:t>A7</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 xml:space="preserve">red colour highlights the worst achieved results and the blue colour the best achieved one of all tested low-carbon policy scenarios, impacts on accumulated variables from 2016 to 2050 in comparison to the base-run. </w:t>
      </w:r>
    </w:p>
    <w:tbl>
      <w:tblPr>
        <w:tblW w:w="4940" w:type="pct"/>
        <w:tblLayout w:type="fixed"/>
        <w:tblCellMar>
          <w:left w:w="70" w:type="dxa"/>
          <w:right w:w="70" w:type="dxa"/>
        </w:tblCellMar>
        <w:tblLook w:val="04A0" w:firstRow="1" w:lastRow="0" w:firstColumn="1" w:lastColumn="0" w:noHBand="0" w:noVBand="1"/>
      </w:tblPr>
      <w:tblGrid>
        <w:gridCol w:w="1710"/>
        <w:gridCol w:w="1424"/>
        <w:gridCol w:w="1324"/>
        <w:gridCol w:w="1485"/>
        <w:gridCol w:w="1487"/>
        <w:gridCol w:w="1483"/>
      </w:tblGrid>
      <w:tr w:rsidR="00B9531A" w:rsidRPr="0099228F" w14:paraId="3B0CCD0B" w14:textId="77777777" w:rsidTr="00BA566A">
        <w:trPr>
          <w:trHeight w:val="599"/>
        </w:trPr>
        <w:tc>
          <w:tcPr>
            <w:tcW w:w="959" w:type="pct"/>
            <w:shd w:val="clear" w:color="000000" w:fill="FFFFFF"/>
            <w:noWrap/>
            <w:vAlign w:val="bottom"/>
            <w:hideMark/>
          </w:tcPr>
          <w:p w14:paraId="15F56A76" w14:textId="77777777" w:rsidR="00B9531A" w:rsidRPr="00B8367E" w:rsidRDefault="00B9531A" w:rsidP="00BA566A">
            <w:pPr>
              <w:spacing w:after="0" w:line="240" w:lineRule="auto"/>
              <w:jc w:val="left"/>
              <w:rPr>
                <w:rFonts w:eastAsia="Times New Roman" w:cstheme="minorHAnsi"/>
                <w:sz w:val="18"/>
                <w:szCs w:val="18"/>
                <w:lang w:eastAsia="de-CH"/>
              </w:rPr>
            </w:pPr>
            <w:r w:rsidRPr="00B8367E">
              <w:rPr>
                <w:rFonts w:eastAsia="Times New Roman" w:cstheme="minorHAnsi"/>
                <w:sz w:val="18"/>
                <w:szCs w:val="18"/>
                <w:lang w:eastAsia="de-CH"/>
              </w:rPr>
              <w:t> </w:t>
            </w:r>
          </w:p>
        </w:tc>
        <w:tc>
          <w:tcPr>
            <w:tcW w:w="799" w:type="pct"/>
            <w:tcBorders>
              <w:top w:val="single" w:sz="4" w:space="0" w:color="auto"/>
              <w:left w:val="nil"/>
              <w:bottom w:val="single" w:sz="4" w:space="0" w:color="auto"/>
              <w:right w:val="single" w:sz="4" w:space="0" w:color="auto"/>
            </w:tcBorders>
            <w:shd w:val="clear" w:color="auto" w:fill="44546A" w:themeFill="text2"/>
            <w:vAlign w:val="center"/>
            <w:hideMark/>
          </w:tcPr>
          <w:p w14:paraId="030200AB"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Emissions (%)</w:t>
            </w:r>
          </w:p>
        </w:tc>
        <w:tc>
          <w:tcPr>
            <w:tcW w:w="743" w:type="pct"/>
            <w:tcBorders>
              <w:top w:val="single" w:sz="4" w:space="0" w:color="auto"/>
              <w:left w:val="nil"/>
              <w:bottom w:val="single" w:sz="4" w:space="0" w:color="auto"/>
              <w:right w:val="single" w:sz="4" w:space="0" w:color="auto"/>
            </w:tcBorders>
            <w:shd w:val="clear" w:color="auto" w:fill="44546A" w:themeFill="text2"/>
            <w:vAlign w:val="center"/>
            <w:hideMark/>
          </w:tcPr>
          <w:p w14:paraId="7EE064C0"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GDP (%)</w:t>
            </w:r>
          </w:p>
        </w:tc>
        <w:tc>
          <w:tcPr>
            <w:tcW w:w="833" w:type="pct"/>
            <w:tcBorders>
              <w:top w:val="single" w:sz="4" w:space="0" w:color="auto"/>
              <w:left w:val="nil"/>
              <w:bottom w:val="single" w:sz="4" w:space="0" w:color="auto"/>
              <w:right w:val="single" w:sz="4" w:space="0" w:color="auto"/>
            </w:tcBorders>
            <w:shd w:val="clear" w:color="auto" w:fill="44546A" w:themeFill="text2"/>
            <w:vAlign w:val="center"/>
            <w:hideMark/>
          </w:tcPr>
          <w:p w14:paraId="018628A5"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Unemployment (%)</w:t>
            </w:r>
          </w:p>
        </w:tc>
        <w:tc>
          <w:tcPr>
            <w:tcW w:w="834" w:type="pct"/>
            <w:tcBorders>
              <w:top w:val="single" w:sz="4" w:space="0" w:color="auto"/>
              <w:left w:val="nil"/>
              <w:bottom w:val="single" w:sz="4" w:space="0" w:color="auto"/>
              <w:right w:val="single" w:sz="4" w:space="0" w:color="auto"/>
            </w:tcBorders>
            <w:shd w:val="clear" w:color="auto" w:fill="44546A" w:themeFill="text2"/>
            <w:vAlign w:val="center"/>
            <w:hideMark/>
          </w:tcPr>
          <w:p w14:paraId="12D1F4F8"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Direct employment (%)</w:t>
            </w:r>
          </w:p>
        </w:tc>
        <w:tc>
          <w:tcPr>
            <w:tcW w:w="832" w:type="pct"/>
            <w:tcBorders>
              <w:top w:val="single" w:sz="4" w:space="0" w:color="auto"/>
              <w:left w:val="nil"/>
              <w:bottom w:val="single" w:sz="4" w:space="0" w:color="auto"/>
              <w:right w:val="single" w:sz="4" w:space="0" w:color="auto"/>
            </w:tcBorders>
            <w:shd w:val="clear" w:color="auto" w:fill="44546A" w:themeFill="text2"/>
            <w:vAlign w:val="center"/>
            <w:hideMark/>
          </w:tcPr>
          <w:p w14:paraId="1BAF9C53"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System costs (%)</w:t>
            </w:r>
          </w:p>
        </w:tc>
      </w:tr>
      <w:tr w:rsidR="00B9531A" w:rsidRPr="0099228F" w14:paraId="278E77D5" w14:textId="77777777" w:rsidTr="00BA566A">
        <w:trPr>
          <w:trHeight w:val="599"/>
        </w:trPr>
        <w:tc>
          <w:tcPr>
            <w:tcW w:w="959" w:type="pct"/>
            <w:tcBorders>
              <w:left w:val="single" w:sz="4" w:space="0" w:color="auto"/>
              <w:bottom w:val="single" w:sz="4" w:space="0" w:color="auto"/>
              <w:right w:val="single" w:sz="4" w:space="0" w:color="auto"/>
            </w:tcBorders>
            <w:shd w:val="clear" w:color="auto" w:fill="44546A" w:themeFill="text2"/>
            <w:noWrap/>
            <w:vAlign w:val="bottom"/>
            <w:hideMark/>
          </w:tcPr>
          <w:p w14:paraId="7522F99E" w14:textId="77777777" w:rsidR="00B9531A" w:rsidRPr="00B8367E" w:rsidRDefault="00B9531A" w:rsidP="00BA566A">
            <w:pPr>
              <w:spacing w:after="0" w:line="240" w:lineRule="auto"/>
              <w:jc w:val="left"/>
              <w:rPr>
                <w:rFonts w:eastAsia="Times New Roman" w:cstheme="minorHAnsi"/>
                <w:color w:val="E7E6E6" w:themeColor="background2"/>
                <w:sz w:val="18"/>
                <w:szCs w:val="18"/>
                <w:lang w:val="de-CH" w:eastAsia="de-CH"/>
              </w:rPr>
            </w:pPr>
            <w:r w:rsidRPr="00B8367E">
              <w:rPr>
                <w:rFonts w:eastAsia="Times New Roman" w:cstheme="minorHAnsi"/>
                <w:color w:val="E7E6E6" w:themeColor="background2"/>
                <w:sz w:val="18"/>
                <w:szCs w:val="18"/>
                <w:lang w:val="de-CH" w:eastAsia="de-CH"/>
              </w:rPr>
              <w:t xml:space="preserve">Finance system’s policy (FSP) </w:t>
            </w:r>
          </w:p>
        </w:tc>
        <w:tc>
          <w:tcPr>
            <w:tcW w:w="799" w:type="pct"/>
            <w:tcBorders>
              <w:top w:val="nil"/>
              <w:left w:val="nil"/>
              <w:bottom w:val="single" w:sz="4" w:space="0" w:color="auto"/>
              <w:right w:val="single" w:sz="4" w:space="0" w:color="auto"/>
            </w:tcBorders>
            <w:shd w:val="clear" w:color="000000" w:fill="F4B084"/>
            <w:vAlign w:val="bottom"/>
            <w:hideMark/>
          </w:tcPr>
          <w:p w14:paraId="59CF2A04"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-7.14</w:t>
            </w:r>
          </w:p>
        </w:tc>
        <w:tc>
          <w:tcPr>
            <w:tcW w:w="743" w:type="pct"/>
            <w:tcBorders>
              <w:top w:val="nil"/>
              <w:left w:val="nil"/>
              <w:bottom w:val="single" w:sz="4" w:space="0" w:color="auto"/>
              <w:right w:val="single" w:sz="4" w:space="0" w:color="auto"/>
            </w:tcBorders>
            <w:shd w:val="clear" w:color="auto" w:fill="auto"/>
            <w:vAlign w:val="bottom"/>
            <w:hideMark/>
          </w:tcPr>
          <w:p w14:paraId="7B8BD2F6"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3.02</w:t>
            </w:r>
          </w:p>
        </w:tc>
        <w:tc>
          <w:tcPr>
            <w:tcW w:w="833" w:type="pct"/>
            <w:tcBorders>
              <w:top w:val="nil"/>
              <w:left w:val="nil"/>
              <w:bottom w:val="single" w:sz="4" w:space="0" w:color="auto"/>
              <w:right w:val="single" w:sz="4" w:space="0" w:color="auto"/>
            </w:tcBorders>
            <w:shd w:val="clear" w:color="000000" w:fill="9BC2E6"/>
            <w:vAlign w:val="bottom"/>
            <w:hideMark/>
          </w:tcPr>
          <w:p w14:paraId="3E291CB5"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-1.50</w:t>
            </w:r>
          </w:p>
        </w:tc>
        <w:tc>
          <w:tcPr>
            <w:tcW w:w="834" w:type="pct"/>
            <w:tcBorders>
              <w:top w:val="nil"/>
              <w:left w:val="nil"/>
              <w:bottom w:val="single" w:sz="4" w:space="0" w:color="auto"/>
              <w:right w:val="single" w:sz="4" w:space="0" w:color="auto"/>
            </w:tcBorders>
            <w:shd w:val="clear" w:color="auto" w:fill="auto"/>
            <w:vAlign w:val="bottom"/>
            <w:hideMark/>
          </w:tcPr>
          <w:p w14:paraId="4A3F109D"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15.11</w:t>
            </w:r>
          </w:p>
        </w:tc>
        <w:tc>
          <w:tcPr>
            <w:tcW w:w="832" w:type="pct"/>
            <w:tcBorders>
              <w:top w:val="nil"/>
              <w:left w:val="nil"/>
              <w:bottom w:val="single" w:sz="4" w:space="0" w:color="auto"/>
              <w:right w:val="single" w:sz="4" w:space="0" w:color="auto"/>
            </w:tcBorders>
            <w:shd w:val="clear" w:color="000000" w:fill="9BC2E6"/>
            <w:vAlign w:val="bottom"/>
            <w:hideMark/>
          </w:tcPr>
          <w:p w14:paraId="706D2E19"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-3.81</w:t>
            </w:r>
          </w:p>
        </w:tc>
      </w:tr>
      <w:tr w:rsidR="00B9531A" w:rsidRPr="0099228F" w14:paraId="577B0AEF" w14:textId="77777777" w:rsidTr="00BA566A">
        <w:trPr>
          <w:trHeight w:val="599"/>
        </w:trPr>
        <w:tc>
          <w:tcPr>
            <w:tcW w:w="959"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1F97FEDF" w14:textId="6B5C7ABD" w:rsidR="00B9531A" w:rsidRPr="00B8367E" w:rsidRDefault="00B9531A" w:rsidP="00BA566A">
            <w:pPr>
              <w:spacing w:after="0" w:line="240" w:lineRule="auto"/>
              <w:jc w:val="left"/>
              <w:rPr>
                <w:rFonts w:eastAsia="Times New Roman" w:cstheme="minorHAnsi"/>
                <w:color w:val="E7E6E6" w:themeColor="background2"/>
                <w:sz w:val="18"/>
                <w:szCs w:val="18"/>
                <w:lang w:eastAsia="de-CH"/>
              </w:rPr>
            </w:pPr>
            <w:r w:rsidRPr="00B8367E">
              <w:rPr>
                <w:rFonts w:eastAsia="Times New Roman" w:cstheme="minorHAnsi"/>
                <w:color w:val="E7E6E6" w:themeColor="background2"/>
                <w:sz w:val="18"/>
                <w:szCs w:val="18"/>
                <w:lang w:eastAsia="de-CH"/>
              </w:rPr>
              <w:t>Low-carbon energy transition scenario (</w:t>
            </w:r>
            <w:r w:rsidR="001B024A">
              <w:rPr>
                <w:rFonts w:eastAsia="Times New Roman" w:cstheme="minorHAnsi"/>
                <w:color w:val="E7E6E6" w:themeColor="background2"/>
                <w:sz w:val="18"/>
                <w:szCs w:val="18"/>
                <w:lang w:eastAsia="de-CH"/>
              </w:rPr>
              <w:t>LETS</w:t>
            </w:r>
            <w:r w:rsidRPr="00B8367E">
              <w:rPr>
                <w:rFonts w:eastAsia="Times New Roman" w:cstheme="minorHAnsi"/>
                <w:color w:val="E7E6E6" w:themeColor="background2"/>
                <w:sz w:val="18"/>
                <w:szCs w:val="18"/>
                <w:lang w:eastAsia="de-CH"/>
              </w:rPr>
              <w:t>)</w:t>
            </w:r>
          </w:p>
        </w:tc>
        <w:tc>
          <w:tcPr>
            <w:tcW w:w="799" w:type="pct"/>
            <w:tcBorders>
              <w:top w:val="nil"/>
              <w:left w:val="nil"/>
              <w:bottom w:val="single" w:sz="4" w:space="0" w:color="auto"/>
              <w:right w:val="single" w:sz="4" w:space="0" w:color="auto"/>
            </w:tcBorders>
            <w:shd w:val="clear" w:color="000000" w:fill="9BC2E6"/>
            <w:vAlign w:val="bottom"/>
            <w:hideMark/>
          </w:tcPr>
          <w:p w14:paraId="25197858"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-44.93</w:t>
            </w:r>
          </w:p>
        </w:tc>
        <w:tc>
          <w:tcPr>
            <w:tcW w:w="743" w:type="pct"/>
            <w:tcBorders>
              <w:top w:val="nil"/>
              <w:left w:val="nil"/>
              <w:bottom w:val="single" w:sz="4" w:space="0" w:color="auto"/>
              <w:right w:val="single" w:sz="4" w:space="0" w:color="auto"/>
            </w:tcBorders>
            <w:shd w:val="clear" w:color="000000" w:fill="F4B084"/>
            <w:vAlign w:val="bottom"/>
            <w:hideMark/>
          </w:tcPr>
          <w:p w14:paraId="5D2A9ECF"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1.00</w:t>
            </w:r>
          </w:p>
        </w:tc>
        <w:tc>
          <w:tcPr>
            <w:tcW w:w="833" w:type="pct"/>
            <w:tcBorders>
              <w:top w:val="nil"/>
              <w:left w:val="nil"/>
              <w:bottom w:val="single" w:sz="4" w:space="0" w:color="auto"/>
              <w:right w:val="single" w:sz="4" w:space="0" w:color="auto"/>
            </w:tcBorders>
            <w:shd w:val="clear" w:color="000000" w:fill="F4B084"/>
            <w:vAlign w:val="bottom"/>
            <w:hideMark/>
          </w:tcPr>
          <w:p w14:paraId="471B590B"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0.32</w:t>
            </w:r>
          </w:p>
        </w:tc>
        <w:tc>
          <w:tcPr>
            <w:tcW w:w="834" w:type="pct"/>
            <w:tcBorders>
              <w:top w:val="nil"/>
              <w:left w:val="nil"/>
              <w:bottom w:val="single" w:sz="4" w:space="0" w:color="auto"/>
              <w:right w:val="single" w:sz="4" w:space="0" w:color="auto"/>
            </w:tcBorders>
            <w:shd w:val="clear" w:color="000000" w:fill="F4B084"/>
            <w:vAlign w:val="bottom"/>
            <w:hideMark/>
          </w:tcPr>
          <w:p w14:paraId="7F33DFC5"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-6.92</w:t>
            </w:r>
          </w:p>
        </w:tc>
        <w:tc>
          <w:tcPr>
            <w:tcW w:w="832" w:type="pct"/>
            <w:tcBorders>
              <w:top w:val="nil"/>
              <w:left w:val="nil"/>
              <w:bottom w:val="single" w:sz="4" w:space="0" w:color="auto"/>
              <w:right w:val="single" w:sz="4" w:space="0" w:color="auto"/>
            </w:tcBorders>
            <w:shd w:val="clear" w:color="000000" w:fill="F4B084"/>
            <w:vAlign w:val="bottom"/>
            <w:hideMark/>
          </w:tcPr>
          <w:p w14:paraId="041C9489"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52.74</w:t>
            </w:r>
          </w:p>
        </w:tc>
      </w:tr>
      <w:tr w:rsidR="00B9531A" w:rsidRPr="0099228F" w14:paraId="5E1F6F78" w14:textId="77777777" w:rsidTr="00BA566A">
        <w:trPr>
          <w:trHeight w:val="599"/>
        </w:trPr>
        <w:tc>
          <w:tcPr>
            <w:tcW w:w="959"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265F5163" w14:textId="55DD8D55" w:rsidR="00B9531A" w:rsidRPr="00B8367E" w:rsidRDefault="00B9531A" w:rsidP="00BA566A">
            <w:pPr>
              <w:spacing w:after="0" w:line="240" w:lineRule="auto"/>
              <w:jc w:val="left"/>
              <w:rPr>
                <w:rFonts w:eastAsia="Times New Roman" w:cstheme="minorHAnsi"/>
                <w:color w:val="E7E6E6" w:themeColor="background2"/>
                <w:sz w:val="18"/>
                <w:szCs w:val="18"/>
                <w:lang w:val="de-CH" w:eastAsia="de-CH"/>
              </w:rPr>
            </w:pPr>
            <w:r w:rsidRPr="00B8367E">
              <w:rPr>
                <w:rFonts w:eastAsia="Times New Roman" w:cstheme="minorHAnsi"/>
                <w:color w:val="E7E6E6" w:themeColor="background2"/>
                <w:sz w:val="18"/>
                <w:szCs w:val="18"/>
                <w:lang w:val="de-CH" w:eastAsia="de-CH"/>
              </w:rPr>
              <w:lastRenderedPageBreak/>
              <w:t xml:space="preserve">FSP and </w:t>
            </w:r>
            <w:r w:rsidR="001B024A">
              <w:rPr>
                <w:rFonts w:eastAsia="Times New Roman" w:cstheme="minorHAnsi"/>
                <w:color w:val="E7E6E6" w:themeColor="background2"/>
                <w:sz w:val="18"/>
                <w:szCs w:val="18"/>
                <w:lang w:val="de-CH" w:eastAsia="de-CH"/>
              </w:rPr>
              <w:t>LETS</w:t>
            </w:r>
            <w:r w:rsidRPr="00B8367E">
              <w:rPr>
                <w:rFonts w:eastAsia="Times New Roman" w:cstheme="minorHAnsi"/>
                <w:color w:val="E7E6E6" w:themeColor="background2"/>
                <w:sz w:val="18"/>
                <w:szCs w:val="18"/>
                <w:lang w:val="de-CH" w:eastAsia="de-CH"/>
              </w:rPr>
              <w:t xml:space="preserve"> combined</w:t>
            </w:r>
          </w:p>
        </w:tc>
        <w:tc>
          <w:tcPr>
            <w:tcW w:w="799" w:type="pct"/>
            <w:tcBorders>
              <w:top w:val="nil"/>
              <w:left w:val="nil"/>
              <w:bottom w:val="single" w:sz="4" w:space="0" w:color="auto"/>
              <w:right w:val="single" w:sz="4" w:space="0" w:color="auto"/>
            </w:tcBorders>
            <w:shd w:val="clear" w:color="000000" w:fill="9BC2E6"/>
            <w:vAlign w:val="bottom"/>
            <w:hideMark/>
          </w:tcPr>
          <w:p w14:paraId="31C1FF49"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-44.93</w:t>
            </w:r>
          </w:p>
        </w:tc>
        <w:tc>
          <w:tcPr>
            <w:tcW w:w="743" w:type="pct"/>
            <w:tcBorders>
              <w:top w:val="nil"/>
              <w:left w:val="nil"/>
              <w:bottom w:val="single" w:sz="4" w:space="0" w:color="auto"/>
              <w:right w:val="single" w:sz="4" w:space="0" w:color="auto"/>
            </w:tcBorders>
            <w:shd w:val="clear" w:color="000000" w:fill="9BC2E6"/>
            <w:vAlign w:val="bottom"/>
            <w:hideMark/>
          </w:tcPr>
          <w:p w14:paraId="7A6B4F75"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3.43</w:t>
            </w:r>
          </w:p>
        </w:tc>
        <w:tc>
          <w:tcPr>
            <w:tcW w:w="833" w:type="pct"/>
            <w:tcBorders>
              <w:top w:val="nil"/>
              <w:left w:val="nil"/>
              <w:bottom w:val="single" w:sz="4" w:space="0" w:color="auto"/>
              <w:right w:val="single" w:sz="4" w:space="0" w:color="auto"/>
            </w:tcBorders>
            <w:shd w:val="clear" w:color="auto" w:fill="auto"/>
            <w:vAlign w:val="bottom"/>
            <w:hideMark/>
          </w:tcPr>
          <w:p w14:paraId="01D447B3"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-1.43</w:t>
            </w:r>
          </w:p>
        </w:tc>
        <w:tc>
          <w:tcPr>
            <w:tcW w:w="834" w:type="pct"/>
            <w:tcBorders>
              <w:top w:val="nil"/>
              <w:left w:val="nil"/>
              <w:bottom w:val="single" w:sz="4" w:space="0" w:color="auto"/>
              <w:right w:val="single" w:sz="4" w:space="0" w:color="auto"/>
            </w:tcBorders>
            <w:shd w:val="clear" w:color="000000" w:fill="9BC2E6"/>
            <w:vAlign w:val="bottom"/>
            <w:hideMark/>
          </w:tcPr>
          <w:p w14:paraId="47CF4BCF"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40.14</w:t>
            </w:r>
          </w:p>
        </w:tc>
        <w:tc>
          <w:tcPr>
            <w:tcW w:w="832" w:type="pct"/>
            <w:tcBorders>
              <w:top w:val="nil"/>
              <w:left w:val="nil"/>
              <w:bottom w:val="single" w:sz="4" w:space="0" w:color="auto"/>
              <w:right w:val="single" w:sz="4" w:space="0" w:color="auto"/>
            </w:tcBorders>
            <w:shd w:val="clear" w:color="auto" w:fill="auto"/>
            <w:vAlign w:val="bottom"/>
            <w:hideMark/>
          </w:tcPr>
          <w:p w14:paraId="769C1D5D"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2.35</w:t>
            </w:r>
          </w:p>
        </w:tc>
      </w:tr>
    </w:tbl>
    <w:p w14:paraId="77044401"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79B1CC67" w14:textId="77777777" w:rsidR="00B9531A" w:rsidRPr="009C05A3" w:rsidRDefault="00B9531A" w:rsidP="00B9531A">
      <w:pPr>
        <w:rPr>
          <w:rFonts w:cstheme="minorHAnsi"/>
        </w:rPr>
      </w:pPr>
      <w:r w:rsidRPr="0099228F">
        <w:rPr>
          <w:rFonts w:cstheme="minorHAnsi"/>
        </w:rPr>
        <w:t>Importantly, in aggregated terms, the different policies rank the same as under scenario 0. Moreover, the results do not differ by more than 1% at most, and therefore the results are not described here in more detail. The figures below shows the developmen</w:t>
      </w:r>
      <w:r w:rsidRPr="009C05A3">
        <w:rPr>
          <w:rFonts w:cstheme="minorHAnsi"/>
        </w:rPr>
        <w:t xml:space="preserve">t from 2016 to 2050 of the considered key indicators under scenario IP. </w:t>
      </w:r>
    </w:p>
    <w:p w14:paraId="34FB76F1" w14:textId="2F83ECA4"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EA2832">
        <w:rPr>
          <w:rFonts w:asciiTheme="minorHAnsi" w:hAnsiTheme="minorHAnsi" w:cstheme="minorHAnsi"/>
        </w:rPr>
        <w:t>A24</w:t>
      </w:r>
      <w:r w:rsidRPr="00B8367E">
        <w:rPr>
          <w:rFonts w:asciiTheme="minorHAnsi" w:hAnsiTheme="minorHAnsi" w:cstheme="minorHAnsi"/>
        </w:rPr>
        <w:t>: Annual emissions emitted by the electricity sector</w:t>
      </w:r>
    </w:p>
    <w:p w14:paraId="2E0EC83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79426780" wp14:editId="0389852D">
            <wp:extent cx="5731510" cy="2077720"/>
            <wp:effectExtent l="0" t="0" r="2540" b="17780"/>
            <wp:docPr id="25" name="Diagramm 25">
              <a:extLst xmlns:a="http://schemas.openxmlformats.org/drawingml/2006/main">
                <a:ext uri="{FF2B5EF4-FFF2-40B4-BE49-F238E27FC236}">
                  <a16:creationId xmlns:a16="http://schemas.microsoft.com/office/drawing/2014/main" id="{7D07BC4F-ADE6-42A7-8817-2DE507EB4C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082345C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4C381FA2" w14:textId="731A2598"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EA2832">
        <w:rPr>
          <w:rFonts w:asciiTheme="minorHAnsi" w:hAnsiTheme="minorHAnsi" w:cstheme="minorHAnsi"/>
        </w:rPr>
        <w:t>A25</w:t>
      </w:r>
      <w:r w:rsidRPr="00B8367E">
        <w:rPr>
          <w:rFonts w:asciiTheme="minorHAnsi" w:hAnsiTheme="minorHAnsi" w:cstheme="minorHAnsi"/>
        </w:rPr>
        <w:t>: Domestic electricity price</w:t>
      </w:r>
    </w:p>
    <w:p w14:paraId="202262DE"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4DC6C392" wp14:editId="5D49A908">
            <wp:extent cx="5731510" cy="2148205"/>
            <wp:effectExtent l="0" t="0" r="2540" b="4445"/>
            <wp:docPr id="26" name="Diagramm 26">
              <a:extLst xmlns:a="http://schemas.openxmlformats.org/drawingml/2006/main">
                <a:ext uri="{FF2B5EF4-FFF2-40B4-BE49-F238E27FC236}">
                  <a16:creationId xmlns:a16="http://schemas.microsoft.com/office/drawing/2014/main" id="{3F1B0BCF-894C-4E74-9958-4E148D0FD4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6237B065"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D76F30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275703D4" w14:textId="4D212623"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 xml:space="preserve">Figure </w:t>
      </w:r>
      <w:r w:rsidR="00EA2832">
        <w:rPr>
          <w:rFonts w:asciiTheme="minorHAnsi" w:hAnsiTheme="minorHAnsi" w:cstheme="minorHAnsi"/>
        </w:rPr>
        <w:t>A26</w:t>
      </w:r>
      <w:r w:rsidRPr="00B8367E">
        <w:rPr>
          <w:rFonts w:asciiTheme="minorHAnsi" w:hAnsiTheme="minorHAnsi" w:cstheme="minorHAnsi"/>
        </w:rPr>
        <w:t>: Annual unemployment</w:t>
      </w:r>
    </w:p>
    <w:p w14:paraId="503AA82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6DE66E72" wp14:editId="3C2803C0">
            <wp:extent cx="5731510" cy="2161540"/>
            <wp:effectExtent l="0" t="0" r="2540" b="10160"/>
            <wp:docPr id="27" name="Diagramm 27">
              <a:extLst xmlns:a="http://schemas.openxmlformats.org/drawingml/2006/main">
                <a:ext uri="{FF2B5EF4-FFF2-40B4-BE49-F238E27FC236}">
                  <a16:creationId xmlns:a16="http://schemas.microsoft.com/office/drawing/2014/main" id="{B81E2142-CED8-4B19-8BD3-4B89C17538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75515BE5"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4D3F52D5" w14:textId="0BC0F88A"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EA2832">
        <w:rPr>
          <w:rFonts w:asciiTheme="minorHAnsi" w:hAnsiTheme="minorHAnsi" w:cstheme="minorHAnsi"/>
        </w:rPr>
        <w:t>A27</w:t>
      </w:r>
      <w:r w:rsidRPr="00B8367E">
        <w:rPr>
          <w:rFonts w:asciiTheme="minorHAnsi" w:hAnsiTheme="minorHAnsi" w:cstheme="minorHAnsi"/>
        </w:rPr>
        <w:t>: Annual GDP (in 2016 prices)</w:t>
      </w:r>
    </w:p>
    <w:p w14:paraId="11598BE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6624ABCC" wp14:editId="27DFA327">
            <wp:extent cx="5731510" cy="2198370"/>
            <wp:effectExtent l="0" t="0" r="2540" b="11430"/>
            <wp:docPr id="29" name="Diagramm 29">
              <a:extLst xmlns:a="http://schemas.openxmlformats.org/drawingml/2006/main">
                <a:ext uri="{FF2B5EF4-FFF2-40B4-BE49-F238E27FC236}">
                  <a16:creationId xmlns:a16="http://schemas.microsoft.com/office/drawing/2014/main" id="{004AF77D-FCD6-404E-A4A5-60C434D9B3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3359AEB5"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129024A8" w14:textId="050B8839"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 xml:space="preserve">Figure </w:t>
      </w:r>
      <w:r w:rsidR="00EA2832">
        <w:rPr>
          <w:rFonts w:asciiTheme="minorHAnsi" w:hAnsiTheme="minorHAnsi" w:cstheme="minorHAnsi"/>
        </w:rPr>
        <w:t>A28</w:t>
      </w:r>
      <w:r w:rsidRPr="00B8367E">
        <w:rPr>
          <w:rFonts w:asciiTheme="minorHAnsi" w:hAnsiTheme="minorHAnsi" w:cstheme="minorHAnsi"/>
        </w:rPr>
        <w:t>: Annual electricity system costs (in 2016 prices)</w:t>
      </w:r>
    </w:p>
    <w:p w14:paraId="3EDAFEC6"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4982D42D" wp14:editId="3B12A75A">
            <wp:extent cx="5731510" cy="2178050"/>
            <wp:effectExtent l="0" t="0" r="2540" b="12700"/>
            <wp:docPr id="31" name="Diagramm 31">
              <a:extLst xmlns:a="http://schemas.openxmlformats.org/drawingml/2006/main">
                <a:ext uri="{FF2B5EF4-FFF2-40B4-BE49-F238E27FC236}">
                  <a16:creationId xmlns:a16="http://schemas.microsoft.com/office/drawing/2014/main" id="{97FF0E20-FBF3-4041-9137-5BF92FF631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726CBF2E"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50EF2BF7"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2767E12" w14:textId="0BA5DD0B"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Figure</w:t>
      </w:r>
      <w:r w:rsidR="00EA2832">
        <w:rPr>
          <w:rFonts w:asciiTheme="minorHAnsi" w:hAnsiTheme="minorHAnsi" w:cstheme="minorHAnsi"/>
        </w:rPr>
        <w:t>A29</w:t>
      </w:r>
      <w:r w:rsidRPr="00B8367E">
        <w:rPr>
          <w:rFonts w:asciiTheme="minorHAnsi" w:hAnsiTheme="minorHAnsi" w:cstheme="minorHAnsi"/>
        </w:rPr>
        <w:t>: Annual direct employment in the electricity sector</w:t>
      </w:r>
    </w:p>
    <w:p w14:paraId="16CF3C21"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55AAFBD7" wp14:editId="1B8C4046">
            <wp:extent cx="5731510" cy="2141855"/>
            <wp:effectExtent l="0" t="0" r="2540" b="10795"/>
            <wp:docPr id="32" name="Diagramm 32">
              <a:extLst xmlns:a="http://schemas.openxmlformats.org/drawingml/2006/main">
                <a:ext uri="{FF2B5EF4-FFF2-40B4-BE49-F238E27FC236}">
                  <a16:creationId xmlns:a16="http://schemas.microsoft.com/office/drawing/2014/main" id="{403C76FA-4962-403F-AB87-32C5FFE02D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27426B53"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3A1C1583" w14:textId="77777777" w:rsidR="00B9531A" w:rsidRPr="00B8367E" w:rsidRDefault="00B9531A" w:rsidP="00B9531A">
      <w:pPr>
        <w:pStyle w:val="Heading3"/>
        <w:numPr>
          <w:ilvl w:val="1"/>
          <w:numId w:val="45"/>
        </w:numPr>
        <w:spacing w:line="360" w:lineRule="auto"/>
        <w:rPr>
          <w:rFonts w:asciiTheme="minorHAnsi" w:eastAsia="Times New Roman" w:hAnsiTheme="minorHAnsi" w:cstheme="minorHAnsi"/>
          <w:lang w:eastAsia="de-CH"/>
        </w:rPr>
      </w:pPr>
      <w:r w:rsidRPr="00B8367E">
        <w:rPr>
          <w:rFonts w:asciiTheme="minorHAnsi" w:eastAsia="Times New Roman" w:hAnsiTheme="minorHAnsi" w:cstheme="minorHAnsi"/>
          <w:lang w:eastAsia="de-CH"/>
        </w:rPr>
        <w:t>No changes in salaries and increase in import costs</w:t>
      </w:r>
    </w:p>
    <w:p w14:paraId="62720B91" w14:textId="77777777" w:rsidR="00B9531A" w:rsidRPr="00967105" w:rsidRDefault="00B9531A" w:rsidP="00B9531A">
      <w:pPr>
        <w:rPr>
          <w:rFonts w:cstheme="minorHAnsi"/>
        </w:rPr>
      </w:pPr>
      <w:r w:rsidRPr="0099228F">
        <w:rPr>
          <w:rFonts w:cstheme="minorHAnsi"/>
        </w:rPr>
        <w:t xml:space="preserve">The table below shows the results of the </w:t>
      </w:r>
      <w:r w:rsidRPr="009C05A3">
        <w:rPr>
          <w:rFonts w:cstheme="minorHAnsi"/>
        </w:rPr>
        <w:t>tested policy scenarios under</w:t>
      </w:r>
      <w:r w:rsidRPr="00086A44">
        <w:rPr>
          <w:rFonts w:cstheme="minorHAnsi"/>
        </w:rPr>
        <w:t xml:space="preserve"> a scenario that doubles the prices for electricity imports and in which wages to not </w:t>
      </w:r>
      <w:proofErr w:type="spellStart"/>
      <w:r w:rsidRPr="00086A44">
        <w:rPr>
          <w:rFonts w:cstheme="minorHAnsi"/>
        </w:rPr>
        <w:t>incrase</w:t>
      </w:r>
      <w:proofErr w:type="spellEnd"/>
      <w:r w:rsidRPr="00086A44">
        <w:rPr>
          <w:rFonts w:cstheme="minorHAnsi"/>
        </w:rPr>
        <w:t xml:space="preserve"> when the average price level increases. The scenario is called the high import prices and no wage increase scenario (‘IPNW’). </w:t>
      </w:r>
    </w:p>
    <w:p w14:paraId="4C32B6BB" w14:textId="77777777" w:rsidR="00B9531A" w:rsidRPr="004C48F6" w:rsidRDefault="00B9531A" w:rsidP="00B9531A">
      <w:pPr>
        <w:rPr>
          <w:rFonts w:cstheme="minorHAnsi"/>
        </w:rPr>
      </w:pPr>
      <w:r w:rsidRPr="00967105">
        <w:rPr>
          <w:rFonts w:cstheme="minorHAnsi"/>
        </w:rPr>
        <w:t xml:space="preserve">The table below shows the results in terms of the chosen policy indicators </w:t>
      </w:r>
      <w:r w:rsidRPr="00967105">
        <w:rPr>
          <w:rFonts w:cstheme="minorHAnsi"/>
          <w:i/>
        </w:rPr>
        <w:t>as percentages against the base-run simulation results</w:t>
      </w:r>
      <w:r w:rsidRPr="00967105">
        <w:rPr>
          <w:rFonts w:cstheme="minorHAnsi"/>
        </w:rPr>
        <w:t xml:space="preserve"> under scenario IPNW of the same policy indicator and in aggregated terms (i.e. summing up the values during the simulation period). </w:t>
      </w:r>
    </w:p>
    <w:p w14:paraId="509903D7" w14:textId="751D932F" w:rsidR="00B9531A" w:rsidRPr="00B8367E" w:rsidRDefault="00B9531A" w:rsidP="00B9531A">
      <w:pPr>
        <w:pStyle w:val="Caption"/>
        <w:keepNext/>
        <w:spacing w:line="240" w:lineRule="auto"/>
        <w:rPr>
          <w:rFonts w:asciiTheme="minorHAnsi" w:hAnsiTheme="minorHAnsi" w:cstheme="minorHAnsi"/>
          <w:b w:val="0"/>
          <w:bCs/>
        </w:rPr>
      </w:pPr>
      <w:r w:rsidRPr="00B8367E">
        <w:rPr>
          <w:rFonts w:asciiTheme="minorHAnsi" w:hAnsiTheme="minorHAnsi" w:cstheme="minorHAnsi"/>
        </w:rPr>
        <w:t xml:space="preserve">Table </w:t>
      </w:r>
      <w:r w:rsidR="00EA2832">
        <w:rPr>
          <w:rFonts w:asciiTheme="minorHAnsi" w:hAnsiTheme="minorHAnsi" w:cstheme="minorHAnsi"/>
        </w:rPr>
        <w:t>A8</w:t>
      </w:r>
      <w:r w:rsidRPr="00B8367E">
        <w:rPr>
          <w:rFonts w:asciiTheme="minorHAnsi" w:hAnsiTheme="minorHAnsi" w:cstheme="minorHAnsi"/>
        </w:rPr>
        <w:t xml:space="preserve">: Overview on policy outcomes of the tested scenarios - </w:t>
      </w:r>
      <w:r w:rsidRPr="00B8367E">
        <w:rPr>
          <w:rFonts w:asciiTheme="minorHAnsi" w:hAnsiTheme="minorHAnsi" w:cstheme="minorHAnsi"/>
          <w:b w:val="0"/>
          <w:bCs/>
        </w:rPr>
        <w:t>red colour highlights the worst achieved results and the blue colour the best achieved one of all tested low-carbon policy scenarios</w:t>
      </w:r>
      <w:r w:rsidRPr="00B8367E">
        <w:rPr>
          <w:rFonts w:asciiTheme="minorHAnsi" w:hAnsiTheme="minorHAnsi" w:cstheme="minorHAnsi"/>
        </w:rPr>
        <w:t xml:space="preserve">, </w:t>
      </w:r>
      <w:r w:rsidRPr="00B8367E">
        <w:rPr>
          <w:rFonts w:asciiTheme="minorHAnsi" w:hAnsiTheme="minorHAnsi" w:cstheme="minorHAnsi"/>
          <w:b w:val="0"/>
          <w:bCs/>
        </w:rPr>
        <w:t xml:space="preserve">impacts on accumulated variables from 2016 to 2050 in comparison to the base-run. </w:t>
      </w:r>
    </w:p>
    <w:tbl>
      <w:tblPr>
        <w:tblW w:w="5000" w:type="pct"/>
        <w:tblLayout w:type="fixed"/>
        <w:tblCellMar>
          <w:left w:w="70" w:type="dxa"/>
          <w:right w:w="70" w:type="dxa"/>
        </w:tblCellMar>
        <w:tblLook w:val="04A0" w:firstRow="1" w:lastRow="0" w:firstColumn="1" w:lastColumn="0" w:noHBand="0" w:noVBand="1"/>
      </w:tblPr>
      <w:tblGrid>
        <w:gridCol w:w="1838"/>
        <w:gridCol w:w="1424"/>
        <w:gridCol w:w="1416"/>
        <w:gridCol w:w="1339"/>
        <w:gridCol w:w="1505"/>
        <w:gridCol w:w="1499"/>
      </w:tblGrid>
      <w:tr w:rsidR="00B9531A" w:rsidRPr="0099228F" w14:paraId="05C2CF6D" w14:textId="77777777" w:rsidTr="00B9531A">
        <w:trPr>
          <w:trHeight w:val="290"/>
        </w:trPr>
        <w:tc>
          <w:tcPr>
            <w:tcW w:w="1019" w:type="pct"/>
            <w:shd w:val="clear" w:color="000000" w:fill="FFFFFF"/>
            <w:noWrap/>
            <w:vAlign w:val="bottom"/>
            <w:hideMark/>
          </w:tcPr>
          <w:p w14:paraId="19353C21" w14:textId="77777777" w:rsidR="00B9531A" w:rsidRPr="00B8367E" w:rsidRDefault="00B9531A" w:rsidP="00BA566A">
            <w:pPr>
              <w:spacing w:after="0" w:line="240" w:lineRule="auto"/>
              <w:jc w:val="left"/>
              <w:rPr>
                <w:rFonts w:eastAsia="Times New Roman" w:cstheme="minorHAnsi"/>
                <w:sz w:val="18"/>
                <w:szCs w:val="18"/>
                <w:lang w:eastAsia="de-CH"/>
              </w:rPr>
            </w:pPr>
            <w:bookmarkStart w:id="49" w:name="_Hlk59732573"/>
            <w:r w:rsidRPr="00B8367E">
              <w:rPr>
                <w:rFonts w:eastAsia="Times New Roman" w:cstheme="minorHAnsi"/>
                <w:sz w:val="18"/>
                <w:szCs w:val="18"/>
                <w:lang w:eastAsia="de-CH"/>
              </w:rPr>
              <w:t> </w:t>
            </w:r>
          </w:p>
        </w:tc>
        <w:tc>
          <w:tcPr>
            <w:tcW w:w="789" w:type="pct"/>
            <w:tcBorders>
              <w:top w:val="single" w:sz="4" w:space="0" w:color="auto"/>
              <w:left w:val="nil"/>
              <w:bottom w:val="single" w:sz="4" w:space="0" w:color="auto"/>
              <w:right w:val="single" w:sz="4" w:space="0" w:color="auto"/>
            </w:tcBorders>
            <w:shd w:val="clear" w:color="auto" w:fill="44546A" w:themeFill="text2"/>
            <w:vAlign w:val="center"/>
            <w:hideMark/>
          </w:tcPr>
          <w:p w14:paraId="2A507C7B"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Emissions (%)</w:t>
            </w:r>
          </w:p>
        </w:tc>
        <w:tc>
          <w:tcPr>
            <w:tcW w:w="785"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6CC440E4"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GDP (%)</w:t>
            </w:r>
          </w:p>
        </w:tc>
        <w:tc>
          <w:tcPr>
            <w:tcW w:w="742"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3FFA4C3C"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Unemployment (%)</w:t>
            </w:r>
          </w:p>
        </w:tc>
        <w:tc>
          <w:tcPr>
            <w:tcW w:w="834"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004B78BC"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Direct employment (%)</w:t>
            </w:r>
          </w:p>
        </w:tc>
        <w:tc>
          <w:tcPr>
            <w:tcW w:w="831" w:type="pct"/>
            <w:tcBorders>
              <w:top w:val="single" w:sz="4" w:space="0" w:color="auto"/>
              <w:left w:val="single" w:sz="4" w:space="0" w:color="auto"/>
              <w:bottom w:val="single" w:sz="4" w:space="0" w:color="auto"/>
              <w:right w:val="single" w:sz="4" w:space="0" w:color="auto"/>
            </w:tcBorders>
            <w:shd w:val="clear" w:color="auto" w:fill="44546A" w:themeFill="text2"/>
            <w:vAlign w:val="center"/>
            <w:hideMark/>
          </w:tcPr>
          <w:p w14:paraId="6A637D17" w14:textId="77777777" w:rsidR="00B9531A" w:rsidRPr="00B8367E" w:rsidRDefault="00B9531A" w:rsidP="00BA566A">
            <w:pPr>
              <w:spacing w:after="0" w:line="240" w:lineRule="auto"/>
              <w:jc w:val="center"/>
              <w:rPr>
                <w:rFonts w:eastAsia="Times New Roman" w:cstheme="minorHAnsi"/>
                <w:i/>
                <w:iCs/>
                <w:color w:val="E7E6E6" w:themeColor="background2"/>
                <w:sz w:val="18"/>
                <w:szCs w:val="18"/>
                <w:lang w:val="de-CH" w:eastAsia="de-CH"/>
              </w:rPr>
            </w:pPr>
            <w:r w:rsidRPr="00B8367E">
              <w:rPr>
                <w:rFonts w:eastAsia="Times New Roman" w:cstheme="minorHAnsi"/>
                <w:i/>
                <w:iCs/>
                <w:color w:val="E7E6E6" w:themeColor="background2"/>
                <w:sz w:val="18"/>
                <w:szCs w:val="18"/>
                <w:lang w:val="de-CH" w:eastAsia="de-CH"/>
              </w:rPr>
              <w:t>System costs (%)</w:t>
            </w:r>
          </w:p>
        </w:tc>
      </w:tr>
      <w:tr w:rsidR="00B9531A" w:rsidRPr="0099228F" w14:paraId="61186B23" w14:textId="77777777" w:rsidTr="00B9531A">
        <w:trPr>
          <w:trHeight w:val="290"/>
        </w:trPr>
        <w:tc>
          <w:tcPr>
            <w:tcW w:w="1019" w:type="pct"/>
            <w:tcBorders>
              <w:left w:val="single" w:sz="4" w:space="0" w:color="auto"/>
              <w:bottom w:val="single" w:sz="4" w:space="0" w:color="auto"/>
              <w:right w:val="single" w:sz="4" w:space="0" w:color="auto"/>
            </w:tcBorders>
            <w:shd w:val="clear" w:color="auto" w:fill="44546A" w:themeFill="text2"/>
            <w:noWrap/>
            <w:vAlign w:val="bottom"/>
            <w:hideMark/>
          </w:tcPr>
          <w:p w14:paraId="1D9C31F6" w14:textId="77777777" w:rsidR="00B9531A" w:rsidRPr="00B8367E" w:rsidRDefault="00B9531A" w:rsidP="00BA566A">
            <w:pPr>
              <w:spacing w:after="0" w:line="240" w:lineRule="auto"/>
              <w:jc w:val="left"/>
              <w:rPr>
                <w:rFonts w:eastAsia="Times New Roman" w:cstheme="minorHAnsi"/>
                <w:color w:val="E7E6E6" w:themeColor="background2"/>
                <w:sz w:val="18"/>
                <w:szCs w:val="18"/>
                <w:lang w:val="de-CH" w:eastAsia="de-CH"/>
              </w:rPr>
            </w:pPr>
            <w:r w:rsidRPr="00B8367E">
              <w:rPr>
                <w:rFonts w:eastAsia="Times New Roman" w:cstheme="minorHAnsi"/>
                <w:color w:val="E7E6E6" w:themeColor="background2"/>
                <w:sz w:val="18"/>
                <w:szCs w:val="18"/>
                <w:lang w:val="de-CH" w:eastAsia="de-CH"/>
              </w:rPr>
              <w:t xml:space="preserve">Finance system’s policy (FSP) </w:t>
            </w:r>
          </w:p>
        </w:tc>
        <w:tc>
          <w:tcPr>
            <w:tcW w:w="789" w:type="pct"/>
            <w:tcBorders>
              <w:top w:val="single" w:sz="4" w:space="0" w:color="auto"/>
              <w:left w:val="nil"/>
              <w:bottom w:val="single" w:sz="4" w:space="0" w:color="auto"/>
              <w:right w:val="single" w:sz="4" w:space="0" w:color="auto"/>
            </w:tcBorders>
            <w:shd w:val="clear" w:color="000000" w:fill="F4B084"/>
            <w:vAlign w:val="bottom"/>
            <w:hideMark/>
          </w:tcPr>
          <w:p w14:paraId="0C356809"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-1.28</w:t>
            </w:r>
          </w:p>
        </w:tc>
        <w:tc>
          <w:tcPr>
            <w:tcW w:w="78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E4E78D"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3.58</w:t>
            </w:r>
          </w:p>
        </w:tc>
        <w:tc>
          <w:tcPr>
            <w:tcW w:w="742"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2393F49A"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-1.76</w:t>
            </w:r>
          </w:p>
        </w:tc>
        <w:tc>
          <w:tcPr>
            <w:tcW w:w="834" w:type="pct"/>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7E1B6C77"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9.90</w:t>
            </w:r>
          </w:p>
        </w:tc>
        <w:tc>
          <w:tcPr>
            <w:tcW w:w="831"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7D1D1E18"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1.68</w:t>
            </w:r>
          </w:p>
        </w:tc>
      </w:tr>
      <w:tr w:rsidR="00B9531A" w:rsidRPr="0099228F" w14:paraId="2DA3C63F" w14:textId="77777777" w:rsidTr="00B9531A">
        <w:trPr>
          <w:trHeight w:val="607"/>
        </w:trPr>
        <w:tc>
          <w:tcPr>
            <w:tcW w:w="1019"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00D317A1" w14:textId="0AA46804" w:rsidR="00B9531A" w:rsidRPr="00B8367E" w:rsidRDefault="00B9531A" w:rsidP="00BA566A">
            <w:pPr>
              <w:spacing w:after="0" w:line="240" w:lineRule="auto"/>
              <w:jc w:val="left"/>
              <w:rPr>
                <w:rFonts w:eastAsia="Times New Roman" w:cstheme="minorHAnsi"/>
                <w:color w:val="E7E6E6" w:themeColor="background2"/>
                <w:sz w:val="18"/>
                <w:szCs w:val="18"/>
                <w:lang w:eastAsia="de-CH"/>
              </w:rPr>
            </w:pPr>
            <w:r w:rsidRPr="00B8367E">
              <w:rPr>
                <w:rFonts w:eastAsia="Times New Roman" w:cstheme="minorHAnsi"/>
                <w:color w:val="E7E6E6" w:themeColor="background2"/>
                <w:sz w:val="18"/>
                <w:szCs w:val="18"/>
                <w:lang w:eastAsia="de-CH"/>
              </w:rPr>
              <w:t>Low-carbon energy transition scenario (</w:t>
            </w:r>
            <w:r w:rsidR="001B024A">
              <w:rPr>
                <w:rFonts w:eastAsia="Times New Roman" w:cstheme="minorHAnsi"/>
                <w:color w:val="E7E6E6" w:themeColor="background2"/>
                <w:sz w:val="18"/>
                <w:szCs w:val="18"/>
                <w:lang w:eastAsia="de-CH"/>
              </w:rPr>
              <w:t>LETS</w:t>
            </w:r>
            <w:r w:rsidRPr="00B8367E">
              <w:rPr>
                <w:rFonts w:eastAsia="Times New Roman" w:cstheme="minorHAnsi"/>
                <w:color w:val="E7E6E6" w:themeColor="background2"/>
                <w:sz w:val="18"/>
                <w:szCs w:val="18"/>
                <w:lang w:eastAsia="de-CH"/>
              </w:rPr>
              <w:t>)</w:t>
            </w:r>
          </w:p>
        </w:tc>
        <w:tc>
          <w:tcPr>
            <w:tcW w:w="789" w:type="pct"/>
            <w:tcBorders>
              <w:top w:val="single" w:sz="4" w:space="0" w:color="auto"/>
              <w:left w:val="nil"/>
              <w:bottom w:val="single" w:sz="4" w:space="0" w:color="auto"/>
              <w:right w:val="single" w:sz="4" w:space="0" w:color="auto"/>
            </w:tcBorders>
            <w:shd w:val="clear" w:color="000000" w:fill="9BC2E6"/>
            <w:vAlign w:val="bottom"/>
            <w:hideMark/>
          </w:tcPr>
          <w:p w14:paraId="3D3E1CE8"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-38.30</w:t>
            </w:r>
          </w:p>
        </w:tc>
        <w:tc>
          <w:tcPr>
            <w:tcW w:w="785"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12E7CA93"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0.09</w:t>
            </w:r>
          </w:p>
        </w:tc>
        <w:tc>
          <w:tcPr>
            <w:tcW w:w="742"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6153239F"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0.05</w:t>
            </w:r>
          </w:p>
        </w:tc>
        <w:tc>
          <w:tcPr>
            <w:tcW w:w="8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D8A69C5"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21.03</w:t>
            </w:r>
          </w:p>
        </w:tc>
        <w:tc>
          <w:tcPr>
            <w:tcW w:w="831" w:type="pct"/>
            <w:tcBorders>
              <w:top w:val="single" w:sz="4" w:space="0" w:color="auto"/>
              <w:left w:val="single" w:sz="4" w:space="0" w:color="auto"/>
              <w:bottom w:val="single" w:sz="4" w:space="0" w:color="auto"/>
              <w:right w:val="single" w:sz="4" w:space="0" w:color="auto"/>
            </w:tcBorders>
            <w:shd w:val="clear" w:color="000000" w:fill="F4B084"/>
            <w:vAlign w:val="bottom"/>
            <w:hideMark/>
          </w:tcPr>
          <w:p w14:paraId="520890B1"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40.45</w:t>
            </w:r>
          </w:p>
        </w:tc>
      </w:tr>
      <w:tr w:rsidR="00B9531A" w:rsidRPr="0099228F" w14:paraId="70C900AC" w14:textId="77777777" w:rsidTr="00B9531A">
        <w:trPr>
          <w:trHeight w:val="290"/>
        </w:trPr>
        <w:tc>
          <w:tcPr>
            <w:tcW w:w="1019" w:type="pct"/>
            <w:tcBorders>
              <w:top w:val="nil"/>
              <w:left w:val="single" w:sz="4" w:space="0" w:color="auto"/>
              <w:bottom w:val="single" w:sz="4" w:space="0" w:color="auto"/>
              <w:right w:val="single" w:sz="4" w:space="0" w:color="auto"/>
            </w:tcBorders>
            <w:shd w:val="clear" w:color="auto" w:fill="44546A" w:themeFill="text2"/>
            <w:noWrap/>
            <w:vAlign w:val="bottom"/>
            <w:hideMark/>
          </w:tcPr>
          <w:p w14:paraId="7EF92098" w14:textId="60371155" w:rsidR="00B9531A" w:rsidRPr="00B8367E" w:rsidRDefault="00B9531A" w:rsidP="00BA566A">
            <w:pPr>
              <w:spacing w:after="0" w:line="240" w:lineRule="auto"/>
              <w:jc w:val="left"/>
              <w:rPr>
                <w:rFonts w:eastAsia="Times New Roman" w:cstheme="minorHAnsi"/>
                <w:color w:val="E7E6E6" w:themeColor="background2"/>
                <w:sz w:val="18"/>
                <w:szCs w:val="18"/>
                <w:lang w:val="de-CH" w:eastAsia="de-CH"/>
              </w:rPr>
            </w:pPr>
            <w:r w:rsidRPr="00B8367E">
              <w:rPr>
                <w:rFonts w:eastAsia="Times New Roman" w:cstheme="minorHAnsi"/>
                <w:color w:val="E7E6E6" w:themeColor="background2"/>
                <w:sz w:val="18"/>
                <w:szCs w:val="18"/>
                <w:lang w:val="de-CH" w:eastAsia="de-CH"/>
              </w:rPr>
              <w:t xml:space="preserve">FSP and </w:t>
            </w:r>
            <w:r w:rsidR="001B024A">
              <w:rPr>
                <w:rFonts w:eastAsia="Times New Roman" w:cstheme="minorHAnsi"/>
                <w:color w:val="E7E6E6" w:themeColor="background2"/>
                <w:sz w:val="18"/>
                <w:szCs w:val="18"/>
                <w:lang w:val="de-CH" w:eastAsia="de-CH"/>
              </w:rPr>
              <w:t>LETS</w:t>
            </w:r>
            <w:r w:rsidRPr="00B8367E">
              <w:rPr>
                <w:rFonts w:eastAsia="Times New Roman" w:cstheme="minorHAnsi"/>
                <w:color w:val="E7E6E6" w:themeColor="background2"/>
                <w:sz w:val="18"/>
                <w:szCs w:val="18"/>
                <w:lang w:val="de-CH" w:eastAsia="de-CH"/>
              </w:rPr>
              <w:t xml:space="preserve"> combined</w:t>
            </w:r>
          </w:p>
        </w:tc>
        <w:tc>
          <w:tcPr>
            <w:tcW w:w="789" w:type="pct"/>
            <w:tcBorders>
              <w:top w:val="single" w:sz="4" w:space="0" w:color="auto"/>
              <w:left w:val="nil"/>
              <w:bottom w:val="single" w:sz="4" w:space="0" w:color="auto"/>
              <w:right w:val="single" w:sz="4" w:space="0" w:color="auto"/>
            </w:tcBorders>
            <w:shd w:val="clear" w:color="000000" w:fill="9BC2E6"/>
            <w:vAlign w:val="bottom"/>
            <w:hideMark/>
          </w:tcPr>
          <w:p w14:paraId="366472E3"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-38.30</w:t>
            </w:r>
          </w:p>
        </w:tc>
        <w:tc>
          <w:tcPr>
            <w:tcW w:w="785"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4698381F"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3.66</w:t>
            </w:r>
          </w:p>
        </w:tc>
        <w:tc>
          <w:tcPr>
            <w:tcW w:w="74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58ADC5F1"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-1.76</w:t>
            </w:r>
          </w:p>
        </w:tc>
        <w:tc>
          <w:tcPr>
            <w:tcW w:w="834" w:type="pct"/>
            <w:tcBorders>
              <w:top w:val="single" w:sz="4" w:space="0" w:color="auto"/>
              <w:left w:val="single" w:sz="4" w:space="0" w:color="auto"/>
              <w:bottom w:val="single" w:sz="4" w:space="0" w:color="auto"/>
              <w:right w:val="single" w:sz="4" w:space="0" w:color="auto"/>
            </w:tcBorders>
            <w:shd w:val="clear" w:color="000000" w:fill="9BC2E6"/>
            <w:vAlign w:val="bottom"/>
            <w:hideMark/>
          </w:tcPr>
          <w:p w14:paraId="1D8F8FBC"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38.45</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789E954" w14:textId="77777777" w:rsidR="00B9531A" w:rsidRPr="00B8367E" w:rsidRDefault="00B9531A" w:rsidP="00BA566A">
            <w:pPr>
              <w:spacing w:after="0" w:line="240" w:lineRule="auto"/>
              <w:jc w:val="center"/>
              <w:rPr>
                <w:rFonts w:eastAsia="Times New Roman" w:cstheme="minorHAnsi"/>
                <w:color w:val="000000"/>
                <w:sz w:val="18"/>
                <w:szCs w:val="18"/>
                <w:lang w:val="de-CH" w:eastAsia="de-CH"/>
              </w:rPr>
            </w:pPr>
            <w:r w:rsidRPr="00B8367E">
              <w:rPr>
                <w:rFonts w:eastAsia="Times New Roman" w:cstheme="minorHAnsi"/>
                <w:color w:val="000000"/>
                <w:sz w:val="18"/>
                <w:szCs w:val="18"/>
                <w:lang w:val="de-CH" w:eastAsia="de-CH"/>
              </w:rPr>
              <w:t>18.91</w:t>
            </w:r>
          </w:p>
        </w:tc>
      </w:tr>
      <w:bookmarkEnd w:id="49"/>
    </w:tbl>
    <w:p w14:paraId="6A2BB96C"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2A7556A7" w14:textId="0DA8BC18" w:rsidR="00B9531A" w:rsidRPr="00086A44" w:rsidRDefault="00B9531A" w:rsidP="00B9531A">
      <w:pPr>
        <w:rPr>
          <w:rFonts w:cstheme="minorHAnsi"/>
        </w:rPr>
      </w:pPr>
      <w:r w:rsidRPr="0099228F">
        <w:rPr>
          <w:rFonts w:cstheme="minorHAnsi"/>
        </w:rPr>
        <w:t xml:space="preserve">Importantly, in aggregated terms, the different policies compare the same as under scenario 0 – an exception thereof is however the direct employment indicator which reaches under scenario IPNW in the </w:t>
      </w:r>
      <w:r w:rsidR="001B024A">
        <w:rPr>
          <w:rFonts w:cstheme="minorHAnsi"/>
        </w:rPr>
        <w:t>GFGS</w:t>
      </w:r>
      <w:r w:rsidRPr="0099228F">
        <w:rPr>
          <w:rFonts w:cstheme="minorHAnsi"/>
        </w:rPr>
        <w:t xml:space="preserve"> the worst impact, but under scenario 0 in the </w:t>
      </w:r>
      <w:r w:rsidR="001B024A">
        <w:rPr>
          <w:rFonts w:cstheme="minorHAnsi"/>
        </w:rPr>
        <w:t>LETS</w:t>
      </w:r>
      <w:r w:rsidRPr="009C05A3">
        <w:rPr>
          <w:rFonts w:cstheme="minorHAnsi"/>
        </w:rPr>
        <w:t>. However, this does not alter our key policy con</w:t>
      </w:r>
      <w:r w:rsidR="001359C9">
        <w:rPr>
          <w:rFonts w:cstheme="minorHAnsi"/>
        </w:rPr>
        <w:t>c</w:t>
      </w:r>
      <w:r w:rsidRPr="009C05A3">
        <w:rPr>
          <w:rFonts w:cstheme="minorHAnsi"/>
        </w:rPr>
        <w:t xml:space="preserve">lusions (see section 5 in the main body of this article) and therefore the results are not described here in more detail. The figures below shows the development from 2016 to 2050 of the considered key indicators under scenario IPNW. </w:t>
      </w:r>
    </w:p>
    <w:p w14:paraId="728A0627" w14:textId="6F247E94"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Figure</w:t>
      </w:r>
      <w:r w:rsidR="00EA2832">
        <w:rPr>
          <w:rFonts w:asciiTheme="minorHAnsi" w:hAnsiTheme="minorHAnsi" w:cstheme="minorHAnsi"/>
        </w:rPr>
        <w:t>A30</w:t>
      </w:r>
      <w:r w:rsidRPr="00B8367E">
        <w:rPr>
          <w:rFonts w:asciiTheme="minorHAnsi" w:hAnsiTheme="minorHAnsi" w:cstheme="minorHAnsi"/>
        </w:rPr>
        <w:t>: Annual emissions emitted by the electricity sector</w:t>
      </w:r>
    </w:p>
    <w:p w14:paraId="341AFCEE"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6E8A76BF" wp14:editId="50FA7BDD">
            <wp:extent cx="5731510" cy="2256311"/>
            <wp:effectExtent l="0" t="0" r="2540" b="10795"/>
            <wp:docPr id="48" name="Diagramm 48">
              <a:extLst xmlns:a="http://schemas.openxmlformats.org/drawingml/2006/main">
                <a:ext uri="{FF2B5EF4-FFF2-40B4-BE49-F238E27FC236}">
                  <a16:creationId xmlns:a16="http://schemas.microsoft.com/office/drawing/2014/main" id="{7CC6690D-4485-4F93-B309-5E176FFC86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0A660C8F"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7FC721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7AB283CB" w14:textId="64B93542"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Figure</w:t>
      </w:r>
      <w:r w:rsidR="00EA2832">
        <w:rPr>
          <w:rFonts w:asciiTheme="minorHAnsi" w:hAnsiTheme="minorHAnsi" w:cstheme="minorHAnsi"/>
        </w:rPr>
        <w:t>A31</w:t>
      </w:r>
      <w:r w:rsidRPr="00B8367E">
        <w:rPr>
          <w:rFonts w:asciiTheme="minorHAnsi" w:hAnsiTheme="minorHAnsi" w:cstheme="minorHAnsi"/>
        </w:rPr>
        <w:t>: Domestic electricity price</w:t>
      </w:r>
    </w:p>
    <w:p w14:paraId="2D770AF8"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346EBE81" wp14:editId="178F1FF3">
            <wp:extent cx="5731510" cy="2161309"/>
            <wp:effectExtent l="0" t="0" r="2540" b="10795"/>
            <wp:docPr id="49" name="Diagramm 49">
              <a:extLst xmlns:a="http://schemas.openxmlformats.org/drawingml/2006/main">
                <a:ext uri="{FF2B5EF4-FFF2-40B4-BE49-F238E27FC236}">
                  <a16:creationId xmlns:a16="http://schemas.microsoft.com/office/drawing/2014/main" id="{5AC74467-2E2D-4F79-8462-4C056FE547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4AEC8843"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6F3446B5"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43897BD3" w14:textId="310AF273"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Figure</w:t>
      </w:r>
      <w:r w:rsidR="00EA2832">
        <w:rPr>
          <w:rFonts w:asciiTheme="minorHAnsi" w:hAnsiTheme="minorHAnsi" w:cstheme="minorHAnsi"/>
        </w:rPr>
        <w:t>A32</w:t>
      </w:r>
      <w:r w:rsidRPr="00B8367E">
        <w:rPr>
          <w:rFonts w:asciiTheme="minorHAnsi" w:hAnsiTheme="minorHAnsi" w:cstheme="minorHAnsi"/>
        </w:rPr>
        <w:t>: Annual unemployment</w:t>
      </w:r>
    </w:p>
    <w:p w14:paraId="0C60210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68C972E2" wp14:editId="13493E7E">
            <wp:extent cx="5731510" cy="2327563"/>
            <wp:effectExtent l="0" t="0" r="2540" b="15875"/>
            <wp:docPr id="50" name="Diagramm 50">
              <a:extLst xmlns:a="http://schemas.openxmlformats.org/drawingml/2006/main">
                <a:ext uri="{FF2B5EF4-FFF2-40B4-BE49-F238E27FC236}">
                  <a16:creationId xmlns:a16="http://schemas.microsoft.com/office/drawing/2014/main" id="{C6D930F7-8602-4724-9ED2-B68182E3D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5EE0A991"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6BD6023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C1F7FA0" w14:textId="0F1091FB"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lastRenderedPageBreak/>
        <w:t>Figure</w:t>
      </w:r>
      <w:r w:rsidR="00EA2832">
        <w:rPr>
          <w:rFonts w:asciiTheme="minorHAnsi" w:hAnsiTheme="minorHAnsi" w:cstheme="minorHAnsi"/>
        </w:rPr>
        <w:t>A33</w:t>
      </w:r>
      <w:r w:rsidRPr="00B8367E">
        <w:rPr>
          <w:rFonts w:asciiTheme="minorHAnsi" w:hAnsiTheme="minorHAnsi" w:cstheme="minorHAnsi"/>
        </w:rPr>
        <w:t>: Annual GDP (in 2016 prices)</w:t>
      </w:r>
    </w:p>
    <w:p w14:paraId="2F6FE4FC"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7BEF1AF2" wp14:editId="1EE9B871">
            <wp:extent cx="5731510" cy="2208810"/>
            <wp:effectExtent l="0" t="0" r="2540" b="1270"/>
            <wp:docPr id="51" name="Diagramm 51">
              <a:extLst xmlns:a="http://schemas.openxmlformats.org/drawingml/2006/main">
                <a:ext uri="{FF2B5EF4-FFF2-40B4-BE49-F238E27FC236}">
                  <a16:creationId xmlns:a16="http://schemas.microsoft.com/office/drawing/2014/main" id="{657AD601-D991-4D55-B465-A6E9318300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72B05270"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71578A0C"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4657D5D6" w14:textId="338420BF"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Figure</w:t>
      </w:r>
      <w:r w:rsidR="00EA2832">
        <w:rPr>
          <w:rFonts w:asciiTheme="minorHAnsi" w:hAnsiTheme="minorHAnsi" w:cstheme="minorHAnsi"/>
        </w:rPr>
        <w:t>A34</w:t>
      </w:r>
      <w:r w:rsidRPr="00B8367E">
        <w:rPr>
          <w:rFonts w:asciiTheme="minorHAnsi" w:hAnsiTheme="minorHAnsi" w:cstheme="minorHAnsi"/>
        </w:rPr>
        <w:t>: Annual electricity system costs (in 2016 prices)</w:t>
      </w:r>
    </w:p>
    <w:p w14:paraId="32B346BD"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07558AB7" wp14:editId="77B742C7">
            <wp:extent cx="5731510" cy="2161309"/>
            <wp:effectExtent l="0" t="0" r="2540" b="10795"/>
            <wp:docPr id="52" name="Diagramm 52">
              <a:extLst xmlns:a="http://schemas.openxmlformats.org/drawingml/2006/main">
                <a:ext uri="{FF2B5EF4-FFF2-40B4-BE49-F238E27FC236}">
                  <a16:creationId xmlns:a16="http://schemas.microsoft.com/office/drawing/2014/main" id="{E84324A2-4665-4A84-9E54-6EAE9184FF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22AD8BE4"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76DC6B63"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p>
    <w:p w14:paraId="0110B2B3" w14:textId="7F097CC8" w:rsidR="00B9531A" w:rsidRPr="00B8367E" w:rsidRDefault="00B9531A" w:rsidP="00B9531A">
      <w:pPr>
        <w:pStyle w:val="Caption"/>
        <w:keepNext/>
        <w:jc w:val="left"/>
        <w:rPr>
          <w:rFonts w:asciiTheme="minorHAnsi" w:hAnsiTheme="minorHAnsi" w:cstheme="minorHAnsi"/>
        </w:rPr>
      </w:pPr>
      <w:r w:rsidRPr="00B8367E">
        <w:rPr>
          <w:rFonts w:asciiTheme="minorHAnsi" w:hAnsiTheme="minorHAnsi" w:cstheme="minorHAnsi"/>
        </w:rPr>
        <w:t>Figure</w:t>
      </w:r>
      <w:r w:rsidR="00EA2832">
        <w:rPr>
          <w:rFonts w:asciiTheme="minorHAnsi" w:hAnsiTheme="minorHAnsi" w:cstheme="minorHAnsi"/>
        </w:rPr>
        <w:t>A35</w:t>
      </w:r>
      <w:r w:rsidRPr="00B8367E">
        <w:rPr>
          <w:rFonts w:asciiTheme="minorHAnsi" w:hAnsiTheme="minorHAnsi" w:cstheme="minorHAnsi"/>
        </w:rPr>
        <w:t>: Annual direct employment in the power sector</w:t>
      </w:r>
    </w:p>
    <w:p w14:paraId="78A428B5" w14:textId="77777777" w:rsidR="00B9531A" w:rsidRPr="00B8367E" w:rsidRDefault="00B9531A" w:rsidP="00B9531A">
      <w:pPr>
        <w:spacing w:after="0" w:line="240" w:lineRule="auto"/>
        <w:jc w:val="left"/>
        <w:rPr>
          <w:rFonts w:eastAsia="Times New Roman" w:cstheme="minorHAnsi"/>
          <w:b/>
          <w:bCs/>
          <w:color w:val="000000"/>
          <w:sz w:val="21"/>
          <w:szCs w:val="21"/>
          <w:lang w:eastAsia="de-CH"/>
        </w:rPr>
      </w:pPr>
      <w:r w:rsidRPr="0099228F">
        <w:rPr>
          <w:rFonts w:cstheme="minorHAnsi"/>
          <w:noProof/>
        </w:rPr>
        <w:drawing>
          <wp:inline distT="0" distB="0" distL="0" distR="0" wp14:anchorId="4C89C441" wp14:editId="5C3AC41C">
            <wp:extent cx="5731510" cy="2149434"/>
            <wp:effectExtent l="0" t="0" r="2540" b="3810"/>
            <wp:docPr id="53" name="Diagramm 53">
              <a:extLst xmlns:a="http://schemas.openxmlformats.org/drawingml/2006/main">
                <a:ext uri="{FF2B5EF4-FFF2-40B4-BE49-F238E27FC236}">
                  <a16:creationId xmlns:a16="http://schemas.microsoft.com/office/drawing/2014/main" id="{53F06F6D-DDB6-4C5C-9E5C-26607EBF52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F28CBA2" w14:textId="77777777" w:rsidR="00AA7752" w:rsidRPr="0099228F" w:rsidRDefault="00AA7752" w:rsidP="00AA7752">
      <w:pPr>
        <w:rPr>
          <w:rFonts w:cstheme="minorHAnsi"/>
        </w:rPr>
      </w:pPr>
    </w:p>
    <w:sectPr w:rsidR="00AA7752" w:rsidRPr="0099228F" w:rsidSect="00980006">
      <w:headerReference w:type="even" r:id="rId54"/>
      <w:headerReference w:type="default" r:id="rId55"/>
      <w:footerReference w:type="even" r:id="rId56"/>
      <w:footerReference w:type="default" r:id="rId57"/>
      <w:headerReference w:type="first" r:id="rId58"/>
      <w:footerReference w:type="first" r:id="rId59"/>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1F3D8" w14:textId="77777777" w:rsidR="00021507" w:rsidRDefault="00021507" w:rsidP="005B54E4">
      <w:pPr>
        <w:spacing w:after="0" w:line="240" w:lineRule="auto"/>
      </w:pPr>
      <w:r>
        <w:separator/>
      </w:r>
    </w:p>
  </w:endnote>
  <w:endnote w:type="continuationSeparator" w:id="0">
    <w:p w14:paraId="064C3811" w14:textId="77777777" w:rsidR="00021507" w:rsidRDefault="00021507" w:rsidP="005B5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ZapfDingbatsITC">
    <w:altName w:val="Yu Gothic"/>
    <w:panose1 w:val="00000000000000000000"/>
    <w:charset w:val="80"/>
    <w:family w:val="auto"/>
    <w:notTrueType/>
    <w:pitch w:val="default"/>
    <w:sig w:usb0="00000001" w:usb1="08070000" w:usb2="00000010" w:usb3="00000000" w:csb0="00020000" w:csb1="00000000"/>
  </w:font>
  <w:font w:name="CharisSIL">
    <w:altName w:val="MS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C258" w14:textId="77777777" w:rsidR="00612BD4" w:rsidRDefault="00612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11873"/>
      <w:docPartObj>
        <w:docPartGallery w:val="Page Numbers (Bottom of Page)"/>
        <w:docPartUnique/>
      </w:docPartObj>
    </w:sdtPr>
    <w:sdtEndPr/>
    <w:sdtContent>
      <w:p w14:paraId="77A5A126" w14:textId="0C7A5084" w:rsidR="00612BD4" w:rsidRDefault="00612BD4">
        <w:pPr>
          <w:pStyle w:val="Footer"/>
          <w:jc w:val="center"/>
        </w:pPr>
        <w:r>
          <w:fldChar w:fldCharType="begin"/>
        </w:r>
        <w:r>
          <w:instrText>PAGE   \* MERGEFORMAT</w:instrText>
        </w:r>
        <w:r>
          <w:fldChar w:fldCharType="separate"/>
        </w:r>
        <w:r>
          <w:rPr>
            <w:lang w:val="de-DE"/>
          </w:rPr>
          <w:t>2</w:t>
        </w:r>
        <w:r>
          <w:fldChar w:fldCharType="end"/>
        </w:r>
      </w:p>
    </w:sdtContent>
  </w:sdt>
  <w:p w14:paraId="5E5A371A" w14:textId="77777777" w:rsidR="00612BD4" w:rsidRDefault="00612B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F397" w14:textId="77777777" w:rsidR="00612BD4" w:rsidRDefault="00612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F8B7F" w14:textId="77777777" w:rsidR="00021507" w:rsidRDefault="00021507" w:rsidP="005B54E4">
      <w:pPr>
        <w:spacing w:after="0" w:line="240" w:lineRule="auto"/>
      </w:pPr>
      <w:r>
        <w:separator/>
      </w:r>
    </w:p>
  </w:footnote>
  <w:footnote w:type="continuationSeparator" w:id="0">
    <w:p w14:paraId="704451FD" w14:textId="77777777" w:rsidR="00021507" w:rsidRDefault="00021507" w:rsidP="005B54E4">
      <w:pPr>
        <w:spacing w:after="0" w:line="240" w:lineRule="auto"/>
      </w:pPr>
      <w:r>
        <w:continuationSeparator/>
      </w:r>
    </w:p>
  </w:footnote>
  <w:footnote w:id="1">
    <w:p w14:paraId="6C428553" w14:textId="4330D8D3" w:rsidR="00612BD4" w:rsidRPr="00893ABB" w:rsidRDefault="00612BD4">
      <w:pPr>
        <w:pStyle w:val="FootnoteText"/>
        <w:rPr>
          <w:sz w:val="16"/>
          <w:szCs w:val="16"/>
        </w:rPr>
      </w:pPr>
      <w:r w:rsidRPr="00893ABB">
        <w:rPr>
          <w:rStyle w:val="FootnoteReference"/>
          <w:sz w:val="16"/>
          <w:szCs w:val="16"/>
        </w:rPr>
        <w:footnoteRef/>
      </w:r>
      <w:r w:rsidRPr="00893ABB">
        <w:rPr>
          <w:sz w:val="16"/>
          <w:szCs w:val="16"/>
        </w:rPr>
        <w:t xml:space="preserve"> We note that the extended Stock-Flow consistent EIRIN macroeconomic model presented in </w:t>
      </w:r>
      <w:proofErr w:type="spellStart"/>
      <w:r w:rsidRPr="00893ABB">
        <w:rPr>
          <w:sz w:val="16"/>
          <w:szCs w:val="16"/>
        </w:rPr>
        <w:t>Dunz</w:t>
      </w:r>
      <w:proofErr w:type="spellEnd"/>
      <w:r w:rsidRPr="00893ABB">
        <w:rPr>
          <w:sz w:val="16"/>
          <w:szCs w:val="16"/>
        </w:rPr>
        <w:t xml:space="preserve"> et al. (2018; 2019) is a first step to represent policies that help to close the green finance gap. EIRIN allows to test the effect of a Green Supporting Factor (GSF) on green investments in the real economy. </w:t>
      </w:r>
    </w:p>
  </w:footnote>
  <w:footnote w:id="2">
    <w:p w14:paraId="4864F88B" w14:textId="77777777" w:rsidR="00612BD4" w:rsidRPr="00B8367E" w:rsidRDefault="00612BD4" w:rsidP="00793BA2">
      <w:pPr>
        <w:pStyle w:val="FootnoteText"/>
        <w:rPr>
          <w:sz w:val="16"/>
          <w:szCs w:val="16"/>
        </w:rPr>
      </w:pPr>
      <w:r w:rsidRPr="00B8367E">
        <w:rPr>
          <w:rStyle w:val="FootnoteReference"/>
          <w:sz w:val="16"/>
          <w:szCs w:val="16"/>
        </w:rPr>
        <w:footnoteRef/>
      </w:r>
      <w:r w:rsidRPr="00B8367E">
        <w:rPr>
          <w:sz w:val="16"/>
          <w:szCs w:val="16"/>
        </w:rPr>
        <w:t xml:space="preserve"> </w:t>
      </w:r>
      <w:r w:rsidRPr="000A2621">
        <w:rPr>
          <w:rFonts w:ascii="Calibri" w:hAnsi="Calibri" w:cs="Calibri"/>
          <w:i/>
          <w:iCs/>
          <w:color w:val="000000"/>
          <w:sz w:val="16"/>
          <w:szCs w:val="16"/>
        </w:rPr>
        <w:t>Leverage-points</w:t>
      </w:r>
      <w:r w:rsidRPr="000A2621">
        <w:rPr>
          <w:rFonts w:ascii="Calibri" w:hAnsi="Calibri" w:cs="Calibri"/>
          <w:color w:val="000000"/>
          <w:sz w:val="16"/>
          <w:szCs w:val="16"/>
        </w:rPr>
        <w:t xml:space="preserve"> or ‘sensitive intervention points’ affect key feedback loops in the system; therefore, the system is sensitive to changes in those points.  </w:t>
      </w:r>
    </w:p>
  </w:footnote>
  <w:footnote w:id="3">
    <w:p w14:paraId="649FC1C3" w14:textId="77777777" w:rsidR="00612BD4" w:rsidRPr="000A2621" w:rsidRDefault="00612BD4" w:rsidP="00793BA2">
      <w:pPr>
        <w:pStyle w:val="FootnoteText"/>
        <w:rPr>
          <w:sz w:val="16"/>
          <w:szCs w:val="16"/>
        </w:rPr>
      </w:pPr>
      <w:r w:rsidRPr="000A2621">
        <w:rPr>
          <w:rStyle w:val="FootnoteReference"/>
          <w:sz w:val="16"/>
          <w:szCs w:val="16"/>
        </w:rPr>
        <w:footnoteRef/>
      </w:r>
      <w:r w:rsidRPr="000A2621">
        <w:rPr>
          <w:sz w:val="16"/>
          <w:szCs w:val="16"/>
        </w:rPr>
        <w:t xml:space="preserve"> If GIBM is reproduced with another </w:t>
      </w:r>
      <w:proofErr w:type="spellStart"/>
      <w:r w:rsidRPr="000A2621">
        <w:rPr>
          <w:sz w:val="16"/>
          <w:szCs w:val="16"/>
        </w:rPr>
        <w:t>Vensim</w:t>
      </w:r>
      <w:proofErr w:type="spellEnd"/>
      <w:r w:rsidRPr="000A2621">
        <w:rPr>
          <w:sz w:val="16"/>
          <w:szCs w:val="16"/>
        </w:rPr>
        <w:t xml:space="preserve"> version, </w:t>
      </w:r>
      <w:r w:rsidRPr="000A2621">
        <w:rPr>
          <w:sz w:val="16"/>
          <w:szCs w:val="16"/>
          <w:lang w:val="en"/>
        </w:rPr>
        <w:t>there may be some differences due to different rounding approaches used in the software platform.</w:t>
      </w:r>
    </w:p>
  </w:footnote>
  <w:footnote w:id="4">
    <w:p w14:paraId="5FD94ACD" w14:textId="77777777" w:rsidR="00612BD4" w:rsidRPr="00DA6CAD" w:rsidRDefault="00612BD4" w:rsidP="00793BA2">
      <w:pPr>
        <w:pStyle w:val="FootnoteText"/>
        <w:rPr>
          <w:sz w:val="16"/>
          <w:szCs w:val="16"/>
        </w:rPr>
      </w:pPr>
      <w:r w:rsidRPr="000A2621">
        <w:rPr>
          <w:rStyle w:val="FootnoteReference"/>
          <w:sz w:val="16"/>
          <w:szCs w:val="16"/>
        </w:rPr>
        <w:footnoteRef/>
      </w:r>
      <w:r w:rsidRPr="000A2621">
        <w:rPr>
          <w:sz w:val="16"/>
          <w:szCs w:val="16"/>
        </w:rPr>
        <w:t xml:space="preserve"> While the distinction between large-scale and small and stylised mathematical models is certainly not clear-cut, large-scale models involve a large number of variables and equations and cannot generally be solved analytical but are solved numerical. In contrast, stylized mathematical models contain relatively few equations, are more abstract than large-scale models and do not represent details.</w:t>
      </w:r>
      <w:r w:rsidRPr="00DA6CAD">
        <w:rPr>
          <w:sz w:val="16"/>
          <w:szCs w:val="16"/>
        </w:rPr>
        <w:t xml:space="preserve"> </w:t>
      </w:r>
    </w:p>
  </w:footnote>
  <w:footnote w:id="5">
    <w:p w14:paraId="42FD9877" w14:textId="77777777" w:rsidR="00760E61" w:rsidRPr="00D53DC2" w:rsidRDefault="00760E61" w:rsidP="00760E61">
      <w:pPr>
        <w:pStyle w:val="FootnoteText"/>
        <w:rPr>
          <w:sz w:val="16"/>
          <w:szCs w:val="16"/>
        </w:rPr>
      </w:pPr>
      <w:r w:rsidRPr="00D53DC2">
        <w:rPr>
          <w:rStyle w:val="FootnoteReference"/>
          <w:sz w:val="16"/>
          <w:szCs w:val="16"/>
        </w:rPr>
        <w:footnoteRef/>
      </w:r>
      <w:r w:rsidRPr="00D53DC2">
        <w:rPr>
          <w:sz w:val="16"/>
          <w:szCs w:val="16"/>
        </w:rPr>
        <w:t xml:space="preserve"> </w:t>
      </w:r>
      <w:r>
        <w:rPr>
          <w:sz w:val="16"/>
          <w:szCs w:val="16"/>
        </w:rPr>
        <w:t xml:space="preserve">There are no exact numbers on this percentage available. So the 90% is our estimation based on the undertaken expert interviews (see Hafner et al., 2020a). When the finance gap is larger in reality, it will not change our conclusion, but rather increase the size of the achieved co-benefits due to the introduction of a systems policy scenario. </w:t>
      </w:r>
    </w:p>
  </w:footnote>
  <w:footnote w:id="6">
    <w:p w14:paraId="43928E07" w14:textId="77777777" w:rsidR="00760E61" w:rsidRPr="003568E0" w:rsidRDefault="00760E61" w:rsidP="00760E61">
      <w:pPr>
        <w:pStyle w:val="FootnoteText"/>
        <w:rPr>
          <w:sz w:val="16"/>
          <w:szCs w:val="16"/>
        </w:rPr>
      </w:pPr>
      <w:r w:rsidRPr="004C0C31">
        <w:rPr>
          <w:rStyle w:val="FootnoteReference"/>
          <w:sz w:val="16"/>
          <w:szCs w:val="16"/>
        </w:rPr>
        <w:footnoteRef/>
      </w:r>
      <w:r w:rsidRPr="004C0C31">
        <w:rPr>
          <w:sz w:val="16"/>
          <w:szCs w:val="16"/>
        </w:rPr>
        <w:t xml:space="preserve"> However, we note that for the investigation of how climate policy risk might </w:t>
      </w:r>
      <w:r w:rsidRPr="00B05083">
        <w:rPr>
          <w:sz w:val="16"/>
          <w:szCs w:val="16"/>
        </w:rPr>
        <w:t xml:space="preserve">propagate through the financial system (e.g. </w:t>
      </w:r>
      <w:proofErr w:type="spellStart"/>
      <w:r w:rsidRPr="00B05083">
        <w:rPr>
          <w:sz w:val="16"/>
          <w:szCs w:val="16"/>
        </w:rPr>
        <w:t>Battiston</w:t>
      </w:r>
      <w:proofErr w:type="spellEnd"/>
      <w:r w:rsidRPr="00B05083">
        <w:rPr>
          <w:sz w:val="16"/>
          <w:szCs w:val="16"/>
        </w:rPr>
        <w:t xml:space="preserve"> et al., 2017) or on the impact of climate change on the banking system (see </w:t>
      </w:r>
      <w:proofErr w:type="spellStart"/>
      <w:r w:rsidRPr="00B05083">
        <w:rPr>
          <w:sz w:val="16"/>
          <w:szCs w:val="16"/>
        </w:rPr>
        <w:t>Lamperti</w:t>
      </w:r>
      <w:proofErr w:type="spellEnd"/>
      <w:r w:rsidRPr="00B05083">
        <w:rPr>
          <w:sz w:val="16"/>
          <w:szCs w:val="16"/>
        </w:rPr>
        <w:t xml:space="preserve"> et al., 2019) </w:t>
      </w:r>
      <w:r w:rsidRPr="004C0C31">
        <w:rPr>
          <w:sz w:val="16"/>
          <w:szCs w:val="16"/>
        </w:rPr>
        <w:t xml:space="preserve">models that feature finance explicitly are required. </w:t>
      </w:r>
    </w:p>
  </w:footnote>
  <w:footnote w:id="7">
    <w:p w14:paraId="3D6621AB" w14:textId="50434D12" w:rsidR="00612BD4" w:rsidRPr="00C024BF" w:rsidRDefault="00612BD4" w:rsidP="00B8367E">
      <w:pPr>
        <w:pStyle w:val="FootnoteText"/>
        <w:spacing w:after="80"/>
        <w:rPr>
          <w:sz w:val="16"/>
          <w:szCs w:val="16"/>
        </w:rPr>
      </w:pPr>
      <w:r w:rsidRPr="00190A07">
        <w:rPr>
          <w:rStyle w:val="FootnoteReference"/>
          <w:sz w:val="16"/>
          <w:szCs w:val="16"/>
        </w:rPr>
        <w:footnoteRef/>
      </w:r>
      <w:r w:rsidRPr="00190A07">
        <w:rPr>
          <w:sz w:val="16"/>
          <w:szCs w:val="16"/>
        </w:rPr>
        <w:t xml:space="preserve"> We note that investment decisions by energy firms are influenced by a behavioural component (e.g. expertise or preferences)</w:t>
      </w:r>
      <w:r>
        <w:rPr>
          <w:sz w:val="16"/>
          <w:szCs w:val="16"/>
        </w:rPr>
        <w:t xml:space="preserve"> and therefore</w:t>
      </w:r>
      <w:r w:rsidRPr="00190A07">
        <w:rPr>
          <w:sz w:val="16"/>
          <w:szCs w:val="16"/>
        </w:rPr>
        <w:t xml:space="preserve"> the</w:t>
      </w:r>
      <w:r w:rsidRPr="00C024BF">
        <w:rPr>
          <w:sz w:val="16"/>
          <w:szCs w:val="16"/>
        </w:rPr>
        <w:t xml:space="preserve"> base-run is not necessarily the most cost-efficient scenario in terms of energy system costs.</w:t>
      </w:r>
      <w:r w:rsidR="008650D1">
        <w:rPr>
          <w:sz w:val="16"/>
          <w:szCs w:val="16"/>
        </w:rPr>
        <w:t xml:space="preserve"> </w:t>
      </w:r>
    </w:p>
  </w:footnote>
  <w:footnote w:id="8">
    <w:p w14:paraId="12268174" w14:textId="77777777" w:rsidR="00612BD4" w:rsidRDefault="00612BD4" w:rsidP="00B8367E">
      <w:pPr>
        <w:pStyle w:val="FootnoteText"/>
        <w:spacing w:after="80"/>
      </w:pPr>
      <w:r w:rsidRPr="00C024BF">
        <w:rPr>
          <w:rStyle w:val="FootnoteReference"/>
          <w:sz w:val="16"/>
          <w:szCs w:val="16"/>
        </w:rPr>
        <w:footnoteRef/>
      </w:r>
      <w:r w:rsidRPr="00C024BF">
        <w:rPr>
          <w:sz w:val="16"/>
          <w:szCs w:val="16"/>
        </w:rPr>
        <w:t xml:space="preserve"> </w:t>
      </w:r>
      <w:r w:rsidRPr="00190A07">
        <w:rPr>
          <w:sz w:val="16"/>
          <w:szCs w:val="16"/>
        </w:rPr>
        <w:t>In GIBM, the number of people</w:t>
      </w:r>
      <w:r w:rsidRPr="00863873">
        <w:rPr>
          <w:sz w:val="16"/>
          <w:szCs w:val="16"/>
        </w:rPr>
        <w:t xml:space="preserve"> outside the labour force is dependent on the percentage of unemployment due to the so-called ‘discouraged workers effect’ (e.g. </w:t>
      </w:r>
      <w:proofErr w:type="spellStart"/>
      <w:r w:rsidRPr="00863873">
        <w:rPr>
          <w:color w:val="000000" w:themeColor="text1"/>
          <w:sz w:val="16"/>
          <w:szCs w:val="16"/>
          <w:shd w:val="clear" w:color="auto" w:fill="FFFFFF"/>
        </w:rPr>
        <w:t>Filatriau</w:t>
      </w:r>
      <w:proofErr w:type="spellEnd"/>
      <w:r w:rsidRPr="00863873">
        <w:rPr>
          <w:color w:val="000000" w:themeColor="text1"/>
          <w:sz w:val="16"/>
          <w:szCs w:val="16"/>
          <w:shd w:val="clear" w:color="auto" w:fill="FFFFFF"/>
        </w:rPr>
        <w:t xml:space="preserve"> &amp; </w:t>
      </w:r>
      <w:proofErr w:type="spellStart"/>
      <w:r w:rsidRPr="00863873">
        <w:rPr>
          <w:color w:val="000000" w:themeColor="text1"/>
          <w:sz w:val="16"/>
          <w:szCs w:val="16"/>
          <w:shd w:val="clear" w:color="auto" w:fill="FFFFFF"/>
        </w:rPr>
        <w:t>Reynès</w:t>
      </w:r>
      <w:proofErr w:type="spellEnd"/>
      <w:r w:rsidRPr="00863873">
        <w:rPr>
          <w:color w:val="000000" w:themeColor="text1"/>
          <w:sz w:val="16"/>
          <w:szCs w:val="16"/>
          <w:shd w:val="clear" w:color="auto" w:fill="FFFFFF"/>
        </w:rPr>
        <w:t>, 2012)</w:t>
      </w:r>
      <w:r w:rsidRPr="00863873">
        <w:rPr>
          <w:sz w:val="16"/>
          <w:szCs w:val="16"/>
        </w:rPr>
        <w:t>.</w:t>
      </w:r>
      <w:r>
        <w:rPr>
          <w:sz w:val="16"/>
          <w:szCs w:val="16"/>
        </w:rPr>
        <w:t xml:space="preserve"> Therefore</w:t>
      </w:r>
      <w:r w:rsidRPr="00863873">
        <w:rPr>
          <w:sz w:val="16"/>
          <w:szCs w:val="16"/>
        </w:rPr>
        <w:t xml:space="preserve">, individuals who although would desire to work, </w:t>
      </w:r>
      <w:r>
        <w:rPr>
          <w:sz w:val="16"/>
          <w:szCs w:val="16"/>
        </w:rPr>
        <w:t xml:space="preserve">may </w:t>
      </w:r>
      <w:r w:rsidRPr="00863873">
        <w:rPr>
          <w:sz w:val="16"/>
          <w:szCs w:val="16"/>
        </w:rPr>
        <w:t>decide to stay outside the labour force due to discouragement and are therefore a part of the inactive labour force. In our study, we decided to consider these otherwise ‘hidden’ individuals in our policy evaluation.</w:t>
      </w:r>
    </w:p>
  </w:footnote>
  <w:footnote w:id="9">
    <w:p w14:paraId="1C686E55" w14:textId="77777777" w:rsidR="00612BD4" w:rsidRPr="003C0CAD" w:rsidRDefault="00612BD4" w:rsidP="00D00837">
      <w:pPr>
        <w:autoSpaceDE w:val="0"/>
        <w:autoSpaceDN w:val="0"/>
        <w:adjustRightInd w:val="0"/>
        <w:spacing w:after="0" w:line="276" w:lineRule="auto"/>
        <w:jc w:val="left"/>
        <w:rPr>
          <w:rFonts w:cstheme="minorHAnsi"/>
          <w:sz w:val="16"/>
          <w:szCs w:val="16"/>
        </w:rPr>
      </w:pPr>
      <w:r w:rsidRPr="003C0CAD">
        <w:rPr>
          <w:rStyle w:val="FootnoteReference"/>
          <w:sz w:val="16"/>
          <w:szCs w:val="16"/>
        </w:rPr>
        <w:footnoteRef/>
      </w:r>
      <w:r w:rsidRPr="003C0CAD">
        <w:rPr>
          <w:sz w:val="16"/>
          <w:szCs w:val="16"/>
        </w:rPr>
        <w:t xml:space="preserve"> </w:t>
      </w:r>
      <w:r w:rsidRPr="003C0CAD">
        <w:rPr>
          <w:rFonts w:cstheme="minorHAnsi"/>
          <w:sz w:val="16"/>
          <w:szCs w:val="16"/>
        </w:rPr>
        <w:t xml:space="preserve">Utility optimisation algorithms (the social planner assumption). </w:t>
      </w:r>
    </w:p>
  </w:footnote>
  <w:footnote w:id="10">
    <w:p w14:paraId="6D5D8705" w14:textId="77777777" w:rsidR="00612BD4" w:rsidRPr="00B839AE" w:rsidRDefault="00612BD4" w:rsidP="00D00837">
      <w:pPr>
        <w:autoSpaceDE w:val="0"/>
        <w:autoSpaceDN w:val="0"/>
        <w:adjustRightInd w:val="0"/>
        <w:spacing w:after="0" w:line="240" w:lineRule="auto"/>
        <w:jc w:val="left"/>
        <w:rPr>
          <w:rFonts w:eastAsia="ZapfDingbatsITC" w:cstheme="minorHAnsi"/>
          <w:color w:val="000000"/>
          <w:sz w:val="16"/>
          <w:szCs w:val="16"/>
        </w:rPr>
      </w:pPr>
      <w:r w:rsidRPr="00B839AE">
        <w:rPr>
          <w:rStyle w:val="FootnoteReference"/>
          <w:rFonts w:cstheme="minorHAnsi"/>
          <w:sz w:val="16"/>
          <w:szCs w:val="16"/>
        </w:rPr>
        <w:footnoteRef/>
      </w:r>
      <w:r w:rsidRPr="00B839AE">
        <w:rPr>
          <w:rFonts w:cstheme="minorHAnsi"/>
          <w:sz w:val="16"/>
          <w:szCs w:val="16"/>
        </w:rPr>
        <w:t xml:space="preserve"> </w:t>
      </w:r>
      <w:r w:rsidRPr="00A249B9">
        <w:rPr>
          <w:rFonts w:eastAsia="ZapfDingbatsITC" w:cstheme="minorHAnsi"/>
          <w:sz w:val="16"/>
          <w:szCs w:val="16"/>
        </w:rPr>
        <w:t xml:space="preserve">This scenario also includes the electrification of heating and transport, requiring a greater deployment of renewables for power generation. </w:t>
      </w:r>
    </w:p>
  </w:footnote>
  <w:footnote w:id="11">
    <w:p w14:paraId="0964F56F" w14:textId="0ADFF889" w:rsidR="00612BD4" w:rsidRPr="00DA5AC6" w:rsidRDefault="00612BD4">
      <w:pPr>
        <w:pStyle w:val="FootnoteText"/>
        <w:rPr>
          <w:sz w:val="16"/>
          <w:szCs w:val="16"/>
        </w:rPr>
      </w:pPr>
      <w:r w:rsidRPr="00DA5AC6">
        <w:rPr>
          <w:rStyle w:val="FootnoteReference"/>
          <w:sz w:val="16"/>
          <w:szCs w:val="16"/>
        </w:rPr>
        <w:footnoteRef/>
      </w:r>
      <w:r w:rsidRPr="00DA5AC6">
        <w:rPr>
          <w:sz w:val="16"/>
          <w:szCs w:val="16"/>
        </w:rPr>
        <w:t xml:space="preserve"> </w:t>
      </w:r>
      <w:r>
        <w:rPr>
          <w:sz w:val="16"/>
          <w:szCs w:val="16"/>
        </w:rPr>
        <w:t xml:space="preserve">The introduction of the GSF would </w:t>
      </w:r>
      <w:r w:rsidRPr="00DA5AC6">
        <w:rPr>
          <w:rStyle w:val="hgkelc"/>
          <w:sz w:val="16"/>
          <w:szCs w:val="16"/>
        </w:rPr>
        <w:t xml:space="preserve">lower the risk weights applied to environmentally friendly (i.e. </w:t>
      </w:r>
      <w:r w:rsidRPr="007D1CCB">
        <w:rPr>
          <w:rStyle w:val="hgkelc"/>
          <w:sz w:val="16"/>
          <w:szCs w:val="16"/>
        </w:rPr>
        <w:t>green</w:t>
      </w:r>
      <w:r w:rsidRPr="00DA5AC6">
        <w:rPr>
          <w:rStyle w:val="hgkelc"/>
          <w:sz w:val="16"/>
          <w:szCs w:val="16"/>
        </w:rPr>
        <w:t>) loans and investments, thereby reducing banks' capital requirements for these particular assets.</w:t>
      </w:r>
      <w:r>
        <w:rPr>
          <w:rStyle w:val="hgkelc"/>
          <w:sz w:val="16"/>
          <w:szCs w:val="16"/>
        </w:rPr>
        <w:t xml:space="preserve"> This is supposed to</w:t>
      </w:r>
      <w:r w:rsidRPr="00DA5AC6">
        <w:rPr>
          <w:rStyle w:val="hgkelc"/>
          <w:sz w:val="16"/>
          <w:szCs w:val="16"/>
        </w:rPr>
        <w:t xml:space="preserve"> encourage banks to finance environmentally friendly investments.</w:t>
      </w:r>
      <w:r>
        <w:rPr>
          <w:rStyle w:val="hgkelc"/>
          <w:sz w:val="16"/>
          <w:szCs w:val="16"/>
        </w:rPr>
        <w:t xml:space="preserve"> </w:t>
      </w:r>
    </w:p>
  </w:footnote>
  <w:footnote w:id="12">
    <w:p w14:paraId="24290862" w14:textId="77777777" w:rsidR="00612BD4" w:rsidRPr="00DA1F23" w:rsidRDefault="00612BD4" w:rsidP="00852531">
      <w:pPr>
        <w:pStyle w:val="FootnoteText"/>
        <w:rPr>
          <w:sz w:val="16"/>
          <w:szCs w:val="16"/>
        </w:rPr>
      </w:pPr>
      <w:r w:rsidRPr="003568E0">
        <w:rPr>
          <w:rStyle w:val="FootnoteReference"/>
          <w:sz w:val="16"/>
          <w:szCs w:val="16"/>
        </w:rPr>
        <w:footnoteRef/>
      </w:r>
      <w:r w:rsidRPr="003568E0">
        <w:rPr>
          <w:sz w:val="16"/>
          <w:szCs w:val="16"/>
        </w:rPr>
        <w:t xml:space="preserve"> Specifically, </w:t>
      </w:r>
      <w:r w:rsidRPr="003568E0">
        <w:rPr>
          <w:sz w:val="16"/>
          <w:szCs w:val="16"/>
          <w:lang w:val="en"/>
        </w:rPr>
        <w:t xml:space="preserve">GIBM was built in </w:t>
      </w:r>
      <w:proofErr w:type="spellStart"/>
      <w:r w:rsidRPr="003568E0">
        <w:rPr>
          <w:bCs/>
          <w:i/>
          <w:iCs/>
          <w:sz w:val="16"/>
          <w:szCs w:val="16"/>
          <w:lang w:val="en"/>
        </w:rPr>
        <w:t>Vensim</w:t>
      </w:r>
      <w:proofErr w:type="spellEnd"/>
      <w:r w:rsidRPr="003568E0">
        <w:rPr>
          <w:bCs/>
          <w:i/>
          <w:iCs/>
          <w:sz w:val="16"/>
          <w:szCs w:val="16"/>
          <w:lang w:val="en"/>
        </w:rPr>
        <w:t xml:space="preserve"> 7</w:t>
      </w:r>
      <w:r w:rsidRPr="003568E0">
        <w:rPr>
          <w:sz w:val="16"/>
          <w:szCs w:val="16"/>
          <w:lang w:val="en"/>
        </w:rPr>
        <w:t xml:space="preserve"> (</w:t>
      </w:r>
      <w:hyperlink r:id="rId1" w:history="1">
        <w:r w:rsidRPr="003568E0">
          <w:rPr>
            <w:rStyle w:val="Hyperlink"/>
            <w:color w:val="auto"/>
            <w:sz w:val="16"/>
            <w:szCs w:val="16"/>
            <w:u w:val="none"/>
            <w:lang w:val="en"/>
          </w:rPr>
          <w:t>https://vensim.com/vensim-7-release/</w:t>
        </w:r>
      </w:hyperlink>
      <w:r w:rsidRPr="003568E0">
        <w:rPr>
          <w:sz w:val="16"/>
          <w:szCs w:val="16"/>
          <w:lang w:val="en"/>
        </w:rPr>
        <w:t xml:space="preserve">). There may be small differences in the model output if using a different version of </w:t>
      </w:r>
      <w:proofErr w:type="spellStart"/>
      <w:r w:rsidRPr="003568E0">
        <w:rPr>
          <w:sz w:val="16"/>
          <w:szCs w:val="16"/>
          <w:lang w:val="en"/>
        </w:rPr>
        <w:t>Vensim</w:t>
      </w:r>
      <w:proofErr w:type="spellEnd"/>
      <w:r w:rsidRPr="003568E0">
        <w:rPr>
          <w:sz w:val="16"/>
          <w:szCs w:val="16"/>
          <w:lang w:val="en"/>
        </w:rPr>
        <w:t xml:space="preserve"> due to different rounding approaches.</w:t>
      </w:r>
    </w:p>
  </w:footnote>
  <w:footnote w:id="13">
    <w:p w14:paraId="59752F5C" w14:textId="77777777" w:rsidR="00612BD4" w:rsidRPr="00ED29A9" w:rsidRDefault="00612BD4" w:rsidP="00FD5102">
      <w:pPr>
        <w:pStyle w:val="FunoteA"/>
        <w:rPr>
          <w:rFonts w:ascii="Arial" w:hAnsi="Arial" w:cs="Arial"/>
          <w:sz w:val="16"/>
          <w:szCs w:val="16"/>
          <w:lang w:val="en-GB"/>
        </w:rPr>
      </w:pPr>
      <w:r w:rsidRPr="00ED29A9">
        <w:rPr>
          <w:rFonts w:ascii="Arial" w:hAnsi="Arial" w:cs="Arial"/>
          <w:sz w:val="16"/>
          <w:szCs w:val="16"/>
          <w:vertAlign w:val="superscript"/>
          <w:lang w:val="en-US"/>
        </w:rPr>
        <w:footnoteRef/>
      </w:r>
      <w:r w:rsidRPr="00ED29A9">
        <w:rPr>
          <w:rFonts w:ascii="Arial" w:hAnsi="Arial" w:cs="Arial"/>
          <w:sz w:val="16"/>
          <w:szCs w:val="16"/>
          <w:lang w:val="en-GB"/>
        </w:rPr>
        <w:t xml:space="preserve"> A</w:t>
      </w:r>
      <w:r w:rsidRPr="00ED29A9">
        <w:rPr>
          <w:rFonts w:ascii="Arial" w:hAnsi="Arial" w:cs="Arial"/>
          <w:sz w:val="16"/>
          <w:szCs w:val="16"/>
          <w:lang w:val="en-US"/>
        </w:rPr>
        <w:t>s</w:t>
      </w:r>
      <w:r>
        <w:rPr>
          <w:rFonts w:ascii="Arial" w:hAnsi="Arial" w:cs="Arial"/>
          <w:sz w:val="16"/>
          <w:szCs w:val="16"/>
          <w:lang w:val="en-US"/>
        </w:rPr>
        <w:t xml:space="preserve"> </w:t>
      </w:r>
      <w:r w:rsidRPr="00ED29A9">
        <w:rPr>
          <w:rFonts w:ascii="Arial" w:hAnsi="Arial" w:cs="Arial"/>
          <w:sz w:val="16"/>
          <w:szCs w:val="16"/>
          <w:lang w:val="en-US"/>
        </w:rPr>
        <w:t xml:space="preserve">will </w:t>
      </w:r>
      <w:r>
        <w:rPr>
          <w:rFonts w:ascii="Arial" w:hAnsi="Arial" w:cs="Arial"/>
          <w:sz w:val="16"/>
          <w:szCs w:val="16"/>
          <w:lang w:val="en-US"/>
        </w:rPr>
        <w:t xml:space="preserve">be </w:t>
      </w:r>
      <w:r w:rsidRPr="00ED29A9">
        <w:rPr>
          <w:rFonts w:ascii="Arial" w:hAnsi="Arial" w:cs="Arial"/>
          <w:sz w:val="16"/>
          <w:szCs w:val="16"/>
          <w:lang w:val="en-US"/>
        </w:rPr>
        <w:t>see</w:t>
      </w:r>
      <w:r>
        <w:rPr>
          <w:rFonts w:ascii="Arial" w:hAnsi="Arial" w:cs="Arial"/>
          <w:sz w:val="16"/>
          <w:szCs w:val="16"/>
          <w:lang w:val="en-US"/>
        </w:rPr>
        <w:t>n</w:t>
      </w:r>
      <w:r w:rsidRPr="00ED29A9">
        <w:rPr>
          <w:rFonts w:ascii="Arial" w:hAnsi="Arial" w:cs="Arial"/>
          <w:sz w:val="16"/>
          <w:szCs w:val="16"/>
          <w:lang w:val="en-US"/>
        </w:rPr>
        <w:t xml:space="preserve"> later on, system dynamics defines a problem always in stock variables and not as flows. For example, the accumulation of greenhouse gas emissions over time is the problem</w:t>
      </w:r>
      <w:r>
        <w:rPr>
          <w:rFonts w:ascii="Arial" w:hAnsi="Arial" w:cs="Arial"/>
          <w:sz w:val="16"/>
          <w:szCs w:val="16"/>
          <w:lang w:val="en-US"/>
        </w:rPr>
        <w:t xml:space="preserve">, </w:t>
      </w:r>
      <w:r w:rsidRPr="00ED29A9">
        <w:rPr>
          <w:rFonts w:ascii="Arial" w:hAnsi="Arial" w:cs="Arial"/>
          <w:sz w:val="16"/>
          <w:szCs w:val="16"/>
          <w:lang w:val="en-US"/>
        </w:rPr>
        <w:t xml:space="preserve">and the annual emissions over time </w:t>
      </w:r>
      <w:r>
        <w:rPr>
          <w:rFonts w:ascii="Arial" w:hAnsi="Arial" w:cs="Arial"/>
          <w:sz w:val="16"/>
          <w:szCs w:val="16"/>
          <w:lang w:val="en-US"/>
        </w:rPr>
        <w:t xml:space="preserve">simply </w:t>
      </w:r>
      <w:r w:rsidRPr="00ED29A9">
        <w:rPr>
          <w:rFonts w:ascii="Arial" w:hAnsi="Arial" w:cs="Arial"/>
          <w:sz w:val="16"/>
          <w:szCs w:val="16"/>
          <w:lang w:val="en-US"/>
        </w:rPr>
        <w:t>determine this accumulation, but are not the actual problem.</w:t>
      </w:r>
      <w:r w:rsidRPr="00ED29A9">
        <w:rPr>
          <w:rFonts w:ascii="Arial" w:hAnsi="Arial" w:cs="Arial"/>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0EA2C" w14:textId="77777777" w:rsidR="00612BD4" w:rsidRDefault="00612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B910" w14:textId="77777777" w:rsidR="00612BD4" w:rsidRDefault="00612B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F3C4" w14:textId="77777777" w:rsidR="00612BD4" w:rsidRDefault="00612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353F"/>
    <w:multiLevelType w:val="multilevel"/>
    <w:tmpl w:val="FC42FB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1F4CF3"/>
    <w:multiLevelType w:val="hybridMultilevel"/>
    <w:tmpl w:val="799E3582"/>
    <w:lvl w:ilvl="0" w:tplc="310C11C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377271"/>
    <w:multiLevelType w:val="multilevel"/>
    <w:tmpl w:val="17DEE21C"/>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65B7FDC"/>
    <w:multiLevelType w:val="hybridMultilevel"/>
    <w:tmpl w:val="C9125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6D2C79"/>
    <w:multiLevelType w:val="hybridMultilevel"/>
    <w:tmpl w:val="9F5E85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C11C9"/>
    <w:multiLevelType w:val="hybridMultilevel"/>
    <w:tmpl w:val="EE48C0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3A7E83"/>
    <w:multiLevelType w:val="hybridMultilevel"/>
    <w:tmpl w:val="7AFA5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A4660D"/>
    <w:multiLevelType w:val="hybridMultilevel"/>
    <w:tmpl w:val="984E8D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EE217AC"/>
    <w:multiLevelType w:val="multilevel"/>
    <w:tmpl w:val="1E4834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05D7718"/>
    <w:multiLevelType w:val="hybridMultilevel"/>
    <w:tmpl w:val="D09C6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66189F"/>
    <w:multiLevelType w:val="hybridMultilevel"/>
    <w:tmpl w:val="BA68C0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282677"/>
    <w:multiLevelType w:val="multilevel"/>
    <w:tmpl w:val="0910ECB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677E1C"/>
    <w:multiLevelType w:val="hybridMultilevel"/>
    <w:tmpl w:val="0D8E3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9F622A"/>
    <w:multiLevelType w:val="multilevel"/>
    <w:tmpl w:val="58843288"/>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4134F98"/>
    <w:multiLevelType w:val="hybridMultilevel"/>
    <w:tmpl w:val="82EAB0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73D14"/>
    <w:multiLevelType w:val="hybridMultilevel"/>
    <w:tmpl w:val="5E288A0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717872"/>
    <w:multiLevelType w:val="hybridMultilevel"/>
    <w:tmpl w:val="4CA6ECD2"/>
    <w:lvl w:ilvl="0" w:tplc="585C253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7635D8D"/>
    <w:multiLevelType w:val="hybridMultilevel"/>
    <w:tmpl w:val="74A2F86E"/>
    <w:lvl w:ilvl="0" w:tplc="3B6E7A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8727FD3"/>
    <w:multiLevelType w:val="hybridMultilevel"/>
    <w:tmpl w:val="CA5CEA24"/>
    <w:lvl w:ilvl="0" w:tplc="08070015">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19BD0DF0"/>
    <w:multiLevelType w:val="hybridMultilevel"/>
    <w:tmpl w:val="70E6C334"/>
    <w:lvl w:ilvl="0" w:tplc="4D8C458E">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A875F82"/>
    <w:multiLevelType w:val="hybridMultilevel"/>
    <w:tmpl w:val="6E9A84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AF62E7"/>
    <w:multiLevelType w:val="hybridMultilevel"/>
    <w:tmpl w:val="689CA54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1D876FE3"/>
    <w:multiLevelType w:val="hybridMultilevel"/>
    <w:tmpl w:val="39865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1161010"/>
    <w:multiLevelType w:val="multilevel"/>
    <w:tmpl w:val="69E4B50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3691F58"/>
    <w:multiLevelType w:val="multilevel"/>
    <w:tmpl w:val="706E99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4797A6A"/>
    <w:multiLevelType w:val="multilevel"/>
    <w:tmpl w:val="BA0E27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90B54BB"/>
    <w:multiLevelType w:val="hybridMultilevel"/>
    <w:tmpl w:val="9B74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9A977E4"/>
    <w:multiLevelType w:val="hybridMultilevel"/>
    <w:tmpl w:val="223A7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B51D04"/>
    <w:multiLevelType w:val="multilevel"/>
    <w:tmpl w:val="160661A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2F0F144C"/>
    <w:multiLevelType w:val="hybridMultilevel"/>
    <w:tmpl w:val="FB3A7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145267"/>
    <w:multiLevelType w:val="hybridMultilevel"/>
    <w:tmpl w:val="C890F25C"/>
    <w:lvl w:ilvl="0" w:tplc="687853E4">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1A95615"/>
    <w:multiLevelType w:val="multilevel"/>
    <w:tmpl w:val="204EDAE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3A06301F"/>
    <w:multiLevelType w:val="multilevel"/>
    <w:tmpl w:val="99CCB9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CC21300"/>
    <w:multiLevelType w:val="multilevel"/>
    <w:tmpl w:val="960CE882"/>
    <w:lvl w:ilvl="0">
      <w:start w:val="1"/>
      <w:numFmt w:val="decimal"/>
      <w:lvlText w:val="%1."/>
      <w:lvlJc w:val="left"/>
      <w:pPr>
        <w:ind w:left="360" w:hanging="360"/>
      </w:pPr>
      <w:rPr>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792" w:hanging="432"/>
      </w:pPr>
      <w:rPr>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224" w:hanging="504"/>
      </w:pPr>
      <w:rPr>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1728" w:hanging="648"/>
      </w:pPr>
      <w:rPr>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232" w:hanging="792"/>
      </w:pPr>
      <w:rPr>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2736" w:hanging="936"/>
      </w:pPr>
      <w:rPr>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3240" w:hanging="1080"/>
      </w:pPr>
      <w:rPr>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3744" w:hanging="1224"/>
      </w:pPr>
      <w:rPr>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4320" w:hanging="1440"/>
      </w:pPr>
      <w:rPr>
        <w:b/>
        <w:bCs/>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E214707"/>
    <w:multiLevelType w:val="hybridMultilevel"/>
    <w:tmpl w:val="83969B6A"/>
    <w:lvl w:ilvl="0" w:tplc="77E2BD0E">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90622A"/>
    <w:multiLevelType w:val="hybridMultilevel"/>
    <w:tmpl w:val="3D24E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F2959DE"/>
    <w:multiLevelType w:val="hybridMultilevel"/>
    <w:tmpl w:val="C6AC38DE"/>
    <w:lvl w:ilvl="0" w:tplc="FAB0FE1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1CA1E11"/>
    <w:multiLevelType w:val="multilevel"/>
    <w:tmpl w:val="C6064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2BF5F18"/>
    <w:multiLevelType w:val="hybridMultilevel"/>
    <w:tmpl w:val="FD123222"/>
    <w:lvl w:ilvl="0" w:tplc="08070015">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15:restartNumberingAfterBreak="0">
    <w:nsid w:val="432D5515"/>
    <w:multiLevelType w:val="hybridMultilevel"/>
    <w:tmpl w:val="B94E8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3219C9"/>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5A56D8"/>
    <w:multiLevelType w:val="hybridMultilevel"/>
    <w:tmpl w:val="A9C0A8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116004"/>
    <w:multiLevelType w:val="multilevel"/>
    <w:tmpl w:val="CD62A7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54BD1AD8"/>
    <w:multiLevelType w:val="hybridMultilevel"/>
    <w:tmpl w:val="1CBEF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55D80A60"/>
    <w:multiLevelType w:val="hybridMultilevel"/>
    <w:tmpl w:val="CBAAD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B550FFE"/>
    <w:multiLevelType w:val="hybridMultilevel"/>
    <w:tmpl w:val="698A66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15:restartNumberingAfterBreak="0">
    <w:nsid w:val="5BB210A2"/>
    <w:multiLevelType w:val="multilevel"/>
    <w:tmpl w:val="105C0C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C5D1768"/>
    <w:multiLevelType w:val="hybridMultilevel"/>
    <w:tmpl w:val="181C72FE"/>
    <w:lvl w:ilvl="0" w:tplc="65C4A6B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28A00E0"/>
    <w:multiLevelType w:val="hybridMultilevel"/>
    <w:tmpl w:val="B44A2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4816AA8"/>
    <w:multiLevelType w:val="multilevel"/>
    <w:tmpl w:val="0EC88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50E0C2A"/>
    <w:multiLevelType w:val="multilevel"/>
    <w:tmpl w:val="A5369C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6CC601E"/>
    <w:multiLevelType w:val="hybridMultilevel"/>
    <w:tmpl w:val="601C7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99C635B"/>
    <w:multiLevelType w:val="multilevel"/>
    <w:tmpl w:val="98D4A0D8"/>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9A77507"/>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B77005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D813120"/>
    <w:multiLevelType w:val="multilevel"/>
    <w:tmpl w:val="3D9634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0F3672F"/>
    <w:multiLevelType w:val="hybridMultilevel"/>
    <w:tmpl w:val="562E7F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1F93146"/>
    <w:multiLevelType w:val="multilevel"/>
    <w:tmpl w:val="0B88B2F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4BD3CDA"/>
    <w:multiLevelType w:val="hybridMultilevel"/>
    <w:tmpl w:val="69EACF16"/>
    <w:lvl w:ilvl="0" w:tplc="F950389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6BD7537"/>
    <w:multiLevelType w:val="hybridMultilevel"/>
    <w:tmpl w:val="3F0AF1D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6C82513"/>
    <w:multiLevelType w:val="hybridMultilevel"/>
    <w:tmpl w:val="20DCE676"/>
    <w:styleLink w:val="Nummeriert"/>
    <w:lvl w:ilvl="0" w:tplc="F814B366">
      <w:start w:val="1"/>
      <w:numFmt w:val="decimal"/>
      <w:lvlText w:val="%1."/>
      <w:lvlJc w:val="left"/>
      <w:pPr>
        <w:ind w:left="50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FDCC318C">
      <w:start w:val="1"/>
      <w:numFmt w:val="decimal"/>
      <w:lvlText w:val="%2."/>
      <w:lvlJc w:val="left"/>
      <w:pPr>
        <w:ind w:left="86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2ABAA8A8">
      <w:start w:val="1"/>
      <w:numFmt w:val="decimal"/>
      <w:lvlText w:val="%3."/>
      <w:lvlJc w:val="left"/>
      <w:pPr>
        <w:ind w:left="122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D1C2BCBA">
      <w:start w:val="1"/>
      <w:numFmt w:val="decimal"/>
      <w:lvlText w:val="%4."/>
      <w:lvlJc w:val="left"/>
      <w:pPr>
        <w:ind w:left="158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B9BE583E">
      <w:start w:val="1"/>
      <w:numFmt w:val="decimal"/>
      <w:lvlText w:val="%5."/>
      <w:lvlJc w:val="left"/>
      <w:pPr>
        <w:ind w:left="194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BA40C28E">
      <w:start w:val="1"/>
      <w:numFmt w:val="decimal"/>
      <w:lvlText w:val="%6."/>
      <w:lvlJc w:val="left"/>
      <w:pPr>
        <w:ind w:left="230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32CC3C98">
      <w:start w:val="1"/>
      <w:numFmt w:val="decimal"/>
      <w:lvlText w:val="%7."/>
      <w:lvlJc w:val="left"/>
      <w:pPr>
        <w:ind w:left="266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F432D0DA">
      <w:start w:val="1"/>
      <w:numFmt w:val="decimal"/>
      <w:lvlText w:val="%8."/>
      <w:lvlJc w:val="left"/>
      <w:pPr>
        <w:ind w:left="302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568EA50">
      <w:start w:val="1"/>
      <w:numFmt w:val="decimal"/>
      <w:lvlText w:val="%9."/>
      <w:lvlJc w:val="left"/>
      <w:pPr>
        <w:ind w:left="3382"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79063F8B"/>
    <w:multiLevelType w:val="hybridMultilevel"/>
    <w:tmpl w:val="DC0C33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16"/>
  </w:num>
  <w:num w:numId="3">
    <w:abstractNumId w:val="36"/>
  </w:num>
  <w:num w:numId="4">
    <w:abstractNumId w:val="49"/>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4"/>
  </w:num>
  <w:num w:numId="8">
    <w:abstractNumId w:val="26"/>
  </w:num>
  <w:num w:numId="9">
    <w:abstractNumId w:val="4"/>
  </w:num>
  <w:num w:numId="10">
    <w:abstractNumId w:val="5"/>
  </w:num>
  <w:num w:numId="11">
    <w:abstractNumId w:val="41"/>
  </w:num>
  <w:num w:numId="12">
    <w:abstractNumId w:val="56"/>
  </w:num>
  <w:num w:numId="13">
    <w:abstractNumId w:val="61"/>
  </w:num>
  <w:num w:numId="14">
    <w:abstractNumId w:val="54"/>
  </w:num>
  <w:num w:numId="15">
    <w:abstractNumId w:val="17"/>
  </w:num>
  <w:num w:numId="16">
    <w:abstractNumId w:val="28"/>
  </w:num>
  <w:num w:numId="17">
    <w:abstractNumId w:val="59"/>
  </w:num>
  <w:num w:numId="18">
    <w:abstractNumId w:val="22"/>
  </w:num>
  <w:num w:numId="19">
    <w:abstractNumId w:val="52"/>
  </w:num>
  <w:num w:numId="20">
    <w:abstractNumId w:val="57"/>
  </w:num>
  <w:num w:numId="21">
    <w:abstractNumId w:val="43"/>
  </w:num>
  <w:num w:numId="22">
    <w:abstractNumId w:val="35"/>
  </w:num>
  <w:num w:numId="23">
    <w:abstractNumId w:val="39"/>
  </w:num>
  <w:num w:numId="24">
    <w:abstractNumId w:val="53"/>
  </w:num>
  <w:num w:numId="25">
    <w:abstractNumId w:val="46"/>
  </w:num>
  <w:num w:numId="26">
    <w:abstractNumId w:val="3"/>
  </w:num>
  <w:num w:numId="27">
    <w:abstractNumId w:val="20"/>
  </w:num>
  <w:num w:numId="28">
    <w:abstractNumId w:val="6"/>
  </w:num>
  <w:num w:numId="29">
    <w:abstractNumId w:val="51"/>
  </w:num>
  <w:num w:numId="30">
    <w:abstractNumId w:val="50"/>
  </w:num>
  <w:num w:numId="31">
    <w:abstractNumId w:val="2"/>
  </w:num>
  <w:num w:numId="32">
    <w:abstractNumId w:val="34"/>
  </w:num>
  <w:num w:numId="33">
    <w:abstractNumId w:val="19"/>
  </w:num>
  <w:num w:numId="34">
    <w:abstractNumId w:val="21"/>
  </w:num>
  <w:num w:numId="35">
    <w:abstractNumId w:val="5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8"/>
  </w:num>
  <w:num w:numId="38">
    <w:abstractNumId w:val="45"/>
  </w:num>
  <w:num w:numId="39">
    <w:abstractNumId w:val="7"/>
  </w:num>
  <w:num w:numId="40">
    <w:abstractNumId w:val="0"/>
  </w:num>
  <w:num w:numId="41">
    <w:abstractNumId w:val="25"/>
  </w:num>
  <w:num w:numId="42">
    <w:abstractNumId w:val="31"/>
  </w:num>
  <w:num w:numId="43">
    <w:abstractNumId w:val="32"/>
  </w:num>
  <w:num w:numId="44">
    <w:abstractNumId w:val="40"/>
  </w:num>
  <w:num w:numId="45">
    <w:abstractNumId w:val="24"/>
  </w:num>
  <w:num w:numId="46">
    <w:abstractNumId w:val="37"/>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num>
  <w:num w:numId="49">
    <w:abstractNumId w:val="58"/>
  </w:num>
  <w:num w:numId="50">
    <w:abstractNumId w:val="60"/>
  </w:num>
  <w:num w:numId="51">
    <w:abstractNumId w:val="33"/>
  </w:num>
  <w:num w:numId="52">
    <w:abstractNumId w:val="10"/>
  </w:num>
  <w:num w:numId="53">
    <w:abstractNumId w:val="32"/>
    <w:lvlOverride w:ilvl="0">
      <w:startOverride w:val="1"/>
    </w:lvlOverride>
  </w:num>
  <w:num w:numId="54">
    <w:abstractNumId w:val="32"/>
    <w:lvlOverride w:ilvl="0">
      <w:startOverride w:val="1"/>
    </w:lvlOverride>
  </w:num>
  <w:num w:numId="55">
    <w:abstractNumId w:val="23"/>
  </w:num>
  <w:num w:numId="56">
    <w:abstractNumId w:val="1"/>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num>
  <w:num w:numId="59">
    <w:abstractNumId w:val="44"/>
  </w:num>
  <w:num w:numId="60">
    <w:abstractNumId w:val="27"/>
  </w:num>
  <w:num w:numId="61">
    <w:abstractNumId w:val="12"/>
  </w:num>
  <w:num w:numId="62">
    <w:abstractNumId w:val="29"/>
  </w:num>
  <w:num w:numId="63">
    <w:abstractNumId w:val="9"/>
  </w:num>
  <w:num w:numId="64">
    <w:abstractNumId w:val="48"/>
  </w:num>
  <w:num w:numId="65">
    <w:abstractNumId w:val="18"/>
  </w:num>
  <w:num w:numId="66">
    <w:abstractNumId w:val="15"/>
  </w:num>
  <w:num w:numId="67">
    <w:abstractNumId w:val="55"/>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num>
  <w:num w:numId="7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57A"/>
    <w:rsid w:val="0000049F"/>
    <w:rsid w:val="00002429"/>
    <w:rsid w:val="00007659"/>
    <w:rsid w:val="00020E69"/>
    <w:rsid w:val="00021507"/>
    <w:rsid w:val="0003196B"/>
    <w:rsid w:val="00041101"/>
    <w:rsid w:val="00041A38"/>
    <w:rsid w:val="00043514"/>
    <w:rsid w:val="00050A69"/>
    <w:rsid w:val="00052099"/>
    <w:rsid w:val="00052960"/>
    <w:rsid w:val="000536BD"/>
    <w:rsid w:val="00062822"/>
    <w:rsid w:val="0007048E"/>
    <w:rsid w:val="00076364"/>
    <w:rsid w:val="0007770A"/>
    <w:rsid w:val="00080AC8"/>
    <w:rsid w:val="00081449"/>
    <w:rsid w:val="00082D51"/>
    <w:rsid w:val="00084ACE"/>
    <w:rsid w:val="00086A44"/>
    <w:rsid w:val="00087990"/>
    <w:rsid w:val="00091743"/>
    <w:rsid w:val="00091DBE"/>
    <w:rsid w:val="00092A20"/>
    <w:rsid w:val="00092B80"/>
    <w:rsid w:val="00094330"/>
    <w:rsid w:val="00094B0C"/>
    <w:rsid w:val="000964E4"/>
    <w:rsid w:val="00096951"/>
    <w:rsid w:val="000A2621"/>
    <w:rsid w:val="000A4733"/>
    <w:rsid w:val="000A638B"/>
    <w:rsid w:val="000A6C33"/>
    <w:rsid w:val="000B4CB3"/>
    <w:rsid w:val="000B5FBB"/>
    <w:rsid w:val="000B6283"/>
    <w:rsid w:val="000B6634"/>
    <w:rsid w:val="000B6F78"/>
    <w:rsid w:val="000B7ABC"/>
    <w:rsid w:val="000C2DDF"/>
    <w:rsid w:val="000C4200"/>
    <w:rsid w:val="000C621B"/>
    <w:rsid w:val="000C742D"/>
    <w:rsid w:val="000C789A"/>
    <w:rsid w:val="000D0FD7"/>
    <w:rsid w:val="000D24B4"/>
    <w:rsid w:val="000D3FA9"/>
    <w:rsid w:val="000D4D00"/>
    <w:rsid w:val="000D7440"/>
    <w:rsid w:val="000E2D74"/>
    <w:rsid w:val="000E523B"/>
    <w:rsid w:val="000E5D76"/>
    <w:rsid w:val="000F1451"/>
    <w:rsid w:val="0010285E"/>
    <w:rsid w:val="00110620"/>
    <w:rsid w:val="00114F38"/>
    <w:rsid w:val="00120C8B"/>
    <w:rsid w:val="00123F24"/>
    <w:rsid w:val="00124BA2"/>
    <w:rsid w:val="00125DAC"/>
    <w:rsid w:val="00126032"/>
    <w:rsid w:val="00130556"/>
    <w:rsid w:val="00130690"/>
    <w:rsid w:val="00133EF6"/>
    <w:rsid w:val="001359C9"/>
    <w:rsid w:val="00136E50"/>
    <w:rsid w:val="00140F72"/>
    <w:rsid w:val="0014434B"/>
    <w:rsid w:val="0014592A"/>
    <w:rsid w:val="001472D1"/>
    <w:rsid w:val="00147DB3"/>
    <w:rsid w:val="0015459B"/>
    <w:rsid w:val="001622D2"/>
    <w:rsid w:val="00162869"/>
    <w:rsid w:val="001658A2"/>
    <w:rsid w:val="00170707"/>
    <w:rsid w:val="00171453"/>
    <w:rsid w:val="00171E80"/>
    <w:rsid w:val="001726CB"/>
    <w:rsid w:val="00172D71"/>
    <w:rsid w:val="001734F0"/>
    <w:rsid w:val="00175EFE"/>
    <w:rsid w:val="00182A71"/>
    <w:rsid w:val="001846FB"/>
    <w:rsid w:val="001877B6"/>
    <w:rsid w:val="00190A07"/>
    <w:rsid w:val="00190EB5"/>
    <w:rsid w:val="001954C3"/>
    <w:rsid w:val="001956B6"/>
    <w:rsid w:val="001A0821"/>
    <w:rsid w:val="001A2101"/>
    <w:rsid w:val="001A33FA"/>
    <w:rsid w:val="001A791A"/>
    <w:rsid w:val="001B024A"/>
    <w:rsid w:val="001B1299"/>
    <w:rsid w:val="001B19A5"/>
    <w:rsid w:val="001B39AA"/>
    <w:rsid w:val="001B3A62"/>
    <w:rsid w:val="001B4B3F"/>
    <w:rsid w:val="001B4BA8"/>
    <w:rsid w:val="001B6718"/>
    <w:rsid w:val="001B68A9"/>
    <w:rsid w:val="001C3F6D"/>
    <w:rsid w:val="001C4803"/>
    <w:rsid w:val="001C5DDE"/>
    <w:rsid w:val="001C7685"/>
    <w:rsid w:val="001D50F6"/>
    <w:rsid w:val="001D72FD"/>
    <w:rsid w:val="001E0CDD"/>
    <w:rsid w:val="001E581F"/>
    <w:rsid w:val="001E6469"/>
    <w:rsid w:val="001E64A1"/>
    <w:rsid w:val="001F2A50"/>
    <w:rsid w:val="001F508E"/>
    <w:rsid w:val="001F6524"/>
    <w:rsid w:val="001F6D31"/>
    <w:rsid w:val="001F7BD1"/>
    <w:rsid w:val="00202D0C"/>
    <w:rsid w:val="00204BB6"/>
    <w:rsid w:val="002071B1"/>
    <w:rsid w:val="00210AF4"/>
    <w:rsid w:val="00210CA6"/>
    <w:rsid w:val="00211D24"/>
    <w:rsid w:val="002134EC"/>
    <w:rsid w:val="00215991"/>
    <w:rsid w:val="00215DCD"/>
    <w:rsid w:val="00216853"/>
    <w:rsid w:val="00216B81"/>
    <w:rsid w:val="00220B88"/>
    <w:rsid w:val="0022225A"/>
    <w:rsid w:val="00236818"/>
    <w:rsid w:val="0024155D"/>
    <w:rsid w:val="0024195F"/>
    <w:rsid w:val="002419E6"/>
    <w:rsid w:val="002424AB"/>
    <w:rsid w:val="00242774"/>
    <w:rsid w:val="0025186A"/>
    <w:rsid w:val="00251C7D"/>
    <w:rsid w:val="00255D80"/>
    <w:rsid w:val="0025737B"/>
    <w:rsid w:val="0026454C"/>
    <w:rsid w:val="00264E39"/>
    <w:rsid w:val="00267676"/>
    <w:rsid w:val="0027639D"/>
    <w:rsid w:val="00276ECC"/>
    <w:rsid w:val="00281801"/>
    <w:rsid w:val="002830FA"/>
    <w:rsid w:val="00283B93"/>
    <w:rsid w:val="00283D10"/>
    <w:rsid w:val="00285C16"/>
    <w:rsid w:val="002901FD"/>
    <w:rsid w:val="00292935"/>
    <w:rsid w:val="0029547F"/>
    <w:rsid w:val="002978F5"/>
    <w:rsid w:val="00297D82"/>
    <w:rsid w:val="002A00CC"/>
    <w:rsid w:val="002A2338"/>
    <w:rsid w:val="002A29E0"/>
    <w:rsid w:val="002A58F2"/>
    <w:rsid w:val="002A6F65"/>
    <w:rsid w:val="002A762A"/>
    <w:rsid w:val="002B08E1"/>
    <w:rsid w:val="002B31FE"/>
    <w:rsid w:val="002B3FF0"/>
    <w:rsid w:val="002B44E0"/>
    <w:rsid w:val="002B4B3C"/>
    <w:rsid w:val="002C002A"/>
    <w:rsid w:val="002C1C9D"/>
    <w:rsid w:val="002C487D"/>
    <w:rsid w:val="002D0F26"/>
    <w:rsid w:val="002D2352"/>
    <w:rsid w:val="002D5CE3"/>
    <w:rsid w:val="002D6902"/>
    <w:rsid w:val="002E1003"/>
    <w:rsid w:val="002E357A"/>
    <w:rsid w:val="002E3E97"/>
    <w:rsid w:val="002E4513"/>
    <w:rsid w:val="002E4F2C"/>
    <w:rsid w:val="002E6242"/>
    <w:rsid w:val="002E65C8"/>
    <w:rsid w:val="002E65CB"/>
    <w:rsid w:val="003017BC"/>
    <w:rsid w:val="003045AE"/>
    <w:rsid w:val="003053C4"/>
    <w:rsid w:val="003056DA"/>
    <w:rsid w:val="00307212"/>
    <w:rsid w:val="00312983"/>
    <w:rsid w:val="003135D1"/>
    <w:rsid w:val="003143B9"/>
    <w:rsid w:val="003232CB"/>
    <w:rsid w:val="00330BD1"/>
    <w:rsid w:val="00332A17"/>
    <w:rsid w:val="00333047"/>
    <w:rsid w:val="0033306F"/>
    <w:rsid w:val="00334603"/>
    <w:rsid w:val="00335648"/>
    <w:rsid w:val="00335DE9"/>
    <w:rsid w:val="0033788D"/>
    <w:rsid w:val="0034278A"/>
    <w:rsid w:val="00343B5D"/>
    <w:rsid w:val="00345705"/>
    <w:rsid w:val="00347B93"/>
    <w:rsid w:val="00351CC8"/>
    <w:rsid w:val="00352D15"/>
    <w:rsid w:val="0035503C"/>
    <w:rsid w:val="003568E0"/>
    <w:rsid w:val="003579D8"/>
    <w:rsid w:val="00357AB4"/>
    <w:rsid w:val="003601C0"/>
    <w:rsid w:val="003611C7"/>
    <w:rsid w:val="003639EB"/>
    <w:rsid w:val="00363EC6"/>
    <w:rsid w:val="00365493"/>
    <w:rsid w:val="00370E66"/>
    <w:rsid w:val="003723B4"/>
    <w:rsid w:val="003873E4"/>
    <w:rsid w:val="00387D1F"/>
    <w:rsid w:val="00391057"/>
    <w:rsid w:val="00392B22"/>
    <w:rsid w:val="003A49E1"/>
    <w:rsid w:val="003A5C21"/>
    <w:rsid w:val="003B162B"/>
    <w:rsid w:val="003B1EE3"/>
    <w:rsid w:val="003B3BED"/>
    <w:rsid w:val="003B4836"/>
    <w:rsid w:val="003B5DF6"/>
    <w:rsid w:val="003C043C"/>
    <w:rsid w:val="003C3050"/>
    <w:rsid w:val="003C3C28"/>
    <w:rsid w:val="003D03D6"/>
    <w:rsid w:val="003D03D8"/>
    <w:rsid w:val="003D2988"/>
    <w:rsid w:val="003D5731"/>
    <w:rsid w:val="003D5B51"/>
    <w:rsid w:val="003D71B3"/>
    <w:rsid w:val="003E02A0"/>
    <w:rsid w:val="003E25C7"/>
    <w:rsid w:val="003E2FA8"/>
    <w:rsid w:val="003E3C6D"/>
    <w:rsid w:val="003E48D4"/>
    <w:rsid w:val="003F3FC0"/>
    <w:rsid w:val="0040301D"/>
    <w:rsid w:val="00404998"/>
    <w:rsid w:val="004058F8"/>
    <w:rsid w:val="00407EA6"/>
    <w:rsid w:val="004105F0"/>
    <w:rsid w:val="00416FD0"/>
    <w:rsid w:val="00420E85"/>
    <w:rsid w:val="004212D1"/>
    <w:rsid w:val="0042584A"/>
    <w:rsid w:val="0042598F"/>
    <w:rsid w:val="00432733"/>
    <w:rsid w:val="00435EAE"/>
    <w:rsid w:val="0044112D"/>
    <w:rsid w:val="00450DF3"/>
    <w:rsid w:val="004512B6"/>
    <w:rsid w:val="00451D0E"/>
    <w:rsid w:val="0045330A"/>
    <w:rsid w:val="00453C18"/>
    <w:rsid w:val="00453C7E"/>
    <w:rsid w:val="00455E69"/>
    <w:rsid w:val="00462537"/>
    <w:rsid w:val="00470FA2"/>
    <w:rsid w:val="004736CE"/>
    <w:rsid w:val="0047383E"/>
    <w:rsid w:val="004742BB"/>
    <w:rsid w:val="00475EA8"/>
    <w:rsid w:val="00476427"/>
    <w:rsid w:val="00477D17"/>
    <w:rsid w:val="0048145F"/>
    <w:rsid w:val="0048157A"/>
    <w:rsid w:val="004857A9"/>
    <w:rsid w:val="0049060B"/>
    <w:rsid w:val="00492E2A"/>
    <w:rsid w:val="004936CD"/>
    <w:rsid w:val="004948D2"/>
    <w:rsid w:val="00494C7B"/>
    <w:rsid w:val="0049557C"/>
    <w:rsid w:val="00497ACF"/>
    <w:rsid w:val="004A03E5"/>
    <w:rsid w:val="004A04BB"/>
    <w:rsid w:val="004A40B9"/>
    <w:rsid w:val="004A4678"/>
    <w:rsid w:val="004A70D8"/>
    <w:rsid w:val="004B03FB"/>
    <w:rsid w:val="004B41B0"/>
    <w:rsid w:val="004B5C7E"/>
    <w:rsid w:val="004C0C31"/>
    <w:rsid w:val="004C150F"/>
    <w:rsid w:val="004C1DAA"/>
    <w:rsid w:val="004C2F78"/>
    <w:rsid w:val="004C48F6"/>
    <w:rsid w:val="004C6B45"/>
    <w:rsid w:val="004C71DD"/>
    <w:rsid w:val="004D0572"/>
    <w:rsid w:val="004D1E18"/>
    <w:rsid w:val="004D20A3"/>
    <w:rsid w:val="004D231B"/>
    <w:rsid w:val="004D23E1"/>
    <w:rsid w:val="004D2C4C"/>
    <w:rsid w:val="004D64CC"/>
    <w:rsid w:val="004D70AB"/>
    <w:rsid w:val="004D7A7E"/>
    <w:rsid w:val="004E4065"/>
    <w:rsid w:val="004E68A5"/>
    <w:rsid w:val="004F1A9F"/>
    <w:rsid w:val="004F2A3B"/>
    <w:rsid w:val="004F7510"/>
    <w:rsid w:val="005023AE"/>
    <w:rsid w:val="0050506F"/>
    <w:rsid w:val="00506BAB"/>
    <w:rsid w:val="00510E39"/>
    <w:rsid w:val="00511B91"/>
    <w:rsid w:val="0051420F"/>
    <w:rsid w:val="0051614E"/>
    <w:rsid w:val="00517225"/>
    <w:rsid w:val="005233F5"/>
    <w:rsid w:val="0052426E"/>
    <w:rsid w:val="00524411"/>
    <w:rsid w:val="0053006A"/>
    <w:rsid w:val="00543C86"/>
    <w:rsid w:val="0055002B"/>
    <w:rsid w:val="00566E31"/>
    <w:rsid w:val="0057213B"/>
    <w:rsid w:val="00575523"/>
    <w:rsid w:val="00582151"/>
    <w:rsid w:val="005826C9"/>
    <w:rsid w:val="005828C5"/>
    <w:rsid w:val="00582F40"/>
    <w:rsid w:val="0058367F"/>
    <w:rsid w:val="00585B35"/>
    <w:rsid w:val="00585EAC"/>
    <w:rsid w:val="00587E44"/>
    <w:rsid w:val="0059094C"/>
    <w:rsid w:val="00590C94"/>
    <w:rsid w:val="00591B1F"/>
    <w:rsid w:val="0059500C"/>
    <w:rsid w:val="00596032"/>
    <w:rsid w:val="005A289B"/>
    <w:rsid w:val="005A37A3"/>
    <w:rsid w:val="005A3C46"/>
    <w:rsid w:val="005A3E99"/>
    <w:rsid w:val="005A5ED9"/>
    <w:rsid w:val="005B2BFE"/>
    <w:rsid w:val="005B54E4"/>
    <w:rsid w:val="005C4CFE"/>
    <w:rsid w:val="005C4E7A"/>
    <w:rsid w:val="005C4F27"/>
    <w:rsid w:val="005C6F45"/>
    <w:rsid w:val="005C7521"/>
    <w:rsid w:val="005D24F9"/>
    <w:rsid w:val="005D2AAB"/>
    <w:rsid w:val="005D57E9"/>
    <w:rsid w:val="005D6A60"/>
    <w:rsid w:val="005D79E7"/>
    <w:rsid w:val="005E4B81"/>
    <w:rsid w:val="005E4DED"/>
    <w:rsid w:val="005E5158"/>
    <w:rsid w:val="005E77D6"/>
    <w:rsid w:val="005F1227"/>
    <w:rsid w:val="005F459F"/>
    <w:rsid w:val="005F72B7"/>
    <w:rsid w:val="00601E17"/>
    <w:rsid w:val="006028EF"/>
    <w:rsid w:val="006029BC"/>
    <w:rsid w:val="00602E81"/>
    <w:rsid w:val="00607C1A"/>
    <w:rsid w:val="00610EDE"/>
    <w:rsid w:val="00612BD4"/>
    <w:rsid w:val="00612E2A"/>
    <w:rsid w:val="00616947"/>
    <w:rsid w:val="00616D74"/>
    <w:rsid w:val="00616DCF"/>
    <w:rsid w:val="00617F25"/>
    <w:rsid w:val="00620E09"/>
    <w:rsid w:val="00621236"/>
    <w:rsid w:val="00624214"/>
    <w:rsid w:val="00630644"/>
    <w:rsid w:val="00631794"/>
    <w:rsid w:val="006340B1"/>
    <w:rsid w:val="00635753"/>
    <w:rsid w:val="006378B0"/>
    <w:rsid w:val="006400AD"/>
    <w:rsid w:val="00646A18"/>
    <w:rsid w:val="006478C1"/>
    <w:rsid w:val="006533C8"/>
    <w:rsid w:val="0065446E"/>
    <w:rsid w:val="00657A13"/>
    <w:rsid w:val="00657C56"/>
    <w:rsid w:val="00661AD1"/>
    <w:rsid w:val="00663BE4"/>
    <w:rsid w:val="00666116"/>
    <w:rsid w:val="0066776F"/>
    <w:rsid w:val="00673FC3"/>
    <w:rsid w:val="0068067C"/>
    <w:rsid w:val="0068295D"/>
    <w:rsid w:val="00684941"/>
    <w:rsid w:val="00690470"/>
    <w:rsid w:val="00690934"/>
    <w:rsid w:val="0069135D"/>
    <w:rsid w:val="00691B4D"/>
    <w:rsid w:val="00691F60"/>
    <w:rsid w:val="00695105"/>
    <w:rsid w:val="00697BF9"/>
    <w:rsid w:val="00697F95"/>
    <w:rsid w:val="006A1B9A"/>
    <w:rsid w:val="006B0492"/>
    <w:rsid w:val="006B103E"/>
    <w:rsid w:val="006B18E4"/>
    <w:rsid w:val="006B3A2C"/>
    <w:rsid w:val="006B7316"/>
    <w:rsid w:val="006C05EE"/>
    <w:rsid w:val="006C4AD8"/>
    <w:rsid w:val="006C5E39"/>
    <w:rsid w:val="006C6CFC"/>
    <w:rsid w:val="006D0F8C"/>
    <w:rsid w:val="006D3FD6"/>
    <w:rsid w:val="006D4213"/>
    <w:rsid w:val="006D5340"/>
    <w:rsid w:val="006D659F"/>
    <w:rsid w:val="006D68BE"/>
    <w:rsid w:val="006E07F8"/>
    <w:rsid w:val="006E08B4"/>
    <w:rsid w:val="006E0C0D"/>
    <w:rsid w:val="006E1E2A"/>
    <w:rsid w:val="006E2022"/>
    <w:rsid w:val="006E680F"/>
    <w:rsid w:val="006E6930"/>
    <w:rsid w:val="006F612A"/>
    <w:rsid w:val="006F7530"/>
    <w:rsid w:val="00703CE0"/>
    <w:rsid w:val="0070461D"/>
    <w:rsid w:val="00711082"/>
    <w:rsid w:val="0071535B"/>
    <w:rsid w:val="007154A6"/>
    <w:rsid w:val="00717B0C"/>
    <w:rsid w:val="00717C36"/>
    <w:rsid w:val="007269DD"/>
    <w:rsid w:val="00734330"/>
    <w:rsid w:val="00735662"/>
    <w:rsid w:val="00735CCE"/>
    <w:rsid w:val="0073611D"/>
    <w:rsid w:val="00737E92"/>
    <w:rsid w:val="00742840"/>
    <w:rsid w:val="0074378A"/>
    <w:rsid w:val="007444DF"/>
    <w:rsid w:val="00745931"/>
    <w:rsid w:val="007559E8"/>
    <w:rsid w:val="007565C4"/>
    <w:rsid w:val="007605DF"/>
    <w:rsid w:val="00760738"/>
    <w:rsid w:val="00760E61"/>
    <w:rsid w:val="0076522E"/>
    <w:rsid w:val="00770F82"/>
    <w:rsid w:val="007725C5"/>
    <w:rsid w:val="00775CB6"/>
    <w:rsid w:val="00776F90"/>
    <w:rsid w:val="00780011"/>
    <w:rsid w:val="00781537"/>
    <w:rsid w:val="007827FE"/>
    <w:rsid w:val="0078350C"/>
    <w:rsid w:val="00783F52"/>
    <w:rsid w:val="0078515C"/>
    <w:rsid w:val="00787158"/>
    <w:rsid w:val="007879E8"/>
    <w:rsid w:val="00787C9A"/>
    <w:rsid w:val="00793594"/>
    <w:rsid w:val="00793BA2"/>
    <w:rsid w:val="00795202"/>
    <w:rsid w:val="007A3790"/>
    <w:rsid w:val="007A7E9E"/>
    <w:rsid w:val="007B4C75"/>
    <w:rsid w:val="007B6192"/>
    <w:rsid w:val="007C0A4D"/>
    <w:rsid w:val="007C143C"/>
    <w:rsid w:val="007C2F6A"/>
    <w:rsid w:val="007C3586"/>
    <w:rsid w:val="007C540A"/>
    <w:rsid w:val="007C5DF7"/>
    <w:rsid w:val="007C64FB"/>
    <w:rsid w:val="007D16A9"/>
    <w:rsid w:val="007D1A25"/>
    <w:rsid w:val="007D1CCB"/>
    <w:rsid w:val="007D3559"/>
    <w:rsid w:val="007D3EBB"/>
    <w:rsid w:val="007D5039"/>
    <w:rsid w:val="007D5964"/>
    <w:rsid w:val="007E215B"/>
    <w:rsid w:val="007E5672"/>
    <w:rsid w:val="007E6DE5"/>
    <w:rsid w:val="007E785E"/>
    <w:rsid w:val="007F44E6"/>
    <w:rsid w:val="007F6BB1"/>
    <w:rsid w:val="007F6E7A"/>
    <w:rsid w:val="008020E0"/>
    <w:rsid w:val="008042D6"/>
    <w:rsid w:val="00804A60"/>
    <w:rsid w:val="00807325"/>
    <w:rsid w:val="00810914"/>
    <w:rsid w:val="00810ED7"/>
    <w:rsid w:val="00812644"/>
    <w:rsid w:val="00813024"/>
    <w:rsid w:val="00813193"/>
    <w:rsid w:val="00813DF8"/>
    <w:rsid w:val="00814A30"/>
    <w:rsid w:val="008158B2"/>
    <w:rsid w:val="008167A4"/>
    <w:rsid w:val="008173BD"/>
    <w:rsid w:val="00823169"/>
    <w:rsid w:val="008270BF"/>
    <w:rsid w:val="00827928"/>
    <w:rsid w:val="0083059E"/>
    <w:rsid w:val="008316E2"/>
    <w:rsid w:val="00831C09"/>
    <w:rsid w:val="00833225"/>
    <w:rsid w:val="00834479"/>
    <w:rsid w:val="00835372"/>
    <w:rsid w:val="00836171"/>
    <w:rsid w:val="00837208"/>
    <w:rsid w:val="00840A18"/>
    <w:rsid w:val="00841677"/>
    <w:rsid w:val="008445F2"/>
    <w:rsid w:val="00846E6E"/>
    <w:rsid w:val="0085025D"/>
    <w:rsid w:val="008512B6"/>
    <w:rsid w:val="00851ACA"/>
    <w:rsid w:val="00852531"/>
    <w:rsid w:val="00856819"/>
    <w:rsid w:val="00860C0D"/>
    <w:rsid w:val="00861BFA"/>
    <w:rsid w:val="00863873"/>
    <w:rsid w:val="008650D1"/>
    <w:rsid w:val="00865314"/>
    <w:rsid w:val="00870B05"/>
    <w:rsid w:val="00873F27"/>
    <w:rsid w:val="008758E3"/>
    <w:rsid w:val="00881CAD"/>
    <w:rsid w:val="00883AA8"/>
    <w:rsid w:val="008908F3"/>
    <w:rsid w:val="008915D7"/>
    <w:rsid w:val="0089384B"/>
    <w:rsid w:val="00893ABB"/>
    <w:rsid w:val="00895F0D"/>
    <w:rsid w:val="00896747"/>
    <w:rsid w:val="008967C2"/>
    <w:rsid w:val="008A134E"/>
    <w:rsid w:val="008A4CC4"/>
    <w:rsid w:val="008A5A21"/>
    <w:rsid w:val="008A6311"/>
    <w:rsid w:val="008B227D"/>
    <w:rsid w:val="008B2D64"/>
    <w:rsid w:val="008B7329"/>
    <w:rsid w:val="008C130E"/>
    <w:rsid w:val="008C2D9C"/>
    <w:rsid w:val="008C3D2A"/>
    <w:rsid w:val="008C46DB"/>
    <w:rsid w:val="008C68D9"/>
    <w:rsid w:val="008C7CCE"/>
    <w:rsid w:val="008D06CA"/>
    <w:rsid w:val="008D150C"/>
    <w:rsid w:val="008D31BB"/>
    <w:rsid w:val="008D63D9"/>
    <w:rsid w:val="008E038E"/>
    <w:rsid w:val="008E0430"/>
    <w:rsid w:val="008E2C97"/>
    <w:rsid w:val="008E2DA0"/>
    <w:rsid w:val="008E7126"/>
    <w:rsid w:val="008F35B4"/>
    <w:rsid w:val="008F623C"/>
    <w:rsid w:val="0090040D"/>
    <w:rsid w:val="00900F95"/>
    <w:rsid w:val="00902A5D"/>
    <w:rsid w:val="00903D10"/>
    <w:rsid w:val="00906394"/>
    <w:rsid w:val="00912881"/>
    <w:rsid w:val="00914385"/>
    <w:rsid w:val="00920D94"/>
    <w:rsid w:val="00921BA9"/>
    <w:rsid w:val="00934D7E"/>
    <w:rsid w:val="00936015"/>
    <w:rsid w:val="009365E2"/>
    <w:rsid w:val="00937174"/>
    <w:rsid w:val="009419C9"/>
    <w:rsid w:val="0094209A"/>
    <w:rsid w:val="00942329"/>
    <w:rsid w:val="00950633"/>
    <w:rsid w:val="00953416"/>
    <w:rsid w:val="009565FF"/>
    <w:rsid w:val="00956D33"/>
    <w:rsid w:val="0095782C"/>
    <w:rsid w:val="009662E2"/>
    <w:rsid w:val="00967105"/>
    <w:rsid w:val="00970150"/>
    <w:rsid w:val="00980006"/>
    <w:rsid w:val="0098380C"/>
    <w:rsid w:val="00987A6B"/>
    <w:rsid w:val="00991137"/>
    <w:rsid w:val="00991C75"/>
    <w:rsid w:val="0099228F"/>
    <w:rsid w:val="00993326"/>
    <w:rsid w:val="00993A06"/>
    <w:rsid w:val="009943BE"/>
    <w:rsid w:val="0099478A"/>
    <w:rsid w:val="00994D99"/>
    <w:rsid w:val="00994F44"/>
    <w:rsid w:val="00996DE0"/>
    <w:rsid w:val="009A1394"/>
    <w:rsid w:val="009A2FE1"/>
    <w:rsid w:val="009A33C0"/>
    <w:rsid w:val="009A4759"/>
    <w:rsid w:val="009A4F24"/>
    <w:rsid w:val="009A595D"/>
    <w:rsid w:val="009A674E"/>
    <w:rsid w:val="009B20D1"/>
    <w:rsid w:val="009B243E"/>
    <w:rsid w:val="009B292B"/>
    <w:rsid w:val="009B3C6C"/>
    <w:rsid w:val="009B5A10"/>
    <w:rsid w:val="009B5C39"/>
    <w:rsid w:val="009B73B5"/>
    <w:rsid w:val="009C05A3"/>
    <w:rsid w:val="009C0CED"/>
    <w:rsid w:val="009C1C7A"/>
    <w:rsid w:val="009C4199"/>
    <w:rsid w:val="009D1CA7"/>
    <w:rsid w:val="009D24DA"/>
    <w:rsid w:val="009D45DF"/>
    <w:rsid w:val="009D59BD"/>
    <w:rsid w:val="009D6887"/>
    <w:rsid w:val="009E2939"/>
    <w:rsid w:val="009F21AF"/>
    <w:rsid w:val="009F3F11"/>
    <w:rsid w:val="009F4738"/>
    <w:rsid w:val="00A034A4"/>
    <w:rsid w:val="00A0479B"/>
    <w:rsid w:val="00A07E85"/>
    <w:rsid w:val="00A101E6"/>
    <w:rsid w:val="00A1263C"/>
    <w:rsid w:val="00A148B8"/>
    <w:rsid w:val="00A14DB1"/>
    <w:rsid w:val="00A17347"/>
    <w:rsid w:val="00A17730"/>
    <w:rsid w:val="00A20E32"/>
    <w:rsid w:val="00A212D0"/>
    <w:rsid w:val="00A21BE4"/>
    <w:rsid w:val="00A22C31"/>
    <w:rsid w:val="00A24E35"/>
    <w:rsid w:val="00A252D5"/>
    <w:rsid w:val="00A2577B"/>
    <w:rsid w:val="00A313FF"/>
    <w:rsid w:val="00A37A3E"/>
    <w:rsid w:val="00A40692"/>
    <w:rsid w:val="00A4366B"/>
    <w:rsid w:val="00A436F2"/>
    <w:rsid w:val="00A45D66"/>
    <w:rsid w:val="00A537CE"/>
    <w:rsid w:val="00A6321B"/>
    <w:rsid w:val="00A64254"/>
    <w:rsid w:val="00A647A2"/>
    <w:rsid w:val="00A65033"/>
    <w:rsid w:val="00A661CC"/>
    <w:rsid w:val="00A66307"/>
    <w:rsid w:val="00A66596"/>
    <w:rsid w:val="00A7353C"/>
    <w:rsid w:val="00A80115"/>
    <w:rsid w:val="00A80171"/>
    <w:rsid w:val="00A8169B"/>
    <w:rsid w:val="00A855E7"/>
    <w:rsid w:val="00A947EC"/>
    <w:rsid w:val="00A9523E"/>
    <w:rsid w:val="00A95842"/>
    <w:rsid w:val="00A96B33"/>
    <w:rsid w:val="00AA56A7"/>
    <w:rsid w:val="00AA56A9"/>
    <w:rsid w:val="00AA7752"/>
    <w:rsid w:val="00AB1A51"/>
    <w:rsid w:val="00AC199C"/>
    <w:rsid w:val="00AC259F"/>
    <w:rsid w:val="00AC41AD"/>
    <w:rsid w:val="00AC48DE"/>
    <w:rsid w:val="00AC4BCD"/>
    <w:rsid w:val="00AC573A"/>
    <w:rsid w:val="00AC6F7D"/>
    <w:rsid w:val="00AD0CF4"/>
    <w:rsid w:val="00AD0ED0"/>
    <w:rsid w:val="00AD107F"/>
    <w:rsid w:val="00AD457C"/>
    <w:rsid w:val="00AD5FF2"/>
    <w:rsid w:val="00AD6DE9"/>
    <w:rsid w:val="00AD6E76"/>
    <w:rsid w:val="00AE3895"/>
    <w:rsid w:val="00AE69EE"/>
    <w:rsid w:val="00AE76BE"/>
    <w:rsid w:val="00AE7931"/>
    <w:rsid w:val="00AF28B1"/>
    <w:rsid w:val="00AF5F18"/>
    <w:rsid w:val="00B0466B"/>
    <w:rsid w:val="00B048D4"/>
    <w:rsid w:val="00B05083"/>
    <w:rsid w:val="00B077B3"/>
    <w:rsid w:val="00B07A3C"/>
    <w:rsid w:val="00B111A3"/>
    <w:rsid w:val="00B11895"/>
    <w:rsid w:val="00B13427"/>
    <w:rsid w:val="00B134E9"/>
    <w:rsid w:val="00B21F49"/>
    <w:rsid w:val="00B24398"/>
    <w:rsid w:val="00B245C9"/>
    <w:rsid w:val="00B251D1"/>
    <w:rsid w:val="00B25A04"/>
    <w:rsid w:val="00B25FDB"/>
    <w:rsid w:val="00B264D4"/>
    <w:rsid w:val="00B32EC4"/>
    <w:rsid w:val="00B33425"/>
    <w:rsid w:val="00B350B5"/>
    <w:rsid w:val="00B354CE"/>
    <w:rsid w:val="00B37D20"/>
    <w:rsid w:val="00B43419"/>
    <w:rsid w:val="00B47EFF"/>
    <w:rsid w:val="00B57F54"/>
    <w:rsid w:val="00B673DD"/>
    <w:rsid w:val="00B72BD4"/>
    <w:rsid w:val="00B735FE"/>
    <w:rsid w:val="00B73619"/>
    <w:rsid w:val="00B76E3C"/>
    <w:rsid w:val="00B77393"/>
    <w:rsid w:val="00B80041"/>
    <w:rsid w:val="00B823CD"/>
    <w:rsid w:val="00B83224"/>
    <w:rsid w:val="00B8367E"/>
    <w:rsid w:val="00B85BEA"/>
    <w:rsid w:val="00B86ABC"/>
    <w:rsid w:val="00B86B79"/>
    <w:rsid w:val="00B90742"/>
    <w:rsid w:val="00B91D09"/>
    <w:rsid w:val="00B93179"/>
    <w:rsid w:val="00B93455"/>
    <w:rsid w:val="00B93F1B"/>
    <w:rsid w:val="00B94907"/>
    <w:rsid w:val="00B9531A"/>
    <w:rsid w:val="00B95E90"/>
    <w:rsid w:val="00B95F8D"/>
    <w:rsid w:val="00B960A3"/>
    <w:rsid w:val="00BA2BF0"/>
    <w:rsid w:val="00BA566A"/>
    <w:rsid w:val="00BA566C"/>
    <w:rsid w:val="00BA6F6D"/>
    <w:rsid w:val="00BB06F4"/>
    <w:rsid w:val="00BB14C8"/>
    <w:rsid w:val="00BC034A"/>
    <w:rsid w:val="00BC2351"/>
    <w:rsid w:val="00BC3F23"/>
    <w:rsid w:val="00BC77ED"/>
    <w:rsid w:val="00BD122F"/>
    <w:rsid w:val="00BD1854"/>
    <w:rsid w:val="00BD1FBD"/>
    <w:rsid w:val="00BD2F69"/>
    <w:rsid w:val="00BD3A84"/>
    <w:rsid w:val="00BD7625"/>
    <w:rsid w:val="00BE0AB0"/>
    <w:rsid w:val="00BE321B"/>
    <w:rsid w:val="00BE6432"/>
    <w:rsid w:val="00BF3E75"/>
    <w:rsid w:val="00BF4B86"/>
    <w:rsid w:val="00BF4CD5"/>
    <w:rsid w:val="00BF4E58"/>
    <w:rsid w:val="00BF7236"/>
    <w:rsid w:val="00BF784E"/>
    <w:rsid w:val="00C003EB"/>
    <w:rsid w:val="00C01D3C"/>
    <w:rsid w:val="00C024BF"/>
    <w:rsid w:val="00C03B42"/>
    <w:rsid w:val="00C06D05"/>
    <w:rsid w:val="00C162CC"/>
    <w:rsid w:val="00C17051"/>
    <w:rsid w:val="00C1776E"/>
    <w:rsid w:val="00C24466"/>
    <w:rsid w:val="00C27490"/>
    <w:rsid w:val="00C32DF0"/>
    <w:rsid w:val="00C358B9"/>
    <w:rsid w:val="00C42ABF"/>
    <w:rsid w:val="00C42D19"/>
    <w:rsid w:val="00C44C1C"/>
    <w:rsid w:val="00C458E0"/>
    <w:rsid w:val="00C46B26"/>
    <w:rsid w:val="00C51E55"/>
    <w:rsid w:val="00C53C25"/>
    <w:rsid w:val="00C53D51"/>
    <w:rsid w:val="00C54A14"/>
    <w:rsid w:val="00C5656B"/>
    <w:rsid w:val="00C623BE"/>
    <w:rsid w:val="00C6278E"/>
    <w:rsid w:val="00C70565"/>
    <w:rsid w:val="00C72903"/>
    <w:rsid w:val="00C754F7"/>
    <w:rsid w:val="00C7598D"/>
    <w:rsid w:val="00C76CEC"/>
    <w:rsid w:val="00C76D8E"/>
    <w:rsid w:val="00C8263D"/>
    <w:rsid w:val="00C845B7"/>
    <w:rsid w:val="00C8559E"/>
    <w:rsid w:val="00C855BC"/>
    <w:rsid w:val="00C85780"/>
    <w:rsid w:val="00C85DAD"/>
    <w:rsid w:val="00C86020"/>
    <w:rsid w:val="00C92029"/>
    <w:rsid w:val="00C927F0"/>
    <w:rsid w:val="00C93439"/>
    <w:rsid w:val="00C9353F"/>
    <w:rsid w:val="00C971B5"/>
    <w:rsid w:val="00C9793C"/>
    <w:rsid w:val="00CA005F"/>
    <w:rsid w:val="00CA1F43"/>
    <w:rsid w:val="00CA38B0"/>
    <w:rsid w:val="00CA7065"/>
    <w:rsid w:val="00CB0D54"/>
    <w:rsid w:val="00CB44A2"/>
    <w:rsid w:val="00CB5119"/>
    <w:rsid w:val="00CC4793"/>
    <w:rsid w:val="00CC5039"/>
    <w:rsid w:val="00CC5993"/>
    <w:rsid w:val="00CC6615"/>
    <w:rsid w:val="00CC7C4C"/>
    <w:rsid w:val="00CD1D64"/>
    <w:rsid w:val="00CD3FB6"/>
    <w:rsid w:val="00CD6BE2"/>
    <w:rsid w:val="00CD755D"/>
    <w:rsid w:val="00CD7C46"/>
    <w:rsid w:val="00CE59B3"/>
    <w:rsid w:val="00CE76C7"/>
    <w:rsid w:val="00CF2FE2"/>
    <w:rsid w:val="00CF4216"/>
    <w:rsid w:val="00CF571F"/>
    <w:rsid w:val="00CF5D04"/>
    <w:rsid w:val="00CF6477"/>
    <w:rsid w:val="00CF7813"/>
    <w:rsid w:val="00D005BA"/>
    <w:rsid w:val="00D00837"/>
    <w:rsid w:val="00D01ACE"/>
    <w:rsid w:val="00D10B92"/>
    <w:rsid w:val="00D1516E"/>
    <w:rsid w:val="00D20DDE"/>
    <w:rsid w:val="00D22C33"/>
    <w:rsid w:val="00D22D49"/>
    <w:rsid w:val="00D23754"/>
    <w:rsid w:val="00D2377E"/>
    <w:rsid w:val="00D25D26"/>
    <w:rsid w:val="00D268AF"/>
    <w:rsid w:val="00D2729B"/>
    <w:rsid w:val="00D32A4B"/>
    <w:rsid w:val="00D35222"/>
    <w:rsid w:val="00D35F43"/>
    <w:rsid w:val="00D41421"/>
    <w:rsid w:val="00D42C3F"/>
    <w:rsid w:val="00D44F09"/>
    <w:rsid w:val="00D451B9"/>
    <w:rsid w:val="00D459F1"/>
    <w:rsid w:val="00D46BD6"/>
    <w:rsid w:val="00D47E61"/>
    <w:rsid w:val="00D5265B"/>
    <w:rsid w:val="00D54BDE"/>
    <w:rsid w:val="00D619CF"/>
    <w:rsid w:val="00D622FD"/>
    <w:rsid w:val="00D6304B"/>
    <w:rsid w:val="00D64A04"/>
    <w:rsid w:val="00D65787"/>
    <w:rsid w:val="00D70C23"/>
    <w:rsid w:val="00D70E23"/>
    <w:rsid w:val="00D713F2"/>
    <w:rsid w:val="00D7156C"/>
    <w:rsid w:val="00D73B89"/>
    <w:rsid w:val="00D75EA6"/>
    <w:rsid w:val="00D802B6"/>
    <w:rsid w:val="00D80498"/>
    <w:rsid w:val="00D80FE1"/>
    <w:rsid w:val="00D81275"/>
    <w:rsid w:val="00D831D6"/>
    <w:rsid w:val="00D83B6A"/>
    <w:rsid w:val="00D87930"/>
    <w:rsid w:val="00D94999"/>
    <w:rsid w:val="00D94C4C"/>
    <w:rsid w:val="00D975E7"/>
    <w:rsid w:val="00D97E0D"/>
    <w:rsid w:val="00DA37D9"/>
    <w:rsid w:val="00DA455C"/>
    <w:rsid w:val="00DA5690"/>
    <w:rsid w:val="00DA5AC6"/>
    <w:rsid w:val="00DA6CAD"/>
    <w:rsid w:val="00DA733B"/>
    <w:rsid w:val="00DB290C"/>
    <w:rsid w:val="00DB2F2B"/>
    <w:rsid w:val="00DB493B"/>
    <w:rsid w:val="00DB5EDB"/>
    <w:rsid w:val="00DB7960"/>
    <w:rsid w:val="00DC11A0"/>
    <w:rsid w:val="00DC3C0E"/>
    <w:rsid w:val="00DC6E14"/>
    <w:rsid w:val="00DC7D2E"/>
    <w:rsid w:val="00DD0217"/>
    <w:rsid w:val="00DD36AB"/>
    <w:rsid w:val="00DD4507"/>
    <w:rsid w:val="00DD4743"/>
    <w:rsid w:val="00DD51F9"/>
    <w:rsid w:val="00DD621D"/>
    <w:rsid w:val="00DD6612"/>
    <w:rsid w:val="00DD7D80"/>
    <w:rsid w:val="00DE1417"/>
    <w:rsid w:val="00DE25A6"/>
    <w:rsid w:val="00DF0FDF"/>
    <w:rsid w:val="00DF1523"/>
    <w:rsid w:val="00DF318D"/>
    <w:rsid w:val="00DF4790"/>
    <w:rsid w:val="00DF5606"/>
    <w:rsid w:val="00DF6E8C"/>
    <w:rsid w:val="00DF755F"/>
    <w:rsid w:val="00E02C97"/>
    <w:rsid w:val="00E031E8"/>
    <w:rsid w:val="00E04C70"/>
    <w:rsid w:val="00E05599"/>
    <w:rsid w:val="00E05B44"/>
    <w:rsid w:val="00E11ADE"/>
    <w:rsid w:val="00E1336C"/>
    <w:rsid w:val="00E13C50"/>
    <w:rsid w:val="00E1719E"/>
    <w:rsid w:val="00E21C88"/>
    <w:rsid w:val="00E2315A"/>
    <w:rsid w:val="00E265BA"/>
    <w:rsid w:val="00E33FEC"/>
    <w:rsid w:val="00E351E0"/>
    <w:rsid w:val="00E35CB2"/>
    <w:rsid w:val="00E373F0"/>
    <w:rsid w:val="00E37A4F"/>
    <w:rsid w:val="00E4582F"/>
    <w:rsid w:val="00E46D93"/>
    <w:rsid w:val="00E478E2"/>
    <w:rsid w:val="00E502E5"/>
    <w:rsid w:val="00E52245"/>
    <w:rsid w:val="00E535E0"/>
    <w:rsid w:val="00E53664"/>
    <w:rsid w:val="00E546D7"/>
    <w:rsid w:val="00E54E82"/>
    <w:rsid w:val="00E570B6"/>
    <w:rsid w:val="00E602E4"/>
    <w:rsid w:val="00E60E77"/>
    <w:rsid w:val="00E6266C"/>
    <w:rsid w:val="00E62ED8"/>
    <w:rsid w:val="00E63AAC"/>
    <w:rsid w:val="00E647E1"/>
    <w:rsid w:val="00E6651C"/>
    <w:rsid w:val="00E74A54"/>
    <w:rsid w:val="00E7779D"/>
    <w:rsid w:val="00E82931"/>
    <w:rsid w:val="00E859B0"/>
    <w:rsid w:val="00E86BE2"/>
    <w:rsid w:val="00E86C0F"/>
    <w:rsid w:val="00E91F76"/>
    <w:rsid w:val="00E944C5"/>
    <w:rsid w:val="00E94D93"/>
    <w:rsid w:val="00E9554D"/>
    <w:rsid w:val="00EA2832"/>
    <w:rsid w:val="00EA2B74"/>
    <w:rsid w:val="00EA3EBD"/>
    <w:rsid w:val="00EA5EEF"/>
    <w:rsid w:val="00EA75D0"/>
    <w:rsid w:val="00EB6BB9"/>
    <w:rsid w:val="00EB7F85"/>
    <w:rsid w:val="00EC0644"/>
    <w:rsid w:val="00EC0B90"/>
    <w:rsid w:val="00EC1C1A"/>
    <w:rsid w:val="00EC5845"/>
    <w:rsid w:val="00ED2509"/>
    <w:rsid w:val="00ED392B"/>
    <w:rsid w:val="00ED40BD"/>
    <w:rsid w:val="00ED4322"/>
    <w:rsid w:val="00ED77FA"/>
    <w:rsid w:val="00EE144F"/>
    <w:rsid w:val="00EE21E7"/>
    <w:rsid w:val="00EE42C6"/>
    <w:rsid w:val="00EE74EB"/>
    <w:rsid w:val="00EF5294"/>
    <w:rsid w:val="00EF5D20"/>
    <w:rsid w:val="00EF631F"/>
    <w:rsid w:val="00F000DA"/>
    <w:rsid w:val="00F0133D"/>
    <w:rsid w:val="00F02F14"/>
    <w:rsid w:val="00F03977"/>
    <w:rsid w:val="00F04664"/>
    <w:rsid w:val="00F10164"/>
    <w:rsid w:val="00F14205"/>
    <w:rsid w:val="00F15D93"/>
    <w:rsid w:val="00F17347"/>
    <w:rsid w:val="00F24088"/>
    <w:rsid w:val="00F24117"/>
    <w:rsid w:val="00F24BA2"/>
    <w:rsid w:val="00F24C3B"/>
    <w:rsid w:val="00F253E3"/>
    <w:rsid w:val="00F260CE"/>
    <w:rsid w:val="00F31053"/>
    <w:rsid w:val="00F328AE"/>
    <w:rsid w:val="00F3366C"/>
    <w:rsid w:val="00F36227"/>
    <w:rsid w:val="00F367A0"/>
    <w:rsid w:val="00F45CD8"/>
    <w:rsid w:val="00F45D06"/>
    <w:rsid w:val="00F4649D"/>
    <w:rsid w:val="00F46899"/>
    <w:rsid w:val="00F56ACD"/>
    <w:rsid w:val="00F57E63"/>
    <w:rsid w:val="00F64140"/>
    <w:rsid w:val="00F64592"/>
    <w:rsid w:val="00F679A2"/>
    <w:rsid w:val="00F70644"/>
    <w:rsid w:val="00F710CC"/>
    <w:rsid w:val="00F80097"/>
    <w:rsid w:val="00F80F07"/>
    <w:rsid w:val="00F812C2"/>
    <w:rsid w:val="00F81D50"/>
    <w:rsid w:val="00F87FA9"/>
    <w:rsid w:val="00F924B8"/>
    <w:rsid w:val="00F9276E"/>
    <w:rsid w:val="00F94334"/>
    <w:rsid w:val="00F97AD3"/>
    <w:rsid w:val="00FA2002"/>
    <w:rsid w:val="00FA3389"/>
    <w:rsid w:val="00FA48B9"/>
    <w:rsid w:val="00FA5040"/>
    <w:rsid w:val="00FA57A9"/>
    <w:rsid w:val="00FA7811"/>
    <w:rsid w:val="00FA7A07"/>
    <w:rsid w:val="00FB19B5"/>
    <w:rsid w:val="00FB39F8"/>
    <w:rsid w:val="00FB4469"/>
    <w:rsid w:val="00FB6481"/>
    <w:rsid w:val="00FB6766"/>
    <w:rsid w:val="00FB6B6E"/>
    <w:rsid w:val="00FB6B6F"/>
    <w:rsid w:val="00FC1125"/>
    <w:rsid w:val="00FC3C69"/>
    <w:rsid w:val="00FC5C0A"/>
    <w:rsid w:val="00FD1889"/>
    <w:rsid w:val="00FD5102"/>
    <w:rsid w:val="00FD5591"/>
    <w:rsid w:val="00FD5780"/>
    <w:rsid w:val="00FD584F"/>
    <w:rsid w:val="00FD6F34"/>
    <w:rsid w:val="00FE19E1"/>
    <w:rsid w:val="00FE2056"/>
    <w:rsid w:val="00FE71FC"/>
    <w:rsid w:val="00FF4665"/>
    <w:rsid w:val="00FF7C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804B1"/>
  <w15:chartTrackingRefBased/>
  <w15:docId w15:val="{D86C1285-F168-4648-8C07-DBE6AA94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214"/>
    <w:pPr>
      <w:spacing w:after="120" w:line="288" w:lineRule="auto"/>
      <w:jc w:val="both"/>
    </w:pPr>
  </w:style>
  <w:style w:type="paragraph" w:styleId="Heading1">
    <w:name w:val="heading 1"/>
    <w:basedOn w:val="Normal"/>
    <w:next w:val="Normal"/>
    <w:link w:val="Heading1Char"/>
    <w:autoRedefine/>
    <w:uiPriority w:val="9"/>
    <w:qFormat/>
    <w:rsid w:val="002B08E1"/>
    <w:pPr>
      <w:keepNext/>
      <w:keepLines/>
      <w:numPr>
        <w:numId w:val="70"/>
      </w:numPr>
      <w:spacing w:before="120"/>
      <w:jc w:val="left"/>
      <w:outlineLvl w:val="0"/>
    </w:pPr>
    <w:rPr>
      <w:rFonts w:asciiTheme="majorHAnsi" w:eastAsiaTheme="majorEastAsia" w:hAnsiTheme="majorHAnsi" w:cstheme="majorBidi"/>
      <w:color w:val="25A3AD"/>
      <w:sz w:val="30"/>
      <w:szCs w:val="32"/>
    </w:rPr>
  </w:style>
  <w:style w:type="paragraph" w:styleId="Heading2">
    <w:name w:val="heading 2"/>
    <w:basedOn w:val="Normal"/>
    <w:next w:val="Normal"/>
    <w:link w:val="Heading2Char"/>
    <w:autoRedefine/>
    <w:uiPriority w:val="9"/>
    <w:unhideWhenUsed/>
    <w:qFormat/>
    <w:rsid w:val="00F000DA"/>
    <w:pPr>
      <w:keepNext/>
      <w:keepLines/>
      <w:numPr>
        <w:ilvl w:val="1"/>
        <w:numId w:val="55"/>
      </w:numPr>
      <w:spacing w:before="120"/>
      <w:outlineLvl w:val="1"/>
    </w:pPr>
    <w:rPr>
      <w:rFonts w:eastAsiaTheme="majorEastAsia" w:cstheme="minorHAnsi"/>
      <w:bCs/>
      <w:color w:val="2AB9C4"/>
      <w:sz w:val="28"/>
      <w:szCs w:val="28"/>
    </w:rPr>
  </w:style>
  <w:style w:type="paragraph" w:styleId="Heading3">
    <w:name w:val="heading 3"/>
    <w:basedOn w:val="Normal"/>
    <w:next w:val="Normal"/>
    <w:link w:val="Heading3Char"/>
    <w:uiPriority w:val="9"/>
    <w:unhideWhenUsed/>
    <w:qFormat/>
    <w:rsid w:val="00A816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816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8169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8169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8169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8169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8169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8E1"/>
    <w:rPr>
      <w:rFonts w:asciiTheme="majorHAnsi" w:eastAsiaTheme="majorEastAsia" w:hAnsiTheme="majorHAnsi" w:cstheme="majorBidi"/>
      <w:color w:val="25A3AD"/>
      <w:sz w:val="30"/>
      <w:szCs w:val="32"/>
    </w:rPr>
  </w:style>
  <w:style w:type="character" w:customStyle="1" w:styleId="Heading2Char">
    <w:name w:val="Heading 2 Char"/>
    <w:basedOn w:val="DefaultParagraphFont"/>
    <w:link w:val="Heading2"/>
    <w:uiPriority w:val="9"/>
    <w:rsid w:val="00F000DA"/>
    <w:rPr>
      <w:rFonts w:eastAsiaTheme="majorEastAsia" w:cstheme="minorHAnsi"/>
      <w:bCs/>
      <w:color w:val="2AB9C4"/>
      <w:sz w:val="28"/>
      <w:szCs w:val="28"/>
    </w:rPr>
  </w:style>
  <w:style w:type="paragraph" w:styleId="Caption">
    <w:name w:val="caption"/>
    <w:basedOn w:val="Normal"/>
    <w:next w:val="Normal"/>
    <w:uiPriority w:val="35"/>
    <w:unhideWhenUsed/>
    <w:qFormat/>
    <w:rsid w:val="006E08B4"/>
    <w:pPr>
      <w:spacing w:after="200"/>
    </w:pPr>
    <w:rPr>
      <w:rFonts w:ascii="Arial" w:hAnsi="Arial"/>
      <w:b/>
      <w:iCs/>
      <w:sz w:val="18"/>
      <w:szCs w:val="18"/>
    </w:rPr>
  </w:style>
  <w:style w:type="table" w:styleId="GridTable5Dark-Accent3">
    <w:name w:val="Grid Table 5 Dark Accent 3"/>
    <w:basedOn w:val="TableNormal"/>
    <w:uiPriority w:val="50"/>
    <w:rsid w:val="005A289B"/>
    <w:pPr>
      <w:spacing w:after="0" w:line="240" w:lineRule="auto"/>
      <w:jc w:val="both"/>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link w:val="ListParagraphChar"/>
    <w:uiPriority w:val="34"/>
    <w:qFormat/>
    <w:rsid w:val="007C2F6A"/>
    <w:pPr>
      <w:ind w:left="720"/>
      <w:contextualSpacing/>
    </w:pPr>
  </w:style>
  <w:style w:type="character" w:styleId="CommentReference">
    <w:name w:val="annotation reference"/>
    <w:basedOn w:val="DefaultParagraphFont"/>
    <w:uiPriority w:val="99"/>
    <w:semiHidden/>
    <w:unhideWhenUsed/>
    <w:rsid w:val="00497ACF"/>
    <w:rPr>
      <w:sz w:val="16"/>
      <w:szCs w:val="16"/>
    </w:rPr>
  </w:style>
  <w:style w:type="paragraph" w:styleId="CommentText">
    <w:name w:val="annotation text"/>
    <w:basedOn w:val="Normal"/>
    <w:link w:val="CommentTextChar"/>
    <w:uiPriority w:val="99"/>
    <w:unhideWhenUsed/>
    <w:rsid w:val="00497ACF"/>
    <w:pPr>
      <w:spacing w:line="240" w:lineRule="auto"/>
    </w:pPr>
    <w:rPr>
      <w:sz w:val="20"/>
      <w:szCs w:val="20"/>
    </w:rPr>
  </w:style>
  <w:style w:type="character" w:customStyle="1" w:styleId="CommentTextChar">
    <w:name w:val="Comment Text Char"/>
    <w:basedOn w:val="DefaultParagraphFont"/>
    <w:link w:val="CommentText"/>
    <w:uiPriority w:val="99"/>
    <w:rsid w:val="00497ACF"/>
    <w:rPr>
      <w:sz w:val="20"/>
      <w:szCs w:val="20"/>
    </w:rPr>
  </w:style>
  <w:style w:type="paragraph" w:styleId="CommentSubject">
    <w:name w:val="annotation subject"/>
    <w:basedOn w:val="CommentText"/>
    <w:next w:val="CommentText"/>
    <w:link w:val="CommentSubjectChar"/>
    <w:uiPriority w:val="99"/>
    <w:semiHidden/>
    <w:unhideWhenUsed/>
    <w:rsid w:val="00497ACF"/>
    <w:rPr>
      <w:b/>
      <w:bCs/>
    </w:rPr>
  </w:style>
  <w:style w:type="character" w:customStyle="1" w:styleId="CommentSubjectChar">
    <w:name w:val="Comment Subject Char"/>
    <w:basedOn w:val="CommentTextChar"/>
    <w:link w:val="CommentSubject"/>
    <w:uiPriority w:val="99"/>
    <w:semiHidden/>
    <w:rsid w:val="00497ACF"/>
    <w:rPr>
      <w:b/>
      <w:bCs/>
      <w:sz w:val="20"/>
      <w:szCs w:val="20"/>
    </w:rPr>
  </w:style>
  <w:style w:type="paragraph" w:styleId="BalloonText">
    <w:name w:val="Balloon Text"/>
    <w:basedOn w:val="Normal"/>
    <w:link w:val="BalloonTextChar"/>
    <w:uiPriority w:val="99"/>
    <w:semiHidden/>
    <w:unhideWhenUsed/>
    <w:rsid w:val="00497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ACF"/>
    <w:rPr>
      <w:rFonts w:ascii="Segoe UI" w:hAnsi="Segoe UI" w:cs="Segoe UI"/>
      <w:sz w:val="18"/>
      <w:szCs w:val="18"/>
    </w:rPr>
  </w:style>
  <w:style w:type="paragraph" w:styleId="Header">
    <w:name w:val="header"/>
    <w:basedOn w:val="Normal"/>
    <w:link w:val="HeaderChar"/>
    <w:uiPriority w:val="99"/>
    <w:unhideWhenUsed/>
    <w:rsid w:val="005B5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4E4"/>
  </w:style>
  <w:style w:type="paragraph" w:styleId="Footer">
    <w:name w:val="footer"/>
    <w:basedOn w:val="Normal"/>
    <w:link w:val="FooterChar"/>
    <w:uiPriority w:val="99"/>
    <w:unhideWhenUsed/>
    <w:rsid w:val="005B5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4E4"/>
  </w:style>
  <w:style w:type="paragraph" w:customStyle="1" w:styleId="Default">
    <w:name w:val="Default"/>
    <w:rsid w:val="009F4738"/>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FE19E1"/>
    <w:pPr>
      <w:spacing w:after="0" w:line="240" w:lineRule="auto"/>
    </w:pPr>
  </w:style>
  <w:style w:type="table" w:styleId="PlainTable3">
    <w:name w:val="Plain Table 3"/>
    <w:basedOn w:val="TableNormal"/>
    <w:uiPriority w:val="43"/>
    <w:rsid w:val="0007636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419C9"/>
    <w:rPr>
      <w:color w:val="0563C1" w:themeColor="hyperlink"/>
      <w:u w:val="single"/>
    </w:rPr>
  </w:style>
  <w:style w:type="character" w:styleId="PlaceholderText">
    <w:name w:val="Placeholder Text"/>
    <w:basedOn w:val="DefaultParagraphFont"/>
    <w:uiPriority w:val="99"/>
    <w:semiHidden/>
    <w:rsid w:val="00B93179"/>
    <w:rPr>
      <w:color w:val="808080"/>
    </w:rPr>
  </w:style>
  <w:style w:type="paragraph" w:styleId="FootnoteText">
    <w:name w:val="footnote text"/>
    <w:basedOn w:val="Normal"/>
    <w:link w:val="FootnoteTextChar"/>
    <w:uiPriority w:val="99"/>
    <w:unhideWhenUsed/>
    <w:rsid w:val="006C5E39"/>
    <w:pPr>
      <w:spacing w:after="0" w:line="240" w:lineRule="auto"/>
    </w:pPr>
    <w:rPr>
      <w:sz w:val="20"/>
      <w:szCs w:val="20"/>
    </w:rPr>
  </w:style>
  <w:style w:type="character" w:customStyle="1" w:styleId="FootnoteTextChar">
    <w:name w:val="Footnote Text Char"/>
    <w:basedOn w:val="DefaultParagraphFont"/>
    <w:link w:val="FootnoteText"/>
    <w:uiPriority w:val="99"/>
    <w:rsid w:val="006C5E39"/>
    <w:rPr>
      <w:sz w:val="20"/>
      <w:szCs w:val="20"/>
    </w:rPr>
  </w:style>
  <w:style w:type="character" w:styleId="FootnoteReference">
    <w:name w:val="footnote reference"/>
    <w:basedOn w:val="DefaultParagraphFont"/>
    <w:unhideWhenUsed/>
    <w:rsid w:val="006C5E39"/>
    <w:rPr>
      <w:vertAlign w:val="superscript"/>
    </w:rPr>
  </w:style>
  <w:style w:type="character" w:styleId="LineNumber">
    <w:name w:val="line number"/>
    <w:basedOn w:val="DefaultParagraphFont"/>
    <w:uiPriority w:val="99"/>
    <w:semiHidden/>
    <w:unhideWhenUsed/>
    <w:rsid w:val="004C1DAA"/>
  </w:style>
  <w:style w:type="character" w:customStyle="1" w:styleId="Heading3Char">
    <w:name w:val="Heading 3 Char"/>
    <w:basedOn w:val="DefaultParagraphFont"/>
    <w:link w:val="Heading3"/>
    <w:uiPriority w:val="9"/>
    <w:rsid w:val="00A8169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8169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8169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8169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8169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8169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8169B"/>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851ACA"/>
    <w:pPr>
      <w:spacing w:after="0" w:line="240" w:lineRule="auto"/>
      <w:jc w:val="both"/>
    </w:pPr>
  </w:style>
  <w:style w:type="paragraph" w:styleId="Title">
    <w:name w:val="Title"/>
    <w:basedOn w:val="Normal"/>
    <w:next w:val="Normal"/>
    <w:link w:val="TitleChar"/>
    <w:uiPriority w:val="10"/>
    <w:qFormat/>
    <w:rsid w:val="00AF5F18"/>
    <w:pPr>
      <w:spacing w:after="240" w:line="240" w:lineRule="auto"/>
      <w:contextualSpacing/>
    </w:pPr>
    <w:rPr>
      <w:rFonts w:asciiTheme="majorHAnsi" w:eastAsiaTheme="majorEastAsia" w:hAnsiTheme="majorHAnsi" w:cstheme="majorBidi"/>
      <w:b/>
      <w:color w:val="1F4E79" w:themeColor="accent1" w:themeShade="80"/>
      <w:spacing w:val="-10"/>
      <w:kern w:val="28"/>
      <w:sz w:val="32"/>
      <w:szCs w:val="56"/>
    </w:rPr>
  </w:style>
  <w:style w:type="character" w:customStyle="1" w:styleId="TitleChar">
    <w:name w:val="Title Char"/>
    <w:basedOn w:val="DefaultParagraphFont"/>
    <w:link w:val="Title"/>
    <w:uiPriority w:val="10"/>
    <w:rsid w:val="00AF5F18"/>
    <w:rPr>
      <w:rFonts w:asciiTheme="majorHAnsi" w:eastAsiaTheme="majorEastAsia" w:hAnsiTheme="majorHAnsi" w:cstheme="majorBidi"/>
      <w:b/>
      <w:color w:val="1F4E79" w:themeColor="accent1" w:themeShade="80"/>
      <w:spacing w:val="-10"/>
      <w:kern w:val="28"/>
      <w:sz w:val="32"/>
      <w:szCs w:val="56"/>
    </w:rPr>
  </w:style>
  <w:style w:type="character" w:customStyle="1" w:styleId="NoSpacingChar">
    <w:name w:val="No Spacing Char"/>
    <w:link w:val="NoSpacing"/>
    <w:uiPriority w:val="1"/>
    <w:rsid w:val="00C93439"/>
  </w:style>
  <w:style w:type="table" w:styleId="TableGrid">
    <w:name w:val="Table Grid"/>
    <w:basedOn w:val="TableNormal"/>
    <w:uiPriority w:val="39"/>
    <w:rsid w:val="0040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13427"/>
    <w:pPr>
      <w:spacing w:before="100" w:beforeAutospacing="1" w:after="100" w:afterAutospacing="1" w:line="240" w:lineRule="auto"/>
      <w:jc w:val="left"/>
    </w:pPr>
    <w:rPr>
      <w:rFonts w:ascii="Times New Roman" w:eastAsia="Times New Roman" w:hAnsi="Times New Roman" w:cs="Times New Roman"/>
      <w:sz w:val="24"/>
      <w:szCs w:val="24"/>
      <w:lang w:val="de-CH" w:eastAsia="de-CH"/>
    </w:rPr>
  </w:style>
  <w:style w:type="character" w:customStyle="1" w:styleId="title-text">
    <w:name w:val="title-text"/>
    <w:basedOn w:val="DefaultParagraphFont"/>
    <w:rsid w:val="00D00837"/>
  </w:style>
  <w:style w:type="character" w:customStyle="1" w:styleId="gem-c-organisation-logoname">
    <w:name w:val="gem-c-organisation-logo__name"/>
    <w:basedOn w:val="DefaultParagraphFont"/>
    <w:rsid w:val="00D00837"/>
  </w:style>
  <w:style w:type="character" w:customStyle="1" w:styleId="hgkelc">
    <w:name w:val="hgkelc"/>
    <w:basedOn w:val="DefaultParagraphFont"/>
    <w:rsid w:val="00D00837"/>
  </w:style>
  <w:style w:type="paragraph" w:customStyle="1" w:styleId="TextA">
    <w:name w:val="Text A"/>
    <w:rsid w:val="00FD5102"/>
    <w:pPr>
      <w:pBdr>
        <w:top w:val="nil"/>
        <w:left w:val="nil"/>
        <w:bottom w:val="nil"/>
        <w:right w:val="nil"/>
        <w:between w:val="nil"/>
        <w:bar w:val="nil"/>
      </w:pBdr>
      <w:spacing w:after="0" w:line="240" w:lineRule="auto"/>
      <w:jc w:val="both"/>
    </w:pPr>
    <w:rPr>
      <w:rFonts w:ascii="Helvetica" w:eastAsia="Helvetica" w:hAnsi="Helvetica" w:cs="Helvetica"/>
      <w:color w:val="000000"/>
      <w:u w:color="000000"/>
      <w:bdr w:val="nil"/>
      <w:lang w:val="de-DE" w:eastAsia="de-DE"/>
    </w:rPr>
  </w:style>
  <w:style w:type="numbering" w:customStyle="1" w:styleId="Nummeriert">
    <w:name w:val="Nummeriert"/>
    <w:rsid w:val="00FD5102"/>
    <w:pPr>
      <w:numPr>
        <w:numId w:val="50"/>
      </w:numPr>
    </w:pPr>
  </w:style>
  <w:style w:type="paragraph" w:customStyle="1" w:styleId="FunoteA">
    <w:name w:val="Fußnote A"/>
    <w:rsid w:val="00FD5102"/>
    <w:pPr>
      <w:pBdr>
        <w:top w:val="nil"/>
        <w:left w:val="nil"/>
        <w:bottom w:val="nil"/>
        <w:right w:val="nil"/>
        <w:between w:val="nil"/>
        <w:bar w:val="nil"/>
      </w:pBdr>
      <w:spacing w:after="0" w:line="240" w:lineRule="auto"/>
      <w:jc w:val="both"/>
    </w:pPr>
    <w:rPr>
      <w:rFonts w:ascii="Helvetica" w:eastAsia="Helvetica" w:hAnsi="Helvetica" w:cs="Helvetica"/>
      <w:color w:val="000000"/>
      <w:u w:color="000000"/>
      <w:bdr w:val="nil"/>
      <w:lang w:val="de-DE" w:eastAsia="de-DE"/>
    </w:rPr>
  </w:style>
  <w:style w:type="character" w:styleId="Strong">
    <w:name w:val="Strong"/>
    <w:basedOn w:val="DefaultParagraphFont"/>
    <w:uiPriority w:val="22"/>
    <w:qFormat/>
    <w:rsid w:val="00FD5102"/>
    <w:rPr>
      <w:rFonts w:ascii="Arial" w:hAnsi="Arial"/>
      <w:b/>
      <w:bCs/>
      <w:sz w:val="22"/>
    </w:rPr>
  </w:style>
  <w:style w:type="character" w:customStyle="1" w:styleId="ListParagraphChar">
    <w:name w:val="List Paragraph Char"/>
    <w:link w:val="ListParagraph"/>
    <w:uiPriority w:val="34"/>
    <w:rsid w:val="00FD5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543">
      <w:bodyDiv w:val="1"/>
      <w:marLeft w:val="0"/>
      <w:marRight w:val="0"/>
      <w:marTop w:val="0"/>
      <w:marBottom w:val="0"/>
      <w:divBdr>
        <w:top w:val="none" w:sz="0" w:space="0" w:color="auto"/>
        <w:left w:val="none" w:sz="0" w:space="0" w:color="auto"/>
        <w:bottom w:val="none" w:sz="0" w:space="0" w:color="auto"/>
        <w:right w:val="none" w:sz="0" w:space="0" w:color="auto"/>
      </w:divBdr>
    </w:div>
    <w:div w:id="80955321">
      <w:bodyDiv w:val="1"/>
      <w:marLeft w:val="0"/>
      <w:marRight w:val="0"/>
      <w:marTop w:val="0"/>
      <w:marBottom w:val="0"/>
      <w:divBdr>
        <w:top w:val="none" w:sz="0" w:space="0" w:color="auto"/>
        <w:left w:val="none" w:sz="0" w:space="0" w:color="auto"/>
        <w:bottom w:val="none" w:sz="0" w:space="0" w:color="auto"/>
        <w:right w:val="none" w:sz="0" w:space="0" w:color="auto"/>
      </w:divBdr>
      <w:divsChild>
        <w:div w:id="270280240">
          <w:marLeft w:val="0"/>
          <w:marRight w:val="0"/>
          <w:marTop w:val="0"/>
          <w:marBottom w:val="0"/>
          <w:divBdr>
            <w:top w:val="none" w:sz="0" w:space="0" w:color="auto"/>
            <w:left w:val="none" w:sz="0" w:space="0" w:color="auto"/>
            <w:bottom w:val="none" w:sz="0" w:space="0" w:color="auto"/>
            <w:right w:val="none" w:sz="0" w:space="0" w:color="auto"/>
          </w:divBdr>
        </w:div>
      </w:divsChild>
    </w:div>
    <w:div w:id="111628888">
      <w:bodyDiv w:val="1"/>
      <w:marLeft w:val="0"/>
      <w:marRight w:val="0"/>
      <w:marTop w:val="0"/>
      <w:marBottom w:val="0"/>
      <w:divBdr>
        <w:top w:val="none" w:sz="0" w:space="0" w:color="auto"/>
        <w:left w:val="none" w:sz="0" w:space="0" w:color="auto"/>
        <w:bottom w:val="none" w:sz="0" w:space="0" w:color="auto"/>
        <w:right w:val="none" w:sz="0" w:space="0" w:color="auto"/>
      </w:divBdr>
    </w:div>
    <w:div w:id="164825809">
      <w:bodyDiv w:val="1"/>
      <w:marLeft w:val="0"/>
      <w:marRight w:val="0"/>
      <w:marTop w:val="0"/>
      <w:marBottom w:val="0"/>
      <w:divBdr>
        <w:top w:val="none" w:sz="0" w:space="0" w:color="auto"/>
        <w:left w:val="none" w:sz="0" w:space="0" w:color="auto"/>
        <w:bottom w:val="none" w:sz="0" w:space="0" w:color="auto"/>
        <w:right w:val="none" w:sz="0" w:space="0" w:color="auto"/>
      </w:divBdr>
    </w:div>
    <w:div w:id="301813054">
      <w:bodyDiv w:val="1"/>
      <w:marLeft w:val="0"/>
      <w:marRight w:val="0"/>
      <w:marTop w:val="0"/>
      <w:marBottom w:val="0"/>
      <w:divBdr>
        <w:top w:val="none" w:sz="0" w:space="0" w:color="auto"/>
        <w:left w:val="none" w:sz="0" w:space="0" w:color="auto"/>
        <w:bottom w:val="none" w:sz="0" w:space="0" w:color="auto"/>
        <w:right w:val="none" w:sz="0" w:space="0" w:color="auto"/>
      </w:divBdr>
    </w:div>
    <w:div w:id="325284213">
      <w:bodyDiv w:val="1"/>
      <w:marLeft w:val="0"/>
      <w:marRight w:val="0"/>
      <w:marTop w:val="0"/>
      <w:marBottom w:val="0"/>
      <w:divBdr>
        <w:top w:val="none" w:sz="0" w:space="0" w:color="auto"/>
        <w:left w:val="none" w:sz="0" w:space="0" w:color="auto"/>
        <w:bottom w:val="none" w:sz="0" w:space="0" w:color="auto"/>
        <w:right w:val="none" w:sz="0" w:space="0" w:color="auto"/>
      </w:divBdr>
    </w:div>
    <w:div w:id="329984022">
      <w:bodyDiv w:val="1"/>
      <w:marLeft w:val="0"/>
      <w:marRight w:val="0"/>
      <w:marTop w:val="0"/>
      <w:marBottom w:val="0"/>
      <w:divBdr>
        <w:top w:val="none" w:sz="0" w:space="0" w:color="auto"/>
        <w:left w:val="none" w:sz="0" w:space="0" w:color="auto"/>
        <w:bottom w:val="none" w:sz="0" w:space="0" w:color="auto"/>
        <w:right w:val="none" w:sz="0" w:space="0" w:color="auto"/>
      </w:divBdr>
    </w:div>
    <w:div w:id="463235914">
      <w:bodyDiv w:val="1"/>
      <w:marLeft w:val="0"/>
      <w:marRight w:val="0"/>
      <w:marTop w:val="0"/>
      <w:marBottom w:val="0"/>
      <w:divBdr>
        <w:top w:val="none" w:sz="0" w:space="0" w:color="auto"/>
        <w:left w:val="none" w:sz="0" w:space="0" w:color="auto"/>
        <w:bottom w:val="none" w:sz="0" w:space="0" w:color="auto"/>
        <w:right w:val="none" w:sz="0" w:space="0" w:color="auto"/>
      </w:divBdr>
    </w:div>
    <w:div w:id="563687838">
      <w:bodyDiv w:val="1"/>
      <w:marLeft w:val="0"/>
      <w:marRight w:val="0"/>
      <w:marTop w:val="0"/>
      <w:marBottom w:val="0"/>
      <w:divBdr>
        <w:top w:val="none" w:sz="0" w:space="0" w:color="auto"/>
        <w:left w:val="none" w:sz="0" w:space="0" w:color="auto"/>
        <w:bottom w:val="none" w:sz="0" w:space="0" w:color="auto"/>
        <w:right w:val="none" w:sz="0" w:space="0" w:color="auto"/>
      </w:divBdr>
    </w:div>
    <w:div w:id="780761472">
      <w:bodyDiv w:val="1"/>
      <w:marLeft w:val="0"/>
      <w:marRight w:val="0"/>
      <w:marTop w:val="0"/>
      <w:marBottom w:val="0"/>
      <w:divBdr>
        <w:top w:val="none" w:sz="0" w:space="0" w:color="auto"/>
        <w:left w:val="none" w:sz="0" w:space="0" w:color="auto"/>
        <w:bottom w:val="none" w:sz="0" w:space="0" w:color="auto"/>
        <w:right w:val="none" w:sz="0" w:space="0" w:color="auto"/>
      </w:divBdr>
    </w:div>
    <w:div w:id="1046492290">
      <w:bodyDiv w:val="1"/>
      <w:marLeft w:val="0"/>
      <w:marRight w:val="0"/>
      <w:marTop w:val="0"/>
      <w:marBottom w:val="0"/>
      <w:divBdr>
        <w:top w:val="none" w:sz="0" w:space="0" w:color="auto"/>
        <w:left w:val="none" w:sz="0" w:space="0" w:color="auto"/>
        <w:bottom w:val="none" w:sz="0" w:space="0" w:color="auto"/>
        <w:right w:val="none" w:sz="0" w:space="0" w:color="auto"/>
      </w:divBdr>
    </w:div>
    <w:div w:id="1165779923">
      <w:bodyDiv w:val="1"/>
      <w:marLeft w:val="0"/>
      <w:marRight w:val="0"/>
      <w:marTop w:val="0"/>
      <w:marBottom w:val="0"/>
      <w:divBdr>
        <w:top w:val="none" w:sz="0" w:space="0" w:color="auto"/>
        <w:left w:val="none" w:sz="0" w:space="0" w:color="auto"/>
        <w:bottom w:val="none" w:sz="0" w:space="0" w:color="auto"/>
        <w:right w:val="none" w:sz="0" w:space="0" w:color="auto"/>
      </w:divBdr>
      <w:divsChild>
        <w:div w:id="324554045">
          <w:marLeft w:val="0"/>
          <w:marRight w:val="0"/>
          <w:marTop w:val="0"/>
          <w:marBottom w:val="0"/>
          <w:divBdr>
            <w:top w:val="none" w:sz="0" w:space="0" w:color="auto"/>
            <w:left w:val="none" w:sz="0" w:space="0" w:color="auto"/>
            <w:bottom w:val="none" w:sz="0" w:space="0" w:color="auto"/>
            <w:right w:val="none" w:sz="0" w:space="0" w:color="auto"/>
          </w:divBdr>
        </w:div>
      </w:divsChild>
    </w:div>
    <w:div w:id="1196306909">
      <w:bodyDiv w:val="1"/>
      <w:marLeft w:val="0"/>
      <w:marRight w:val="0"/>
      <w:marTop w:val="0"/>
      <w:marBottom w:val="0"/>
      <w:divBdr>
        <w:top w:val="none" w:sz="0" w:space="0" w:color="auto"/>
        <w:left w:val="none" w:sz="0" w:space="0" w:color="auto"/>
        <w:bottom w:val="none" w:sz="0" w:space="0" w:color="auto"/>
        <w:right w:val="none" w:sz="0" w:space="0" w:color="auto"/>
      </w:divBdr>
    </w:div>
    <w:div w:id="1651707508">
      <w:bodyDiv w:val="1"/>
      <w:marLeft w:val="0"/>
      <w:marRight w:val="0"/>
      <w:marTop w:val="0"/>
      <w:marBottom w:val="0"/>
      <w:divBdr>
        <w:top w:val="none" w:sz="0" w:space="0" w:color="auto"/>
        <w:left w:val="none" w:sz="0" w:space="0" w:color="auto"/>
        <w:bottom w:val="none" w:sz="0" w:space="0" w:color="auto"/>
        <w:right w:val="none" w:sz="0" w:space="0" w:color="auto"/>
      </w:divBdr>
    </w:div>
    <w:div w:id="1839420527">
      <w:bodyDiv w:val="1"/>
      <w:marLeft w:val="0"/>
      <w:marRight w:val="0"/>
      <w:marTop w:val="0"/>
      <w:marBottom w:val="0"/>
      <w:divBdr>
        <w:top w:val="none" w:sz="0" w:space="0" w:color="auto"/>
        <w:left w:val="none" w:sz="0" w:space="0" w:color="auto"/>
        <w:bottom w:val="none" w:sz="0" w:space="0" w:color="auto"/>
        <w:right w:val="none" w:sz="0" w:space="0" w:color="auto"/>
      </w:divBdr>
      <w:divsChild>
        <w:div w:id="1687321815">
          <w:marLeft w:val="0"/>
          <w:marRight w:val="0"/>
          <w:marTop w:val="0"/>
          <w:marBottom w:val="0"/>
          <w:divBdr>
            <w:top w:val="none" w:sz="0" w:space="0" w:color="auto"/>
            <w:left w:val="none" w:sz="0" w:space="0" w:color="auto"/>
            <w:bottom w:val="none" w:sz="0" w:space="0" w:color="auto"/>
            <w:right w:val="none" w:sz="0" w:space="0" w:color="auto"/>
          </w:divBdr>
        </w:div>
      </w:divsChild>
    </w:div>
    <w:div w:id="196661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yperlink" Target="https://doi.org/10.25411/aru.14432591" TargetMode="External"/><Relationship Id="rId26" Type="http://schemas.openxmlformats.org/officeDocument/2006/relationships/chart" Target="charts/chart10.xml"/><Relationship Id="rId39" Type="http://schemas.openxmlformats.org/officeDocument/2006/relationships/chart" Target="charts/chart23.xml"/><Relationship Id="rId21" Type="http://schemas.openxmlformats.org/officeDocument/2006/relationships/image" Target="media/image5.png"/><Relationship Id="rId34" Type="http://schemas.openxmlformats.org/officeDocument/2006/relationships/chart" Target="charts/chart18.xml"/><Relationship Id="rId42" Type="http://schemas.openxmlformats.org/officeDocument/2006/relationships/chart" Target="charts/chart26.xml"/><Relationship Id="rId47" Type="http://schemas.openxmlformats.org/officeDocument/2006/relationships/chart" Target="charts/chart31.xml"/><Relationship Id="rId50" Type="http://schemas.openxmlformats.org/officeDocument/2006/relationships/chart" Target="charts/chart34.xm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chart" Target="charts/chart13.xml"/><Relationship Id="rId11" Type="http://schemas.openxmlformats.org/officeDocument/2006/relationships/chart" Target="charts/chart2.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chart" Target="charts/chart24.xml"/><Relationship Id="rId45" Type="http://schemas.openxmlformats.org/officeDocument/2006/relationships/chart" Target="charts/chart29.xml"/><Relationship Id="rId53" Type="http://schemas.openxmlformats.org/officeDocument/2006/relationships/chart" Target="charts/chart37.xml"/><Relationship Id="rId58"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3.emf"/><Relationship Id="rId14" Type="http://schemas.openxmlformats.org/officeDocument/2006/relationships/chart" Target="charts/chart5.xml"/><Relationship Id="rId22" Type="http://schemas.openxmlformats.org/officeDocument/2006/relationships/image" Target="media/image6.emf"/><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chart" Target="charts/chart27.xml"/><Relationship Id="rId48" Type="http://schemas.openxmlformats.org/officeDocument/2006/relationships/chart" Target="charts/chart32.xml"/><Relationship Id="rId56"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chart" Target="charts/chart35.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hyperlink" Target="https://doi.org/10.25411/aru.14432591" TargetMode="Externa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chart" Target="charts/chart30.xml"/><Relationship Id="rId59" Type="http://schemas.openxmlformats.org/officeDocument/2006/relationships/footer" Target="footer3.xml"/><Relationship Id="rId20" Type="http://schemas.openxmlformats.org/officeDocument/2006/relationships/image" Target="media/image4.emf"/><Relationship Id="rId41" Type="http://schemas.openxmlformats.org/officeDocument/2006/relationships/chart" Target="charts/chart25.xm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image" Target="media/image7.png"/><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chart" Target="charts/chart33.xml"/><Relationship Id="rId57" Type="http://schemas.openxmlformats.org/officeDocument/2006/relationships/footer" Target="footer2.xml"/><Relationship Id="rId10" Type="http://schemas.openxmlformats.org/officeDocument/2006/relationships/chart" Target="charts/chart1.xml"/><Relationship Id="rId31" Type="http://schemas.openxmlformats.org/officeDocument/2006/relationships/chart" Target="charts/chart15.xml"/><Relationship Id="rId44" Type="http://schemas.openxmlformats.org/officeDocument/2006/relationships/chart" Target="charts/chart28.xml"/><Relationship Id="rId52" Type="http://schemas.openxmlformats.org/officeDocument/2006/relationships/chart" Target="charts/chart36.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vensim.com/vensim-7-release/"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Users\hafs\Desktop\Anderes\Systems%20policy\Model%20simulation%202312\Results%20policy%20indicators.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hafs\Desktop\Anderes\Systems%20policy\Model%20simulation%202312\Results%20policy%20indicators.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C:\Users\hafs\Desktop\Anderes\Systems%20policy\Model%20simulation%202312\Results%20policy%20indicators.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C:\Users\hafs\Desktop\Anderes\Systems%20policy\Model%20simulation%202312\Results%20policy%20indicators.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C:\Users\hafs\Desktop\Anderes\Systems%20policy\Model%20simulation%202312\Results%20policy%20indicators.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hafs\Desktop\Anderes\Systems%20policy\Model%20simulation%202312\Results%20policy%20indicators.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C:\Users\hafs\Desktop\Anderes\Systems%20policy\Model%20simulation%202312\Results%20policy%20indicators.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C:\Users\hafs\Desktop\Anderes\Systems%20policy\Model%20simulation%202312\Results%20policy%20indicators.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C:\Users\hafs\Desktop\Anderes\Systems%20policy\Model%20simulation%202312\Results%20policy%20indicators.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Users\hafs\Desktop\Anderes\Systems%20policy\Model%20simulation%202312\Results%20policy%20indicators.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file:///C:\Users\hafs\Desktop\Anderes\Systems%20policy\Model%20simulation%202312\Results%20policy%20indicators.xlsx" TargetMode="Externa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21.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C:\Users\hafs\Desktop\Anderes\Systems%20policy\Model%20simulation%202312\Results%20policy%20indicators.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C:\Users\hafs\Desktop\Anderes\Systems%20policy\Model%20simulation%202312\Results%20policy%20indicators.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file:///C:\Users\hafs\Desktop\Anderes\Systems%20policy\Model%20simulation%202312\Results%20policy%20indicators.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file:///C:\Users\hafs\Desktop\Anderes\Systems%20policy\Model%20simulation%202312\Results%20policy%20indicators.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C:\Users\hafs\Desktop\Anderes\Systems%20policy\Model%20simulation%202312\Results%20policy%20indicators.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C:\Users\hafs\Desktop\Anderes\Systems%20policy\Model%20simulation%202312\Results%20policy%20indicators.xlsx" TargetMode="Externa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27.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oleObject" Target="file:///C:\Users\hafs\Desktop\Anderes\Systems%20policy\Model%20simulation%202312\Results%20policy%20indicators.xlsx" TargetMode="External"/></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28.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oleObject" Target="file:///C:\Users\hafs\Desktop\Anderes\Systems%20policy\Model%20simulation%202312\Results%20policy%20indicators.xlsx" TargetMode="Externa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29.xm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oleObject" Target="file:///C:\Users\hafs\Desktop\Anderes\Systems%20policy\Model%20simulation%202312\Results%20policy%20indicators.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30.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oleObject" Target="file:///C:\Users\hafs\Desktop\Anderes\Systems%20policy\Model%20simulation%202312\Results%20policy%20indicators.xlsx" TargetMode="External"/></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31.xm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oleObject" Target="file:///C:\Users\hafs\Desktop\Anderes\Systems%20policy\Model%20simulation%202312\Results%20policy%20indicators.xlsx" TargetMode="External"/></Relationships>
</file>

<file path=word/charts/_rels/chart32.xml.rels><?xml version="1.0" encoding="UTF-8" standalone="yes"?>
<Relationships xmlns="http://schemas.openxmlformats.org/package/2006/relationships"><Relationship Id="rId3" Type="http://schemas.openxmlformats.org/officeDocument/2006/relationships/themeOverride" Target="../theme/themeOverride32.xml"/><Relationship Id="rId2" Type="http://schemas.microsoft.com/office/2011/relationships/chartColorStyle" Target="colors32.xml"/><Relationship Id="rId1" Type="http://schemas.microsoft.com/office/2011/relationships/chartStyle" Target="style32.xml"/><Relationship Id="rId4" Type="http://schemas.openxmlformats.org/officeDocument/2006/relationships/oleObject" Target="file:///C:\Users\hafs\Desktop\Anderes\Systems%20policy\Model%20simulation%202312\Results%20policy%20indicators.xlsx" TargetMode="External"/></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33.xml"/><Relationship Id="rId2" Type="http://schemas.microsoft.com/office/2011/relationships/chartColorStyle" Target="colors33.xml"/><Relationship Id="rId1" Type="http://schemas.microsoft.com/office/2011/relationships/chartStyle" Target="style33.xml"/><Relationship Id="rId4" Type="http://schemas.openxmlformats.org/officeDocument/2006/relationships/oleObject" Target="file:///C:\Users\hafs\Desktop\Anderes\Systems%20policy\Model%20simulation%202312\Results%20policy%20indicators.xlsx" TargetMode="External"/></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34.xml"/><Relationship Id="rId2" Type="http://schemas.microsoft.com/office/2011/relationships/chartColorStyle" Target="colors34.xml"/><Relationship Id="rId1" Type="http://schemas.microsoft.com/office/2011/relationships/chartStyle" Target="style34.xml"/><Relationship Id="rId4" Type="http://schemas.openxmlformats.org/officeDocument/2006/relationships/oleObject" Target="file:///C:\Users\hafs\Desktop\Anderes\Systems%20policy\Model%20simulation%202312\Results%20policy%20indicators.xlsx" TargetMode="External"/></Relationships>
</file>

<file path=word/charts/_rels/chart35.xml.rels><?xml version="1.0" encoding="UTF-8" standalone="yes"?>
<Relationships xmlns="http://schemas.openxmlformats.org/package/2006/relationships"><Relationship Id="rId3" Type="http://schemas.openxmlformats.org/officeDocument/2006/relationships/themeOverride" Target="../theme/themeOverride35.xml"/><Relationship Id="rId2" Type="http://schemas.microsoft.com/office/2011/relationships/chartColorStyle" Target="colors35.xml"/><Relationship Id="rId1" Type="http://schemas.microsoft.com/office/2011/relationships/chartStyle" Target="style35.xml"/><Relationship Id="rId4" Type="http://schemas.openxmlformats.org/officeDocument/2006/relationships/oleObject" Target="file:///C:\Users\hafs\Desktop\Anderes\Systems%20policy\Model%20simulation%202312\Results%20policy%20indicators.xlsx" TargetMode="External"/></Relationships>
</file>

<file path=word/charts/_rels/chart36.xml.rels><?xml version="1.0" encoding="UTF-8" standalone="yes"?>
<Relationships xmlns="http://schemas.openxmlformats.org/package/2006/relationships"><Relationship Id="rId3" Type="http://schemas.openxmlformats.org/officeDocument/2006/relationships/themeOverride" Target="../theme/themeOverride36.xml"/><Relationship Id="rId2" Type="http://schemas.microsoft.com/office/2011/relationships/chartColorStyle" Target="colors36.xml"/><Relationship Id="rId1" Type="http://schemas.microsoft.com/office/2011/relationships/chartStyle" Target="style36.xml"/><Relationship Id="rId4" Type="http://schemas.openxmlformats.org/officeDocument/2006/relationships/oleObject" Target="file:///C:\Users\hafs\Desktop\Anderes\Systems%20policy\Model%20simulation%202312\Results%20policy%20indicators.xlsx" TargetMode="External"/></Relationships>
</file>

<file path=word/charts/_rels/chart37.xml.rels><?xml version="1.0" encoding="UTF-8" standalone="yes"?>
<Relationships xmlns="http://schemas.openxmlformats.org/package/2006/relationships"><Relationship Id="rId3" Type="http://schemas.openxmlformats.org/officeDocument/2006/relationships/themeOverride" Target="../theme/themeOverride37.xml"/><Relationship Id="rId2" Type="http://schemas.microsoft.com/office/2011/relationships/chartColorStyle" Target="colors37.xml"/><Relationship Id="rId1" Type="http://schemas.microsoft.com/office/2011/relationships/chartStyle" Target="style37.xml"/><Relationship Id="rId4" Type="http://schemas.openxmlformats.org/officeDocument/2006/relationships/oleObject" Target="file:///C:\Users\hafs\Desktop\Anderes\Systems%20policy\Model%20simulation%202312\Results%20policy%20indicators.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afs\OneDrive%20-%20ZHAW\21%20Anderes\01%20Systems%20policy\Model%20simulation%202312\Results%20policy%20indicators3.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hafs\Desktop\Anderes\Systems%20policy\Model%20simulation%202312\Results%20policy%20indicators.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hafs\Desktop\Anderes\Systems%20policy\Model%20simulation%202312\Results%20policy%20indicator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71624231659721"/>
          <c:y val="5.0925925925925923E-2"/>
          <c:w val="0.82061271811442349"/>
          <c:h val="0.61685289764673801"/>
        </c:manualLayout>
      </c:layout>
      <c:lineChart>
        <c:grouping val="standard"/>
        <c:varyColors val="0"/>
        <c:ser>
          <c:idx val="3"/>
          <c:order val="0"/>
          <c:tx>
            <c:strRef>
              <c:f>'0) Systems policy with GF'!$A$102</c:f>
              <c:strCache>
                <c:ptCount val="1"/>
                <c:pt idx="0">
                  <c:v>Base-run</c:v>
                </c:pt>
              </c:strCache>
            </c:strRef>
          </c:tx>
          <c:spPr>
            <a:ln w="12700" cap="rnd">
              <a:solidFill>
                <a:sysClr val="windowText" lastClr="000000"/>
              </a:solidFill>
              <a:round/>
            </a:ln>
            <a:effectLst/>
          </c:spPr>
          <c:marker>
            <c:symbol val="none"/>
          </c:marker>
          <c:cat>
            <c:numRef>
              <c:f>'0) Systems policy with GF'!$B$101:$AJ$101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GF'!$B$102:$AJ$102</c:f>
              <c:numCache>
                <c:formatCode>0</c:formatCode>
                <c:ptCount val="35"/>
                <c:pt idx="0">
                  <c:v>12.885899999999999</c:v>
                </c:pt>
                <c:pt idx="1">
                  <c:v>12.906499999999999</c:v>
                </c:pt>
                <c:pt idx="2">
                  <c:v>13.020799999999999</c:v>
                </c:pt>
                <c:pt idx="3">
                  <c:v>13.116199999999999</c:v>
                </c:pt>
                <c:pt idx="4">
                  <c:v>13.1226</c:v>
                </c:pt>
                <c:pt idx="5">
                  <c:v>13.0456</c:v>
                </c:pt>
                <c:pt idx="6">
                  <c:v>12.9091</c:v>
                </c:pt>
                <c:pt idx="7">
                  <c:v>12.7318</c:v>
                </c:pt>
                <c:pt idx="8">
                  <c:v>12.5318</c:v>
                </c:pt>
                <c:pt idx="9">
                  <c:v>12.351599999999999</c:v>
                </c:pt>
                <c:pt idx="10">
                  <c:v>12.2217</c:v>
                </c:pt>
                <c:pt idx="11">
                  <c:v>12.1408</c:v>
                </c:pt>
                <c:pt idx="12">
                  <c:v>12.1325</c:v>
                </c:pt>
                <c:pt idx="13">
                  <c:v>12.256</c:v>
                </c:pt>
                <c:pt idx="14">
                  <c:v>12.463699999999999</c:v>
                </c:pt>
                <c:pt idx="15">
                  <c:v>12.6861</c:v>
                </c:pt>
                <c:pt idx="16">
                  <c:v>12.9123</c:v>
                </c:pt>
                <c:pt idx="17">
                  <c:v>13.1168</c:v>
                </c:pt>
                <c:pt idx="18">
                  <c:v>13.2906</c:v>
                </c:pt>
                <c:pt idx="19">
                  <c:v>13.4457</c:v>
                </c:pt>
                <c:pt idx="20">
                  <c:v>13.5601</c:v>
                </c:pt>
                <c:pt idx="21">
                  <c:v>13.6372</c:v>
                </c:pt>
                <c:pt idx="22">
                  <c:v>13.680099999999999</c:v>
                </c:pt>
                <c:pt idx="23">
                  <c:v>13.7059</c:v>
                </c:pt>
                <c:pt idx="24">
                  <c:v>13.7082</c:v>
                </c:pt>
                <c:pt idx="25">
                  <c:v>13.6534</c:v>
                </c:pt>
                <c:pt idx="26">
                  <c:v>13.552099999999999</c:v>
                </c:pt>
                <c:pt idx="27">
                  <c:v>13.4488</c:v>
                </c:pt>
                <c:pt idx="28">
                  <c:v>13.3649</c:v>
                </c:pt>
                <c:pt idx="29">
                  <c:v>13.2981</c:v>
                </c:pt>
                <c:pt idx="30">
                  <c:v>13.2432</c:v>
                </c:pt>
                <c:pt idx="31">
                  <c:v>13.1999</c:v>
                </c:pt>
                <c:pt idx="32">
                  <c:v>13.1671</c:v>
                </c:pt>
                <c:pt idx="33">
                  <c:v>13.1416</c:v>
                </c:pt>
                <c:pt idx="34">
                  <c:v>13.1128</c:v>
                </c:pt>
              </c:numCache>
            </c:numRef>
          </c:val>
          <c:smooth val="0"/>
          <c:extLst>
            <c:ext xmlns:c16="http://schemas.microsoft.com/office/drawing/2014/chart" uri="{C3380CC4-5D6E-409C-BE32-E72D297353CC}">
              <c16:uniqueId val="{00000000-9D8E-45F6-95C7-9175D73BD9C4}"/>
            </c:ext>
          </c:extLst>
        </c:ser>
        <c:ser>
          <c:idx val="4"/>
          <c:order val="1"/>
          <c:tx>
            <c:strRef>
              <c:f>'0) Systems policy with GF'!$A$103</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GF'!$B$101:$AJ$101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GF'!$B$103:$AJ$103</c:f>
              <c:numCache>
                <c:formatCode>0</c:formatCode>
                <c:ptCount val="35"/>
                <c:pt idx="0">
                  <c:v>12.885899999999999</c:v>
                </c:pt>
                <c:pt idx="1">
                  <c:v>12.906499999999999</c:v>
                </c:pt>
                <c:pt idx="2">
                  <c:v>13.020799999999999</c:v>
                </c:pt>
                <c:pt idx="3">
                  <c:v>13.116199999999999</c:v>
                </c:pt>
                <c:pt idx="4">
                  <c:v>13.1226</c:v>
                </c:pt>
                <c:pt idx="5">
                  <c:v>13.0456</c:v>
                </c:pt>
                <c:pt idx="6">
                  <c:v>12.9091</c:v>
                </c:pt>
                <c:pt idx="7">
                  <c:v>12.7376</c:v>
                </c:pt>
                <c:pt idx="8">
                  <c:v>12.570399999999999</c:v>
                </c:pt>
                <c:pt idx="9">
                  <c:v>12.432499999999999</c:v>
                </c:pt>
                <c:pt idx="10">
                  <c:v>12.321999999999999</c:v>
                </c:pt>
                <c:pt idx="11">
                  <c:v>12.2254</c:v>
                </c:pt>
                <c:pt idx="12">
                  <c:v>12.164400000000001</c:v>
                </c:pt>
                <c:pt idx="13">
                  <c:v>12.1881</c:v>
                </c:pt>
                <c:pt idx="14">
                  <c:v>12.254899999999999</c:v>
                </c:pt>
                <c:pt idx="15">
                  <c:v>12.3094</c:v>
                </c:pt>
                <c:pt idx="16">
                  <c:v>12.346399999999999</c:v>
                </c:pt>
                <c:pt idx="17">
                  <c:v>12.3508</c:v>
                </c:pt>
                <c:pt idx="18">
                  <c:v>12.325100000000001</c:v>
                </c:pt>
                <c:pt idx="19">
                  <c:v>12.2866</c:v>
                </c:pt>
                <c:pt idx="20">
                  <c:v>12.2241</c:v>
                </c:pt>
                <c:pt idx="21">
                  <c:v>12.1455</c:v>
                </c:pt>
                <c:pt idx="22">
                  <c:v>12.0558</c:v>
                </c:pt>
                <c:pt idx="23">
                  <c:v>11.968</c:v>
                </c:pt>
                <c:pt idx="24">
                  <c:v>11.8736</c:v>
                </c:pt>
                <c:pt idx="25">
                  <c:v>11.747400000000001</c:v>
                </c:pt>
                <c:pt idx="26">
                  <c:v>11.5967</c:v>
                </c:pt>
                <c:pt idx="27">
                  <c:v>11.453900000000001</c:v>
                </c:pt>
                <c:pt idx="28">
                  <c:v>11.331899999999999</c:v>
                </c:pt>
                <c:pt idx="29">
                  <c:v>11.223800000000001</c:v>
                </c:pt>
                <c:pt idx="30">
                  <c:v>11.1227</c:v>
                </c:pt>
                <c:pt idx="31">
                  <c:v>11.0261</c:v>
                </c:pt>
                <c:pt idx="32">
                  <c:v>10.932600000000001</c:v>
                </c:pt>
                <c:pt idx="33">
                  <c:v>10.840999999999999</c:v>
                </c:pt>
                <c:pt idx="34">
                  <c:v>10.746</c:v>
                </c:pt>
              </c:numCache>
            </c:numRef>
          </c:val>
          <c:smooth val="0"/>
          <c:extLst>
            <c:ext xmlns:c16="http://schemas.microsoft.com/office/drawing/2014/chart" uri="{C3380CC4-5D6E-409C-BE32-E72D297353CC}">
              <c16:uniqueId val="{00000001-9D8E-45F6-95C7-9175D73BD9C4}"/>
            </c:ext>
          </c:extLst>
        </c:ser>
        <c:ser>
          <c:idx val="0"/>
          <c:order val="2"/>
          <c:tx>
            <c:strRef>
              <c:f>'0) Systems policy with GF'!$A$104</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GF'!$B$101:$AJ$101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GF'!$B$104:$AJ$104</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2-9D8E-45F6-95C7-9175D73BD9C4}"/>
            </c:ext>
          </c:extLst>
        </c:ser>
        <c:ser>
          <c:idx val="2"/>
          <c:order val="3"/>
          <c:tx>
            <c:strRef>
              <c:f>'0) Systems policy with GF'!$A$105</c:f>
              <c:strCache>
                <c:ptCount val="1"/>
                <c:pt idx="0">
                  <c:v>GFGS  and LETS combined</c:v>
                </c:pt>
              </c:strCache>
            </c:strRef>
          </c:tx>
          <c:spPr>
            <a:ln w="12700" cap="rnd">
              <a:solidFill>
                <a:srgbClr val="7030A0"/>
              </a:solidFill>
              <a:prstDash val="lgDashDot"/>
              <a:round/>
            </a:ln>
            <a:effectLst/>
          </c:spPr>
          <c:marker>
            <c:symbol val="none"/>
          </c:marker>
          <c:cat>
            <c:numRef>
              <c:f>'0) Systems policy with GF'!$B$101:$AJ$101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GF'!$B$105:$AJ$105</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3-9D8E-45F6-95C7-9175D73BD9C4}"/>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3.6134456713850273E-2"/>
              <c:y val="0.2304408286272563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7.4576271186440682E-2"/>
          <c:y val="0.84426326917468653"/>
          <c:w val="0.90738756172427615"/>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high'!$A$181</c:f>
              <c:strCache>
                <c:ptCount val="1"/>
                <c:pt idx="0">
                  <c:v>Base-run SH</c:v>
                </c:pt>
              </c:strCache>
            </c:strRef>
          </c:tx>
          <c:spPr>
            <a:ln w="12700" cap="rnd">
              <a:solidFill>
                <a:sysClr val="windowText" lastClr="000000"/>
              </a:solidFill>
              <a:round/>
            </a:ln>
            <a:effectLst/>
          </c:spPr>
          <c:marker>
            <c:symbol val="none"/>
          </c:marker>
          <c:cat>
            <c:numRef>
              <c:f>'2) Scenario high'!$B$180:$AJ$180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high'!$B$181:$AJ$181</c:f>
              <c:numCache>
                <c:formatCode>0.00</c:formatCode>
                <c:ptCount val="35"/>
                <c:pt idx="0">
                  <c:v>1.08178</c:v>
                </c:pt>
                <c:pt idx="1">
                  <c:v>1.11781</c:v>
                </c:pt>
                <c:pt idx="2">
                  <c:v>0.43387599999999998</c:v>
                </c:pt>
                <c:pt idx="3">
                  <c:v>0.12280200000000001</c:v>
                </c:pt>
                <c:pt idx="4">
                  <c:v>3.5879899999999999E-2</c:v>
                </c:pt>
                <c:pt idx="5">
                  <c:v>1.0659200000000001E-2</c:v>
                </c:pt>
                <c:pt idx="6">
                  <c:v>3.18922E-3</c:v>
                </c:pt>
                <c:pt idx="7">
                  <c:v>9.5683599999999997E-4</c:v>
                </c:pt>
                <c:pt idx="8">
                  <c:v>2.87359E-4</c:v>
                </c:pt>
                <c:pt idx="9">
                  <c:v>8.6329400000000007E-5</c:v>
                </c:pt>
                <c:pt idx="10">
                  <c:v>2.5938099999999998E-5</c:v>
                </c:pt>
                <c:pt idx="11">
                  <c:v>7.7935099999999999E-6</c:v>
                </c:pt>
                <c:pt idx="12">
                  <c:v>0.71188499999999999</c:v>
                </c:pt>
                <c:pt idx="13">
                  <c:v>2.2631300000000003</c:v>
                </c:pt>
                <c:pt idx="14">
                  <c:v>2.33569</c:v>
                </c:pt>
                <c:pt idx="15">
                  <c:v>2.3166700000000002</c:v>
                </c:pt>
                <c:pt idx="16">
                  <c:v>2.3024</c:v>
                </c:pt>
                <c:pt idx="17">
                  <c:v>2.3133499999999998</c:v>
                </c:pt>
                <c:pt idx="18">
                  <c:v>2.3475100000000002</c:v>
                </c:pt>
                <c:pt idx="19">
                  <c:v>2.3963100000000002</c:v>
                </c:pt>
                <c:pt idx="20">
                  <c:v>2.45112</c:v>
                </c:pt>
                <c:pt idx="21">
                  <c:v>2.5057100000000001</c:v>
                </c:pt>
                <c:pt idx="22">
                  <c:v>2.5565199999999999</c:v>
                </c:pt>
                <c:pt idx="23">
                  <c:v>2.6019999999999999</c:v>
                </c:pt>
                <c:pt idx="24">
                  <c:v>2.6418900000000001</c:v>
                </c:pt>
                <c:pt idx="25">
                  <c:v>2.6765500000000002</c:v>
                </c:pt>
                <c:pt idx="26">
                  <c:v>2.7065600000000001</c:v>
                </c:pt>
                <c:pt idx="27">
                  <c:v>2.7325300000000001</c:v>
                </c:pt>
                <c:pt idx="28">
                  <c:v>2.7549999999999999</c:v>
                </c:pt>
                <c:pt idx="29">
                  <c:v>2.7743800000000003</c:v>
                </c:pt>
                <c:pt idx="30">
                  <c:v>2.7910399999999997</c:v>
                </c:pt>
                <c:pt idx="31">
                  <c:v>2.8052600000000001</c:v>
                </c:pt>
                <c:pt idx="32">
                  <c:v>2.81732</c:v>
                </c:pt>
                <c:pt idx="33">
                  <c:v>2.8274499999999998</c:v>
                </c:pt>
                <c:pt idx="34">
                  <c:v>2.83582</c:v>
                </c:pt>
              </c:numCache>
            </c:numRef>
          </c:val>
          <c:smooth val="0"/>
          <c:extLst>
            <c:ext xmlns:c16="http://schemas.microsoft.com/office/drawing/2014/chart" uri="{C3380CC4-5D6E-409C-BE32-E72D297353CC}">
              <c16:uniqueId val="{00000000-5626-4E0E-BC29-1DF6E2D72549}"/>
            </c:ext>
          </c:extLst>
        </c:ser>
        <c:ser>
          <c:idx val="4"/>
          <c:order val="1"/>
          <c:tx>
            <c:strRef>
              <c:f>'2) Scenario high'!$A$182</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high'!$B$182:$AJ$182</c:f>
              <c:numCache>
                <c:formatCode>0.00</c:formatCode>
                <c:ptCount val="35"/>
                <c:pt idx="0">
                  <c:v>1.08178</c:v>
                </c:pt>
                <c:pt idx="1">
                  <c:v>1.11781</c:v>
                </c:pt>
                <c:pt idx="2">
                  <c:v>0.43387599999999998</c:v>
                </c:pt>
                <c:pt idx="3">
                  <c:v>0.12280200000000001</c:v>
                </c:pt>
                <c:pt idx="4">
                  <c:v>3.5879899999999999E-2</c:v>
                </c:pt>
                <c:pt idx="5">
                  <c:v>1.0659200000000001E-2</c:v>
                </c:pt>
                <c:pt idx="6">
                  <c:v>3.18922E-3</c:v>
                </c:pt>
                <c:pt idx="7">
                  <c:v>9.5683599999999997E-4</c:v>
                </c:pt>
                <c:pt idx="8">
                  <c:v>2.87359E-4</c:v>
                </c:pt>
                <c:pt idx="9">
                  <c:v>8.6329400000000007E-5</c:v>
                </c:pt>
                <c:pt idx="10">
                  <c:v>2.5938099999999998E-5</c:v>
                </c:pt>
                <c:pt idx="11">
                  <c:v>7.7935099999999999E-6</c:v>
                </c:pt>
                <c:pt idx="12">
                  <c:v>0.404364</c:v>
                </c:pt>
                <c:pt idx="13">
                  <c:v>2.2843200000000001</c:v>
                </c:pt>
                <c:pt idx="14">
                  <c:v>2.4025799999999999</c:v>
                </c:pt>
                <c:pt idx="15">
                  <c:v>2.3679800000000002</c:v>
                </c:pt>
                <c:pt idx="16">
                  <c:v>2.33142</c:v>
                </c:pt>
                <c:pt idx="17">
                  <c:v>2.3238300000000001</c:v>
                </c:pt>
                <c:pt idx="18">
                  <c:v>2.34565</c:v>
                </c:pt>
                <c:pt idx="19">
                  <c:v>2.3877600000000001</c:v>
                </c:pt>
                <c:pt idx="20">
                  <c:v>2.44001</c:v>
                </c:pt>
                <c:pt idx="21">
                  <c:v>2.4945300000000001</c:v>
                </c:pt>
                <c:pt idx="22">
                  <c:v>2.5465100000000001</c:v>
                </c:pt>
                <c:pt idx="23">
                  <c:v>2.5936399999999997</c:v>
                </c:pt>
                <c:pt idx="24">
                  <c:v>2.63523</c:v>
                </c:pt>
                <c:pt idx="25">
                  <c:v>2.6714600000000002</c:v>
                </c:pt>
                <c:pt idx="26">
                  <c:v>2.7028799999999999</c:v>
                </c:pt>
                <c:pt idx="27">
                  <c:v>2.7300999999999997</c:v>
                </c:pt>
                <c:pt idx="28">
                  <c:v>2.7536900000000002</c:v>
                </c:pt>
                <c:pt idx="29">
                  <c:v>2.77413</c:v>
                </c:pt>
                <c:pt idx="30">
                  <c:v>2.7917899999999998</c:v>
                </c:pt>
                <c:pt idx="31">
                  <c:v>2.80701</c:v>
                </c:pt>
                <c:pt idx="32">
                  <c:v>2.82002</c:v>
                </c:pt>
                <c:pt idx="33">
                  <c:v>2.8310599999999999</c:v>
                </c:pt>
                <c:pt idx="34">
                  <c:v>2.8403100000000001</c:v>
                </c:pt>
              </c:numCache>
            </c:numRef>
          </c:val>
          <c:smooth val="0"/>
          <c:extLst>
            <c:ext xmlns:c16="http://schemas.microsoft.com/office/drawing/2014/chart" uri="{C3380CC4-5D6E-409C-BE32-E72D297353CC}">
              <c16:uniqueId val="{00000001-5626-4E0E-BC29-1DF6E2D72549}"/>
            </c:ext>
          </c:extLst>
        </c:ser>
        <c:ser>
          <c:idx val="0"/>
          <c:order val="2"/>
          <c:tx>
            <c:strRef>
              <c:f>'2) Scenario high'!$A$183</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high'!$B$183:$AJ$183</c:f>
              <c:numCache>
                <c:formatCode>0.00</c:formatCode>
                <c:ptCount val="35"/>
                <c:pt idx="0">
                  <c:v>1.08178</c:v>
                </c:pt>
                <c:pt idx="1">
                  <c:v>1.11781</c:v>
                </c:pt>
                <c:pt idx="2">
                  <c:v>0.43387599999999998</c:v>
                </c:pt>
                <c:pt idx="3">
                  <c:v>0.12280200000000001</c:v>
                </c:pt>
                <c:pt idx="4">
                  <c:v>3.5879899999999999E-2</c:v>
                </c:pt>
                <c:pt idx="5">
                  <c:v>1.0659200000000001E-2</c:v>
                </c:pt>
                <c:pt idx="6">
                  <c:v>3.18922E-3</c:v>
                </c:pt>
                <c:pt idx="7">
                  <c:v>9.5683599999999997E-4</c:v>
                </c:pt>
                <c:pt idx="8">
                  <c:v>2.87359E-4</c:v>
                </c:pt>
                <c:pt idx="9">
                  <c:v>8.6329400000000007E-5</c:v>
                </c:pt>
                <c:pt idx="10">
                  <c:v>2.5938099999999998E-5</c:v>
                </c:pt>
                <c:pt idx="11">
                  <c:v>7.7935099999999999E-6</c:v>
                </c:pt>
                <c:pt idx="12">
                  <c:v>0.76060400000000006</c:v>
                </c:pt>
                <c:pt idx="13">
                  <c:v>2.1962199999999998</c:v>
                </c:pt>
                <c:pt idx="14">
                  <c:v>2.2911999999999999</c:v>
                </c:pt>
                <c:pt idx="15">
                  <c:v>2.2903200000000004</c:v>
                </c:pt>
                <c:pt idx="16">
                  <c:v>2.2888899999999999</c:v>
                </c:pt>
                <c:pt idx="17">
                  <c:v>2.3080100000000003</c:v>
                </c:pt>
                <c:pt idx="18">
                  <c:v>2.3467899999999999</c:v>
                </c:pt>
                <c:pt idx="19">
                  <c:v>2.3978200000000003</c:v>
                </c:pt>
                <c:pt idx="20">
                  <c:v>2.4534499999999997</c:v>
                </c:pt>
                <c:pt idx="21">
                  <c:v>2.5081599999999997</c:v>
                </c:pt>
                <c:pt idx="22">
                  <c:v>2.55884</c:v>
                </c:pt>
                <c:pt idx="23">
                  <c:v>2.6041799999999999</c:v>
                </c:pt>
                <c:pt idx="24">
                  <c:v>2.6439699999999999</c:v>
                </c:pt>
                <c:pt idx="25">
                  <c:v>2.6785999999999999</c:v>
                </c:pt>
                <c:pt idx="26">
                  <c:v>2.70865</c:v>
                </c:pt>
                <c:pt idx="27">
                  <c:v>2.7347600000000001</c:v>
                </c:pt>
                <c:pt idx="28">
                  <c:v>2.7574099999999997</c:v>
                </c:pt>
                <c:pt idx="29">
                  <c:v>2.7770100000000002</c:v>
                </c:pt>
                <c:pt idx="30">
                  <c:v>2.7938899999999998</c:v>
                </c:pt>
                <c:pt idx="31">
                  <c:v>2.8083200000000001</c:v>
                </c:pt>
                <c:pt idx="32">
                  <c:v>2.8205900000000002</c:v>
                </c:pt>
                <c:pt idx="33">
                  <c:v>2.8309199999999999</c:v>
                </c:pt>
                <c:pt idx="34">
                  <c:v>2.83948</c:v>
                </c:pt>
              </c:numCache>
            </c:numRef>
          </c:val>
          <c:smooth val="0"/>
          <c:extLst>
            <c:ext xmlns:c16="http://schemas.microsoft.com/office/drawing/2014/chart" uri="{C3380CC4-5D6E-409C-BE32-E72D297353CC}">
              <c16:uniqueId val="{00000002-5626-4E0E-BC29-1DF6E2D72549}"/>
            </c:ext>
          </c:extLst>
        </c:ser>
        <c:ser>
          <c:idx val="2"/>
          <c:order val="3"/>
          <c:tx>
            <c:strRef>
              <c:f>'2) Scenario high'!$A$184</c:f>
              <c:strCache>
                <c:ptCount val="1"/>
                <c:pt idx="0">
                  <c:v>FSP and LETS combined SH</c:v>
                </c:pt>
              </c:strCache>
            </c:strRef>
          </c:tx>
          <c:spPr>
            <a:ln w="12700" cap="rnd">
              <a:solidFill>
                <a:srgbClr val="7030A0"/>
              </a:solidFill>
              <a:prstDash val="lgDashDot"/>
              <a:round/>
            </a:ln>
            <a:effectLst/>
          </c:spPr>
          <c:marker>
            <c:symbol val="none"/>
          </c:marker>
          <c:cat>
            <c:numRef>
              <c:f>'2) Scenario high'!$B$180:$AJ$180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high'!$B$184:$AJ$184</c:f>
              <c:numCache>
                <c:formatCode>0.00</c:formatCode>
                <c:ptCount val="35"/>
                <c:pt idx="0">
                  <c:v>1.08178</c:v>
                </c:pt>
                <c:pt idx="1">
                  <c:v>1.11781</c:v>
                </c:pt>
                <c:pt idx="2">
                  <c:v>0.43387599999999998</c:v>
                </c:pt>
                <c:pt idx="3">
                  <c:v>0.12280200000000001</c:v>
                </c:pt>
                <c:pt idx="4">
                  <c:v>3.5879899999999999E-2</c:v>
                </c:pt>
                <c:pt idx="5">
                  <c:v>1.0659200000000001E-2</c:v>
                </c:pt>
                <c:pt idx="6">
                  <c:v>3.18922E-3</c:v>
                </c:pt>
                <c:pt idx="7">
                  <c:v>9.5683599999999997E-4</c:v>
                </c:pt>
                <c:pt idx="8">
                  <c:v>2.87359E-4</c:v>
                </c:pt>
                <c:pt idx="9">
                  <c:v>8.6329400000000007E-5</c:v>
                </c:pt>
                <c:pt idx="10">
                  <c:v>2.5938099999999998E-5</c:v>
                </c:pt>
                <c:pt idx="11">
                  <c:v>7.7935099999999999E-6</c:v>
                </c:pt>
                <c:pt idx="12">
                  <c:v>0.41852999999999996</c:v>
                </c:pt>
                <c:pt idx="13">
                  <c:v>2.2526700000000002</c:v>
                </c:pt>
                <c:pt idx="14">
                  <c:v>2.3812699999999998</c:v>
                </c:pt>
                <c:pt idx="15">
                  <c:v>2.3548800000000001</c:v>
                </c:pt>
                <c:pt idx="16">
                  <c:v>2.3242500000000001</c:v>
                </c:pt>
                <c:pt idx="17">
                  <c:v>2.32056</c:v>
                </c:pt>
                <c:pt idx="18">
                  <c:v>2.3447199999999997</c:v>
                </c:pt>
                <c:pt idx="19">
                  <c:v>2.3881100000000002</c:v>
                </c:pt>
                <c:pt idx="20">
                  <c:v>2.4409800000000001</c:v>
                </c:pt>
                <c:pt idx="21">
                  <c:v>2.4957699999999998</c:v>
                </c:pt>
                <c:pt idx="22">
                  <c:v>2.5478800000000001</c:v>
                </c:pt>
                <c:pt idx="23">
                  <c:v>2.59511</c:v>
                </c:pt>
                <c:pt idx="24">
                  <c:v>2.6368200000000002</c:v>
                </c:pt>
                <c:pt idx="25">
                  <c:v>2.6731599999999998</c:v>
                </c:pt>
                <c:pt idx="26">
                  <c:v>2.7046799999999998</c:v>
                </c:pt>
                <c:pt idx="27">
                  <c:v>2.7320300000000004</c:v>
                </c:pt>
                <c:pt idx="28">
                  <c:v>2.7558000000000002</c:v>
                </c:pt>
                <c:pt idx="29">
                  <c:v>2.7764199999999999</c:v>
                </c:pt>
                <c:pt idx="30">
                  <c:v>2.7942300000000002</c:v>
                </c:pt>
                <c:pt idx="31">
                  <c:v>2.8094999999999999</c:v>
                </c:pt>
                <c:pt idx="32">
                  <c:v>2.82253</c:v>
                </c:pt>
                <c:pt idx="33">
                  <c:v>2.8335900000000001</c:v>
                </c:pt>
                <c:pt idx="34">
                  <c:v>2.8428800000000001</c:v>
                </c:pt>
              </c:numCache>
            </c:numRef>
          </c:val>
          <c:smooth val="0"/>
          <c:extLst>
            <c:ext xmlns:c16="http://schemas.microsoft.com/office/drawing/2014/chart" uri="{C3380CC4-5D6E-409C-BE32-E72D297353CC}">
              <c16:uniqueId val="{00000003-5626-4E0E-BC29-1DF6E2D72549}"/>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1000 people</a:t>
                </a:r>
                <a:endParaRPr lang="de-CH" sz="900">
                  <a:effectLst/>
                </a:endParaRPr>
              </a:p>
            </c:rich>
          </c:tx>
          <c:layout>
            <c:manualLayout>
              <c:xMode val="edge"/>
              <c:yMode val="edge"/>
              <c:x val="2.8142496479985204E-2"/>
              <c:y val="0.27208599884707307"/>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77475045843068"/>
          <c:y val="0.87204097874862418"/>
          <c:w val="0.85627818847040305"/>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high'!$A$214</c:f>
              <c:strCache>
                <c:ptCount val="1"/>
                <c:pt idx="0">
                  <c:v>Base-run SH</c:v>
                </c:pt>
              </c:strCache>
            </c:strRef>
          </c:tx>
          <c:spPr>
            <a:ln w="12700" cap="rnd">
              <a:solidFill>
                <a:sysClr val="windowText" lastClr="000000"/>
              </a:solidFill>
              <a:round/>
            </a:ln>
            <a:effectLst/>
          </c:spPr>
          <c:marker>
            <c:symbol val="none"/>
          </c:marker>
          <c:cat>
            <c:numRef>
              <c:f>'2) Scenario high'!$B$213:$AJ$213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high'!$B$214:$AJ$214</c:f>
              <c:numCache>
                <c:formatCode>0</c:formatCode>
                <c:ptCount val="35"/>
                <c:pt idx="0">
                  <c:v>3648.89</c:v>
                </c:pt>
                <c:pt idx="1">
                  <c:v>3660.55</c:v>
                </c:pt>
                <c:pt idx="2">
                  <c:v>3870.59</c:v>
                </c:pt>
                <c:pt idx="3">
                  <c:v>4110.3</c:v>
                </c:pt>
                <c:pt idx="4">
                  <c:v>4396.1899999999996</c:v>
                </c:pt>
                <c:pt idx="5">
                  <c:v>4721.93</c:v>
                </c:pt>
                <c:pt idx="6">
                  <c:v>5045.7299999999996</c:v>
                </c:pt>
                <c:pt idx="7">
                  <c:v>5370.15</c:v>
                </c:pt>
                <c:pt idx="8">
                  <c:v>5655.48</c:v>
                </c:pt>
                <c:pt idx="9">
                  <c:v>5894.12</c:v>
                </c:pt>
                <c:pt idx="10">
                  <c:v>6062.56</c:v>
                </c:pt>
                <c:pt idx="11">
                  <c:v>6147.68</c:v>
                </c:pt>
                <c:pt idx="12">
                  <c:v>6149.25</c:v>
                </c:pt>
                <c:pt idx="13">
                  <c:v>6086.12</c:v>
                </c:pt>
                <c:pt idx="14">
                  <c:v>5977.92</c:v>
                </c:pt>
                <c:pt idx="15">
                  <c:v>5880.56</c:v>
                </c:pt>
                <c:pt idx="16">
                  <c:v>5803.92</c:v>
                </c:pt>
                <c:pt idx="17">
                  <c:v>5749.24</c:v>
                </c:pt>
                <c:pt idx="18">
                  <c:v>5715.98</c:v>
                </c:pt>
                <c:pt idx="19">
                  <c:v>5699.52</c:v>
                </c:pt>
                <c:pt idx="20">
                  <c:v>5696.75</c:v>
                </c:pt>
                <c:pt idx="21">
                  <c:v>5704.99</c:v>
                </c:pt>
                <c:pt idx="22">
                  <c:v>5723.45</c:v>
                </c:pt>
                <c:pt idx="23">
                  <c:v>5752.61</c:v>
                </c:pt>
                <c:pt idx="24">
                  <c:v>5785.6</c:v>
                </c:pt>
                <c:pt idx="25">
                  <c:v>5826.32</c:v>
                </c:pt>
                <c:pt idx="26">
                  <c:v>5875.13</c:v>
                </c:pt>
                <c:pt idx="27">
                  <c:v>5936.69</c:v>
                </c:pt>
                <c:pt idx="28">
                  <c:v>6004.78</c:v>
                </c:pt>
                <c:pt idx="29">
                  <c:v>6084</c:v>
                </c:pt>
                <c:pt idx="30">
                  <c:v>6178.28</c:v>
                </c:pt>
                <c:pt idx="31">
                  <c:v>6286.82</c:v>
                </c:pt>
                <c:pt idx="32">
                  <c:v>6411.84</c:v>
                </c:pt>
                <c:pt idx="33">
                  <c:v>6550.1</c:v>
                </c:pt>
                <c:pt idx="34">
                  <c:v>6705.05</c:v>
                </c:pt>
              </c:numCache>
            </c:numRef>
          </c:val>
          <c:smooth val="0"/>
          <c:extLst>
            <c:ext xmlns:c16="http://schemas.microsoft.com/office/drawing/2014/chart" uri="{C3380CC4-5D6E-409C-BE32-E72D297353CC}">
              <c16:uniqueId val="{00000000-D3AF-46B8-A827-69737050E0AE}"/>
            </c:ext>
          </c:extLst>
        </c:ser>
        <c:ser>
          <c:idx val="4"/>
          <c:order val="1"/>
          <c:tx>
            <c:strRef>
              <c:f>'2) Scenario high'!$A$215</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high'!$B$213:$AJ$213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high'!$B$215:$AJ$215</c:f>
              <c:numCache>
                <c:formatCode>0</c:formatCode>
                <c:ptCount val="35"/>
                <c:pt idx="0">
                  <c:v>3648.89</c:v>
                </c:pt>
                <c:pt idx="1">
                  <c:v>3660.55</c:v>
                </c:pt>
                <c:pt idx="2">
                  <c:v>3870.59</c:v>
                </c:pt>
                <c:pt idx="3">
                  <c:v>4110.3</c:v>
                </c:pt>
                <c:pt idx="4">
                  <c:v>4396.1899999999996</c:v>
                </c:pt>
                <c:pt idx="5">
                  <c:v>4748.1099999999997</c:v>
                </c:pt>
                <c:pt idx="6">
                  <c:v>5102.76</c:v>
                </c:pt>
                <c:pt idx="7">
                  <c:v>5464.45</c:v>
                </c:pt>
                <c:pt idx="8">
                  <c:v>5793.5</c:v>
                </c:pt>
                <c:pt idx="9">
                  <c:v>6081.37</c:v>
                </c:pt>
                <c:pt idx="10">
                  <c:v>6301.73</c:v>
                </c:pt>
                <c:pt idx="11">
                  <c:v>6437.99</c:v>
                </c:pt>
                <c:pt idx="12">
                  <c:v>6476.97</c:v>
                </c:pt>
                <c:pt idx="13">
                  <c:v>6435.09</c:v>
                </c:pt>
                <c:pt idx="14">
                  <c:v>6333.84</c:v>
                </c:pt>
                <c:pt idx="15">
                  <c:v>6222.41</c:v>
                </c:pt>
                <c:pt idx="16">
                  <c:v>6127.86</c:v>
                </c:pt>
                <c:pt idx="17">
                  <c:v>6051.13</c:v>
                </c:pt>
                <c:pt idx="18">
                  <c:v>5994.25</c:v>
                </c:pt>
                <c:pt idx="19">
                  <c:v>5954.43</c:v>
                </c:pt>
                <c:pt idx="20">
                  <c:v>5929.36</c:v>
                </c:pt>
                <c:pt idx="21">
                  <c:v>5916.9</c:v>
                </c:pt>
                <c:pt idx="22">
                  <c:v>5916.37</c:v>
                </c:pt>
                <c:pt idx="23">
                  <c:v>5928.65</c:v>
                </c:pt>
                <c:pt idx="24">
                  <c:v>5945.98</c:v>
                </c:pt>
                <c:pt idx="25">
                  <c:v>5972.65</c:v>
                </c:pt>
                <c:pt idx="26">
                  <c:v>6009.14</c:v>
                </c:pt>
                <c:pt idx="27">
                  <c:v>6060.33</c:v>
                </c:pt>
                <c:pt idx="28">
                  <c:v>6120.03</c:v>
                </c:pt>
                <c:pt idx="29">
                  <c:v>6192.5</c:v>
                </c:pt>
                <c:pt idx="30">
                  <c:v>6278.86</c:v>
                </c:pt>
                <c:pt idx="31">
                  <c:v>6382.2</c:v>
                </c:pt>
                <c:pt idx="32">
                  <c:v>6503.77</c:v>
                </c:pt>
                <c:pt idx="33">
                  <c:v>6640.94</c:v>
                </c:pt>
                <c:pt idx="34">
                  <c:v>6797.19</c:v>
                </c:pt>
              </c:numCache>
            </c:numRef>
          </c:val>
          <c:smooth val="0"/>
          <c:extLst>
            <c:ext xmlns:c16="http://schemas.microsoft.com/office/drawing/2014/chart" uri="{C3380CC4-5D6E-409C-BE32-E72D297353CC}">
              <c16:uniqueId val="{00000001-D3AF-46B8-A827-69737050E0AE}"/>
            </c:ext>
          </c:extLst>
        </c:ser>
        <c:ser>
          <c:idx val="0"/>
          <c:order val="2"/>
          <c:tx>
            <c:strRef>
              <c:f>'2) Scenario high'!$A$216</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high'!$B$213:$AJ$213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high'!$B$216:$AJ$216</c:f>
              <c:numCache>
                <c:formatCode>0</c:formatCode>
                <c:ptCount val="35"/>
                <c:pt idx="0">
                  <c:v>3648.89</c:v>
                </c:pt>
                <c:pt idx="1">
                  <c:v>3660.55</c:v>
                </c:pt>
                <c:pt idx="2">
                  <c:v>3870.59</c:v>
                </c:pt>
                <c:pt idx="3">
                  <c:v>4110.3</c:v>
                </c:pt>
                <c:pt idx="4">
                  <c:v>4396.1899999999996</c:v>
                </c:pt>
                <c:pt idx="5">
                  <c:v>4721.99</c:v>
                </c:pt>
                <c:pt idx="6">
                  <c:v>5046.59</c:v>
                </c:pt>
                <c:pt idx="7">
                  <c:v>5372.48</c:v>
                </c:pt>
                <c:pt idx="8">
                  <c:v>5660.23</c:v>
                </c:pt>
                <c:pt idx="9">
                  <c:v>5901.82</c:v>
                </c:pt>
                <c:pt idx="10">
                  <c:v>6072.63</c:v>
                </c:pt>
                <c:pt idx="11">
                  <c:v>6159.92</c:v>
                </c:pt>
                <c:pt idx="12">
                  <c:v>6162.4</c:v>
                </c:pt>
                <c:pt idx="13">
                  <c:v>6098.92</c:v>
                </c:pt>
                <c:pt idx="14">
                  <c:v>5988.38</c:v>
                </c:pt>
                <c:pt idx="15">
                  <c:v>5889.99</c:v>
                </c:pt>
                <c:pt idx="16">
                  <c:v>5811.32</c:v>
                </c:pt>
                <c:pt idx="17">
                  <c:v>5754.95</c:v>
                </c:pt>
                <c:pt idx="18">
                  <c:v>5720.99</c:v>
                </c:pt>
                <c:pt idx="19">
                  <c:v>5705</c:v>
                </c:pt>
                <c:pt idx="20">
                  <c:v>5703.88</c:v>
                </c:pt>
                <c:pt idx="21">
                  <c:v>5715.16</c:v>
                </c:pt>
                <c:pt idx="22">
                  <c:v>5737.71</c:v>
                </c:pt>
                <c:pt idx="23">
                  <c:v>5772.11</c:v>
                </c:pt>
                <c:pt idx="24">
                  <c:v>5811.3</c:v>
                </c:pt>
                <c:pt idx="25">
                  <c:v>5859.35</c:v>
                </c:pt>
                <c:pt idx="26">
                  <c:v>5916.96</c:v>
                </c:pt>
                <c:pt idx="27">
                  <c:v>5988.32</c:v>
                </c:pt>
                <c:pt idx="28">
                  <c:v>6067.42</c:v>
                </c:pt>
                <c:pt idx="29">
                  <c:v>6159.36</c:v>
                </c:pt>
                <c:pt idx="30">
                  <c:v>6267.45</c:v>
                </c:pt>
                <c:pt idx="31">
                  <c:v>6390.17</c:v>
                </c:pt>
                <c:pt idx="32">
                  <c:v>6529.66</c:v>
                </c:pt>
                <c:pt idx="33">
                  <c:v>6682.58</c:v>
                </c:pt>
                <c:pt idx="34">
                  <c:v>6852.63</c:v>
                </c:pt>
              </c:numCache>
            </c:numRef>
          </c:val>
          <c:smooth val="0"/>
          <c:extLst>
            <c:ext xmlns:c16="http://schemas.microsoft.com/office/drawing/2014/chart" uri="{C3380CC4-5D6E-409C-BE32-E72D297353CC}">
              <c16:uniqueId val="{00000002-D3AF-46B8-A827-69737050E0AE}"/>
            </c:ext>
          </c:extLst>
        </c:ser>
        <c:ser>
          <c:idx val="2"/>
          <c:order val="3"/>
          <c:tx>
            <c:strRef>
              <c:f>'2) Scenario high'!$A$217</c:f>
              <c:strCache>
                <c:ptCount val="1"/>
                <c:pt idx="0">
                  <c:v>FSP and LETS combined SH</c:v>
                </c:pt>
              </c:strCache>
            </c:strRef>
          </c:tx>
          <c:spPr>
            <a:ln w="12700" cap="rnd">
              <a:solidFill>
                <a:srgbClr val="7030A0"/>
              </a:solidFill>
              <a:prstDash val="lgDashDot"/>
              <a:round/>
            </a:ln>
            <a:effectLst/>
          </c:spPr>
          <c:marker>
            <c:symbol val="none"/>
          </c:marker>
          <c:cat>
            <c:numRef>
              <c:f>'2) Scenario high'!$B$213:$AJ$213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high'!$B$217:$AJ$217</c:f>
              <c:numCache>
                <c:formatCode>0</c:formatCode>
                <c:ptCount val="35"/>
                <c:pt idx="0">
                  <c:v>3648.89</c:v>
                </c:pt>
                <c:pt idx="1">
                  <c:v>3660.55</c:v>
                </c:pt>
                <c:pt idx="2">
                  <c:v>3870.59</c:v>
                </c:pt>
                <c:pt idx="3">
                  <c:v>4110.3</c:v>
                </c:pt>
                <c:pt idx="4">
                  <c:v>4396.1899999999996</c:v>
                </c:pt>
                <c:pt idx="5">
                  <c:v>4748.1499999999996</c:v>
                </c:pt>
                <c:pt idx="6">
                  <c:v>5103.6099999999997</c:v>
                </c:pt>
                <c:pt idx="7">
                  <c:v>5467.92</c:v>
                </c:pt>
                <c:pt idx="8">
                  <c:v>5800.95</c:v>
                </c:pt>
                <c:pt idx="9">
                  <c:v>6092.16</c:v>
                </c:pt>
                <c:pt idx="10">
                  <c:v>6314.25</c:v>
                </c:pt>
                <c:pt idx="11">
                  <c:v>6451.46</c:v>
                </c:pt>
                <c:pt idx="12">
                  <c:v>6491.25</c:v>
                </c:pt>
                <c:pt idx="13">
                  <c:v>6449.32</c:v>
                </c:pt>
                <c:pt idx="14">
                  <c:v>6347.01</c:v>
                </c:pt>
                <c:pt idx="15">
                  <c:v>6234.41</c:v>
                </c:pt>
                <c:pt idx="16">
                  <c:v>6138.73</c:v>
                </c:pt>
                <c:pt idx="17">
                  <c:v>6061.25</c:v>
                </c:pt>
                <c:pt idx="18">
                  <c:v>6004.55</c:v>
                </c:pt>
                <c:pt idx="19">
                  <c:v>5965.9</c:v>
                </c:pt>
                <c:pt idx="20">
                  <c:v>5943.03</c:v>
                </c:pt>
                <c:pt idx="21">
                  <c:v>5933.9</c:v>
                </c:pt>
                <c:pt idx="22">
                  <c:v>5937.58</c:v>
                </c:pt>
                <c:pt idx="23">
                  <c:v>5954.7</c:v>
                </c:pt>
                <c:pt idx="24">
                  <c:v>5977.26</c:v>
                </c:pt>
                <c:pt idx="25">
                  <c:v>6009.42</c:v>
                </c:pt>
                <c:pt idx="26">
                  <c:v>6052.26</c:v>
                </c:pt>
                <c:pt idx="27">
                  <c:v>6110.22</c:v>
                </c:pt>
                <c:pt idx="28">
                  <c:v>6176.98</c:v>
                </c:pt>
                <c:pt idx="29">
                  <c:v>6256.38</c:v>
                </c:pt>
                <c:pt idx="30">
                  <c:v>6349.84</c:v>
                </c:pt>
                <c:pt idx="31">
                  <c:v>6459.54</c:v>
                </c:pt>
                <c:pt idx="32">
                  <c:v>6587.37</c:v>
                </c:pt>
                <c:pt idx="33">
                  <c:v>6730.59</c:v>
                </c:pt>
                <c:pt idx="34">
                  <c:v>6893.2</c:v>
                </c:pt>
              </c:numCache>
            </c:numRef>
          </c:val>
          <c:smooth val="0"/>
          <c:extLst>
            <c:ext xmlns:c16="http://schemas.microsoft.com/office/drawing/2014/chart" uri="{C3380CC4-5D6E-409C-BE32-E72D297353CC}">
              <c16:uniqueId val="{00000003-D3AF-46B8-A827-69737050E0A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Bn. £</a:t>
                </a:r>
                <a:endParaRPr lang="de-CH" sz="900">
                  <a:effectLst/>
                </a:endParaRPr>
              </a:p>
            </c:rich>
          </c:tx>
          <c:layout>
            <c:manualLayout>
              <c:xMode val="edge"/>
              <c:yMode val="edge"/>
              <c:x val="3.0586355079202508E-2"/>
              <c:y val="0.32270842950068801"/>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1154878906256815"/>
          <c:y val="0.87204088868670526"/>
          <c:w val="0.88614396555183539"/>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high'!$A$250</c:f>
              <c:strCache>
                <c:ptCount val="1"/>
                <c:pt idx="0">
                  <c:v>Base-run SH</c:v>
                </c:pt>
              </c:strCache>
            </c:strRef>
          </c:tx>
          <c:spPr>
            <a:ln w="12700" cap="rnd">
              <a:solidFill>
                <a:sysClr val="windowText" lastClr="000000"/>
              </a:solidFill>
              <a:round/>
            </a:ln>
            <a:effectLst/>
          </c:spPr>
          <c:marker>
            <c:symbol val="none"/>
          </c:marker>
          <c:cat>
            <c:numRef>
              <c:f>'2) Scenario high'!$B$249:$AJ$249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high'!$B$250:$AJ$250</c:f>
              <c:numCache>
                <c:formatCode>0</c:formatCode>
                <c:ptCount val="35"/>
                <c:pt idx="0">
                  <c:v>20.381399999999999</c:v>
                </c:pt>
                <c:pt idx="1">
                  <c:v>27.815000000000001</c:v>
                </c:pt>
                <c:pt idx="2">
                  <c:v>32.909799999999997</c:v>
                </c:pt>
                <c:pt idx="3">
                  <c:v>30.591200000000001</c:v>
                </c:pt>
                <c:pt idx="4">
                  <c:v>25.945499999999999</c:v>
                </c:pt>
                <c:pt idx="5">
                  <c:v>21.469899999999999</c:v>
                </c:pt>
                <c:pt idx="6">
                  <c:v>17.6525</c:v>
                </c:pt>
                <c:pt idx="7">
                  <c:v>14.577</c:v>
                </c:pt>
                <c:pt idx="8">
                  <c:v>13.3169</c:v>
                </c:pt>
                <c:pt idx="9">
                  <c:v>14.4839</c:v>
                </c:pt>
                <c:pt idx="10">
                  <c:v>16.791399999999999</c:v>
                </c:pt>
                <c:pt idx="11">
                  <c:v>20.357199999999999</c:v>
                </c:pt>
                <c:pt idx="12">
                  <c:v>28.888200000000001</c:v>
                </c:pt>
                <c:pt idx="13">
                  <c:v>37.239699999999999</c:v>
                </c:pt>
                <c:pt idx="14">
                  <c:v>40.210599999999999</c:v>
                </c:pt>
                <c:pt idx="15">
                  <c:v>41.966500000000003</c:v>
                </c:pt>
                <c:pt idx="16">
                  <c:v>41.382300000000001</c:v>
                </c:pt>
                <c:pt idx="17">
                  <c:v>38.151499999999999</c:v>
                </c:pt>
                <c:pt idx="18">
                  <c:v>38.110500000000002</c:v>
                </c:pt>
                <c:pt idx="19">
                  <c:v>34.9452</c:v>
                </c:pt>
                <c:pt idx="20">
                  <c:v>33.178899999999999</c:v>
                </c:pt>
                <c:pt idx="21">
                  <c:v>31.296199999999999</c:v>
                </c:pt>
                <c:pt idx="22">
                  <c:v>30.703099999999999</c:v>
                </c:pt>
                <c:pt idx="23">
                  <c:v>30.037700000000001</c:v>
                </c:pt>
                <c:pt idx="24">
                  <c:v>25.570499999999999</c:v>
                </c:pt>
                <c:pt idx="25">
                  <c:v>21.673300000000001</c:v>
                </c:pt>
                <c:pt idx="26">
                  <c:v>21.349799999999998</c:v>
                </c:pt>
                <c:pt idx="27">
                  <c:v>22.3246</c:v>
                </c:pt>
                <c:pt idx="28">
                  <c:v>23.3202</c:v>
                </c:pt>
                <c:pt idx="29">
                  <c:v>23.9404</c:v>
                </c:pt>
                <c:pt idx="30">
                  <c:v>24.8825</c:v>
                </c:pt>
                <c:pt idx="31">
                  <c:v>25.385999999999999</c:v>
                </c:pt>
                <c:pt idx="32">
                  <c:v>25.533799999999999</c:v>
                </c:pt>
                <c:pt idx="33">
                  <c:v>25.133099999999999</c:v>
                </c:pt>
                <c:pt idx="34">
                  <c:v>23.991900000000001</c:v>
                </c:pt>
              </c:numCache>
            </c:numRef>
          </c:val>
          <c:smooth val="0"/>
          <c:extLst>
            <c:ext xmlns:c16="http://schemas.microsoft.com/office/drawing/2014/chart" uri="{C3380CC4-5D6E-409C-BE32-E72D297353CC}">
              <c16:uniqueId val="{00000000-3D57-4342-8848-43160F6709DA}"/>
            </c:ext>
          </c:extLst>
        </c:ser>
        <c:ser>
          <c:idx val="4"/>
          <c:order val="1"/>
          <c:tx>
            <c:strRef>
              <c:f>'2) Scenario high'!$A$251</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high'!$B$249:$AJ$249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high'!$B$251:$AJ$251</c:f>
              <c:numCache>
                <c:formatCode>0</c:formatCode>
                <c:ptCount val="35"/>
                <c:pt idx="0">
                  <c:v>20.381399999999999</c:v>
                </c:pt>
                <c:pt idx="1">
                  <c:v>27.815000000000001</c:v>
                </c:pt>
                <c:pt idx="2">
                  <c:v>32.909799999999997</c:v>
                </c:pt>
                <c:pt idx="3">
                  <c:v>30.591200000000001</c:v>
                </c:pt>
                <c:pt idx="4">
                  <c:v>25.046700000000001</c:v>
                </c:pt>
                <c:pt idx="5">
                  <c:v>20.742100000000001</c:v>
                </c:pt>
                <c:pt idx="6">
                  <c:v>17.089200000000002</c:v>
                </c:pt>
                <c:pt idx="7">
                  <c:v>16.237300000000001</c:v>
                </c:pt>
                <c:pt idx="8">
                  <c:v>18.250800000000002</c:v>
                </c:pt>
                <c:pt idx="9">
                  <c:v>20.916599999999999</c:v>
                </c:pt>
                <c:pt idx="10">
                  <c:v>22.5518</c:v>
                </c:pt>
                <c:pt idx="11">
                  <c:v>24.800699999999999</c:v>
                </c:pt>
                <c:pt idx="12">
                  <c:v>33.405799999999999</c:v>
                </c:pt>
                <c:pt idx="13">
                  <c:v>39.2363</c:v>
                </c:pt>
                <c:pt idx="14">
                  <c:v>38.471800000000002</c:v>
                </c:pt>
                <c:pt idx="15">
                  <c:v>38.582799999999999</c:v>
                </c:pt>
                <c:pt idx="16">
                  <c:v>36.851100000000002</c:v>
                </c:pt>
                <c:pt idx="17">
                  <c:v>33.0595</c:v>
                </c:pt>
                <c:pt idx="18">
                  <c:v>33.3461</c:v>
                </c:pt>
                <c:pt idx="19">
                  <c:v>29.6236</c:v>
                </c:pt>
                <c:pt idx="20">
                  <c:v>27.971800000000002</c:v>
                </c:pt>
                <c:pt idx="21">
                  <c:v>26.309100000000001</c:v>
                </c:pt>
                <c:pt idx="22">
                  <c:v>26.273</c:v>
                </c:pt>
                <c:pt idx="23">
                  <c:v>25.828299999999999</c:v>
                </c:pt>
                <c:pt idx="24">
                  <c:v>21.1556</c:v>
                </c:pt>
                <c:pt idx="25">
                  <c:v>17.4421</c:v>
                </c:pt>
                <c:pt idx="26">
                  <c:v>18.340599999999998</c:v>
                </c:pt>
                <c:pt idx="27">
                  <c:v>20.1114</c:v>
                </c:pt>
                <c:pt idx="28">
                  <c:v>21.12</c:v>
                </c:pt>
                <c:pt idx="29">
                  <c:v>21.616</c:v>
                </c:pt>
                <c:pt idx="30">
                  <c:v>21.719000000000001</c:v>
                </c:pt>
                <c:pt idx="31">
                  <c:v>21.703800000000001</c:v>
                </c:pt>
                <c:pt idx="32">
                  <c:v>21.766999999999999</c:v>
                </c:pt>
                <c:pt idx="33">
                  <c:v>21.0886</c:v>
                </c:pt>
                <c:pt idx="34">
                  <c:v>20.0185</c:v>
                </c:pt>
              </c:numCache>
            </c:numRef>
          </c:val>
          <c:smooth val="0"/>
          <c:extLst>
            <c:ext xmlns:c16="http://schemas.microsoft.com/office/drawing/2014/chart" uri="{C3380CC4-5D6E-409C-BE32-E72D297353CC}">
              <c16:uniqueId val="{00000001-3D57-4342-8848-43160F6709DA}"/>
            </c:ext>
          </c:extLst>
        </c:ser>
        <c:ser>
          <c:idx val="0"/>
          <c:order val="2"/>
          <c:tx>
            <c:strRef>
              <c:f>'2) Scenario high'!$A$252</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high'!$B$249:$AJ$249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high'!$B$252:$AJ$252</c:f>
              <c:numCache>
                <c:formatCode>0</c:formatCode>
                <c:ptCount val="35"/>
                <c:pt idx="0">
                  <c:v>20.381399999999999</c:v>
                </c:pt>
                <c:pt idx="1">
                  <c:v>27.815000000000001</c:v>
                </c:pt>
                <c:pt idx="2">
                  <c:v>32.909799999999997</c:v>
                </c:pt>
                <c:pt idx="3">
                  <c:v>30.591200000000001</c:v>
                </c:pt>
                <c:pt idx="4">
                  <c:v>25.945499999999999</c:v>
                </c:pt>
                <c:pt idx="5">
                  <c:v>22.968800000000002</c:v>
                </c:pt>
                <c:pt idx="6">
                  <c:v>19.6692</c:v>
                </c:pt>
                <c:pt idx="7">
                  <c:v>17.297899999999998</c:v>
                </c:pt>
                <c:pt idx="8">
                  <c:v>15.2463</c:v>
                </c:pt>
                <c:pt idx="9">
                  <c:v>14.6159</c:v>
                </c:pt>
                <c:pt idx="10">
                  <c:v>17.567900000000002</c:v>
                </c:pt>
                <c:pt idx="11">
                  <c:v>18.7912</c:v>
                </c:pt>
                <c:pt idx="12">
                  <c:v>23.415800000000001</c:v>
                </c:pt>
                <c:pt idx="13">
                  <c:v>28.443300000000001</c:v>
                </c:pt>
                <c:pt idx="14">
                  <c:v>31.057500000000001</c:v>
                </c:pt>
                <c:pt idx="15">
                  <c:v>35.751600000000003</c:v>
                </c:pt>
                <c:pt idx="16">
                  <c:v>36.724600000000002</c:v>
                </c:pt>
                <c:pt idx="17">
                  <c:v>34.888199999999998</c:v>
                </c:pt>
                <c:pt idx="18">
                  <c:v>36.462699999999998</c:v>
                </c:pt>
                <c:pt idx="19">
                  <c:v>34.908799999999999</c:v>
                </c:pt>
                <c:pt idx="20">
                  <c:v>37.075699999999998</c:v>
                </c:pt>
                <c:pt idx="21">
                  <c:v>36.0062</c:v>
                </c:pt>
                <c:pt idx="22">
                  <c:v>35.994999999999997</c:v>
                </c:pt>
                <c:pt idx="23">
                  <c:v>36.591099999999997</c:v>
                </c:pt>
                <c:pt idx="24">
                  <c:v>33.825800000000001</c:v>
                </c:pt>
                <c:pt idx="25">
                  <c:v>33.748899999999999</c:v>
                </c:pt>
                <c:pt idx="26">
                  <c:v>33.623399999999997</c:v>
                </c:pt>
                <c:pt idx="27">
                  <c:v>34.548699999999997</c:v>
                </c:pt>
                <c:pt idx="28">
                  <c:v>35.3733</c:v>
                </c:pt>
                <c:pt idx="29">
                  <c:v>35.603200000000001</c:v>
                </c:pt>
                <c:pt idx="30">
                  <c:v>37.6629</c:v>
                </c:pt>
                <c:pt idx="31">
                  <c:v>37.686500000000002</c:v>
                </c:pt>
                <c:pt idx="32">
                  <c:v>37.791499999999999</c:v>
                </c:pt>
                <c:pt idx="33">
                  <c:v>37.4193</c:v>
                </c:pt>
                <c:pt idx="34">
                  <c:v>40.665500000000002</c:v>
                </c:pt>
              </c:numCache>
            </c:numRef>
          </c:val>
          <c:smooth val="0"/>
          <c:extLst>
            <c:ext xmlns:c16="http://schemas.microsoft.com/office/drawing/2014/chart" uri="{C3380CC4-5D6E-409C-BE32-E72D297353CC}">
              <c16:uniqueId val="{00000002-3D57-4342-8848-43160F6709DA}"/>
            </c:ext>
          </c:extLst>
        </c:ser>
        <c:ser>
          <c:idx val="2"/>
          <c:order val="3"/>
          <c:tx>
            <c:strRef>
              <c:f>'2) Scenario high'!$A$253</c:f>
              <c:strCache>
                <c:ptCount val="1"/>
                <c:pt idx="0">
                  <c:v>FSP and LETS combined SH</c:v>
                </c:pt>
              </c:strCache>
            </c:strRef>
          </c:tx>
          <c:spPr>
            <a:ln w="12700" cap="rnd">
              <a:solidFill>
                <a:srgbClr val="7030A0"/>
              </a:solidFill>
              <a:prstDash val="lgDashDot"/>
              <a:round/>
            </a:ln>
            <a:effectLst/>
          </c:spPr>
          <c:marker>
            <c:symbol val="none"/>
          </c:marker>
          <c:cat>
            <c:numRef>
              <c:f>'2) Scenario high'!$B$249:$AJ$249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high'!$B$253:$AJ$253</c:f>
              <c:numCache>
                <c:formatCode>0</c:formatCode>
                <c:ptCount val="35"/>
                <c:pt idx="0">
                  <c:v>20.381399999999999</c:v>
                </c:pt>
                <c:pt idx="1">
                  <c:v>27.815000000000001</c:v>
                </c:pt>
                <c:pt idx="2">
                  <c:v>32.909799999999997</c:v>
                </c:pt>
                <c:pt idx="3">
                  <c:v>30.591200000000001</c:v>
                </c:pt>
                <c:pt idx="4">
                  <c:v>25.046700000000001</c:v>
                </c:pt>
                <c:pt idx="5">
                  <c:v>22.943200000000001</c:v>
                </c:pt>
                <c:pt idx="6">
                  <c:v>22.060199999999998</c:v>
                </c:pt>
                <c:pt idx="7">
                  <c:v>20.547499999999999</c:v>
                </c:pt>
                <c:pt idx="8">
                  <c:v>19.357199999999999</c:v>
                </c:pt>
                <c:pt idx="9">
                  <c:v>18.670300000000001</c:v>
                </c:pt>
                <c:pt idx="10">
                  <c:v>22.709199999999999</c:v>
                </c:pt>
                <c:pt idx="11">
                  <c:v>26.6769</c:v>
                </c:pt>
                <c:pt idx="12">
                  <c:v>30.758400000000002</c:v>
                </c:pt>
                <c:pt idx="13">
                  <c:v>32.218400000000003</c:v>
                </c:pt>
                <c:pt idx="14">
                  <c:v>31.684699999999999</c:v>
                </c:pt>
                <c:pt idx="15">
                  <c:v>36.4542</c:v>
                </c:pt>
                <c:pt idx="16">
                  <c:v>37.796199999999999</c:v>
                </c:pt>
                <c:pt idx="17">
                  <c:v>35.838999999999999</c:v>
                </c:pt>
                <c:pt idx="18">
                  <c:v>34.481299999999997</c:v>
                </c:pt>
                <c:pt idx="19">
                  <c:v>31.260300000000001</c:v>
                </c:pt>
                <c:pt idx="20">
                  <c:v>32.912999999999997</c:v>
                </c:pt>
                <c:pt idx="21">
                  <c:v>32.261800000000001</c:v>
                </c:pt>
                <c:pt idx="22">
                  <c:v>30.195799999999998</c:v>
                </c:pt>
                <c:pt idx="23">
                  <c:v>28.0273</c:v>
                </c:pt>
                <c:pt idx="24">
                  <c:v>24.142499999999998</c:v>
                </c:pt>
                <c:pt idx="25">
                  <c:v>24.2163</c:v>
                </c:pt>
                <c:pt idx="26">
                  <c:v>24.845099999999999</c:v>
                </c:pt>
                <c:pt idx="27">
                  <c:v>23.6983</c:v>
                </c:pt>
                <c:pt idx="28">
                  <c:v>22.5639</c:v>
                </c:pt>
                <c:pt idx="29">
                  <c:v>21.797699999999999</c:v>
                </c:pt>
                <c:pt idx="30">
                  <c:v>24.210999999999999</c:v>
                </c:pt>
                <c:pt idx="31">
                  <c:v>25.136800000000001</c:v>
                </c:pt>
                <c:pt idx="32">
                  <c:v>24.284199999999998</c:v>
                </c:pt>
                <c:pt idx="33">
                  <c:v>23.074100000000001</c:v>
                </c:pt>
                <c:pt idx="34">
                  <c:v>28.205200000000001</c:v>
                </c:pt>
              </c:numCache>
            </c:numRef>
          </c:val>
          <c:smooth val="0"/>
          <c:extLst>
            <c:ext xmlns:c16="http://schemas.microsoft.com/office/drawing/2014/chart" uri="{C3380CC4-5D6E-409C-BE32-E72D297353CC}">
              <c16:uniqueId val="{00000003-3D57-4342-8848-43160F6709DA}"/>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 bn.</a:t>
                </a:r>
                <a:endParaRPr lang="de-CH" sz="900">
                  <a:effectLst/>
                </a:endParaRPr>
              </a:p>
            </c:rich>
          </c:tx>
          <c:layout>
            <c:manualLayout>
              <c:xMode val="edge"/>
              <c:yMode val="edge"/>
              <c:x val="3.9443881280849198E-2"/>
              <c:y val="0.34889953649410838"/>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792914956093595"/>
          <c:y val="0.87204097874862418"/>
          <c:w val="0.88976377952755903"/>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high'!$A$284</c:f>
              <c:strCache>
                <c:ptCount val="1"/>
                <c:pt idx="0">
                  <c:v>Base-run SH</c:v>
                </c:pt>
              </c:strCache>
            </c:strRef>
          </c:tx>
          <c:spPr>
            <a:ln w="12700" cap="rnd">
              <a:solidFill>
                <a:sysClr val="windowText" lastClr="000000"/>
              </a:solidFill>
              <a:round/>
            </a:ln>
            <a:effectLst/>
          </c:spPr>
          <c:marker>
            <c:symbol val="none"/>
          </c:marker>
          <c:cat>
            <c:numRef>
              <c:f>'2) Scenario high'!$B$283:$AJ$283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high'!$B$284:$AJ$284</c:f>
              <c:numCache>
                <c:formatCode>0.00</c:formatCode>
                <c:ptCount val="35"/>
                <c:pt idx="0">
                  <c:v>0.18823599999999999</c:v>
                </c:pt>
                <c:pt idx="1">
                  <c:v>0.19112100000000001</c:v>
                </c:pt>
                <c:pt idx="2">
                  <c:v>0.19970199999999999</c:v>
                </c:pt>
                <c:pt idx="3">
                  <c:v>0.203621</c:v>
                </c:pt>
                <c:pt idx="4">
                  <c:v>0.203403</c:v>
                </c:pt>
                <c:pt idx="5">
                  <c:v>0.20125699999999999</c:v>
                </c:pt>
                <c:pt idx="6">
                  <c:v>0.198103</c:v>
                </c:pt>
                <c:pt idx="7">
                  <c:v>0.194296</c:v>
                </c:pt>
                <c:pt idx="8">
                  <c:v>0.190327</c:v>
                </c:pt>
                <c:pt idx="9">
                  <c:v>0.18840699999999999</c:v>
                </c:pt>
                <c:pt idx="10">
                  <c:v>0.189611</c:v>
                </c:pt>
                <c:pt idx="11">
                  <c:v>0.192991</c:v>
                </c:pt>
                <c:pt idx="12">
                  <c:v>0.20426</c:v>
                </c:pt>
                <c:pt idx="13">
                  <c:v>0.228377</c:v>
                </c:pt>
                <c:pt idx="14">
                  <c:v>0.25349300000000002</c:v>
                </c:pt>
                <c:pt idx="15">
                  <c:v>0.276474</c:v>
                </c:pt>
                <c:pt idx="16">
                  <c:v>0.300543</c:v>
                </c:pt>
                <c:pt idx="17">
                  <c:v>0.31579400000000002</c:v>
                </c:pt>
                <c:pt idx="18">
                  <c:v>0.33360299999999998</c:v>
                </c:pt>
                <c:pt idx="19">
                  <c:v>0.35094599999999998</c:v>
                </c:pt>
                <c:pt idx="20">
                  <c:v>0.36393199999999998</c:v>
                </c:pt>
                <c:pt idx="21">
                  <c:v>0.37683499999999998</c:v>
                </c:pt>
                <c:pt idx="22">
                  <c:v>0.38971499999999998</c:v>
                </c:pt>
                <c:pt idx="23">
                  <c:v>0.40614800000000001</c:v>
                </c:pt>
                <c:pt idx="24">
                  <c:v>0.41510900000000001</c:v>
                </c:pt>
                <c:pt idx="25">
                  <c:v>0.41181699999999999</c:v>
                </c:pt>
                <c:pt idx="26">
                  <c:v>0.41223300000000002</c:v>
                </c:pt>
                <c:pt idx="27">
                  <c:v>0.42142800000000002</c:v>
                </c:pt>
                <c:pt idx="28">
                  <c:v>0.43423099999999998</c:v>
                </c:pt>
                <c:pt idx="29">
                  <c:v>0.44543500000000003</c:v>
                </c:pt>
                <c:pt idx="30">
                  <c:v>0.45516299999999998</c:v>
                </c:pt>
                <c:pt idx="31">
                  <c:v>0.46403899999999998</c:v>
                </c:pt>
                <c:pt idx="32">
                  <c:v>0.47241</c:v>
                </c:pt>
                <c:pt idx="33">
                  <c:v>0.47952899999999998</c:v>
                </c:pt>
                <c:pt idx="34">
                  <c:v>0.48348000000000002</c:v>
                </c:pt>
              </c:numCache>
            </c:numRef>
          </c:val>
          <c:smooth val="0"/>
          <c:extLst>
            <c:ext xmlns:c16="http://schemas.microsoft.com/office/drawing/2014/chart" uri="{C3380CC4-5D6E-409C-BE32-E72D297353CC}">
              <c16:uniqueId val="{00000000-2D14-44F2-A184-23FDF4DB1CBC}"/>
            </c:ext>
          </c:extLst>
        </c:ser>
        <c:ser>
          <c:idx val="4"/>
          <c:order val="1"/>
          <c:tx>
            <c:strRef>
              <c:f>'2) Scenario high'!$A$285</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high'!$B$283:$AJ$283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high'!$B$285:$AJ$285</c:f>
              <c:numCache>
                <c:formatCode>0.00</c:formatCode>
                <c:ptCount val="35"/>
                <c:pt idx="0">
                  <c:v>0.18823599999999999</c:v>
                </c:pt>
                <c:pt idx="1">
                  <c:v>0.19112100000000001</c:v>
                </c:pt>
                <c:pt idx="2">
                  <c:v>0.19970199999999999</c:v>
                </c:pt>
                <c:pt idx="3">
                  <c:v>0.203621</c:v>
                </c:pt>
                <c:pt idx="4">
                  <c:v>0.203403</c:v>
                </c:pt>
                <c:pt idx="5">
                  <c:v>0.20125699999999999</c:v>
                </c:pt>
                <c:pt idx="6">
                  <c:v>0.198103</c:v>
                </c:pt>
                <c:pt idx="7">
                  <c:v>0.19585</c:v>
                </c:pt>
                <c:pt idx="8">
                  <c:v>0.199102</c:v>
                </c:pt>
                <c:pt idx="9">
                  <c:v>0.20744899999999999</c:v>
                </c:pt>
                <c:pt idx="10">
                  <c:v>0.21803</c:v>
                </c:pt>
                <c:pt idx="11">
                  <c:v>0.22920099999999999</c:v>
                </c:pt>
                <c:pt idx="12">
                  <c:v>0.25640499999999999</c:v>
                </c:pt>
                <c:pt idx="13">
                  <c:v>0.30509799999999998</c:v>
                </c:pt>
                <c:pt idx="14">
                  <c:v>0.34135300000000002</c:v>
                </c:pt>
                <c:pt idx="15">
                  <c:v>0.37131599999999998</c:v>
                </c:pt>
                <c:pt idx="16">
                  <c:v>0.40224399999999999</c:v>
                </c:pt>
                <c:pt idx="17">
                  <c:v>0.41923700000000003</c:v>
                </c:pt>
                <c:pt idx="18">
                  <c:v>0.44184400000000001</c:v>
                </c:pt>
                <c:pt idx="19">
                  <c:v>0.46068199999999998</c:v>
                </c:pt>
                <c:pt idx="20">
                  <c:v>0.47370099999999998</c:v>
                </c:pt>
                <c:pt idx="21">
                  <c:v>0.48641099999999998</c:v>
                </c:pt>
                <c:pt idx="22">
                  <c:v>0.50005599999999994</c:v>
                </c:pt>
                <c:pt idx="23">
                  <c:v>0.520069</c:v>
                </c:pt>
                <c:pt idx="24">
                  <c:v>0.52722800000000003</c:v>
                </c:pt>
                <c:pt idx="25">
                  <c:v>0.51916499999999999</c:v>
                </c:pt>
                <c:pt idx="26">
                  <c:v>0.51675700000000002</c:v>
                </c:pt>
                <c:pt idx="27">
                  <c:v>0.530358</c:v>
                </c:pt>
                <c:pt idx="28">
                  <c:v>0.54894600000000005</c:v>
                </c:pt>
                <c:pt idx="29">
                  <c:v>0.56415400000000004</c:v>
                </c:pt>
                <c:pt idx="30">
                  <c:v>0.57842099999999996</c:v>
                </c:pt>
                <c:pt idx="31">
                  <c:v>0.59167099999999995</c:v>
                </c:pt>
                <c:pt idx="32">
                  <c:v>0.60489099999999996</c:v>
                </c:pt>
                <c:pt idx="33">
                  <c:v>0.61623499999999998</c:v>
                </c:pt>
                <c:pt idx="34">
                  <c:v>0.623108</c:v>
                </c:pt>
              </c:numCache>
            </c:numRef>
          </c:val>
          <c:smooth val="0"/>
          <c:extLst>
            <c:ext xmlns:c16="http://schemas.microsoft.com/office/drawing/2014/chart" uri="{C3380CC4-5D6E-409C-BE32-E72D297353CC}">
              <c16:uniqueId val="{00000001-2D14-44F2-A184-23FDF4DB1CBC}"/>
            </c:ext>
          </c:extLst>
        </c:ser>
        <c:ser>
          <c:idx val="0"/>
          <c:order val="2"/>
          <c:tx>
            <c:strRef>
              <c:f>'2) Scenario high'!$A$286</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high'!$B$283:$AJ$283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high'!$B$286:$AJ$286</c:f>
              <c:numCache>
                <c:formatCode>0.00</c:formatCode>
                <c:ptCount val="35"/>
                <c:pt idx="0">
                  <c:v>0.18823599999999999</c:v>
                </c:pt>
                <c:pt idx="1">
                  <c:v>0.19112100000000001</c:v>
                </c:pt>
                <c:pt idx="2">
                  <c:v>0.19970199999999999</c:v>
                </c:pt>
                <c:pt idx="3">
                  <c:v>0.203621</c:v>
                </c:pt>
                <c:pt idx="4">
                  <c:v>0.203403</c:v>
                </c:pt>
                <c:pt idx="5">
                  <c:v>0.19586100000000001</c:v>
                </c:pt>
                <c:pt idx="6">
                  <c:v>0.193633</c:v>
                </c:pt>
                <c:pt idx="7">
                  <c:v>0.191109</c:v>
                </c:pt>
                <c:pt idx="8">
                  <c:v>0.188082</c:v>
                </c:pt>
                <c:pt idx="9">
                  <c:v>0.186478</c:v>
                </c:pt>
                <c:pt idx="10">
                  <c:v>0.18230399999999999</c:v>
                </c:pt>
                <c:pt idx="11">
                  <c:v>0.185416</c:v>
                </c:pt>
                <c:pt idx="12">
                  <c:v>0.196049</c:v>
                </c:pt>
                <c:pt idx="13">
                  <c:v>0.219002</c:v>
                </c:pt>
                <c:pt idx="14">
                  <c:v>0.24266599999999999</c:v>
                </c:pt>
                <c:pt idx="15">
                  <c:v>0.25930599999999998</c:v>
                </c:pt>
                <c:pt idx="16">
                  <c:v>0.28206199999999998</c:v>
                </c:pt>
                <c:pt idx="17">
                  <c:v>0.296124</c:v>
                </c:pt>
                <c:pt idx="18">
                  <c:v>0.31289600000000001</c:v>
                </c:pt>
                <c:pt idx="19">
                  <c:v>0.32932</c:v>
                </c:pt>
                <c:pt idx="20">
                  <c:v>0.337146</c:v>
                </c:pt>
                <c:pt idx="21">
                  <c:v>0.34952699999999998</c:v>
                </c:pt>
                <c:pt idx="22">
                  <c:v>0.36202899999999999</c:v>
                </c:pt>
                <c:pt idx="23">
                  <c:v>0.37821500000000002</c:v>
                </c:pt>
                <c:pt idx="24">
                  <c:v>0.387071</c:v>
                </c:pt>
                <c:pt idx="25">
                  <c:v>0.38203700000000002</c:v>
                </c:pt>
                <c:pt idx="26">
                  <c:v>0.384214</c:v>
                </c:pt>
                <c:pt idx="27">
                  <c:v>0.39418900000000001</c:v>
                </c:pt>
                <c:pt idx="28">
                  <c:v>0.40755599999999997</c:v>
                </c:pt>
                <c:pt idx="29">
                  <c:v>0.41922100000000001</c:v>
                </c:pt>
                <c:pt idx="30">
                  <c:v>0.42577599999999999</c:v>
                </c:pt>
                <c:pt idx="31">
                  <c:v>0.434971</c:v>
                </c:pt>
                <c:pt idx="32">
                  <c:v>0.44356000000000001</c:v>
                </c:pt>
                <c:pt idx="33">
                  <c:v>0.45082</c:v>
                </c:pt>
                <c:pt idx="34">
                  <c:v>0.44672699999999999</c:v>
                </c:pt>
              </c:numCache>
            </c:numRef>
          </c:val>
          <c:smooth val="0"/>
          <c:extLst>
            <c:ext xmlns:c16="http://schemas.microsoft.com/office/drawing/2014/chart" uri="{C3380CC4-5D6E-409C-BE32-E72D297353CC}">
              <c16:uniqueId val="{00000002-2D14-44F2-A184-23FDF4DB1CBC}"/>
            </c:ext>
          </c:extLst>
        </c:ser>
        <c:ser>
          <c:idx val="2"/>
          <c:order val="3"/>
          <c:tx>
            <c:strRef>
              <c:f>'2) Scenario high'!$A$287</c:f>
              <c:strCache>
                <c:ptCount val="1"/>
                <c:pt idx="0">
                  <c:v>FSP and LETS combined SH</c:v>
                </c:pt>
              </c:strCache>
            </c:strRef>
          </c:tx>
          <c:spPr>
            <a:ln w="12700" cap="rnd">
              <a:solidFill>
                <a:srgbClr val="7030A0"/>
              </a:solidFill>
              <a:prstDash val="lgDashDot"/>
              <a:round/>
            </a:ln>
            <a:effectLst/>
          </c:spPr>
          <c:marker>
            <c:symbol val="none"/>
          </c:marker>
          <c:cat>
            <c:numRef>
              <c:f>'2) Scenario high'!$B$283:$AJ$283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high'!$B$287:$AJ$287</c:f>
              <c:numCache>
                <c:formatCode>0.00</c:formatCode>
                <c:ptCount val="35"/>
                <c:pt idx="0">
                  <c:v>0.18823599999999999</c:v>
                </c:pt>
                <c:pt idx="1">
                  <c:v>0.19112100000000001</c:v>
                </c:pt>
                <c:pt idx="2">
                  <c:v>0.19970199999999999</c:v>
                </c:pt>
                <c:pt idx="3">
                  <c:v>0.203621</c:v>
                </c:pt>
                <c:pt idx="4">
                  <c:v>0.203403</c:v>
                </c:pt>
                <c:pt idx="5">
                  <c:v>0.19678699999999999</c:v>
                </c:pt>
                <c:pt idx="6">
                  <c:v>0.20169200000000001</c:v>
                </c:pt>
                <c:pt idx="7">
                  <c:v>0.20592099999999999</c:v>
                </c:pt>
                <c:pt idx="8">
                  <c:v>0.209476</c:v>
                </c:pt>
                <c:pt idx="9">
                  <c:v>0.21405199999999999</c:v>
                </c:pt>
                <c:pt idx="10">
                  <c:v>0.217968</c:v>
                </c:pt>
                <c:pt idx="11">
                  <c:v>0.246782</c:v>
                </c:pt>
                <c:pt idx="12">
                  <c:v>0.28127799999999997</c:v>
                </c:pt>
                <c:pt idx="13">
                  <c:v>0.323125</c:v>
                </c:pt>
                <c:pt idx="14">
                  <c:v>0.35504200000000002</c:v>
                </c:pt>
                <c:pt idx="15">
                  <c:v>0.38494099999999998</c:v>
                </c:pt>
                <c:pt idx="16">
                  <c:v>0.44159999999999999</c:v>
                </c:pt>
                <c:pt idx="17">
                  <c:v>0.48175600000000002</c:v>
                </c:pt>
                <c:pt idx="18">
                  <c:v>0.51417900000000005</c:v>
                </c:pt>
                <c:pt idx="19">
                  <c:v>0.53816299999999995</c:v>
                </c:pt>
                <c:pt idx="20">
                  <c:v>0.55558600000000002</c:v>
                </c:pt>
                <c:pt idx="21">
                  <c:v>0.59403399999999995</c:v>
                </c:pt>
                <c:pt idx="22">
                  <c:v>0.62172099999999997</c:v>
                </c:pt>
                <c:pt idx="23">
                  <c:v>0.64229099999999995</c:v>
                </c:pt>
                <c:pt idx="24">
                  <c:v>0.65176100000000003</c:v>
                </c:pt>
                <c:pt idx="25">
                  <c:v>0.64912400000000003</c:v>
                </c:pt>
                <c:pt idx="26">
                  <c:v>0.670983</c:v>
                </c:pt>
                <c:pt idx="27">
                  <c:v>0.690303</c:v>
                </c:pt>
                <c:pt idx="28">
                  <c:v>0.70291599999999999</c:v>
                </c:pt>
                <c:pt idx="29">
                  <c:v>0.71198300000000003</c:v>
                </c:pt>
                <c:pt idx="30">
                  <c:v>0.72082299999999999</c:v>
                </c:pt>
                <c:pt idx="31">
                  <c:v>0.74894400000000005</c:v>
                </c:pt>
                <c:pt idx="32">
                  <c:v>0.76921099999999998</c:v>
                </c:pt>
                <c:pt idx="33">
                  <c:v>0.78035500000000002</c:v>
                </c:pt>
                <c:pt idx="34">
                  <c:v>0.78390899999999997</c:v>
                </c:pt>
              </c:numCache>
            </c:numRef>
          </c:val>
          <c:smooth val="0"/>
          <c:extLst>
            <c:ext xmlns:c16="http://schemas.microsoft.com/office/drawing/2014/chart" uri="{C3380CC4-5D6E-409C-BE32-E72D297353CC}">
              <c16:uniqueId val="{00000003-2D14-44F2-A184-23FDF4DB1CBC}"/>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Mio people</a:t>
                </a:r>
                <a:endParaRPr lang="de-CH" sz="900">
                  <a:effectLst/>
                </a:endParaRPr>
              </a:p>
            </c:rich>
          </c:tx>
          <c:layout>
            <c:manualLayout>
              <c:xMode val="edge"/>
              <c:yMode val="edge"/>
              <c:x val="2.8865517115036002E-2"/>
              <c:y val="0.25735089959720803"/>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9.081830093640246E-2"/>
          <c:y val="0.87204097874862418"/>
          <c:w val="0.9068744536780012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low'!$A$101</c:f>
              <c:strCache>
                <c:ptCount val="1"/>
                <c:pt idx="0">
                  <c:v>Base-run SL</c:v>
                </c:pt>
              </c:strCache>
            </c:strRef>
          </c:tx>
          <c:spPr>
            <a:ln w="12700" cap="rnd">
              <a:solidFill>
                <a:sysClr val="windowText" lastClr="000000"/>
              </a:solidFill>
              <a:round/>
            </a:ln>
            <a:effectLst/>
          </c:spPr>
          <c:marker>
            <c:symbol val="none"/>
          </c:marker>
          <c:cat>
            <c:numRef>
              <c:f>'1) scenario low'!$B$100:$AJ$100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low'!$B$101:$AJ$101</c:f>
              <c:numCache>
                <c:formatCode>0</c:formatCode>
                <c:ptCount val="35"/>
                <c:pt idx="0">
                  <c:v>12.885899999999999</c:v>
                </c:pt>
                <c:pt idx="1">
                  <c:v>12.906499999999999</c:v>
                </c:pt>
                <c:pt idx="2">
                  <c:v>13.020799999999999</c:v>
                </c:pt>
                <c:pt idx="3">
                  <c:v>13.116199999999999</c:v>
                </c:pt>
                <c:pt idx="4">
                  <c:v>13.1226</c:v>
                </c:pt>
                <c:pt idx="5">
                  <c:v>13.0456</c:v>
                </c:pt>
                <c:pt idx="6">
                  <c:v>12.9091</c:v>
                </c:pt>
                <c:pt idx="7">
                  <c:v>12.7318</c:v>
                </c:pt>
                <c:pt idx="8">
                  <c:v>12.5318</c:v>
                </c:pt>
                <c:pt idx="9">
                  <c:v>12.351599999999999</c:v>
                </c:pt>
                <c:pt idx="10">
                  <c:v>12.2217</c:v>
                </c:pt>
                <c:pt idx="11">
                  <c:v>12.1408</c:v>
                </c:pt>
                <c:pt idx="12">
                  <c:v>12.1325</c:v>
                </c:pt>
                <c:pt idx="13">
                  <c:v>12.256</c:v>
                </c:pt>
                <c:pt idx="14">
                  <c:v>12.463699999999999</c:v>
                </c:pt>
                <c:pt idx="15">
                  <c:v>12.6861</c:v>
                </c:pt>
                <c:pt idx="16">
                  <c:v>12.9123</c:v>
                </c:pt>
                <c:pt idx="17">
                  <c:v>13.1168</c:v>
                </c:pt>
                <c:pt idx="18">
                  <c:v>13.2906</c:v>
                </c:pt>
                <c:pt idx="19">
                  <c:v>13.4457</c:v>
                </c:pt>
                <c:pt idx="20">
                  <c:v>13.5601</c:v>
                </c:pt>
                <c:pt idx="21">
                  <c:v>13.6372</c:v>
                </c:pt>
                <c:pt idx="22">
                  <c:v>13.680099999999999</c:v>
                </c:pt>
                <c:pt idx="23">
                  <c:v>13.7059</c:v>
                </c:pt>
                <c:pt idx="24">
                  <c:v>13.7082</c:v>
                </c:pt>
                <c:pt idx="25">
                  <c:v>13.6534</c:v>
                </c:pt>
                <c:pt idx="26">
                  <c:v>13.552099999999999</c:v>
                </c:pt>
                <c:pt idx="27">
                  <c:v>13.4488</c:v>
                </c:pt>
                <c:pt idx="28">
                  <c:v>13.3649</c:v>
                </c:pt>
                <c:pt idx="29">
                  <c:v>13.2981</c:v>
                </c:pt>
                <c:pt idx="30">
                  <c:v>13.2432</c:v>
                </c:pt>
                <c:pt idx="31">
                  <c:v>13.1999</c:v>
                </c:pt>
                <c:pt idx="32">
                  <c:v>13.1671</c:v>
                </c:pt>
                <c:pt idx="33">
                  <c:v>13.1416</c:v>
                </c:pt>
                <c:pt idx="34">
                  <c:v>13.1128</c:v>
                </c:pt>
              </c:numCache>
            </c:numRef>
          </c:val>
          <c:smooth val="0"/>
          <c:extLst>
            <c:ext xmlns:c16="http://schemas.microsoft.com/office/drawing/2014/chart" uri="{C3380CC4-5D6E-409C-BE32-E72D297353CC}">
              <c16:uniqueId val="{00000000-935E-4CA5-BEFF-3511F7F12AEB}"/>
            </c:ext>
          </c:extLst>
        </c:ser>
        <c:ser>
          <c:idx val="4"/>
          <c:order val="1"/>
          <c:tx>
            <c:strRef>
              <c:f>'1) scenario low'!$A$102</c:f>
              <c:strCache>
                <c:ptCount val="1"/>
                <c:pt idx="0">
                  <c:v>Finance system’s policy (FSP) SL</c:v>
                </c:pt>
              </c:strCache>
            </c:strRef>
          </c:tx>
          <c:spPr>
            <a:ln w="12700" cap="rnd">
              <a:solidFill>
                <a:srgbClr val="70AD47">
                  <a:lumMod val="75000"/>
                </a:srgbClr>
              </a:solidFill>
              <a:prstDash val="dash"/>
              <a:round/>
            </a:ln>
            <a:effectLst/>
          </c:spPr>
          <c:marker>
            <c:symbol val="none"/>
          </c:marker>
          <c:cat>
            <c:numRef>
              <c:f>'1) scenario low'!$B$100:$AJ$100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low'!$B$102:$AJ$102</c:f>
              <c:numCache>
                <c:formatCode>0</c:formatCode>
                <c:ptCount val="35"/>
                <c:pt idx="0">
                  <c:v>12.885899999999999</c:v>
                </c:pt>
                <c:pt idx="1">
                  <c:v>12.906499999999999</c:v>
                </c:pt>
                <c:pt idx="2">
                  <c:v>13.020799999999999</c:v>
                </c:pt>
                <c:pt idx="3">
                  <c:v>13.116199999999999</c:v>
                </c:pt>
                <c:pt idx="4">
                  <c:v>13.1226</c:v>
                </c:pt>
                <c:pt idx="5">
                  <c:v>13.0456</c:v>
                </c:pt>
                <c:pt idx="6">
                  <c:v>12.9091</c:v>
                </c:pt>
                <c:pt idx="7">
                  <c:v>12.7376</c:v>
                </c:pt>
                <c:pt idx="8">
                  <c:v>12.570399999999999</c:v>
                </c:pt>
                <c:pt idx="9">
                  <c:v>12.432499999999999</c:v>
                </c:pt>
                <c:pt idx="10">
                  <c:v>12.321999999999999</c:v>
                </c:pt>
                <c:pt idx="11">
                  <c:v>12.2254</c:v>
                </c:pt>
                <c:pt idx="12">
                  <c:v>12.164400000000001</c:v>
                </c:pt>
                <c:pt idx="13">
                  <c:v>12.1881</c:v>
                </c:pt>
                <c:pt idx="14">
                  <c:v>12.254899999999999</c:v>
                </c:pt>
                <c:pt idx="15">
                  <c:v>12.3094</c:v>
                </c:pt>
                <c:pt idx="16">
                  <c:v>12.346399999999999</c:v>
                </c:pt>
                <c:pt idx="17">
                  <c:v>12.3508</c:v>
                </c:pt>
                <c:pt idx="18">
                  <c:v>12.325100000000001</c:v>
                </c:pt>
                <c:pt idx="19">
                  <c:v>12.2866</c:v>
                </c:pt>
                <c:pt idx="20">
                  <c:v>12.2241</c:v>
                </c:pt>
                <c:pt idx="21">
                  <c:v>12.1455</c:v>
                </c:pt>
                <c:pt idx="22">
                  <c:v>12.0558</c:v>
                </c:pt>
                <c:pt idx="23">
                  <c:v>11.968</c:v>
                </c:pt>
                <c:pt idx="24">
                  <c:v>11.8736</c:v>
                </c:pt>
                <c:pt idx="25">
                  <c:v>11.747400000000001</c:v>
                </c:pt>
                <c:pt idx="26">
                  <c:v>11.5967</c:v>
                </c:pt>
                <c:pt idx="27">
                  <c:v>11.453900000000001</c:v>
                </c:pt>
                <c:pt idx="28">
                  <c:v>11.331899999999999</c:v>
                </c:pt>
                <c:pt idx="29">
                  <c:v>11.223800000000001</c:v>
                </c:pt>
                <c:pt idx="30">
                  <c:v>11.1227</c:v>
                </c:pt>
                <c:pt idx="31">
                  <c:v>11.0261</c:v>
                </c:pt>
                <c:pt idx="32">
                  <c:v>10.932600000000001</c:v>
                </c:pt>
                <c:pt idx="33">
                  <c:v>10.840999999999999</c:v>
                </c:pt>
                <c:pt idx="34">
                  <c:v>10.746</c:v>
                </c:pt>
              </c:numCache>
            </c:numRef>
          </c:val>
          <c:smooth val="0"/>
          <c:extLst>
            <c:ext xmlns:c16="http://schemas.microsoft.com/office/drawing/2014/chart" uri="{C3380CC4-5D6E-409C-BE32-E72D297353CC}">
              <c16:uniqueId val="{00000001-935E-4CA5-BEFF-3511F7F12AEB}"/>
            </c:ext>
          </c:extLst>
        </c:ser>
        <c:ser>
          <c:idx val="0"/>
          <c:order val="2"/>
          <c:tx>
            <c:strRef>
              <c:f>'1) scenario low'!$A$103</c:f>
              <c:strCache>
                <c:ptCount val="1"/>
                <c:pt idx="0">
                  <c:v>Low-carbon energy transition scenario (LETS) SL</c:v>
                </c:pt>
              </c:strCache>
            </c:strRef>
          </c:tx>
          <c:spPr>
            <a:ln w="12700" cap="rnd">
              <a:solidFill>
                <a:srgbClr val="5B9BD5">
                  <a:lumMod val="60000"/>
                  <a:lumOff val="40000"/>
                </a:srgbClr>
              </a:solidFill>
              <a:prstDash val="sysDash"/>
              <a:round/>
            </a:ln>
            <a:effectLst/>
          </c:spPr>
          <c:marker>
            <c:symbol val="none"/>
          </c:marker>
          <c:cat>
            <c:numRef>
              <c:f>'1) scenario low'!$B$100:$AJ$100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low'!$B$103:$AJ$103</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2-935E-4CA5-BEFF-3511F7F12AEB}"/>
            </c:ext>
          </c:extLst>
        </c:ser>
        <c:ser>
          <c:idx val="2"/>
          <c:order val="3"/>
          <c:tx>
            <c:strRef>
              <c:f>'1) scenario low'!$A$104</c:f>
              <c:strCache>
                <c:ptCount val="1"/>
                <c:pt idx="0">
                  <c:v>FSP and LETS combined SL</c:v>
                </c:pt>
              </c:strCache>
            </c:strRef>
          </c:tx>
          <c:spPr>
            <a:ln w="12700" cap="rnd">
              <a:solidFill>
                <a:srgbClr val="7030A0"/>
              </a:solidFill>
              <a:prstDash val="lgDashDot"/>
              <a:round/>
            </a:ln>
            <a:effectLst/>
          </c:spPr>
          <c:marker>
            <c:symbol val="none"/>
          </c:marker>
          <c:cat>
            <c:numRef>
              <c:f>'1) scenario low'!$B$100:$AJ$100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low'!$B$104:$AJ$104</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3-935E-4CA5-BEFF-3511F7F12AEB}"/>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3.0991134971412419E-2"/>
              <c:y val="0.2660743727973338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99869970382143"/>
          <c:y val="0.87204097874862418"/>
          <c:w val="0.8956941414433287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low'!$A$149</c:f>
              <c:strCache>
                <c:ptCount val="1"/>
                <c:pt idx="0">
                  <c:v>Base-run SL</c:v>
                </c:pt>
              </c:strCache>
            </c:strRef>
          </c:tx>
          <c:spPr>
            <a:ln w="12700" cap="rnd">
              <a:solidFill>
                <a:sysClr val="windowText" lastClr="000000"/>
              </a:solidFill>
              <a:round/>
            </a:ln>
            <a:effectLst/>
          </c:spPr>
          <c:marker>
            <c:symbol val="none"/>
          </c:marker>
          <c:cat>
            <c:numRef>
              <c:f>'1) scenario low'!$B$148:$AJ$148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low'!$B$149:$AJ$149</c:f>
              <c:numCache>
                <c:formatCode>0</c:formatCode>
                <c:ptCount val="35"/>
                <c:pt idx="0">
                  <c:v>0</c:v>
                </c:pt>
                <c:pt idx="1">
                  <c:v>0</c:v>
                </c:pt>
                <c:pt idx="2">
                  <c:v>8.4513599999999994E-2</c:v>
                </c:pt>
                <c:pt idx="3">
                  <c:v>0</c:v>
                </c:pt>
                <c:pt idx="4">
                  <c:v>0</c:v>
                </c:pt>
                <c:pt idx="5">
                  <c:v>0</c:v>
                </c:pt>
                <c:pt idx="6">
                  <c:v>0</c:v>
                </c:pt>
                <c:pt idx="7">
                  <c:v>1.30714</c:v>
                </c:pt>
                <c:pt idx="8">
                  <c:v>4.3753200000000003</c:v>
                </c:pt>
                <c:pt idx="9">
                  <c:v>4.0305400000000002</c:v>
                </c:pt>
                <c:pt idx="10">
                  <c:v>3.13428</c:v>
                </c:pt>
                <c:pt idx="11">
                  <c:v>6.3281000000000001</c:v>
                </c:pt>
                <c:pt idx="12">
                  <c:v>14.6122</c:v>
                </c:pt>
                <c:pt idx="13">
                  <c:v>8.9918899999999997</c:v>
                </c:pt>
                <c:pt idx="14">
                  <c:v>11.618</c:v>
                </c:pt>
                <c:pt idx="15">
                  <c:v>11.336600000000001</c:v>
                </c:pt>
                <c:pt idx="16">
                  <c:v>7.4306000000000001</c:v>
                </c:pt>
                <c:pt idx="17">
                  <c:v>10.051399999999999</c:v>
                </c:pt>
                <c:pt idx="18">
                  <c:v>5.1399400000000002</c:v>
                </c:pt>
                <c:pt idx="19">
                  <c:v>5.0299800000000001</c:v>
                </c:pt>
                <c:pt idx="20">
                  <c:v>3.0323899999999999</c:v>
                </c:pt>
                <c:pt idx="21">
                  <c:v>2.69916</c:v>
                </c:pt>
                <c:pt idx="22">
                  <c:v>3.9954200000000002</c:v>
                </c:pt>
                <c:pt idx="23">
                  <c:v>0.64839100000000005</c:v>
                </c:pt>
                <c:pt idx="24">
                  <c:v>0</c:v>
                </c:pt>
                <c:pt idx="25">
                  <c:v>4.2646299999999998E-2</c:v>
                </c:pt>
                <c:pt idx="26">
                  <c:v>2.8350499999999998</c:v>
                </c:pt>
                <c:pt idx="27">
                  <c:v>3.9240499999999998</c:v>
                </c:pt>
                <c:pt idx="28">
                  <c:v>4.0657500000000004</c:v>
                </c:pt>
                <c:pt idx="29">
                  <c:v>5.8046100000000003</c:v>
                </c:pt>
                <c:pt idx="30">
                  <c:v>6.3721899999999998</c:v>
                </c:pt>
                <c:pt idx="31">
                  <c:v>6.8537100000000004</c:v>
                </c:pt>
                <c:pt idx="32">
                  <c:v>6.1253799999999998</c:v>
                </c:pt>
                <c:pt idx="33">
                  <c:v>4.9502199999999998</c:v>
                </c:pt>
                <c:pt idx="34">
                  <c:v>4.1357400000000002</c:v>
                </c:pt>
              </c:numCache>
            </c:numRef>
          </c:val>
          <c:smooth val="0"/>
          <c:extLst>
            <c:ext xmlns:c16="http://schemas.microsoft.com/office/drawing/2014/chart" uri="{C3380CC4-5D6E-409C-BE32-E72D297353CC}">
              <c16:uniqueId val="{00000000-9B66-40F2-941B-5E0722462077}"/>
            </c:ext>
          </c:extLst>
        </c:ser>
        <c:ser>
          <c:idx val="4"/>
          <c:order val="1"/>
          <c:tx>
            <c:strRef>
              <c:f>'1) scenario low'!$A$150</c:f>
              <c:strCache>
                <c:ptCount val="1"/>
                <c:pt idx="0">
                  <c:v>Finance system’s policy (FSP) SL</c:v>
                </c:pt>
              </c:strCache>
            </c:strRef>
          </c:tx>
          <c:spPr>
            <a:ln w="12700" cap="rnd">
              <a:solidFill>
                <a:srgbClr val="70AD47">
                  <a:lumMod val="75000"/>
                </a:srgbClr>
              </a:solidFill>
              <a:prstDash val="dash"/>
              <a:round/>
            </a:ln>
            <a:effectLst/>
          </c:spPr>
          <c:marker>
            <c:symbol val="none"/>
          </c:marker>
          <c:cat>
            <c:numRef>
              <c:f>'1) scenario low'!$B$148:$AJ$148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low'!$B$150:$AJ$150</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1-9B66-40F2-941B-5E0722462077}"/>
            </c:ext>
          </c:extLst>
        </c:ser>
        <c:ser>
          <c:idx val="0"/>
          <c:order val="2"/>
          <c:tx>
            <c:strRef>
              <c:f>'1) scenario low'!$A$151</c:f>
              <c:strCache>
                <c:ptCount val="1"/>
                <c:pt idx="0">
                  <c:v>Low-carbon energy transition scenario (LETS) SL</c:v>
                </c:pt>
              </c:strCache>
            </c:strRef>
          </c:tx>
          <c:spPr>
            <a:ln w="12700" cap="rnd">
              <a:solidFill>
                <a:srgbClr val="5B9BD5">
                  <a:lumMod val="60000"/>
                  <a:lumOff val="40000"/>
                </a:srgbClr>
              </a:solidFill>
              <a:prstDash val="sysDash"/>
              <a:round/>
            </a:ln>
            <a:effectLst/>
          </c:spPr>
          <c:marker>
            <c:symbol val="none"/>
          </c:marker>
          <c:cat>
            <c:numRef>
              <c:f>'1) scenario low'!$B$148:$AJ$148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low'!$B$151:$AJ$151</c:f>
              <c:numCache>
                <c:formatCode>0</c:formatCode>
                <c:ptCount val="35"/>
                <c:pt idx="0">
                  <c:v>0</c:v>
                </c:pt>
                <c:pt idx="1">
                  <c:v>0</c:v>
                </c:pt>
                <c:pt idx="2">
                  <c:v>8.4513599999999994E-2</c:v>
                </c:pt>
                <c:pt idx="3">
                  <c:v>0</c:v>
                </c:pt>
                <c:pt idx="4">
                  <c:v>0</c:v>
                </c:pt>
                <c:pt idx="5">
                  <c:v>17.3627</c:v>
                </c:pt>
                <c:pt idx="6">
                  <c:v>18.7102</c:v>
                </c:pt>
                <c:pt idx="7">
                  <c:v>22.541599999999999</c:v>
                </c:pt>
                <c:pt idx="8">
                  <c:v>23.794899999999998</c:v>
                </c:pt>
                <c:pt idx="9">
                  <c:v>22.603000000000002</c:v>
                </c:pt>
                <c:pt idx="10">
                  <c:v>55.146599999999999</c:v>
                </c:pt>
                <c:pt idx="11">
                  <c:v>56.846800000000002</c:v>
                </c:pt>
                <c:pt idx="12">
                  <c:v>64.6631</c:v>
                </c:pt>
                <c:pt idx="13">
                  <c:v>63.093000000000004</c:v>
                </c:pt>
                <c:pt idx="14">
                  <c:v>75.389399999999995</c:v>
                </c:pt>
                <c:pt idx="15">
                  <c:v>115.965</c:v>
                </c:pt>
                <c:pt idx="16">
                  <c:v>128.69200000000001</c:v>
                </c:pt>
                <c:pt idx="17">
                  <c:v>140.738</c:v>
                </c:pt>
                <c:pt idx="18">
                  <c:v>149.428</c:v>
                </c:pt>
                <c:pt idx="19">
                  <c:v>161.55099999999999</c:v>
                </c:pt>
                <c:pt idx="20">
                  <c:v>197.52600000000001</c:v>
                </c:pt>
                <c:pt idx="21">
                  <c:v>205.52</c:v>
                </c:pt>
                <c:pt idx="22">
                  <c:v>211.68799999999999</c:v>
                </c:pt>
                <c:pt idx="23">
                  <c:v>219.22499999999999</c:v>
                </c:pt>
                <c:pt idx="24">
                  <c:v>225.72900000000001</c:v>
                </c:pt>
                <c:pt idx="25">
                  <c:v>255.51499999999999</c:v>
                </c:pt>
                <c:pt idx="26">
                  <c:v>256.63</c:v>
                </c:pt>
                <c:pt idx="27">
                  <c:v>257.69499999999999</c:v>
                </c:pt>
                <c:pt idx="28">
                  <c:v>260.68299999999999</c:v>
                </c:pt>
                <c:pt idx="29">
                  <c:v>265.54399999999998</c:v>
                </c:pt>
                <c:pt idx="30">
                  <c:v>292.13099999999997</c:v>
                </c:pt>
                <c:pt idx="31">
                  <c:v>296.58300000000003</c:v>
                </c:pt>
                <c:pt idx="32">
                  <c:v>300.92099999999999</c:v>
                </c:pt>
                <c:pt idx="33">
                  <c:v>306.024</c:v>
                </c:pt>
                <c:pt idx="34">
                  <c:v>361.25099999999998</c:v>
                </c:pt>
              </c:numCache>
            </c:numRef>
          </c:val>
          <c:smooth val="0"/>
          <c:extLst>
            <c:ext xmlns:c16="http://schemas.microsoft.com/office/drawing/2014/chart" uri="{C3380CC4-5D6E-409C-BE32-E72D297353CC}">
              <c16:uniqueId val="{00000002-9B66-40F2-941B-5E0722462077}"/>
            </c:ext>
          </c:extLst>
        </c:ser>
        <c:ser>
          <c:idx val="2"/>
          <c:order val="3"/>
          <c:tx>
            <c:strRef>
              <c:f>'1) scenario low'!$A$152</c:f>
              <c:strCache>
                <c:ptCount val="1"/>
                <c:pt idx="0">
                  <c:v>FSP and LETS combined SL</c:v>
                </c:pt>
              </c:strCache>
            </c:strRef>
          </c:tx>
          <c:spPr>
            <a:ln w="12700" cap="rnd">
              <a:solidFill>
                <a:srgbClr val="7030A0"/>
              </a:solidFill>
              <a:prstDash val="lgDashDot"/>
              <a:round/>
            </a:ln>
            <a:effectLst/>
          </c:spPr>
          <c:marker>
            <c:symbol val="none"/>
          </c:marker>
          <c:cat>
            <c:numRef>
              <c:f>'1) scenario low'!$B$148:$AJ$148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low'!$B$152:$AJ$152</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3-9B66-40F2-941B-5E0722462077}"/>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thw/year</a:t>
                </a:r>
              </a:p>
            </c:rich>
          </c:tx>
          <c:layout>
            <c:manualLayout>
              <c:xMode val="edge"/>
              <c:yMode val="edge"/>
              <c:x val="2.7555216688097902E-2"/>
              <c:y val="0.2765056619107445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2340953780068435E-2"/>
          <c:y val="0.87204104695246432"/>
          <c:w val="0.915351975308426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low'!$A$181</c:f>
              <c:strCache>
                <c:ptCount val="1"/>
                <c:pt idx="0">
                  <c:v>Base-run SL</c:v>
                </c:pt>
              </c:strCache>
            </c:strRef>
          </c:tx>
          <c:spPr>
            <a:ln w="12700" cap="rnd">
              <a:solidFill>
                <a:sysClr val="windowText" lastClr="000000"/>
              </a:solidFill>
              <a:round/>
            </a:ln>
            <a:effectLst/>
          </c:spPr>
          <c:marker>
            <c:symbol val="none"/>
          </c:marker>
          <c:cat>
            <c:numRef>
              <c:f>'1) scenario low'!$B$180:$AJ$180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low'!$B$181:$AJ$181</c:f>
              <c:numCache>
                <c:formatCode>0.00</c:formatCode>
                <c:ptCount val="35"/>
                <c:pt idx="0">
                  <c:v>1.08178</c:v>
                </c:pt>
                <c:pt idx="1">
                  <c:v>1.11765</c:v>
                </c:pt>
                <c:pt idx="2">
                  <c:v>0.43378699999999998</c:v>
                </c:pt>
                <c:pt idx="3">
                  <c:v>0.12277800000000001</c:v>
                </c:pt>
                <c:pt idx="4">
                  <c:v>3.5872999999999995E-2</c:v>
                </c:pt>
                <c:pt idx="5">
                  <c:v>1.06572E-2</c:v>
                </c:pt>
                <c:pt idx="6">
                  <c:v>3.1886199999999996E-3</c:v>
                </c:pt>
                <c:pt idx="7">
                  <c:v>9.5665400000000003E-4</c:v>
                </c:pt>
                <c:pt idx="8">
                  <c:v>2.8730499999999996E-4</c:v>
                </c:pt>
                <c:pt idx="9">
                  <c:v>8.6312999999999998E-5</c:v>
                </c:pt>
                <c:pt idx="10">
                  <c:v>2.5933200000000001E-5</c:v>
                </c:pt>
                <c:pt idx="11">
                  <c:v>7.7920299999999997E-6</c:v>
                </c:pt>
                <c:pt idx="12">
                  <c:v>0.747475</c:v>
                </c:pt>
                <c:pt idx="13">
                  <c:v>2.2118800000000003</c:v>
                </c:pt>
                <c:pt idx="14">
                  <c:v>2.30165</c:v>
                </c:pt>
                <c:pt idx="15">
                  <c:v>2.2965599999999999</c:v>
                </c:pt>
                <c:pt idx="16">
                  <c:v>2.2922199999999999</c:v>
                </c:pt>
                <c:pt idx="17">
                  <c:v>2.30952</c:v>
                </c:pt>
                <c:pt idx="18">
                  <c:v>2.34728</c:v>
                </c:pt>
                <c:pt idx="19">
                  <c:v>2.3978000000000002</c:v>
                </c:pt>
                <c:pt idx="20">
                  <c:v>2.4532099999999999</c:v>
                </c:pt>
                <c:pt idx="21">
                  <c:v>2.5078400000000003</c:v>
                </c:pt>
                <c:pt idx="22">
                  <c:v>2.5584600000000002</c:v>
                </c:pt>
                <c:pt idx="23">
                  <c:v>2.60371</c:v>
                </c:pt>
                <c:pt idx="24">
                  <c:v>2.6434000000000002</c:v>
                </c:pt>
                <c:pt idx="25">
                  <c:v>2.6778899999999997</c:v>
                </c:pt>
                <c:pt idx="26">
                  <c:v>2.7077900000000001</c:v>
                </c:pt>
                <c:pt idx="27">
                  <c:v>2.73367</c:v>
                </c:pt>
                <c:pt idx="28">
                  <c:v>2.7560500000000001</c:v>
                </c:pt>
                <c:pt idx="29">
                  <c:v>2.77536</c:v>
                </c:pt>
                <c:pt idx="30">
                  <c:v>2.7919699999999996</c:v>
                </c:pt>
                <c:pt idx="31">
                  <c:v>2.80619</c:v>
                </c:pt>
                <c:pt idx="32">
                  <c:v>2.8182700000000001</c:v>
                </c:pt>
                <c:pt idx="33">
                  <c:v>2.8284199999999999</c:v>
                </c:pt>
                <c:pt idx="34">
                  <c:v>2.8368099999999998</c:v>
                </c:pt>
              </c:numCache>
            </c:numRef>
          </c:val>
          <c:smooth val="0"/>
          <c:extLst>
            <c:ext xmlns:c16="http://schemas.microsoft.com/office/drawing/2014/chart" uri="{C3380CC4-5D6E-409C-BE32-E72D297353CC}">
              <c16:uniqueId val="{00000000-DB56-4A84-9C7E-AE856E649C4E}"/>
            </c:ext>
          </c:extLst>
        </c:ser>
        <c:ser>
          <c:idx val="4"/>
          <c:order val="1"/>
          <c:tx>
            <c:strRef>
              <c:f>'1) scenario low'!$A$182</c:f>
              <c:strCache>
                <c:ptCount val="1"/>
                <c:pt idx="0">
                  <c:v>Finance system’s policy (FSP) SL</c:v>
                </c:pt>
              </c:strCache>
            </c:strRef>
          </c:tx>
          <c:spPr>
            <a:ln w="12700" cap="rnd">
              <a:solidFill>
                <a:srgbClr val="70AD47">
                  <a:lumMod val="75000"/>
                </a:srgbClr>
              </a:solidFill>
              <a:prstDash val="dash"/>
              <a:round/>
            </a:ln>
            <a:effectLst/>
          </c:spPr>
          <c:marker>
            <c:symbol val="none"/>
          </c:marker>
          <c:cat>
            <c:numRef>
              <c:f>'1) scenario low'!$B$180:$AJ$180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low'!$B$182:$AJ$182</c:f>
              <c:numCache>
                <c:formatCode>0.00</c:formatCode>
                <c:ptCount val="35"/>
                <c:pt idx="0">
                  <c:v>1.08178</c:v>
                </c:pt>
                <c:pt idx="1">
                  <c:v>1.11765</c:v>
                </c:pt>
                <c:pt idx="2">
                  <c:v>0.43378699999999998</c:v>
                </c:pt>
                <c:pt idx="3">
                  <c:v>0.12277800000000001</c:v>
                </c:pt>
                <c:pt idx="4">
                  <c:v>3.5872999999999995E-2</c:v>
                </c:pt>
                <c:pt idx="5">
                  <c:v>1.06572E-2</c:v>
                </c:pt>
                <c:pt idx="6">
                  <c:v>3.1886199999999996E-3</c:v>
                </c:pt>
                <c:pt idx="7">
                  <c:v>9.5665400000000003E-4</c:v>
                </c:pt>
                <c:pt idx="8">
                  <c:v>2.8730499999999996E-4</c:v>
                </c:pt>
                <c:pt idx="9">
                  <c:v>8.6312999999999998E-5</c:v>
                </c:pt>
                <c:pt idx="10">
                  <c:v>2.5933200000000001E-5</c:v>
                </c:pt>
                <c:pt idx="11">
                  <c:v>7.7920299999999997E-6</c:v>
                </c:pt>
                <c:pt idx="12">
                  <c:v>0.42844099999999996</c:v>
                </c:pt>
                <c:pt idx="13">
                  <c:v>2.2311799999999997</c:v>
                </c:pt>
                <c:pt idx="14">
                  <c:v>2.3664299999999998</c:v>
                </c:pt>
                <c:pt idx="15">
                  <c:v>2.3456399999999999</c:v>
                </c:pt>
                <c:pt idx="16">
                  <c:v>2.3192199999999996</c:v>
                </c:pt>
                <c:pt idx="17">
                  <c:v>2.3184099999999996</c:v>
                </c:pt>
                <c:pt idx="18">
                  <c:v>2.3443200000000002</c:v>
                </c:pt>
                <c:pt idx="19">
                  <c:v>2.3886399999999997</c:v>
                </c:pt>
                <c:pt idx="20">
                  <c:v>2.4418899999999999</c:v>
                </c:pt>
                <c:pt idx="21">
                  <c:v>2.49675</c:v>
                </c:pt>
                <c:pt idx="22">
                  <c:v>2.5487800000000003</c:v>
                </c:pt>
                <c:pt idx="23">
                  <c:v>2.59585</c:v>
                </c:pt>
                <c:pt idx="24">
                  <c:v>2.6373699999999998</c:v>
                </c:pt>
                <c:pt idx="25">
                  <c:v>2.6735700000000002</c:v>
                </c:pt>
                <c:pt idx="26">
                  <c:v>2.7050000000000001</c:v>
                </c:pt>
                <c:pt idx="27">
                  <c:v>2.7322600000000001</c:v>
                </c:pt>
                <c:pt idx="28">
                  <c:v>2.7559</c:v>
                </c:pt>
                <c:pt idx="29">
                  <c:v>2.7763800000000001</c:v>
                </c:pt>
                <c:pt idx="30">
                  <c:v>2.7940900000000002</c:v>
                </c:pt>
                <c:pt idx="31">
                  <c:v>2.8093600000000003</c:v>
                </c:pt>
                <c:pt idx="32">
                  <c:v>2.8224399999999998</c:v>
                </c:pt>
                <c:pt idx="33">
                  <c:v>2.83358</c:v>
                </c:pt>
                <c:pt idx="34">
                  <c:v>2.84294</c:v>
                </c:pt>
              </c:numCache>
            </c:numRef>
          </c:val>
          <c:smooth val="0"/>
          <c:extLst>
            <c:ext xmlns:c16="http://schemas.microsoft.com/office/drawing/2014/chart" uri="{C3380CC4-5D6E-409C-BE32-E72D297353CC}">
              <c16:uniqueId val="{00000001-DB56-4A84-9C7E-AE856E649C4E}"/>
            </c:ext>
          </c:extLst>
        </c:ser>
        <c:ser>
          <c:idx val="0"/>
          <c:order val="2"/>
          <c:tx>
            <c:strRef>
              <c:f>'1) scenario low'!$A$183</c:f>
              <c:strCache>
                <c:ptCount val="1"/>
                <c:pt idx="0">
                  <c:v>Low-carbon energy transition scenario (LETS) SL</c:v>
                </c:pt>
              </c:strCache>
            </c:strRef>
          </c:tx>
          <c:spPr>
            <a:ln w="12700" cap="rnd">
              <a:solidFill>
                <a:srgbClr val="5B9BD5">
                  <a:lumMod val="60000"/>
                  <a:lumOff val="40000"/>
                </a:srgbClr>
              </a:solidFill>
              <a:prstDash val="sysDash"/>
              <a:round/>
            </a:ln>
            <a:effectLst/>
          </c:spPr>
          <c:marker>
            <c:symbol val="none"/>
          </c:marker>
          <c:cat>
            <c:numRef>
              <c:f>'1) scenario low'!$B$180:$AJ$180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low'!$B$183:$AJ$183</c:f>
              <c:numCache>
                <c:formatCode>0.00</c:formatCode>
                <c:ptCount val="35"/>
                <c:pt idx="0">
                  <c:v>1.08178</c:v>
                </c:pt>
                <c:pt idx="1">
                  <c:v>1.11765</c:v>
                </c:pt>
                <c:pt idx="2">
                  <c:v>0.43378699999999998</c:v>
                </c:pt>
                <c:pt idx="3">
                  <c:v>0.12277800000000001</c:v>
                </c:pt>
                <c:pt idx="4">
                  <c:v>3.5872999999999995E-2</c:v>
                </c:pt>
                <c:pt idx="5">
                  <c:v>1.06572E-2</c:v>
                </c:pt>
                <c:pt idx="6">
                  <c:v>3.1886199999999996E-3</c:v>
                </c:pt>
                <c:pt idx="7">
                  <c:v>9.5665400000000003E-4</c:v>
                </c:pt>
                <c:pt idx="8">
                  <c:v>2.8730499999999996E-4</c:v>
                </c:pt>
                <c:pt idx="9">
                  <c:v>8.6312999999999998E-5</c:v>
                </c:pt>
                <c:pt idx="10">
                  <c:v>2.5933200000000001E-5</c:v>
                </c:pt>
                <c:pt idx="11">
                  <c:v>7.7920299999999997E-6</c:v>
                </c:pt>
                <c:pt idx="12">
                  <c:v>0.78731099999999998</c:v>
                </c:pt>
                <c:pt idx="13">
                  <c:v>2.1682199999999998</c:v>
                </c:pt>
                <c:pt idx="14">
                  <c:v>2.2726899999999999</c:v>
                </c:pt>
                <c:pt idx="15">
                  <c:v>2.2797800000000001</c:v>
                </c:pt>
                <c:pt idx="16">
                  <c:v>2.2841100000000001</c:v>
                </c:pt>
                <c:pt idx="17">
                  <c:v>2.30694</c:v>
                </c:pt>
                <c:pt idx="18">
                  <c:v>2.3478400000000001</c:v>
                </c:pt>
                <c:pt idx="19">
                  <c:v>2.3998699999999999</c:v>
                </c:pt>
                <c:pt idx="20">
                  <c:v>2.45581</c:v>
                </c:pt>
                <c:pt idx="21">
                  <c:v>2.5104799999999998</c:v>
                </c:pt>
                <c:pt idx="22">
                  <c:v>2.5609699999999997</c:v>
                </c:pt>
                <c:pt idx="23">
                  <c:v>2.6060599999999998</c:v>
                </c:pt>
                <c:pt idx="24">
                  <c:v>2.6456300000000001</c:v>
                </c:pt>
                <c:pt idx="25">
                  <c:v>2.6800700000000002</c:v>
                </c:pt>
                <c:pt idx="26">
                  <c:v>2.7099699999999998</c:v>
                </c:pt>
                <c:pt idx="27">
                  <c:v>2.7359599999999999</c:v>
                </c:pt>
                <c:pt idx="28">
                  <c:v>2.7585100000000002</c:v>
                </c:pt>
                <c:pt idx="29">
                  <c:v>2.7780100000000001</c:v>
                </c:pt>
                <c:pt idx="30">
                  <c:v>2.7947899999999999</c:v>
                </c:pt>
                <c:pt idx="31">
                  <c:v>2.8091599999999999</c:v>
                </c:pt>
                <c:pt idx="32">
                  <c:v>2.8213699999999999</c:v>
                </c:pt>
                <c:pt idx="33">
                  <c:v>2.8316599999999998</c:v>
                </c:pt>
                <c:pt idx="34">
                  <c:v>2.8401900000000002</c:v>
                </c:pt>
              </c:numCache>
            </c:numRef>
          </c:val>
          <c:smooth val="0"/>
          <c:extLst>
            <c:ext xmlns:c16="http://schemas.microsoft.com/office/drawing/2014/chart" uri="{C3380CC4-5D6E-409C-BE32-E72D297353CC}">
              <c16:uniqueId val="{00000002-DB56-4A84-9C7E-AE856E649C4E}"/>
            </c:ext>
          </c:extLst>
        </c:ser>
        <c:ser>
          <c:idx val="2"/>
          <c:order val="3"/>
          <c:tx>
            <c:strRef>
              <c:f>'1) scenario low'!$A$184</c:f>
              <c:strCache>
                <c:ptCount val="1"/>
                <c:pt idx="0">
                  <c:v>FSP and LETS combined SL</c:v>
                </c:pt>
              </c:strCache>
            </c:strRef>
          </c:tx>
          <c:spPr>
            <a:ln w="12700" cap="rnd">
              <a:solidFill>
                <a:srgbClr val="7030A0"/>
              </a:solidFill>
              <a:prstDash val="lgDashDot"/>
              <a:round/>
            </a:ln>
            <a:effectLst/>
          </c:spPr>
          <c:marker>
            <c:symbol val="none"/>
          </c:marker>
          <c:cat>
            <c:numRef>
              <c:f>'1) scenario low'!$B$180:$AJ$180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low'!$B$184:$AJ$184</c:f>
              <c:numCache>
                <c:formatCode>0.00</c:formatCode>
                <c:ptCount val="35"/>
                <c:pt idx="0">
                  <c:v>1.08178</c:v>
                </c:pt>
                <c:pt idx="1">
                  <c:v>1.11765</c:v>
                </c:pt>
                <c:pt idx="2">
                  <c:v>0.43378699999999998</c:v>
                </c:pt>
                <c:pt idx="3">
                  <c:v>0.12277800000000001</c:v>
                </c:pt>
                <c:pt idx="4">
                  <c:v>3.5872999999999995E-2</c:v>
                </c:pt>
                <c:pt idx="5">
                  <c:v>1.06572E-2</c:v>
                </c:pt>
                <c:pt idx="6">
                  <c:v>3.1886199999999996E-3</c:v>
                </c:pt>
                <c:pt idx="7">
                  <c:v>9.5665400000000003E-4</c:v>
                </c:pt>
                <c:pt idx="8">
                  <c:v>2.8730499999999996E-4</c:v>
                </c:pt>
                <c:pt idx="9">
                  <c:v>8.6312999999999998E-5</c:v>
                </c:pt>
                <c:pt idx="10">
                  <c:v>2.5933200000000001E-5</c:v>
                </c:pt>
                <c:pt idx="11">
                  <c:v>7.7920299999999997E-6</c:v>
                </c:pt>
                <c:pt idx="12">
                  <c:v>0.44339899999999999</c:v>
                </c:pt>
                <c:pt idx="13">
                  <c:v>2.20364</c:v>
                </c:pt>
                <c:pt idx="14">
                  <c:v>2.3480300000000001</c:v>
                </c:pt>
                <c:pt idx="15">
                  <c:v>2.3345599999999997</c:v>
                </c:pt>
                <c:pt idx="16">
                  <c:v>2.3134000000000001</c:v>
                </c:pt>
                <c:pt idx="17">
                  <c:v>2.31602</c:v>
                </c:pt>
                <c:pt idx="18">
                  <c:v>2.3439800000000002</c:v>
                </c:pt>
                <c:pt idx="19">
                  <c:v>2.3893899999999997</c:v>
                </c:pt>
                <c:pt idx="20">
                  <c:v>2.4431599999999998</c:v>
                </c:pt>
                <c:pt idx="21">
                  <c:v>2.49823</c:v>
                </c:pt>
                <c:pt idx="22">
                  <c:v>2.5503400000000003</c:v>
                </c:pt>
                <c:pt idx="23">
                  <c:v>2.59748</c:v>
                </c:pt>
                <c:pt idx="24">
                  <c:v>2.6390700000000002</c:v>
                </c:pt>
                <c:pt idx="25">
                  <c:v>2.6753299999999998</c:v>
                </c:pt>
                <c:pt idx="26">
                  <c:v>2.7068099999999999</c:v>
                </c:pt>
                <c:pt idx="27">
                  <c:v>2.7341500000000001</c:v>
                </c:pt>
                <c:pt idx="28">
                  <c:v>2.7579199999999999</c:v>
                </c:pt>
                <c:pt idx="29">
                  <c:v>2.7785500000000001</c:v>
                </c:pt>
                <c:pt idx="30">
                  <c:v>2.79637</c:v>
                </c:pt>
                <c:pt idx="31">
                  <c:v>2.81168</c:v>
                </c:pt>
                <c:pt idx="32">
                  <c:v>2.82477</c:v>
                </c:pt>
                <c:pt idx="33">
                  <c:v>2.8359200000000002</c:v>
                </c:pt>
                <c:pt idx="34">
                  <c:v>2.8453000000000004</c:v>
                </c:pt>
              </c:numCache>
            </c:numRef>
          </c:val>
          <c:smooth val="0"/>
          <c:extLst>
            <c:ext xmlns:c16="http://schemas.microsoft.com/office/drawing/2014/chart" uri="{C3380CC4-5D6E-409C-BE32-E72D297353CC}">
              <c16:uniqueId val="{00000003-DB56-4A84-9C7E-AE856E649C4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1000 people</a:t>
                </a:r>
                <a:endParaRPr lang="de-CH" sz="1000">
                  <a:effectLst/>
                </a:endParaRPr>
              </a:p>
            </c:rich>
          </c:tx>
          <c:layout>
            <c:manualLayout>
              <c:xMode val="edge"/>
              <c:yMode val="edge"/>
              <c:x val="2.9095346494010525E-2"/>
              <c:y val="0.23420275590551182"/>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046035003918347"/>
          <c:y val="0.87204097874862418"/>
          <c:w val="0.839317834085905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low'!$A$212</c:f>
              <c:strCache>
                <c:ptCount val="1"/>
                <c:pt idx="0">
                  <c:v>Base-run</c:v>
                </c:pt>
              </c:strCache>
            </c:strRef>
          </c:tx>
          <c:spPr>
            <a:ln w="12700" cap="rnd">
              <a:solidFill>
                <a:sysClr val="windowText" lastClr="000000"/>
              </a:solidFill>
              <a:round/>
            </a:ln>
            <a:effectLst/>
          </c:spPr>
          <c:marker>
            <c:symbol val="none"/>
          </c:marker>
          <c:cat>
            <c:numRef>
              <c:f>'1) scenario low'!$B$211:$AJ$211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low'!$B$212:$AJ$212</c:f>
              <c:numCache>
                <c:formatCode>0</c:formatCode>
                <c:ptCount val="35"/>
                <c:pt idx="0">
                  <c:v>3648.89</c:v>
                </c:pt>
                <c:pt idx="1">
                  <c:v>3660.56</c:v>
                </c:pt>
                <c:pt idx="2">
                  <c:v>3870.81</c:v>
                </c:pt>
                <c:pt idx="3">
                  <c:v>4111.1400000000003</c:v>
                </c:pt>
                <c:pt idx="4">
                  <c:v>4397.88</c:v>
                </c:pt>
                <c:pt idx="5">
                  <c:v>4724.5200000000004</c:v>
                </c:pt>
                <c:pt idx="6">
                  <c:v>5049.07</c:v>
                </c:pt>
                <c:pt idx="7">
                  <c:v>5374</c:v>
                </c:pt>
                <c:pt idx="8">
                  <c:v>5659.6</c:v>
                </c:pt>
                <c:pt idx="9">
                  <c:v>5898.82</c:v>
                </c:pt>
                <c:pt idx="10">
                  <c:v>6068.63</c:v>
                </c:pt>
                <c:pt idx="11">
                  <c:v>6155.5</c:v>
                </c:pt>
                <c:pt idx="12">
                  <c:v>6158.45</c:v>
                </c:pt>
                <c:pt idx="13">
                  <c:v>6096.78</c:v>
                </c:pt>
                <c:pt idx="14">
                  <c:v>5989.09</c:v>
                </c:pt>
                <c:pt idx="15">
                  <c:v>5893.13</c:v>
                </c:pt>
                <c:pt idx="16">
                  <c:v>5816.77</c:v>
                </c:pt>
                <c:pt idx="17">
                  <c:v>5762.27</c:v>
                </c:pt>
                <c:pt idx="18">
                  <c:v>5729.22</c:v>
                </c:pt>
                <c:pt idx="19">
                  <c:v>5713.09</c:v>
                </c:pt>
                <c:pt idx="20">
                  <c:v>5710.91</c:v>
                </c:pt>
                <c:pt idx="21">
                  <c:v>5720.05</c:v>
                </c:pt>
                <c:pt idx="22">
                  <c:v>5739.74</c:v>
                </c:pt>
                <c:pt idx="23">
                  <c:v>5770.39</c:v>
                </c:pt>
                <c:pt idx="24">
                  <c:v>5805.09</c:v>
                </c:pt>
                <c:pt idx="25">
                  <c:v>5847.71</c:v>
                </c:pt>
                <c:pt idx="26">
                  <c:v>5898.38</c:v>
                </c:pt>
                <c:pt idx="27">
                  <c:v>5961.75</c:v>
                </c:pt>
                <c:pt idx="28">
                  <c:v>6031.67</c:v>
                </c:pt>
                <c:pt idx="29">
                  <c:v>6113.25</c:v>
                </c:pt>
                <c:pt idx="30">
                  <c:v>6210.58</c:v>
                </c:pt>
                <c:pt idx="31">
                  <c:v>6322.82</c:v>
                </c:pt>
                <c:pt idx="32">
                  <c:v>6452.07</c:v>
                </c:pt>
                <c:pt idx="33">
                  <c:v>6594.72</c:v>
                </c:pt>
                <c:pt idx="34">
                  <c:v>6753.93</c:v>
                </c:pt>
              </c:numCache>
            </c:numRef>
          </c:val>
          <c:smooth val="0"/>
          <c:extLst>
            <c:ext xmlns:c16="http://schemas.microsoft.com/office/drawing/2014/chart" uri="{C3380CC4-5D6E-409C-BE32-E72D297353CC}">
              <c16:uniqueId val="{00000000-101D-4B5C-B3F0-74F5FAC62AE6}"/>
            </c:ext>
          </c:extLst>
        </c:ser>
        <c:ser>
          <c:idx val="4"/>
          <c:order val="1"/>
          <c:tx>
            <c:strRef>
              <c:f>'1) scenario low'!$A$213</c:f>
              <c:strCache>
                <c:ptCount val="1"/>
                <c:pt idx="0">
                  <c:v>Finance system’s policy (FSP) </c:v>
                </c:pt>
              </c:strCache>
            </c:strRef>
          </c:tx>
          <c:spPr>
            <a:ln w="12700" cap="rnd">
              <a:solidFill>
                <a:srgbClr val="70AD47">
                  <a:lumMod val="75000"/>
                </a:srgbClr>
              </a:solidFill>
              <a:prstDash val="dash"/>
              <a:round/>
            </a:ln>
            <a:effectLst/>
          </c:spPr>
          <c:marker>
            <c:symbol val="none"/>
          </c:marker>
          <c:cat>
            <c:numRef>
              <c:f>'1) scenario low'!$B$211:$AJ$211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low'!$B$213:$AJ$213</c:f>
              <c:numCache>
                <c:formatCode>0</c:formatCode>
                <c:ptCount val="35"/>
                <c:pt idx="0">
                  <c:v>3648.89</c:v>
                </c:pt>
                <c:pt idx="1">
                  <c:v>3660.56</c:v>
                </c:pt>
                <c:pt idx="2">
                  <c:v>3870.81</c:v>
                </c:pt>
                <c:pt idx="3">
                  <c:v>4111.1400000000003</c:v>
                </c:pt>
                <c:pt idx="4">
                  <c:v>4397.88</c:v>
                </c:pt>
                <c:pt idx="5">
                  <c:v>4750.7299999999996</c:v>
                </c:pt>
                <c:pt idx="6">
                  <c:v>5106.1899999999996</c:v>
                </c:pt>
                <c:pt idx="7">
                  <c:v>5468.49</c:v>
                </c:pt>
                <c:pt idx="8">
                  <c:v>5798.32</c:v>
                </c:pt>
                <c:pt idx="9">
                  <c:v>6087.55</c:v>
                </c:pt>
                <c:pt idx="10">
                  <c:v>6309.34</c:v>
                </c:pt>
                <c:pt idx="11">
                  <c:v>6446.92</c:v>
                </c:pt>
                <c:pt idx="12">
                  <c:v>6486.96</c:v>
                </c:pt>
                <c:pt idx="13">
                  <c:v>6446.04</c:v>
                </c:pt>
                <c:pt idx="14">
                  <c:v>6345.77</c:v>
                </c:pt>
                <c:pt idx="15">
                  <c:v>6235.02</c:v>
                </c:pt>
                <c:pt idx="16">
                  <c:v>6141.65</c:v>
                </c:pt>
                <c:pt idx="17">
                  <c:v>6066.65</c:v>
                </c:pt>
                <c:pt idx="18">
                  <c:v>6011.94</c:v>
                </c:pt>
                <c:pt idx="19">
                  <c:v>5974.66</c:v>
                </c:pt>
                <c:pt idx="20">
                  <c:v>5952.5</c:v>
                </c:pt>
                <c:pt idx="21">
                  <c:v>5943.25</c:v>
                </c:pt>
                <c:pt idx="22">
                  <c:v>5946.25</c:v>
                </c:pt>
                <c:pt idx="23">
                  <c:v>5962.32</c:v>
                </c:pt>
                <c:pt idx="24">
                  <c:v>5983.77</c:v>
                </c:pt>
                <c:pt idx="25">
                  <c:v>6015.03</c:v>
                </c:pt>
                <c:pt idx="26">
                  <c:v>6056.47</c:v>
                </c:pt>
                <c:pt idx="27">
                  <c:v>6112.71</c:v>
                </c:pt>
                <c:pt idx="28">
                  <c:v>6177.53</c:v>
                </c:pt>
                <c:pt idx="29">
                  <c:v>6255.13</c:v>
                </c:pt>
                <c:pt idx="30">
                  <c:v>6348.11</c:v>
                </c:pt>
                <c:pt idx="31">
                  <c:v>6458.56</c:v>
                </c:pt>
                <c:pt idx="32">
                  <c:v>6588.23</c:v>
                </c:pt>
                <c:pt idx="33">
                  <c:v>6734.06</c:v>
                </c:pt>
                <c:pt idx="34">
                  <c:v>6899.5</c:v>
                </c:pt>
              </c:numCache>
            </c:numRef>
          </c:val>
          <c:smooth val="0"/>
          <c:extLst>
            <c:ext xmlns:c16="http://schemas.microsoft.com/office/drawing/2014/chart" uri="{C3380CC4-5D6E-409C-BE32-E72D297353CC}">
              <c16:uniqueId val="{00000001-101D-4B5C-B3F0-74F5FAC62AE6}"/>
            </c:ext>
          </c:extLst>
        </c:ser>
        <c:ser>
          <c:idx val="0"/>
          <c:order val="2"/>
          <c:tx>
            <c:strRef>
              <c:f>'1) scenario low'!$A$214</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'1) scenario low'!$B$211:$AJ$211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low'!$B$214:$AJ$214</c:f>
              <c:numCache>
                <c:formatCode>0</c:formatCode>
                <c:ptCount val="35"/>
                <c:pt idx="0">
                  <c:v>3648.89</c:v>
                </c:pt>
                <c:pt idx="1">
                  <c:v>3660.56</c:v>
                </c:pt>
                <c:pt idx="2">
                  <c:v>3870.81</c:v>
                </c:pt>
                <c:pt idx="3">
                  <c:v>4111.1400000000003</c:v>
                </c:pt>
                <c:pt idx="4">
                  <c:v>4397.88</c:v>
                </c:pt>
                <c:pt idx="5">
                  <c:v>4724.58</c:v>
                </c:pt>
                <c:pt idx="6">
                  <c:v>5049.99</c:v>
                </c:pt>
                <c:pt idx="7">
                  <c:v>5376.72</c:v>
                </c:pt>
                <c:pt idx="8">
                  <c:v>5665.41</c:v>
                </c:pt>
                <c:pt idx="9">
                  <c:v>5908.25</c:v>
                </c:pt>
                <c:pt idx="10">
                  <c:v>6080.58</c:v>
                </c:pt>
                <c:pt idx="11">
                  <c:v>6169.53</c:v>
                </c:pt>
                <c:pt idx="12">
                  <c:v>6173.63</c:v>
                </c:pt>
                <c:pt idx="13">
                  <c:v>6112.22</c:v>
                </c:pt>
                <c:pt idx="14">
                  <c:v>6003.87</c:v>
                </c:pt>
                <c:pt idx="15">
                  <c:v>5907.33</c:v>
                </c:pt>
                <c:pt idx="16">
                  <c:v>5830.87</c:v>
                </c:pt>
                <c:pt idx="17">
                  <c:v>5776.83</c:v>
                </c:pt>
                <c:pt idx="18">
                  <c:v>5744.98</c:v>
                </c:pt>
                <c:pt idx="19">
                  <c:v>5730.62</c:v>
                </c:pt>
                <c:pt idx="20">
                  <c:v>5730.65</c:v>
                </c:pt>
                <c:pt idx="21">
                  <c:v>5742.63</c:v>
                </c:pt>
                <c:pt idx="22">
                  <c:v>5765.62</c:v>
                </c:pt>
                <c:pt idx="23">
                  <c:v>5800.28</c:v>
                </c:pt>
                <c:pt idx="24">
                  <c:v>5839.77</c:v>
                </c:pt>
                <c:pt idx="25">
                  <c:v>5888.25</c:v>
                </c:pt>
                <c:pt idx="26">
                  <c:v>5946.3</c:v>
                </c:pt>
                <c:pt idx="27">
                  <c:v>6018.12</c:v>
                </c:pt>
                <c:pt idx="28">
                  <c:v>6097.53</c:v>
                </c:pt>
                <c:pt idx="29">
                  <c:v>6190.1</c:v>
                </c:pt>
                <c:pt idx="30">
                  <c:v>6298.98</c:v>
                </c:pt>
                <c:pt idx="31">
                  <c:v>6422.99</c:v>
                </c:pt>
                <c:pt idx="32">
                  <c:v>6564.11</c:v>
                </c:pt>
                <c:pt idx="33">
                  <c:v>6718.82</c:v>
                </c:pt>
                <c:pt idx="34">
                  <c:v>6890.72</c:v>
                </c:pt>
              </c:numCache>
            </c:numRef>
          </c:val>
          <c:smooth val="0"/>
          <c:extLst>
            <c:ext xmlns:c16="http://schemas.microsoft.com/office/drawing/2014/chart" uri="{C3380CC4-5D6E-409C-BE32-E72D297353CC}">
              <c16:uniqueId val="{00000002-101D-4B5C-B3F0-74F5FAC62AE6}"/>
            </c:ext>
          </c:extLst>
        </c:ser>
        <c:ser>
          <c:idx val="2"/>
          <c:order val="3"/>
          <c:tx>
            <c:strRef>
              <c:f>'1) scenario low'!$A$215</c:f>
              <c:strCache>
                <c:ptCount val="1"/>
                <c:pt idx="0">
                  <c:v>FSP and LETS combined</c:v>
                </c:pt>
              </c:strCache>
            </c:strRef>
          </c:tx>
          <c:spPr>
            <a:ln w="12700" cap="rnd">
              <a:solidFill>
                <a:srgbClr val="7030A0"/>
              </a:solidFill>
              <a:prstDash val="lgDashDot"/>
              <a:round/>
            </a:ln>
            <a:effectLst/>
          </c:spPr>
          <c:marker>
            <c:symbol val="none"/>
          </c:marker>
          <c:cat>
            <c:numRef>
              <c:f>'1) scenario low'!$B$211:$AJ$211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low'!$B$215:$AJ$215</c:f>
              <c:numCache>
                <c:formatCode>0</c:formatCode>
                <c:ptCount val="35"/>
                <c:pt idx="0">
                  <c:v>3648.89</c:v>
                </c:pt>
                <c:pt idx="1">
                  <c:v>3660.56</c:v>
                </c:pt>
                <c:pt idx="2">
                  <c:v>3870.81</c:v>
                </c:pt>
                <c:pt idx="3">
                  <c:v>4111.1400000000003</c:v>
                </c:pt>
                <c:pt idx="4">
                  <c:v>4397.88</c:v>
                </c:pt>
                <c:pt idx="5">
                  <c:v>4750.7700000000004</c:v>
                </c:pt>
                <c:pt idx="6">
                  <c:v>5107.26</c:v>
                </c:pt>
                <c:pt idx="7">
                  <c:v>5473.25</c:v>
                </c:pt>
                <c:pt idx="8">
                  <c:v>5808.2</c:v>
                </c:pt>
                <c:pt idx="9">
                  <c:v>6101.42</c:v>
                </c:pt>
                <c:pt idx="10">
                  <c:v>6325.44</c:v>
                </c:pt>
                <c:pt idx="11">
                  <c:v>6464.42</c:v>
                </c:pt>
                <c:pt idx="12">
                  <c:v>6505.88</c:v>
                </c:pt>
                <c:pt idx="13">
                  <c:v>6465.58</c:v>
                </c:pt>
                <c:pt idx="14">
                  <c:v>6364.89</c:v>
                </c:pt>
                <c:pt idx="15">
                  <c:v>6253.72</c:v>
                </c:pt>
                <c:pt idx="16">
                  <c:v>6159.23</c:v>
                </c:pt>
                <c:pt idx="17">
                  <c:v>6083.36</c:v>
                </c:pt>
                <c:pt idx="18">
                  <c:v>6028.68</c:v>
                </c:pt>
                <c:pt idx="19">
                  <c:v>5992.44</c:v>
                </c:pt>
                <c:pt idx="20">
                  <c:v>5972.29</c:v>
                </c:pt>
                <c:pt idx="21">
                  <c:v>5966.01</c:v>
                </c:pt>
                <c:pt idx="22">
                  <c:v>5972.72</c:v>
                </c:pt>
                <c:pt idx="23">
                  <c:v>5992.99</c:v>
                </c:pt>
                <c:pt idx="24">
                  <c:v>6018.9</c:v>
                </c:pt>
                <c:pt idx="25">
                  <c:v>6054.72</c:v>
                </c:pt>
                <c:pt idx="26">
                  <c:v>6101.29</c:v>
                </c:pt>
                <c:pt idx="27">
                  <c:v>6163.14</c:v>
                </c:pt>
                <c:pt idx="28">
                  <c:v>6233.89</c:v>
                </c:pt>
                <c:pt idx="29">
                  <c:v>6317.48</c:v>
                </c:pt>
                <c:pt idx="30">
                  <c:v>6416.92</c:v>
                </c:pt>
                <c:pt idx="31">
                  <c:v>6532.93</c:v>
                </c:pt>
                <c:pt idx="32">
                  <c:v>6667.82</c:v>
                </c:pt>
                <c:pt idx="33">
                  <c:v>6818.66</c:v>
                </c:pt>
                <c:pt idx="34">
                  <c:v>6989.48</c:v>
                </c:pt>
              </c:numCache>
            </c:numRef>
          </c:val>
          <c:smooth val="0"/>
          <c:extLst>
            <c:ext xmlns:c16="http://schemas.microsoft.com/office/drawing/2014/chart" uri="{C3380CC4-5D6E-409C-BE32-E72D297353CC}">
              <c16:uniqueId val="{00000003-101D-4B5C-B3F0-74F5FAC62AE6}"/>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5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Bn. £</a:t>
                </a:r>
                <a:endParaRPr lang="de-CH" sz="900">
                  <a:effectLst/>
                </a:endParaRPr>
              </a:p>
            </c:rich>
          </c:tx>
          <c:layout>
            <c:manualLayout>
              <c:xMode val="edge"/>
              <c:yMode val="edge"/>
              <c:x val="2.9061808048572408E-2"/>
              <c:y val="0.32216571886847478"/>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1018625418360968E-2"/>
          <c:y val="0.87204097874862418"/>
          <c:w val="0.8858059874534243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low'!$A$244</c:f>
              <c:strCache>
                <c:ptCount val="1"/>
                <c:pt idx="0">
                  <c:v>Base-run</c:v>
                </c:pt>
              </c:strCache>
            </c:strRef>
          </c:tx>
          <c:spPr>
            <a:ln w="12700" cap="rnd">
              <a:solidFill>
                <a:sysClr val="windowText" lastClr="000000"/>
              </a:solidFill>
              <a:round/>
            </a:ln>
            <a:effectLst/>
          </c:spPr>
          <c:marker>
            <c:symbol val="none"/>
          </c:marker>
          <c:cat>
            <c:numRef>
              <c:f>'1) scenario low'!$B$243:$AJ$243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low'!$B$244:$AJ$244</c:f>
              <c:numCache>
                <c:formatCode>0</c:formatCode>
                <c:ptCount val="35"/>
                <c:pt idx="0">
                  <c:v>20.4588</c:v>
                </c:pt>
                <c:pt idx="1">
                  <c:v>30.101900000000001</c:v>
                </c:pt>
                <c:pt idx="2">
                  <c:v>35.360199999999999</c:v>
                </c:pt>
                <c:pt idx="3">
                  <c:v>31.6432</c:v>
                </c:pt>
                <c:pt idx="4">
                  <c:v>26.209900000000001</c:v>
                </c:pt>
                <c:pt idx="5">
                  <c:v>21.385400000000001</c:v>
                </c:pt>
                <c:pt idx="6">
                  <c:v>17.453600000000002</c:v>
                </c:pt>
                <c:pt idx="7">
                  <c:v>14.53</c:v>
                </c:pt>
                <c:pt idx="8">
                  <c:v>14.4994</c:v>
                </c:pt>
                <c:pt idx="9">
                  <c:v>16.994900000000001</c:v>
                </c:pt>
                <c:pt idx="10">
                  <c:v>19.805199999999999</c:v>
                </c:pt>
                <c:pt idx="11">
                  <c:v>22.630299999999998</c:v>
                </c:pt>
                <c:pt idx="12">
                  <c:v>31.7315</c:v>
                </c:pt>
                <c:pt idx="13">
                  <c:v>41.186599999999999</c:v>
                </c:pt>
                <c:pt idx="14">
                  <c:v>43.138599999999997</c:v>
                </c:pt>
                <c:pt idx="15">
                  <c:v>44.134500000000003</c:v>
                </c:pt>
                <c:pt idx="16">
                  <c:v>43.832500000000003</c:v>
                </c:pt>
                <c:pt idx="17">
                  <c:v>40.714399999999998</c:v>
                </c:pt>
                <c:pt idx="18">
                  <c:v>41.522500000000001</c:v>
                </c:pt>
                <c:pt idx="19">
                  <c:v>39.297199999999997</c:v>
                </c:pt>
                <c:pt idx="20">
                  <c:v>37.735500000000002</c:v>
                </c:pt>
                <c:pt idx="21">
                  <c:v>35.678100000000001</c:v>
                </c:pt>
                <c:pt idx="22">
                  <c:v>34.682499999999997</c:v>
                </c:pt>
                <c:pt idx="23">
                  <c:v>34.258899999999997</c:v>
                </c:pt>
                <c:pt idx="24">
                  <c:v>29.544799999999999</c:v>
                </c:pt>
                <c:pt idx="25">
                  <c:v>24.1767</c:v>
                </c:pt>
                <c:pt idx="26">
                  <c:v>23.017399999999999</c:v>
                </c:pt>
                <c:pt idx="27">
                  <c:v>24.997699999999998</c:v>
                </c:pt>
                <c:pt idx="28">
                  <c:v>27.653300000000002</c:v>
                </c:pt>
                <c:pt idx="29">
                  <c:v>29.2197</c:v>
                </c:pt>
                <c:pt idx="30">
                  <c:v>30.0655</c:v>
                </c:pt>
                <c:pt idx="31">
                  <c:v>29.924099999999999</c:v>
                </c:pt>
                <c:pt idx="32">
                  <c:v>29.508600000000001</c:v>
                </c:pt>
                <c:pt idx="33">
                  <c:v>28.356200000000001</c:v>
                </c:pt>
                <c:pt idx="34">
                  <c:v>26.599799999999998</c:v>
                </c:pt>
              </c:numCache>
            </c:numRef>
          </c:val>
          <c:smooth val="0"/>
          <c:extLst>
            <c:ext xmlns:c16="http://schemas.microsoft.com/office/drawing/2014/chart" uri="{C3380CC4-5D6E-409C-BE32-E72D297353CC}">
              <c16:uniqueId val="{00000000-EABE-431C-BCA3-E73FCE04B53C}"/>
            </c:ext>
          </c:extLst>
        </c:ser>
        <c:ser>
          <c:idx val="4"/>
          <c:order val="1"/>
          <c:tx>
            <c:strRef>
              <c:f>'1) scenario low'!$A$245</c:f>
              <c:strCache>
                <c:ptCount val="1"/>
                <c:pt idx="0">
                  <c:v>Finance system’s policy (FSP) </c:v>
                </c:pt>
              </c:strCache>
            </c:strRef>
          </c:tx>
          <c:spPr>
            <a:ln w="12700" cap="rnd">
              <a:solidFill>
                <a:srgbClr val="70AD47">
                  <a:lumMod val="75000"/>
                </a:srgbClr>
              </a:solidFill>
              <a:prstDash val="dash"/>
              <a:round/>
            </a:ln>
            <a:effectLst/>
          </c:spPr>
          <c:marker>
            <c:symbol val="none"/>
          </c:marker>
          <c:cat>
            <c:numRef>
              <c:f>'1) scenario low'!$B$243:$AJ$243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low'!$B$245:$AJ$245</c:f>
              <c:numCache>
                <c:formatCode>0</c:formatCode>
                <c:ptCount val="35"/>
                <c:pt idx="0">
                  <c:v>20.4588</c:v>
                </c:pt>
                <c:pt idx="1">
                  <c:v>30.101900000000001</c:v>
                </c:pt>
                <c:pt idx="2">
                  <c:v>35.360199999999999</c:v>
                </c:pt>
                <c:pt idx="3">
                  <c:v>31.6432</c:v>
                </c:pt>
                <c:pt idx="4">
                  <c:v>25.364999999999998</c:v>
                </c:pt>
                <c:pt idx="5">
                  <c:v>20.713000000000001</c:v>
                </c:pt>
                <c:pt idx="6">
                  <c:v>17.056000000000001</c:v>
                </c:pt>
                <c:pt idx="7">
                  <c:v>17.136299999999999</c:v>
                </c:pt>
                <c:pt idx="8">
                  <c:v>20.233599999999999</c:v>
                </c:pt>
                <c:pt idx="9">
                  <c:v>23.4056</c:v>
                </c:pt>
                <c:pt idx="10">
                  <c:v>25.0976</c:v>
                </c:pt>
                <c:pt idx="11">
                  <c:v>27.2133</c:v>
                </c:pt>
                <c:pt idx="12">
                  <c:v>36.574100000000001</c:v>
                </c:pt>
                <c:pt idx="13">
                  <c:v>44.839500000000001</c:v>
                </c:pt>
                <c:pt idx="14">
                  <c:v>45.322899999999997</c:v>
                </c:pt>
                <c:pt idx="15">
                  <c:v>45.410299999999999</c:v>
                </c:pt>
                <c:pt idx="16">
                  <c:v>43.898600000000002</c:v>
                </c:pt>
                <c:pt idx="17">
                  <c:v>39.492400000000004</c:v>
                </c:pt>
                <c:pt idx="18">
                  <c:v>39.271299999999997</c:v>
                </c:pt>
                <c:pt idx="19">
                  <c:v>35.834000000000003</c:v>
                </c:pt>
                <c:pt idx="20">
                  <c:v>33.778300000000002</c:v>
                </c:pt>
                <c:pt idx="21">
                  <c:v>31.7456</c:v>
                </c:pt>
                <c:pt idx="22">
                  <c:v>31.293299999999999</c:v>
                </c:pt>
                <c:pt idx="23">
                  <c:v>31.5031</c:v>
                </c:pt>
                <c:pt idx="24">
                  <c:v>27.1631</c:v>
                </c:pt>
                <c:pt idx="25">
                  <c:v>22.235199999999999</c:v>
                </c:pt>
                <c:pt idx="26">
                  <c:v>21.432400000000001</c:v>
                </c:pt>
                <c:pt idx="27">
                  <c:v>23.5334</c:v>
                </c:pt>
                <c:pt idx="28">
                  <c:v>25.968599999999999</c:v>
                </c:pt>
                <c:pt idx="29">
                  <c:v>27.328800000000001</c:v>
                </c:pt>
                <c:pt idx="30">
                  <c:v>28.142099999999999</c:v>
                </c:pt>
                <c:pt idx="31">
                  <c:v>28.166699999999999</c:v>
                </c:pt>
                <c:pt idx="32">
                  <c:v>28.068899999999999</c:v>
                </c:pt>
                <c:pt idx="33">
                  <c:v>27.290099999999999</c:v>
                </c:pt>
                <c:pt idx="34">
                  <c:v>25.938700000000001</c:v>
                </c:pt>
              </c:numCache>
            </c:numRef>
          </c:val>
          <c:smooth val="0"/>
          <c:extLst>
            <c:ext xmlns:c16="http://schemas.microsoft.com/office/drawing/2014/chart" uri="{C3380CC4-5D6E-409C-BE32-E72D297353CC}">
              <c16:uniqueId val="{00000001-EABE-431C-BCA3-E73FCE04B53C}"/>
            </c:ext>
          </c:extLst>
        </c:ser>
        <c:ser>
          <c:idx val="0"/>
          <c:order val="2"/>
          <c:tx>
            <c:strRef>
              <c:f>'1) scenario low'!$A$246</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'1) scenario low'!$B$243:$AJ$243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low'!$B$246:$AJ$246</c:f>
              <c:numCache>
                <c:formatCode>0</c:formatCode>
                <c:ptCount val="35"/>
                <c:pt idx="0">
                  <c:v>20.4588</c:v>
                </c:pt>
                <c:pt idx="1">
                  <c:v>30.101900000000001</c:v>
                </c:pt>
                <c:pt idx="2">
                  <c:v>35.360199999999999</c:v>
                </c:pt>
                <c:pt idx="3">
                  <c:v>31.6432</c:v>
                </c:pt>
                <c:pt idx="4">
                  <c:v>26.209900000000001</c:v>
                </c:pt>
                <c:pt idx="5">
                  <c:v>23.2758</c:v>
                </c:pt>
                <c:pt idx="6">
                  <c:v>20.366199999999999</c:v>
                </c:pt>
                <c:pt idx="7">
                  <c:v>18.375900000000001</c:v>
                </c:pt>
                <c:pt idx="8">
                  <c:v>16.957100000000001</c:v>
                </c:pt>
                <c:pt idx="9">
                  <c:v>16.815899999999999</c:v>
                </c:pt>
                <c:pt idx="10">
                  <c:v>20.335599999999999</c:v>
                </c:pt>
                <c:pt idx="11">
                  <c:v>22.459800000000001</c:v>
                </c:pt>
                <c:pt idx="12">
                  <c:v>29.2927</c:v>
                </c:pt>
                <c:pt idx="13">
                  <c:v>37.069099999999999</c:v>
                </c:pt>
                <c:pt idx="14">
                  <c:v>40.532400000000003</c:v>
                </c:pt>
                <c:pt idx="15">
                  <c:v>44.940800000000003</c:v>
                </c:pt>
                <c:pt idx="16">
                  <c:v>45.444000000000003</c:v>
                </c:pt>
                <c:pt idx="17">
                  <c:v>42.200899999999997</c:v>
                </c:pt>
                <c:pt idx="18">
                  <c:v>42.529499999999999</c:v>
                </c:pt>
                <c:pt idx="19">
                  <c:v>40.537999999999997</c:v>
                </c:pt>
                <c:pt idx="20">
                  <c:v>42.280500000000004</c:v>
                </c:pt>
                <c:pt idx="21">
                  <c:v>41.088799999999999</c:v>
                </c:pt>
                <c:pt idx="22">
                  <c:v>41.066000000000003</c:v>
                </c:pt>
                <c:pt idx="23">
                  <c:v>42.485100000000003</c:v>
                </c:pt>
                <c:pt idx="24">
                  <c:v>39.948399999999999</c:v>
                </c:pt>
                <c:pt idx="25">
                  <c:v>38.895499999999998</c:v>
                </c:pt>
                <c:pt idx="26">
                  <c:v>37.301400000000001</c:v>
                </c:pt>
                <c:pt idx="27">
                  <c:v>37.942700000000002</c:v>
                </c:pt>
                <c:pt idx="28">
                  <c:v>39.6631</c:v>
                </c:pt>
                <c:pt idx="29">
                  <c:v>40.915500000000002</c:v>
                </c:pt>
                <c:pt idx="30">
                  <c:v>43.622300000000003</c:v>
                </c:pt>
                <c:pt idx="31">
                  <c:v>43.6965</c:v>
                </c:pt>
                <c:pt idx="32">
                  <c:v>43.487299999999998</c:v>
                </c:pt>
                <c:pt idx="33">
                  <c:v>42.628900000000002</c:v>
                </c:pt>
                <c:pt idx="34">
                  <c:v>45.2821</c:v>
                </c:pt>
              </c:numCache>
            </c:numRef>
          </c:val>
          <c:smooth val="0"/>
          <c:extLst>
            <c:ext xmlns:c16="http://schemas.microsoft.com/office/drawing/2014/chart" uri="{C3380CC4-5D6E-409C-BE32-E72D297353CC}">
              <c16:uniqueId val="{00000002-EABE-431C-BCA3-E73FCE04B53C}"/>
            </c:ext>
          </c:extLst>
        </c:ser>
        <c:ser>
          <c:idx val="2"/>
          <c:order val="3"/>
          <c:tx>
            <c:strRef>
              <c:f>'1) scenario low'!$A$247</c:f>
              <c:strCache>
                <c:ptCount val="1"/>
                <c:pt idx="0">
                  <c:v>FSP and LETS combined</c:v>
                </c:pt>
              </c:strCache>
            </c:strRef>
          </c:tx>
          <c:spPr>
            <a:ln w="12700" cap="rnd">
              <a:solidFill>
                <a:srgbClr val="7030A0"/>
              </a:solidFill>
              <a:prstDash val="lgDashDot"/>
              <a:round/>
            </a:ln>
            <a:effectLst/>
          </c:spPr>
          <c:marker>
            <c:symbol val="none"/>
          </c:marker>
          <c:cat>
            <c:numRef>
              <c:f>'1) scenario low'!$B$243:$AJ$243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low'!$B$247:$AJ$247</c:f>
              <c:numCache>
                <c:formatCode>0</c:formatCode>
                <c:ptCount val="35"/>
                <c:pt idx="0">
                  <c:v>20.4588</c:v>
                </c:pt>
                <c:pt idx="1">
                  <c:v>30.101900000000001</c:v>
                </c:pt>
                <c:pt idx="2">
                  <c:v>35.360199999999999</c:v>
                </c:pt>
                <c:pt idx="3">
                  <c:v>31.6432</c:v>
                </c:pt>
                <c:pt idx="4">
                  <c:v>25.364999999999998</c:v>
                </c:pt>
                <c:pt idx="5">
                  <c:v>24.358599999999999</c:v>
                </c:pt>
                <c:pt idx="6">
                  <c:v>24.6267</c:v>
                </c:pt>
                <c:pt idx="7">
                  <c:v>23.023599999999998</c:v>
                </c:pt>
                <c:pt idx="8">
                  <c:v>21.561499999999999</c:v>
                </c:pt>
                <c:pt idx="9">
                  <c:v>20.7791</c:v>
                </c:pt>
                <c:pt idx="10">
                  <c:v>26.382400000000001</c:v>
                </c:pt>
                <c:pt idx="11">
                  <c:v>31.873999999999999</c:v>
                </c:pt>
                <c:pt idx="12">
                  <c:v>36.815300000000001</c:v>
                </c:pt>
                <c:pt idx="13">
                  <c:v>38.467700000000001</c:v>
                </c:pt>
                <c:pt idx="14">
                  <c:v>37.545400000000001</c:v>
                </c:pt>
                <c:pt idx="15">
                  <c:v>42.4587</c:v>
                </c:pt>
                <c:pt idx="16">
                  <c:v>45.494799999999998</c:v>
                </c:pt>
                <c:pt idx="17">
                  <c:v>44.168199999999999</c:v>
                </c:pt>
                <c:pt idx="18">
                  <c:v>42.889000000000003</c:v>
                </c:pt>
                <c:pt idx="19">
                  <c:v>39.366599999999998</c:v>
                </c:pt>
                <c:pt idx="20">
                  <c:v>40.419199999999996</c:v>
                </c:pt>
                <c:pt idx="21">
                  <c:v>40.725700000000003</c:v>
                </c:pt>
                <c:pt idx="22">
                  <c:v>38.838200000000001</c:v>
                </c:pt>
                <c:pt idx="23">
                  <c:v>36.475499999999997</c:v>
                </c:pt>
                <c:pt idx="24">
                  <c:v>31.924399999999999</c:v>
                </c:pt>
                <c:pt idx="25">
                  <c:v>30.802700000000002</c:v>
                </c:pt>
                <c:pt idx="26">
                  <c:v>31.702500000000001</c:v>
                </c:pt>
                <c:pt idx="27">
                  <c:v>30.944700000000001</c:v>
                </c:pt>
                <c:pt idx="28">
                  <c:v>29.794599999999999</c:v>
                </c:pt>
                <c:pt idx="29">
                  <c:v>28.770499999999998</c:v>
                </c:pt>
                <c:pt idx="30">
                  <c:v>31.1111</c:v>
                </c:pt>
                <c:pt idx="31">
                  <c:v>33.051099999999998</c:v>
                </c:pt>
                <c:pt idx="32">
                  <c:v>32.736400000000003</c:v>
                </c:pt>
                <c:pt idx="33">
                  <c:v>31.375800000000002</c:v>
                </c:pt>
                <c:pt idx="34">
                  <c:v>36.281100000000002</c:v>
                </c:pt>
              </c:numCache>
            </c:numRef>
          </c:val>
          <c:smooth val="0"/>
          <c:extLst>
            <c:ext xmlns:c16="http://schemas.microsoft.com/office/drawing/2014/chart" uri="{C3380CC4-5D6E-409C-BE32-E72D297353CC}">
              <c16:uniqueId val="{00000003-EABE-431C-BCA3-E73FCE04B53C}"/>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1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sz="1000" b="0" i="0" u="none" strike="noStrike" baseline="0">
                    <a:effectLst/>
                  </a:rPr>
                  <a:t>£ bn</a:t>
                </a:r>
                <a:endParaRPr lang="de-CH"/>
              </a:p>
            </c:rich>
          </c:tx>
          <c:layout>
            <c:manualLayout>
              <c:xMode val="edge"/>
              <c:yMode val="edge"/>
              <c:x val="4.4366877850820573E-2"/>
              <c:y val="0.3267953484981043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83511747532323"/>
          <c:y val="0.87204097874862418"/>
          <c:w val="0.8958577452946978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'1) scenario low'!$A$276</c:f>
              <c:strCache>
                <c:ptCount val="1"/>
                <c:pt idx="0">
                  <c:v>Base-run</c:v>
                </c:pt>
              </c:strCache>
            </c:strRef>
          </c:tx>
          <c:spPr>
            <a:ln w="12700" cap="rnd">
              <a:solidFill>
                <a:sysClr val="windowText" lastClr="000000"/>
              </a:solidFill>
              <a:round/>
            </a:ln>
            <a:effectLst/>
          </c:spPr>
          <c:marker>
            <c:symbol val="none"/>
          </c:marker>
          <c:cat>
            <c:numRef>
              <c:f>'1) scenario low'!$B$275:$AJ$275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low'!$B$276:$AJ$276</c:f>
              <c:numCache>
                <c:formatCode>0.00</c:formatCode>
                <c:ptCount val="35"/>
                <c:pt idx="0">
                  <c:v>0.18823599999999999</c:v>
                </c:pt>
                <c:pt idx="1">
                  <c:v>0.19258600000000001</c:v>
                </c:pt>
                <c:pt idx="2">
                  <c:v>0.20467399999999999</c:v>
                </c:pt>
                <c:pt idx="3">
                  <c:v>0.20946400000000001</c:v>
                </c:pt>
                <c:pt idx="4">
                  <c:v>0.209089</c:v>
                </c:pt>
                <c:pt idx="5">
                  <c:v>0.20655799999999999</c:v>
                </c:pt>
                <c:pt idx="6">
                  <c:v>0.20296600000000001</c:v>
                </c:pt>
                <c:pt idx="7">
                  <c:v>0.19874600000000001</c:v>
                </c:pt>
                <c:pt idx="8">
                  <c:v>0.195442</c:v>
                </c:pt>
                <c:pt idx="9">
                  <c:v>0.19454199999999999</c:v>
                </c:pt>
                <c:pt idx="10">
                  <c:v>0.196627</c:v>
                </c:pt>
                <c:pt idx="11">
                  <c:v>0.200373</c:v>
                </c:pt>
                <c:pt idx="12">
                  <c:v>0.21105199999999999</c:v>
                </c:pt>
                <c:pt idx="13">
                  <c:v>0.23117199999999999</c:v>
                </c:pt>
                <c:pt idx="14">
                  <c:v>0.24910399999999999</c:v>
                </c:pt>
                <c:pt idx="15">
                  <c:v>0.26376699999999997</c:v>
                </c:pt>
                <c:pt idx="16">
                  <c:v>0.27721600000000002</c:v>
                </c:pt>
                <c:pt idx="17">
                  <c:v>0.28485500000000002</c:v>
                </c:pt>
                <c:pt idx="18">
                  <c:v>0.29243400000000003</c:v>
                </c:pt>
                <c:pt idx="19">
                  <c:v>0.29972300000000002</c:v>
                </c:pt>
                <c:pt idx="20">
                  <c:v>0.30517699999999998</c:v>
                </c:pt>
                <c:pt idx="21">
                  <c:v>0.31063099999999999</c:v>
                </c:pt>
                <c:pt idx="22">
                  <c:v>0.31599899999999997</c:v>
                </c:pt>
                <c:pt idx="23">
                  <c:v>0.32306800000000002</c:v>
                </c:pt>
                <c:pt idx="24">
                  <c:v>0.326019</c:v>
                </c:pt>
                <c:pt idx="25">
                  <c:v>0.32285799999999998</c:v>
                </c:pt>
                <c:pt idx="26">
                  <c:v>0.32003900000000002</c:v>
                </c:pt>
                <c:pt idx="27">
                  <c:v>0.321409</c:v>
                </c:pt>
                <c:pt idx="28">
                  <c:v>0.32591100000000001</c:v>
                </c:pt>
                <c:pt idx="29">
                  <c:v>0.33108700000000002</c:v>
                </c:pt>
                <c:pt idx="30">
                  <c:v>0.33600099999999999</c:v>
                </c:pt>
                <c:pt idx="31">
                  <c:v>0.34014</c:v>
                </c:pt>
                <c:pt idx="32">
                  <c:v>0.34342800000000001</c:v>
                </c:pt>
                <c:pt idx="33">
                  <c:v>0.34567100000000001</c:v>
                </c:pt>
                <c:pt idx="34">
                  <c:v>0.34614299999999998</c:v>
                </c:pt>
              </c:numCache>
            </c:numRef>
          </c:val>
          <c:smooth val="0"/>
          <c:extLst>
            <c:ext xmlns:c16="http://schemas.microsoft.com/office/drawing/2014/chart" uri="{C3380CC4-5D6E-409C-BE32-E72D297353CC}">
              <c16:uniqueId val="{00000000-4478-4458-87F7-D7F313EFC86B}"/>
            </c:ext>
          </c:extLst>
        </c:ser>
        <c:ser>
          <c:idx val="4"/>
          <c:order val="1"/>
          <c:tx>
            <c:strRef>
              <c:f>'1) scenario low'!$A$277</c:f>
              <c:strCache>
                <c:ptCount val="1"/>
                <c:pt idx="0">
                  <c:v>Finance system’s policy (FSP) </c:v>
                </c:pt>
              </c:strCache>
            </c:strRef>
          </c:tx>
          <c:spPr>
            <a:ln w="12700" cap="rnd">
              <a:solidFill>
                <a:srgbClr val="70AD47">
                  <a:lumMod val="75000"/>
                </a:srgbClr>
              </a:solidFill>
              <a:prstDash val="dash"/>
              <a:round/>
            </a:ln>
            <a:effectLst/>
          </c:spPr>
          <c:marker>
            <c:symbol val="none"/>
          </c:marker>
          <c:cat>
            <c:numRef>
              <c:f>'1) scenario low'!$B$275:$AJ$275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low'!$B$277:$AJ$277</c:f>
              <c:numCache>
                <c:formatCode>0.00</c:formatCode>
                <c:ptCount val="35"/>
                <c:pt idx="0">
                  <c:v>0.18823599999999999</c:v>
                </c:pt>
                <c:pt idx="1">
                  <c:v>0.19258600000000001</c:v>
                </c:pt>
                <c:pt idx="2">
                  <c:v>0.20467399999999999</c:v>
                </c:pt>
                <c:pt idx="3">
                  <c:v>0.20946400000000001</c:v>
                </c:pt>
                <c:pt idx="4">
                  <c:v>0.209089</c:v>
                </c:pt>
                <c:pt idx="5">
                  <c:v>0.20655799999999999</c:v>
                </c:pt>
                <c:pt idx="6">
                  <c:v>0.20296600000000001</c:v>
                </c:pt>
                <c:pt idx="7">
                  <c:v>0.20091600000000001</c:v>
                </c:pt>
                <c:pt idx="8">
                  <c:v>0.204317</c:v>
                </c:pt>
                <c:pt idx="9">
                  <c:v>0.21166299999999999</c:v>
                </c:pt>
                <c:pt idx="10">
                  <c:v>0.219857</c:v>
                </c:pt>
                <c:pt idx="11">
                  <c:v>0.227494</c:v>
                </c:pt>
                <c:pt idx="12">
                  <c:v>0.24543499999999999</c:v>
                </c:pt>
                <c:pt idx="13">
                  <c:v>0.27669899999999997</c:v>
                </c:pt>
                <c:pt idx="14">
                  <c:v>0.30019800000000002</c:v>
                </c:pt>
                <c:pt idx="15">
                  <c:v>0.31799899999999998</c:v>
                </c:pt>
                <c:pt idx="16">
                  <c:v>0.33432400000000001</c:v>
                </c:pt>
                <c:pt idx="17">
                  <c:v>0.34301900000000002</c:v>
                </c:pt>
                <c:pt idx="18">
                  <c:v>0.35317799999999999</c:v>
                </c:pt>
                <c:pt idx="19">
                  <c:v>0.36136099999999999</c:v>
                </c:pt>
                <c:pt idx="20">
                  <c:v>0.36676300000000001</c:v>
                </c:pt>
                <c:pt idx="21">
                  <c:v>0.37140299999999998</c:v>
                </c:pt>
                <c:pt idx="22">
                  <c:v>0.376056</c:v>
                </c:pt>
                <c:pt idx="23">
                  <c:v>0.38341500000000001</c:v>
                </c:pt>
                <c:pt idx="24">
                  <c:v>0.38567400000000002</c:v>
                </c:pt>
                <c:pt idx="25">
                  <c:v>0.38085400000000003</c:v>
                </c:pt>
                <c:pt idx="26">
                  <c:v>0.37670999999999999</c:v>
                </c:pt>
                <c:pt idx="27">
                  <c:v>0.37888100000000002</c:v>
                </c:pt>
                <c:pt idx="28">
                  <c:v>0.38484800000000002</c:v>
                </c:pt>
                <c:pt idx="29">
                  <c:v>0.390847</c:v>
                </c:pt>
                <c:pt idx="30">
                  <c:v>0.396366</c:v>
                </c:pt>
                <c:pt idx="31">
                  <c:v>0.400752</c:v>
                </c:pt>
                <c:pt idx="32">
                  <c:v>0.40457399999999999</c:v>
                </c:pt>
                <c:pt idx="33">
                  <c:v>0.40748400000000001</c:v>
                </c:pt>
                <c:pt idx="34">
                  <c:v>0.408634</c:v>
                </c:pt>
              </c:numCache>
            </c:numRef>
          </c:val>
          <c:smooth val="0"/>
          <c:extLst>
            <c:ext xmlns:c16="http://schemas.microsoft.com/office/drawing/2014/chart" uri="{C3380CC4-5D6E-409C-BE32-E72D297353CC}">
              <c16:uniqueId val="{00000001-4478-4458-87F7-D7F313EFC86B}"/>
            </c:ext>
          </c:extLst>
        </c:ser>
        <c:ser>
          <c:idx val="0"/>
          <c:order val="2"/>
          <c:tx>
            <c:strRef>
              <c:f>'1) scenario low'!$A$278</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'1) scenario low'!$B$275:$AJ$275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low'!$B$278:$AJ$278</c:f>
              <c:numCache>
                <c:formatCode>0.00</c:formatCode>
                <c:ptCount val="35"/>
                <c:pt idx="0">
                  <c:v>0.18823599999999999</c:v>
                </c:pt>
                <c:pt idx="1">
                  <c:v>0.19258600000000001</c:v>
                </c:pt>
                <c:pt idx="2">
                  <c:v>0.20467399999999999</c:v>
                </c:pt>
                <c:pt idx="3">
                  <c:v>0.20946400000000001</c:v>
                </c:pt>
                <c:pt idx="4">
                  <c:v>0.209089</c:v>
                </c:pt>
                <c:pt idx="5">
                  <c:v>0.201154</c:v>
                </c:pt>
                <c:pt idx="6">
                  <c:v>0.19944700000000001</c:v>
                </c:pt>
                <c:pt idx="7">
                  <c:v>0.197912</c:v>
                </c:pt>
                <c:pt idx="8">
                  <c:v>0.19633</c:v>
                </c:pt>
                <c:pt idx="9">
                  <c:v>0.195937</c:v>
                </c:pt>
                <c:pt idx="10">
                  <c:v>0.19262499999999999</c:v>
                </c:pt>
                <c:pt idx="11">
                  <c:v>0.196996</c:v>
                </c:pt>
                <c:pt idx="12">
                  <c:v>0.20827000000000001</c:v>
                </c:pt>
                <c:pt idx="13">
                  <c:v>0.22956499999999999</c:v>
                </c:pt>
                <c:pt idx="14">
                  <c:v>0.250386</c:v>
                </c:pt>
                <c:pt idx="15">
                  <c:v>0.26185900000000001</c:v>
                </c:pt>
                <c:pt idx="16">
                  <c:v>0.27677499999999999</c:v>
                </c:pt>
                <c:pt idx="17">
                  <c:v>0.28553400000000001</c:v>
                </c:pt>
                <c:pt idx="18">
                  <c:v>0.29374400000000001</c:v>
                </c:pt>
                <c:pt idx="19">
                  <c:v>0.30138100000000001</c:v>
                </c:pt>
                <c:pt idx="20">
                  <c:v>0.30246499999999998</c:v>
                </c:pt>
                <c:pt idx="21">
                  <c:v>0.30828899999999998</c:v>
                </c:pt>
                <c:pt idx="22">
                  <c:v>0.31425500000000001</c:v>
                </c:pt>
                <c:pt idx="23">
                  <c:v>0.32230500000000001</c:v>
                </c:pt>
                <c:pt idx="24">
                  <c:v>0.32722899999999999</c:v>
                </c:pt>
                <c:pt idx="25">
                  <c:v>0.322965</c:v>
                </c:pt>
                <c:pt idx="26">
                  <c:v>0.32290400000000002</c:v>
                </c:pt>
                <c:pt idx="27">
                  <c:v>0.32588899999999998</c:v>
                </c:pt>
                <c:pt idx="28">
                  <c:v>0.33168999999999998</c:v>
                </c:pt>
                <c:pt idx="29">
                  <c:v>0.33812799999999998</c:v>
                </c:pt>
                <c:pt idx="30">
                  <c:v>0.340673</c:v>
                </c:pt>
                <c:pt idx="31">
                  <c:v>0.34622399999999998</c:v>
                </c:pt>
                <c:pt idx="32">
                  <c:v>0.35090900000000003</c:v>
                </c:pt>
                <c:pt idx="33">
                  <c:v>0.354491</c:v>
                </c:pt>
                <c:pt idx="34">
                  <c:v>0.34772700000000001</c:v>
                </c:pt>
              </c:numCache>
            </c:numRef>
          </c:val>
          <c:smooth val="0"/>
          <c:extLst>
            <c:ext xmlns:c16="http://schemas.microsoft.com/office/drawing/2014/chart" uri="{C3380CC4-5D6E-409C-BE32-E72D297353CC}">
              <c16:uniqueId val="{00000002-4478-4458-87F7-D7F313EFC86B}"/>
            </c:ext>
          </c:extLst>
        </c:ser>
        <c:ser>
          <c:idx val="2"/>
          <c:order val="3"/>
          <c:tx>
            <c:strRef>
              <c:f>'1) scenario low'!$A$279</c:f>
              <c:strCache>
                <c:ptCount val="1"/>
                <c:pt idx="0">
                  <c:v>FSP and LETS combined</c:v>
                </c:pt>
              </c:strCache>
            </c:strRef>
          </c:tx>
          <c:spPr>
            <a:ln w="12700" cap="rnd">
              <a:solidFill>
                <a:srgbClr val="7030A0"/>
              </a:solidFill>
              <a:prstDash val="lgDashDot"/>
              <a:round/>
            </a:ln>
            <a:effectLst/>
          </c:spPr>
          <c:marker>
            <c:symbol val="none"/>
          </c:marker>
          <c:cat>
            <c:numRef>
              <c:f>'1) scenario low'!$B$275:$AJ$275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scenario low'!$B$279:$AJ$279</c:f>
              <c:numCache>
                <c:formatCode>0.00</c:formatCode>
                <c:ptCount val="35"/>
                <c:pt idx="0">
                  <c:v>0.18823599999999999</c:v>
                </c:pt>
                <c:pt idx="1">
                  <c:v>0.19258600000000001</c:v>
                </c:pt>
                <c:pt idx="2">
                  <c:v>0.20467399999999999</c:v>
                </c:pt>
                <c:pt idx="3">
                  <c:v>0.20946400000000001</c:v>
                </c:pt>
                <c:pt idx="4">
                  <c:v>0.209089</c:v>
                </c:pt>
                <c:pt idx="5">
                  <c:v>0.20266600000000001</c:v>
                </c:pt>
                <c:pt idx="6">
                  <c:v>0.211978</c:v>
                </c:pt>
                <c:pt idx="7">
                  <c:v>0.21926399999999999</c:v>
                </c:pt>
                <c:pt idx="8">
                  <c:v>0.22425500000000001</c:v>
                </c:pt>
                <c:pt idx="9">
                  <c:v>0.22972899999999999</c:v>
                </c:pt>
                <c:pt idx="10">
                  <c:v>0.234593</c:v>
                </c:pt>
                <c:pt idx="11">
                  <c:v>0.26609300000000002</c:v>
                </c:pt>
                <c:pt idx="12">
                  <c:v>0.30024099999999998</c:v>
                </c:pt>
                <c:pt idx="13">
                  <c:v>0.33690100000000001</c:v>
                </c:pt>
                <c:pt idx="14">
                  <c:v>0.36150599999999999</c:v>
                </c:pt>
                <c:pt idx="15">
                  <c:v>0.38030700000000001</c:v>
                </c:pt>
                <c:pt idx="16">
                  <c:v>0.41835</c:v>
                </c:pt>
                <c:pt idx="17">
                  <c:v>0.44563199999999997</c:v>
                </c:pt>
                <c:pt idx="18">
                  <c:v>0.46694799999999997</c:v>
                </c:pt>
                <c:pt idx="19">
                  <c:v>0.482178</c:v>
                </c:pt>
                <c:pt idx="20">
                  <c:v>0.49071399999999998</c:v>
                </c:pt>
                <c:pt idx="21">
                  <c:v>0.51374200000000003</c:v>
                </c:pt>
                <c:pt idx="22">
                  <c:v>0.53054400000000002</c:v>
                </c:pt>
                <c:pt idx="23">
                  <c:v>0.54269100000000003</c:v>
                </c:pt>
                <c:pt idx="24">
                  <c:v>0.54774500000000004</c:v>
                </c:pt>
                <c:pt idx="25">
                  <c:v>0.54320000000000002</c:v>
                </c:pt>
                <c:pt idx="26">
                  <c:v>0.554288</c:v>
                </c:pt>
                <c:pt idx="27">
                  <c:v>0.56429799999999997</c:v>
                </c:pt>
                <c:pt idx="28">
                  <c:v>0.570743</c:v>
                </c:pt>
                <c:pt idx="29">
                  <c:v>0.57500499999999999</c:v>
                </c:pt>
                <c:pt idx="30">
                  <c:v>0.57733400000000001</c:v>
                </c:pt>
                <c:pt idx="31">
                  <c:v>0.59311199999999997</c:v>
                </c:pt>
                <c:pt idx="32">
                  <c:v>0.60511800000000004</c:v>
                </c:pt>
                <c:pt idx="33">
                  <c:v>0.61193500000000001</c:v>
                </c:pt>
                <c:pt idx="34">
                  <c:v>0.61031400000000002</c:v>
                </c:pt>
              </c:numCache>
            </c:numRef>
          </c:val>
          <c:smooth val="0"/>
          <c:extLst>
            <c:ext xmlns:c16="http://schemas.microsoft.com/office/drawing/2014/chart" uri="{C3380CC4-5D6E-409C-BE32-E72D297353CC}">
              <c16:uniqueId val="{00000003-4478-4458-87F7-D7F313EFC86B}"/>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0.15000000000000002"/>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Mio people</a:t>
                </a:r>
                <a:endParaRPr lang="de-CH" sz="1000">
                  <a:effectLst/>
                </a:endParaRPr>
              </a:p>
            </c:rich>
          </c:tx>
          <c:layout>
            <c:manualLayout>
              <c:xMode val="edge"/>
              <c:yMode val="edge"/>
              <c:x val="3.099109378184527E-2"/>
              <c:y val="0.30364720034995624"/>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761470527244198"/>
          <c:y val="0.87204097874862418"/>
          <c:w val="0.8380529970561806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6179628056132"/>
          <c:y val="6.0185185185185182E-2"/>
          <c:w val="0.85385003253941805"/>
          <c:h val="0.6231426061957519"/>
        </c:manualLayout>
      </c:layout>
      <c:lineChart>
        <c:grouping val="standard"/>
        <c:varyColors val="0"/>
        <c:ser>
          <c:idx val="3"/>
          <c:order val="0"/>
          <c:tx>
            <c:strRef>
              <c:f>'0) Systems policy with GF'!$A$219</c:f>
              <c:strCache>
                <c:ptCount val="1"/>
                <c:pt idx="0">
                  <c:v>Base-run</c:v>
                </c:pt>
              </c:strCache>
            </c:strRef>
          </c:tx>
          <c:spPr>
            <a:ln w="12700" cap="rnd">
              <a:solidFill>
                <a:sysClr val="windowText" lastClr="000000"/>
              </a:solidFill>
              <a:round/>
            </a:ln>
            <a:effectLst/>
          </c:spPr>
          <c:marker>
            <c:symbol val="none"/>
          </c:marker>
          <c:cat>
            <c:numRef>
              <c:f>'0) Systems policy with GF'!$B$218:$AJ$218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GF'!$B$219:$AJ$219</c:f>
              <c:numCache>
                <c:formatCode>0</c:formatCode>
                <c:ptCount val="35"/>
                <c:pt idx="0">
                  <c:v>3648.89</c:v>
                </c:pt>
                <c:pt idx="1">
                  <c:v>3660.55</c:v>
                </c:pt>
                <c:pt idx="2">
                  <c:v>3870.61</c:v>
                </c:pt>
                <c:pt idx="3">
                  <c:v>4110.3599999999997</c:v>
                </c:pt>
                <c:pt idx="4">
                  <c:v>4396.3</c:v>
                </c:pt>
                <c:pt idx="5">
                  <c:v>4722.12</c:v>
                </c:pt>
                <c:pt idx="6">
                  <c:v>5046.01</c:v>
                </c:pt>
                <c:pt idx="7">
                  <c:v>5370.53</c:v>
                </c:pt>
                <c:pt idx="8">
                  <c:v>5655.99</c:v>
                </c:pt>
                <c:pt idx="9">
                  <c:v>5894.87</c:v>
                </c:pt>
                <c:pt idx="10">
                  <c:v>6063.76</c:v>
                </c:pt>
                <c:pt idx="11">
                  <c:v>6149.53</c:v>
                </c:pt>
                <c:pt idx="12">
                  <c:v>6151.72</c:v>
                </c:pt>
                <c:pt idx="13">
                  <c:v>6089.39</c:v>
                </c:pt>
                <c:pt idx="14">
                  <c:v>5981.78</c:v>
                </c:pt>
                <c:pt idx="15">
                  <c:v>5884.7</c:v>
                </c:pt>
                <c:pt idx="16">
                  <c:v>5808.31</c:v>
                </c:pt>
                <c:pt idx="17">
                  <c:v>5753.82</c:v>
                </c:pt>
                <c:pt idx="18">
                  <c:v>5720.81</c:v>
                </c:pt>
                <c:pt idx="19">
                  <c:v>5704.74</c:v>
                </c:pt>
                <c:pt idx="20">
                  <c:v>5702.52</c:v>
                </c:pt>
                <c:pt idx="21">
                  <c:v>5711.49</c:v>
                </c:pt>
                <c:pt idx="22">
                  <c:v>5730.8</c:v>
                </c:pt>
                <c:pt idx="23">
                  <c:v>5760.87</c:v>
                </c:pt>
                <c:pt idx="24">
                  <c:v>5794.79</c:v>
                </c:pt>
                <c:pt idx="25">
                  <c:v>5836.41</c:v>
                </c:pt>
                <c:pt idx="26">
                  <c:v>5886.03</c:v>
                </c:pt>
                <c:pt idx="27">
                  <c:v>5948.43</c:v>
                </c:pt>
                <c:pt idx="28">
                  <c:v>6017.47</c:v>
                </c:pt>
                <c:pt idx="29">
                  <c:v>6098.05</c:v>
                </c:pt>
                <c:pt idx="30">
                  <c:v>6194.08</c:v>
                </c:pt>
                <c:pt idx="31">
                  <c:v>6304.59</c:v>
                </c:pt>
                <c:pt idx="32">
                  <c:v>6431.69</c:v>
                </c:pt>
                <c:pt idx="33">
                  <c:v>6571.99</c:v>
                </c:pt>
                <c:pt idx="34">
                  <c:v>6728.86</c:v>
                </c:pt>
              </c:numCache>
            </c:numRef>
          </c:val>
          <c:smooth val="0"/>
          <c:extLst>
            <c:ext xmlns:c16="http://schemas.microsoft.com/office/drawing/2014/chart" uri="{C3380CC4-5D6E-409C-BE32-E72D297353CC}">
              <c16:uniqueId val="{00000000-6959-4FBD-8478-BBD1D74279F7}"/>
            </c:ext>
          </c:extLst>
        </c:ser>
        <c:ser>
          <c:idx val="4"/>
          <c:order val="1"/>
          <c:tx>
            <c:strRef>
              <c:f>'0) Systems policy with GF'!$A$220</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GF'!$B$218:$AJ$218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GF'!$B$220:$AJ$220</c:f>
              <c:numCache>
                <c:formatCode>0</c:formatCode>
                <c:ptCount val="35"/>
                <c:pt idx="0">
                  <c:v>3648.89</c:v>
                </c:pt>
                <c:pt idx="1">
                  <c:v>3660.55</c:v>
                </c:pt>
                <c:pt idx="2">
                  <c:v>3870.61</c:v>
                </c:pt>
                <c:pt idx="3">
                  <c:v>4110.3599999999997</c:v>
                </c:pt>
                <c:pt idx="4">
                  <c:v>4396.3</c:v>
                </c:pt>
                <c:pt idx="5">
                  <c:v>4748.3</c:v>
                </c:pt>
                <c:pt idx="6">
                  <c:v>5103.04</c:v>
                </c:pt>
                <c:pt idx="7">
                  <c:v>5464.84</c:v>
                </c:pt>
                <c:pt idx="8">
                  <c:v>5794.12</c:v>
                </c:pt>
                <c:pt idx="9">
                  <c:v>6082.34</c:v>
                </c:pt>
                <c:pt idx="10">
                  <c:v>6303.09</c:v>
                </c:pt>
                <c:pt idx="11">
                  <c:v>6439.78</c:v>
                </c:pt>
                <c:pt idx="12">
                  <c:v>6479.14</c:v>
                </c:pt>
                <c:pt idx="13">
                  <c:v>6437.66</c:v>
                </c:pt>
                <c:pt idx="14">
                  <c:v>6336.95</c:v>
                </c:pt>
                <c:pt idx="15">
                  <c:v>6225.94</c:v>
                </c:pt>
                <c:pt idx="16">
                  <c:v>6132.12</c:v>
                </c:pt>
                <c:pt idx="17">
                  <c:v>6056.43</c:v>
                </c:pt>
                <c:pt idx="18">
                  <c:v>6000.84</c:v>
                </c:pt>
                <c:pt idx="19">
                  <c:v>5962.54</c:v>
                </c:pt>
                <c:pt idx="20">
                  <c:v>5939.17</c:v>
                </c:pt>
                <c:pt idx="21">
                  <c:v>5928.61</c:v>
                </c:pt>
                <c:pt idx="22">
                  <c:v>5930.19</c:v>
                </c:pt>
                <c:pt idx="23">
                  <c:v>5944.77</c:v>
                </c:pt>
                <c:pt idx="24">
                  <c:v>5964.64</c:v>
                </c:pt>
                <c:pt idx="25">
                  <c:v>5994.11</c:v>
                </c:pt>
                <c:pt idx="26">
                  <c:v>6033.66</c:v>
                </c:pt>
                <c:pt idx="27">
                  <c:v>6088.09</c:v>
                </c:pt>
                <c:pt idx="28">
                  <c:v>6151.25</c:v>
                </c:pt>
                <c:pt idx="29">
                  <c:v>6227.31</c:v>
                </c:pt>
                <c:pt idx="30">
                  <c:v>6318.26</c:v>
                </c:pt>
                <c:pt idx="31">
                  <c:v>6426.46</c:v>
                </c:pt>
                <c:pt idx="32">
                  <c:v>6553.43</c:v>
                </c:pt>
                <c:pt idx="33">
                  <c:v>6696.21</c:v>
                </c:pt>
                <c:pt idx="34">
                  <c:v>6858.32</c:v>
                </c:pt>
              </c:numCache>
            </c:numRef>
          </c:val>
          <c:smooth val="0"/>
          <c:extLst>
            <c:ext xmlns:c16="http://schemas.microsoft.com/office/drawing/2014/chart" uri="{C3380CC4-5D6E-409C-BE32-E72D297353CC}">
              <c16:uniqueId val="{00000001-6959-4FBD-8478-BBD1D74279F7}"/>
            </c:ext>
          </c:extLst>
        </c:ser>
        <c:ser>
          <c:idx val="0"/>
          <c:order val="2"/>
          <c:tx>
            <c:strRef>
              <c:f>'0) Systems policy with GF'!$A$221</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GF'!$B$218:$AJ$218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GF'!$B$221:$AJ$221</c:f>
              <c:numCache>
                <c:formatCode>0</c:formatCode>
                <c:ptCount val="35"/>
                <c:pt idx="0">
                  <c:v>3648.89</c:v>
                </c:pt>
                <c:pt idx="1">
                  <c:v>3660.55</c:v>
                </c:pt>
                <c:pt idx="2">
                  <c:v>3870.61</c:v>
                </c:pt>
                <c:pt idx="3">
                  <c:v>4110.3599999999997</c:v>
                </c:pt>
                <c:pt idx="4">
                  <c:v>4396.3</c:v>
                </c:pt>
                <c:pt idx="5">
                  <c:v>4722.18</c:v>
                </c:pt>
                <c:pt idx="6">
                  <c:v>5046.8900000000003</c:v>
                </c:pt>
                <c:pt idx="7">
                  <c:v>5372.86</c:v>
                </c:pt>
                <c:pt idx="8">
                  <c:v>5660.56</c:v>
                </c:pt>
                <c:pt idx="9">
                  <c:v>5902.03</c:v>
                </c:pt>
                <c:pt idx="10">
                  <c:v>6072.8</c:v>
                </c:pt>
                <c:pt idx="11">
                  <c:v>6160.21</c:v>
                </c:pt>
                <c:pt idx="12">
                  <c:v>6162.95</c:v>
                </c:pt>
                <c:pt idx="13">
                  <c:v>6100.03</c:v>
                </c:pt>
                <c:pt idx="14">
                  <c:v>5990.09</c:v>
                </c:pt>
                <c:pt idx="15">
                  <c:v>5892.14</c:v>
                </c:pt>
                <c:pt idx="16">
                  <c:v>5813.88</c:v>
                </c:pt>
                <c:pt idx="17">
                  <c:v>5757.84</c:v>
                </c:pt>
                <c:pt idx="18">
                  <c:v>5724.19</c:v>
                </c:pt>
                <c:pt idx="19">
                  <c:v>5708.57</c:v>
                </c:pt>
                <c:pt idx="20">
                  <c:v>5707.99</c:v>
                </c:pt>
                <c:pt idx="21">
                  <c:v>5720.02</c:v>
                </c:pt>
                <c:pt idx="22">
                  <c:v>5743.55</c:v>
                </c:pt>
                <c:pt idx="23">
                  <c:v>5779.11</c:v>
                </c:pt>
                <c:pt idx="24">
                  <c:v>5819.62</c:v>
                </c:pt>
                <c:pt idx="25">
                  <c:v>5869.13</c:v>
                </c:pt>
                <c:pt idx="26">
                  <c:v>5928.39</c:v>
                </c:pt>
                <c:pt idx="27">
                  <c:v>6001.61</c:v>
                </c:pt>
                <c:pt idx="28">
                  <c:v>6082.78</c:v>
                </c:pt>
                <c:pt idx="29">
                  <c:v>6177.34</c:v>
                </c:pt>
                <c:pt idx="30">
                  <c:v>6288.33</c:v>
                </c:pt>
                <c:pt idx="31">
                  <c:v>6414.14</c:v>
                </c:pt>
                <c:pt idx="32">
                  <c:v>6556.95</c:v>
                </c:pt>
                <c:pt idx="33">
                  <c:v>6713.4</c:v>
                </c:pt>
                <c:pt idx="34">
                  <c:v>6887.26</c:v>
                </c:pt>
              </c:numCache>
            </c:numRef>
          </c:val>
          <c:smooth val="0"/>
          <c:extLst>
            <c:ext xmlns:c16="http://schemas.microsoft.com/office/drawing/2014/chart" uri="{C3380CC4-5D6E-409C-BE32-E72D297353CC}">
              <c16:uniqueId val="{00000002-6959-4FBD-8478-BBD1D74279F7}"/>
            </c:ext>
          </c:extLst>
        </c:ser>
        <c:ser>
          <c:idx val="2"/>
          <c:order val="3"/>
          <c:tx>
            <c:strRef>
              <c:f>'0) Systems policy with GF'!$A$222</c:f>
              <c:strCache>
                <c:ptCount val="1"/>
                <c:pt idx="0">
                  <c:v>GFGS  and LETS combined</c:v>
                </c:pt>
              </c:strCache>
            </c:strRef>
          </c:tx>
          <c:spPr>
            <a:ln w="12700" cap="rnd">
              <a:solidFill>
                <a:srgbClr val="7030A0"/>
              </a:solidFill>
              <a:prstDash val="lgDashDot"/>
              <a:round/>
            </a:ln>
            <a:effectLst/>
          </c:spPr>
          <c:marker>
            <c:symbol val="none"/>
          </c:marker>
          <c:cat>
            <c:numRef>
              <c:f>'0) Systems policy with GF'!$B$218:$AJ$218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GF'!$B$222:$AJ$222</c:f>
              <c:numCache>
                <c:formatCode>0</c:formatCode>
                <c:ptCount val="35"/>
                <c:pt idx="0">
                  <c:v>3648.89</c:v>
                </c:pt>
                <c:pt idx="1">
                  <c:v>3660.55</c:v>
                </c:pt>
                <c:pt idx="2">
                  <c:v>3870.61</c:v>
                </c:pt>
                <c:pt idx="3">
                  <c:v>4110.3599999999997</c:v>
                </c:pt>
                <c:pt idx="4">
                  <c:v>4396.3</c:v>
                </c:pt>
                <c:pt idx="5">
                  <c:v>4748.34</c:v>
                </c:pt>
                <c:pt idx="6">
                  <c:v>5103.8999999999996</c:v>
                </c:pt>
                <c:pt idx="7">
                  <c:v>5468.41</c:v>
                </c:pt>
                <c:pt idx="8">
                  <c:v>5801.74</c:v>
                </c:pt>
                <c:pt idx="9">
                  <c:v>6093.34</c:v>
                </c:pt>
                <c:pt idx="10">
                  <c:v>6315.89</c:v>
                </c:pt>
                <c:pt idx="11">
                  <c:v>6453.56</c:v>
                </c:pt>
                <c:pt idx="12">
                  <c:v>6493.8</c:v>
                </c:pt>
                <c:pt idx="13">
                  <c:v>6452.4</c:v>
                </c:pt>
                <c:pt idx="14">
                  <c:v>6350.74</c:v>
                </c:pt>
                <c:pt idx="15">
                  <c:v>6238.65</c:v>
                </c:pt>
                <c:pt idx="16">
                  <c:v>6143.82</c:v>
                </c:pt>
                <c:pt idx="17">
                  <c:v>6067.46</c:v>
                </c:pt>
                <c:pt idx="18">
                  <c:v>6012.12</c:v>
                </c:pt>
                <c:pt idx="19">
                  <c:v>5974.99</c:v>
                </c:pt>
                <c:pt idx="20">
                  <c:v>5953.68</c:v>
                </c:pt>
                <c:pt idx="21">
                  <c:v>5946.09</c:v>
                </c:pt>
                <c:pt idx="22">
                  <c:v>5951.28</c:v>
                </c:pt>
                <c:pt idx="23">
                  <c:v>5969.92</c:v>
                </c:pt>
                <c:pt idx="24">
                  <c:v>5994.05</c:v>
                </c:pt>
                <c:pt idx="25">
                  <c:v>6027.87</c:v>
                </c:pt>
                <c:pt idx="26">
                  <c:v>6072.42</c:v>
                </c:pt>
                <c:pt idx="27">
                  <c:v>6132.16</c:v>
                </c:pt>
                <c:pt idx="28">
                  <c:v>6200.76</c:v>
                </c:pt>
                <c:pt idx="29">
                  <c:v>6282.08</c:v>
                </c:pt>
                <c:pt idx="30">
                  <c:v>6378.52</c:v>
                </c:pt>
                <c:pt idx="31">
                  <c:v>6491.38</c:v>
                </c:pt>
                <c:pt idx="32">
                  <c:v>6622.77</c:v>
                </c:pt>
                <c:pt idx="33">
                  <c:v>6769.82</c:v>
                </c:pt>
                <c:pt idx="34">
                  <c:v>6936.52</c:v>
                </c:pt>
              </c:numCache>
            </c:numRef>
          </c:val>
          <c:smooth val="0"/>
          <c:extLst>
            <c:ext xmlns:c16="http://schemas.microsoft.com/office/drawing/2014/chart" uri="{C3380CC4-5D6E-409C-BE32-E72D297353CC}">
              <c16:uniqueId val="{00000003-6959-4FBD-8478-BBD1D74279F7}"/>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5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Bn.</a:t>
                </a:r>
                <a:r>
                  <a:rPr lang="de-CH" baseline="0"/>
                  <a:t> £</a:t>
                </a:r>
                <a:endParaRPr lang="de-CH"/>
              </a:p>
            </c:rich>
          </c:tx>
          <c:layout>
            <c:manualLayout>
              <c:xMode val="edge"/>
              <c:yMode val="edge"/>
              <c:x val="1.177351169238124E-2"/>
              <c:y val="0.3175362516566617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3.4118969864451683E-2"/>
          <c:y val="0.84889289880431629"/>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consume'!$A$101</c:f>
              <c:strCache>
                <c:ptCount val="1"/>
                <c:pt idx="0">
                  <c:v>Base-run PC</c:v>
                </c:pt>
              </c:strCache>
            </c:strRef>
          </c:tx>
          <c:spPr>
            <a:ln w="12700" cap="rnd">
              <a:solidFill>
                <a:sysClr val="windowText" lastClr="000000"/>
              </a:solidFill>
              <a:round/>
            </a:ln>
            <a:effectLst/>
          </c:spPr>
          <c:marker>
            <c:symbol val="none"/>
          </c:marker>
          <c:cat>
            <c:numRef>
              <c:f>'3) propensity to consume'!$B$100:$AJ$100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consume'!$B$101:$AJ$101</c:f>
              <c:numCache>
                <c:formatCode>0</c:formatCode>
                <c:ptCount val="35"/>
                <c:pt idx="0">
                  <c:v>12.885899999999999</c:v>
                </c:pt>
                <c:pt idx="1">
                  <c:v>12.906499999999999</c:v>
                </c:pt>
                <c:pt idx="2">
                  <c:v>13.020799999999999</c:v>
                </c:pt>
                <c:pt idx="3">
                  <c:v>13.116199999999999</c:v>
                </c:pt>
                <c:pt idx="4">
                  <c:v>13.1226</c:v>
                </c:pt>
                <c:pt idx="5">
                  <c:v>13.0456</c:v>
                </c:pt>
                <c:pt idx="6">
                  <c:v>12.9091</c:v>
                </c:pt>
                <c:pt idx="7">
                  <c:v>12.7318</c:v>
                </c:pt>
                <c:pt idx="8">
                  <c:v>12.5321</c:v>
                </c:pt>
                <c:pt idx="9">
                  <c:v>12.3528</c:v>
                </c:pt>
                <c:pt idx="10">
                  <c:v>12.224399999999999</c:v>
                </c:pt>
                <c:pt idx="11">
                  <c:v>12.145200000000001</c:v>
                </c:pt>
                <c:pt idx="12">
                  <c:v>12.1387</c:v>
                </c:pt>
                <c:pt idx="13">
                  <c:v>12.264099999999999</c:v>
                </c:pt>
                <c:pt idx="14">
                  <c:v>12.473800000000001</c:v>
                </c:pt>
                <c:pt idx="15">
                  <c:v>12.6975</c:v>
                </c:pt>
                <c:pt idx="16">
                  <c:v>12.925000000000001</c:v>
                </c:pt>
                <c:pt idx="17">
                  <c:v>13.1309</c:v>
                </c:pt>
                <c:pt idx="18">
                  <c:v>13.3058</c:v>
                </c:pt>
                <c:pt idx="19">
                  <c:v>13.461399999999999</c:v>
                </c:pt>
                <c:pt idx="20">
                  <c:v>13.574999999999999</c:v>
                </c:pt>
                <c:pt idx="21">
                  <c:v>13.65</c:v>
                </c:pt>
                <c:pt idx="22">
                  <c:v>13.6891</c:v>
                </c:pt>
                <c:pt idx="23">
                  <c:v>13.7094</c:v>
                </c:pt>
                <c:pt idx="24">
                  <c:v>13.704700000000001</c:v>
                </c:pt>
                <c:pt idx="25">
                  <c:v>13.6424</c:v>
                </c:pt>
                <c:pt idx="26">
                  <c:v>13.533799999999999</c:v>
                </c:pt>
                <c:pt idx="27">
                  <c:v>13.4229</c:v>
                </c:pt>
                <c:pt idx="28">
                  <c:v>13.3309</c:v>
                </c:pt>
                <c:pt idx="29">
                  <c:v>13.254799999999999</c:v>
                </c:pt>
                <c:pt idx="30">
                  <c:v>13.1884</c:v>
                </c:pt>
                <c:pt idx="31">
                  <c:v>13.1302</c:v>
                </c:pt>
                <c:pt idx="32">
                  <c:v>13.0784</c:v>
                </c:pt>
                <c:pt idx="33">
                  <c:v>13.029299999999999</c:v>
                </c:pt>
                <c:pt idx="34">
                  <c:v>12.972099999999999</c:v>
                </c:pt>
              </c:numCache>
            </c:numRef>
          </c:val>
          <c:smooth val="0"/>
          <c:extLst>
            <c:ext xmlns:c16="http://schemas.microsoft.com/office/drawing/2014/chart" uri="{C3380CC4-5D6E-409C-BE32-E72D297353CC}">
              <c16:uniqueId val="{00000000-5BC7-4F51-A8E2-81A5A5C2C8B8}"/>
            </c:ext>
          </c:extLst>
        </c:ser>
        <c:ser>
          <c:idx val="4"/>
          <c:order val="1"/>
          <c:tx>
            <c:strRef>
              <c:f>'3) propensity to consume'!$A$102</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consume'!$B$102:$AJ$102</c:f>
              <c:numCache>
                <c:formatCode>0</c:formatCode>
                <c:ptCount val="35"/>
                <c:pt idx="0">
                  <c:v>12.885899999999999</c:v>
                </c:pt>
                <c:pt idx="1">
                  <c:v>12.906499999999999</c:v>
                </c:pt>
                <c:pt idx="2">
                  <c:v>13.020799999999999</c:v>
                </c:pt>
                <c:pt idx="3">
                  <c:v>13.116199999999999</c:v>
                </c:pt>
                <c:pt idx="4">
                  <c:v>13.1226</c:v>
                </c:pt>
                <c:pt idx="5">
                  <c:v>13.0456</c:v>
                </c:pt>
                <c:pt idx="6">
                  <c:v>12.9091</c:v>
                </c:pt>
                <c:pt idx="7">
                  <c:v>12.7377</c:v>
                </c:pt>
                <c:pt idx="8">
                  <c:v>12.5709</c:v>
                </c:pt>
                <c:pt idx="9">
                  <c:v>12.4336</c:v>
                </c:pt>
                <c:pt idx="10">
                  <c:v>12.323700000000001</c:v>
                </c:pt>
                <c:pt idx="11">
                  <c:v>12.227600000000001</c:v>
                </c:pt>
                <c:pt idx="12">
                  <c:v>12.167199999999999</c:v>
                </c:pt>
                <c:pt idx="13">
                  <c:v>12.191700000000001</c:v>
                </c:pt>
                <c:pt idx="14">
                  <c:v>12.2592</c:v>
                </c:pt>
                <c:pt idx="15">
                  <c:v>12.314500000000001</c:v>
                </c:pt>
                <c:pt idx="16">
                  <c:v>12.3523</c:v>
                </c:pt>
                <c:pt idx="17">
                  <c:v>12.3573</c:v>
                </c:pt>
                <c:pt idx="18">
                  <c:v>12.332100000000001</c:v>
                </c:pt>
                <c:pt idx="19">
                  <c:v>12.293699999999999</c:v>
                </c:pt>
                <c:pt idx="20">
                  <c:v>12.231199999999999</c:v>
                </c:pt>
                <c:pt idx="21">
                  <c:v>12.1524</c:v>
                </c:pt>
                <c:pt idx="22">
                  <c:v>12.0623</c:v>
                </c:pt>
                <c:pt idx="23">
                  <c:v>11.973800000000001</c:v>
                </c:pt>
                <c:pt idx="24">
                  <c:v>11.8786</c:v>
                </c:pt>
                <c:pt idx="25">
                  <c:v>11.751300000000001</c:v>
                </c:pt>
                <c:pt idx="26">
                  <c:v>11.599399999999999</c:v>
                </c:pt>
                <c:pt idx="27">
                  <c:v>11.454700000000001</c:v>
                </c:pt>
                <c:pt idx="28">
                  <c:v>11.3301</c:v>
                </c:pt>
                <c:pt idx="29">
                  <c:v>11.219200000000001</c:v>
                </c:pt>
                <c:pt idx="30">
                  <c:v>11.1149</c:v>
                </c:pt>
                <c:pt idx="31">
                  <c:v>11.0146</c:v>
                </c:pt>
                <c:pt idx="32">
                  <c:v>10.916700000000001</c:v>
                </c:pt>
                <c:pt idx="33">
                  <c:v>10.8202</c:v>
                </c:pt>
                <c:pt idx="34">
                  <c:v>10.7197</c:v>
                </c:pt>
              </c:numCache>
            </c:numRef>
          </c:val>
          <c:smooth val="0"/>
          <c:extLst>
            <c:ext xmlns:c16="http://schemas.microsoft.com/office/drawing/2014/chart" uri="{C3380CC4-5D6E-409C-BE32-E72D297353CC}">
              <c16:uniqueId val="{00000001-5BC7-4F51-A8E2-81A5A5C2C8B8}"/>
            </c:ext>
          </c:extLst>
        </c:ser>
        <c:ser>
          <c:idx val="0"/>
          <c:order val="2"/>
          <c:tx>
            <c:strRef>
              <c:f>'3) propensity to consume'!$A$103</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consume'!$B$103:$AJ$103</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9.4240300000000001</c:v>
                </c:pt>
                <c:pt idx="11">
                  <c:v>9.2415400000000005</c:v>
                </c:pt>
                <c:pt idx="12">
                  <c:v>9.0520800000000001</c:v>
                </c:pt>
                <c:pt idx="13">
                  <c:v>8.85839</c:v>
                </c:pt>
                <c:pt idx="14">
                  <c:v>8.6625800000000002</c:v>
                </c:pt>
                <c:pt idx="15">
                  <c:v>7.2115400000000003</c:v>
                </c:pt>
                <c:pt idx="16">
                  <c:v>7.0470300000000003</c:v>
                </c:pt>
                <c:pt idx="17">
                  <c:v>6.8833900000000003</c:v>
                </c:pt>
                <c:pt idx="18">
                  <c:v>6.72133</c:v>
                </c:pt>
                <c:pt idx="19">
                  <c:v>6.5613599999999996</c:v>
                </c:pt>
                <c:pt idx="20">
                  <c:v>5.2733800000000004</c:v>
                </c:pt>
                <c:pt idx="21">
                  <c:v>5.1466599999999998</c:v>
                </c:pt>
                <c:pt idx="22">
                  <c:v>5.0221900000000002</c:v>
                </c:pt>
                <c:pt idx="23">
                  <c:v>4.9001200000000003</c:v>
                </c:pt>
                <c:pt idx="24">
                  <c:v>4.7805499999999999</c:v>
                </c:pt>
                <c:pt idx="25">
                  <c:v>3.6503100000000002</c:v>
                </c:pt>
                <c:pt idx="26">
                  <c:v>3.5609700000000002</c:v>
                </c:pt>
                <c:pt idx="27">
                  <c:v>3.4735999999999998</c:v>
                </c:pt>
                <c:pt idx="28">
                  <c:v>3.3882099999999999</c:v>
                </c:pt>
                <c:pt idx="29">
                  <c:v>3.3047900000000001</c:v>
                </c:pt>
                <c:pt idx="30">
                  <c:v>2.3169599999999999</c:v>
                </c:pt>
                <c:pt idx="31">
                  <c:v>2.2598699999999998</c:v>
                </c:pt>
                <c:pt idx="32">
                  <c:v>2.2041300000000001</c:v>
                </c:pt>
                <c:pt idx="33">
                  <c:v>2.1497099999999998</c:v>
                </c:pt>
                <c:pt idx="34">
                  <c:v>1.35334E-4</c:v>
                </c:pt>
              </c:numCache>
            </c:numRef>
          </c:val>
          <c:smooth val="0"/>
          <c:extLst>
            <c:ext xmlns:c16="http://schemas.microsoft.com/office/drawing/2014/chart" uri="{C3380CC4-5D6E-409C-BE32-E72D297353CC}">
              <c16:uniqueId val="{00000002-5BC7-4F51-A8E2-81A5A5C2C8B8}"/>
            </c:ext>
          </c:extLst>
        </c:ser>
        <c:ser>
          <c:idx val="2"/>
          <c:order val="3"/>
          <c:tx>
            <c:strRef>
              <c:f>'3) propensity to consume'!$A$104</c:f>
              <c:strCache>
                <c:ptCount val="1"/>
                <c:pt idx="0">
                  <c:v>FSP and LETS combined PC</c:v>
                </c:pt>
              </c:strCache>
            </c:strRef>
          </c:tx>
          <c:spPr>
            <a:ln w="12700" cap="rnd">
              <a:solidFill>
                <a:srgbClr val="7030A0"/>
              </a:solidFill>
              <a:prstDash val="lgDashDot"/>
              <a:round/>
            </a:ln>
            <a:effectLst/>
          </c:spPr>
          <c:marker>
            <c:symbol val="none"/>
          </c:marker>
          <c:cat>
            <c:numRef>
              <c:f>'3) propensity to consume'!$B$100:$AJ$100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consume'!$B$104:$AJ$104</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9.4240300000000001</c:v>
                </c:pt>
                <c:pt idx="11">
                  <c:v>9.2415400000000005</c:v>
                </c:pt>
                <c:pt idx="12">
                  <c:v>9.0520800000000001</c:v>
                </c:pt>
                <c:pt idx="13">
                  <c:v>8.85839</c:v>
                </c:pt>
                <c:pt idx="14">
                  <c:v>8.6625800000000002</c:v>
                </c:pt>
                <c:pt idx="15">
                  <c:v>7.2115400000000003</c:v>
                </c:pt>
                <c:pt idx="16">
                  <c:v>7.0470300000000003</c:v>
                </c:pt>
                <c:pt idx="17">
                  <c:v>6.8833900000000003</c:v>
                </c:pt>
                <c:pt idx="18">
                  <c:v>6.72133</c:v>
                </c:pt>
                <c:pt idx="19">
                  <c:v>6.5613599999999996</c:v>
                </c:pt>
                <c:pt idx="20">
                  <c:v>5.2733800000000004</c:v>
                </c:pt>
                <c:pt idx="21">
                  <c:v>5.1466599999999998</c:v>
                </c:pt>
                <c:pt idx="22">
                  <c:v>5.0221900000000002</c:v>
                </c:pt>
                <c:pt idx="23">
                  <c:v>4.9001200000000003</c:v>
                </c:pt>
                <c:pt idx="24">
                  <c:v>4.7805499999999999</c:v>
                </c:pt>
                <c:pt idx="25">
                  <c:v>3.6503100000000002</c:v>
                </c:pt>
                <c:pt idx="26">
                  <c:v>3.5609700000000002</c:v>
                </c:pt>
                <c:pt idx="27">
                  <c:v>3.4735999999999998</c:v>
                </c:pt>
                <c:pt idx="28">
                  <c:v>3.3882099999999999</c:v>
                </c:pt>
                <c:pt idx="29">
                  <c:v>3.3047900000000001</c:v>
                </c:pt>
                <c:pt idx="30">
                  <c:v>2.3169599999999999</c:v>
                </c:pt>
                <c:pt idx="31">
                  <c:v>2.2598699999999998</c:v>
                </c:pt>
                <c:pt idx="32">
                  <c:v>2.2041300000000001</c:v>
                </c:pt>
                <c:pt idx="33">
                  <c:v>2.1497099999999998</c:v>
                </c:pt>
                <c:pt idx="34">
                  <c:v>1.35334E-4</c:v>
                </c:pt>
              </c:numCache>
            </c:numRef>
          </c:val>
          <c:smooth val="0"/>
          <c:extLst>
            <c:ext xmlns:c16="http://schemas.microsoft.com/office/drawing/2014/chart" uri="{C3380CC4-5D6E-409C-BE32-E72D297353CC}">
              <c16:uniqueId val="{00000003-5BC7-4F51-A8E2-81A5A5C2C8B8}"/>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3.3947075029093554E-2"/>
              <c:y val="0.26894191710143811"/>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99869970382143"/>
          <c:y val="0.87204097874862418"/>
          <c:w val="0.8956941414433287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consume'!$A$125</c:f>
              <c:strCache>
                <c:ptCount val="1"/>
                <c:pt idx="0">
                  <c:v>Base-run PC</c:v>
                </c:pt>
              </c:strCache>
            </c:strRef>
          </c:tx>
          <c:spPr>
            <a:ln w="12700" cap="rnd">
              <a:solidFill>
                <a:sysClr val="windowText" lastClr="000000"/>
              </a:solidFill>
              <a:round/>
            </a:ln>
            <a:effectLst/>
          </c:spPr>
          <c:marker>
            <c:symbol val="none"/>
          </c:marker>
          <c:cat>
            <c:numRef>
              <c:f>'3) propensity to consume'!$B$124:$AJ$124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consume'!$B$125:$AJ$125</c:f>
              <c:numCache>
                <c:formatCode>0.00</c:formatCode>
                <c:ptCount val="35"/>
                <c:pt idx="0">
                  <c:v>1</c:v>
                </c:pt>
                <c:pt idx="1">
                  <c:v>0.98749600000000004</c:v>
                </c:pt>
                <c:pt idx="2">
                  <c:v>1.06775</c:v>
                </c:pt>
                <c:pt idx="3">
                  <c:v>1.08552</c:v>
                </c:pt>
                <c:pt idx="4">
                  <c:v>1.1040000000000001</c:v>
                </c:pt>
                <c:pt idx="5">
                  <c:v>1.1315500000000001</c:v>
                </c:pt>
                <c:pt idx="6">
                  <c:v>1.16249</c:v>
                </c:pt>
                <c:pt idx="7">
                  <c:v>1.19496</c:v>
                </c:pt>
                <c:pt idx="8">
                  <c:v>1.2641899999999999</c:v>
                </c:pt>
                <c:pt idx="9">
                  <c:v>1.3572200000000001</c:v>
                </c:pt>
                <c:pt idx="10">
                  <c:v>1.4185399999999999</c:v>
                </c:pt>
                <c:pt idx="11">
                  <c:v>1.40863</c:v>
                </c:pt>
                <c:pt idx="12">
                  <c:v>1.4016599999999999</c:v>
                </c:pt>
                <c:pt idx="13">
                  <c:v>1.42513</c:v>
                </c:pt>
                <c:pt idx="14">
                  <c:v>1.4519899999999999</c:v>
                </c:pt>
                <c:pt idx="15">
                  <c:v>1.4987999999999999</c:v>
                </c:pt>
                <c:pt idx="16">
                  <c:v>1.56342</c:v>
                </c:pt>
                <c:pt idx="17">
                  <c:v>1.5988899999999999</c:v>
                </c:pt>
                <c:pt idx="18">
                  <c:v>1.65899</c:v>
                </c:pt>
                <c:pt idx="19">
                  <c:v>1.68913</c:v>
                </c:pt>
                <c:pt idx="20">
                  <c:v>1.72055</c:v>
                </c:pt>
                <c:pt idx="21">
                  <c:v>1.7359100000000001</c:v>
                </c:pt>
                <c:pt idx="22">
                  <c:v>1.73916</c:v>
                </c:pt>
                <c:pt idx="23">
                  <c:v>1.7676799999999999</c:v>
                </c:pt>
                <c:pt idx="24">
                  <c:v>1.7879</c:v>
                </c:pt>
                <c:pt idx="25">
                  <c:v>1.7867200000000001</c:v>
                </c:pt>
                <c:pt idx="26">
                  <c:v>1.7987899999999999</c:v>
                </c:pt>
                <c:pt idx="27">
                  <c:v>1.8141700000000001</c:v>
                </c:pt>
                <c:pt idx="28">
                  <c:v>1.83734</c:v>
                </c:pt>
                <c:pt idx="29">
                  <c:v>1.8641399999999999</c:v>
                </c:pt>
                <c:pt idx="30">
                  <c:v>1.89798</c:v>
                </c:pt>
                <c:pt idx="31">
                  <c:v>1.9315</c:v>
                </c:pt>
                <c:pt idx="32">
                  <c:v>1.9762999999999999</c:v>
                </c:pt>
                <c:pt idx="33">
                  <c:v>2.0196000000000001</c:v>
                </c:pt>
                <c:pt idx="34">
                  <c:v>2.0468999999999999</c:v>
                </c:pt>
              </c:numCache>
            </c:numRef>
          </c:val>
          <c:smooth val="0"/>
          <c:extLst>
            <c:ext xmlns:c16="http://schemas.microsoft.com/office/drawing/2014/chart" uri="{C3380CC4-5D6E-409C-BE32-E72D297353CC}">
              <c16:uniqueId val="{00000000-3412-4256-83BA-4230C6A08C66}"/>
            </c:ext>
          </c:extLst>
        </c:ser>
        <c:ser>
          <c:idx val="4"/>
          <c:order val="1"/>
          <c:tx>
            <c:strRef>
              <c:f>'3) propensity to consume'!$A$126</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consume'!$B$126:$AJ$126</c:f>
              <c:numCache>
                <c:formatCode>0.00</c:formatCode>
                <c:ptCount val="35"/>
                <c:pt idx="0">
                  <c:v>1</c:v>
                </c:pt>
                <c:pt idx="1">
                  <c:v>0.98749600000000004</c:v>
                </c:pt>
                <c:pt idx="2">
                  <c:v>1.06775</c:v>
                </c:pt>
                <c:pt idx="3">
                  <c:v>1.08552</c:v>
                </c:pt>
                <c:pt idx="4">
                  <c:v>1.1040000000000001</c:v>
                </c:pt>
                <c:pt idx="5">
                  <c:v>1.09927</c:v>
                </c:pt>
                <c:pt idx="6">
                  <c:v>1.12453</c:v>
                </c:pt>
                <c:pt idx="7">
                  <c:v>1.21696</c:v>
                </c:pt>
                <c:pt idx="8">
                  <c:v>1.52617</c:v>
                </c:pt>
                <c:pt idx="9">
                  <c:v>1.8522700000000001</c:v>
                </c:pt>
                <c:pt idx="10">
                  <c:v>1.89785</c:v>
                </c:pt>
                <c:pt idx="11">
                  <c:v>1.7198599999999999</c:v>
                </c:pt>
                <c:pt idx="12">
                  <c:v>1.569</c:v>
                </c:pt>
                <c:pt idx="13">
                  <c:v>1.52085</c:v>
                </c:pt>
                <c:pt idx="14">
                  <c:v>1.4508099999999999</c:v>
                </c:pt>
                <c:pt idx="15">
                  <c:v>1.4263399999999999</c:v>
                </c:pt>
                <c:pt idx="16">
                  <c:v>1.42578</c:v>
                </c:pt>
                <c:pt idx="17">
                  <c:v>1.38192</c:v>
                </c:pt>
                <c:pt idx="18">
                  <c:v>1.4133</c:v>
                </c:pt>
                <c:pt idx="19">
                  <c:v>1.4099600000000001</c:v>
                </c:pt>
                <c:pt idx="20">
                  <c:v>1.4244699999999999</c:v>
                </c:pt>
                <c:pt idx="21">
                  <c:v>1.4394800000000001</c:v>
                </c:pt>
                <c:pt idx="22">
                  <c:v>1.4606399999999999</c:v>
                </c:pt>
                <c:pt idx="23">
                  <c:v>1.5273399999999999</c:v>
                </c:pt>
                <c:pt idx="24">
                  <c:v>1.54436</c:v>
                </c:pt>
                <c:pt idx="25">
                  <c:v>1.54678</c:v>
                </c:pt>
                <c:pt idx="26">
                  <c:v>1.5638399999999999</c:v>
                </c:pt>
                <c:pt idx="27">
                  <c:v>1.6299600000000001</c:v>
                </c:pt>
                <c:pt idx="28">
                  <c:v>1.6811799999999999</c:v>
                </c:pt>
                <c:pt idx="29">
                  <c:v>1.7132700000000001</c:v>
                </c:pt>
                <c:pt idx="30">
                  <c:v>1.7494400000000001</c:v>
                </c:pt>
                <c:pt idx="31">
                  <c:v>1.7655000000000001</c:v>
                </c:pt>
                <c:pt idx="32">
                  <c:v>1.8010999999999999</c:v>
                </c:pt>
                <c:pt idx="33">
                  <c:v>1.8370500000000001</c:v>
                </c:pt>
                <c:pt idx="34">
                  <c:v>1.8639699999999999</c:v>
                </c:pt>
              </c:numCache>
            </c:numRef>
          </c:val>
          <c:smooth val="0"/>
          <c:extLst>
            <c:ext xmlns:c16="http://schemas.microsoft.com/office/drawing/2014/chart" uri="{C3380CC4-5D6E-409C-BE32-E72D297353CC}">
              <c16:uniqueId val="{00000001-3412-4256-83BA-4230C6A08C66}"/>
            </c:ext>
          </c:extLst>
        </c:ser>
        <c:ser>
          <c:idx val="0"/>
          <c:order val="2"/>
          <c:tx>
            <c:strRef>
              <c:f>'3) propensity to consume'!$A$127</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consume'!$B$127:$AJ$127</c:f>
              <c:numCache>
                <c:formatCode>0.00</c:formatCode>
                <c:ptCount val="35"/>
                <c:pt idx="0">
                  <c:v>1</c:v>
                </c:pt>
                <c:pt idx="1">
                  <c:v>0.98749600000000004</c:v>
                </c:pt>
                <c:pt idx="2">
                  <c:v>1.06775</c:v>
                </c:pt>
                <c:pt idx="3">
                  <c:v>1.08552</c:v>
                </c:pt>
                <c:pt idx="4">
                  <c:v>1.1040000000000001</c:v>
                </c:pt>
                <c:pt idx="5">
                  <c:v>1.2241599999999999</c:v>
                </c:pt>
                <c:pt idx="6">
                  <c:v>1.3182</c:v>
                </c:pt>
                <c:pt idx="7">
                  <c:v>1.41259</c:v>
                </c:pt>
                <c:pt idx="8">
                  <c:v>1.50695</c:v>
                </c:pt>
                <c:pt idx="9">
                  <c:v>1.4986299999999999</c:v>
                </c:pt>
                <c:pt idx="10">
                  <c:v>1.59727</c:v>
                </c:pt>
                <c:pt idx="11">
                  <c:v>1.5243199999999999</c:v>
                </c:pt>
                <c:pt idx="12">
                  <c:v>1.3803300000000001</c:v>
                </c:pt>
                <c:pt idx="13">
                  <c:v>1.2744500000000001</c:v>
                </c:pt>
                <c:pt idx="14">
                  <c:v>1.26685</c:v>
                </c:pt>
                <c:pt idx="15">
                  <c:v>1.44808</c:v>
                </c:pt>
                <c:pt idx="16">
                  <c:v>1.6138300000000001</c:v>
                </c:pt>
                <c:pt idx="17">
                  <c:v>1.73645</c:v>
                </c:pt>
                <c:pt idx="18">
                  <c:v>1.8839999999999999</c:v>
                </c:pt>
                <c:pt idx="19">
                  <c:v>2.0295399999999999</c:v>
                </c:pt>
                <c:pt idx="20">
                  <c:v>2.3559999999999999</c:v>
                </c:pt>
                <c:pt idx="21">
                  <c:v>2.5997300000000001</c:v>
                </c:pt>
                <c:pt idx="22">
                  <c:v>2.7425799999999998</c:v>
                </c:pt>
                <c:pt idx="23">
                  <c:v>2.8801999999999999</c:v>
                </c:pt>
                <c:pt idx="24">
                  <c:v>3.0968200000000001</c:v>
                </c:pt>
                <c:pt idx="25">
                  <c:v>3.7274600000000002</c:v>
                </c:pt>
                <c:pt idx="26">
                  <c:v>4.1792899999999999</c:v>
                </c:pt>
                <c:pt idx="27">
                  <c:v>4.20038</c:v>
                </c:pt>
                <c:pt idx="28">
                  <c:v>4.1142300000000001</c:v>
                </c:pt>
                <c:pt idx="29">
                  <c:v>4.0867899999999997</c:v>
                </c:pt>
                <c:pt idx="30">
                  <c:v>4.3344100000000001</c:v>
                </c:pt>
                <c:pt idx="31">
                  <c:v>4.4726400000000002</c:v>
                </c:pt>
                <c:pt idx="32">
                  <c:v>4.5758900000000002</c:v>
                </c:pt>
                <c:pt idx="33">
                  <c:v>4.7146400000000002</c:v>
                </c:pt>
                <c:pt idx="34">
                  <c:v>5.5552000000000001</c:v>
                </c:pt>
              </c:numCache>
            </c:numRef>
          </c:val>
          <c:smooth val="0"/>
          <c:extLst>
            <c:ext xmlns:c16="http://schemas.microsoft.com/office/drawing/2014/chart" uri="{C3380CC4-5D6E-409C-BE32-E72D297353CC}">
              <c16:uniqueId val="{00000002-3412-4256-83BA-4230C6A08C66}"/>
            </c:ext>
          </c:extLst>
        </c:ser>
        <c:ser>
          <c:idx val="2"/>
          <c:order val="3"/>
          <c:tx>
            <c:strRef>
              <c:f>'3) propensity to consume'!$A$128</c:f>
              <c:strCache>
                <c:ptCount val="1"/>
                <c:pt idx="0">
                  <c:v>FSP and LETS combined PC</c:v>
                </c:pt>
              </c:strCache>
            </c:strRef>
          </c:tx>
          <c:spPr>
            <a:ln w="12700" cap="rnd">
              <a:solidFill>
                <a:srgbClr val="7030A0"/>
              </a:solidFill>
              <a:prstDash val="lgDashDot"/>
              <a:round/>
            </a:ln>
            <a:effectLst/>
          </c:spPr>
          <c:marker>
            <c:symbol val="none"/>
          </c:marker>
          <c:cat>
            <c:numRef>
              <c:f>'3) propensity to consume'!$B$124:$AJ$124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consume'!$B$128:$AJ$128</c:f>
              <c:numCache>
                <c:formatCode>0.00</c:formatCode>
                <c:ptCount val="35"/>
                <c:pt idx="0">
                  <c:v>1</c:v>
                </c:pt>
                <c:pt idx="1">
                  <c:v>0.98749600000000004</c:v>
                </c:pt>
                <c:pt idx="2">
                  <c:v>1.06775</c:v>
                </c:pt>
                <c:pt idx="3">
                  <c:v>1.08552</c:v>
                </c:pt>
                <c:pt idx="4">
                  <c:v>1.1040000000000001</c:v>
                </c:pt>
                <c:pt idx="5">
                  <c:v>1.1675500000000001</c:v>
                </c:pt>
                <c:pt idx="6">
                  <c:v>1.38957</c:v>
                </c:pt>
                <c:pt idx="7">
                  <c:v>1.6342000000000001</c:v>
                </c:pt>
                <c:pt idx="8">
                  <c:v>1.85975</c:v>
                </c:pt>
                <c:pt idx="9">
                  <c:v>1.8983699999999999</c:v>
                </c:pt>
                <c:pt idx="10">
                  <c:v>1.84392</c:v>
                </c:pt>
                <c:pt idx="11">
                  <c:v>1.93459</c:v>
                </c:pt>
                <c:pt idx="12">
                  <c:v>1.71993</c:v>
                </c:pt>
                <c:pt idx="13">
                  <c:v>1.45878</c:v>
                </c:pt>
                <c:pt idx="14">
                  <c:v>1.2963100000000001</c:v>
                </c:pt>
                <c:pt idx="15">
                  <c:v>1.3607899999999999</c:v>
                </c:pt>
                <c:pt idx="16">
                  <c:v>1.55684</c:v>
                </c:pt>
                <c:pt idx="17">
                  <c:v>1.63056</c:v>
                </c:pt>
                <c:pt idx="18">
                  <c:v>1.65255</c:v>
                </c:pt>
                <c:pt idx="19">
                  <c:v>1.6140699999999999</c:v>
                </c:pt>
                <c:pt idx="20">
                  <c:v>1.70177</c:v>
                </c:pt>
                <c:pt idx="21">
                  <c:v>1.89229</c:v>
                </c:pt>
                <c:pt idx="22">
                  <c:v>1.9076599999999999</c:v>
                </c:pt>
                <c:pt idx="23">
                  <c:v>1.8515600000000001</c:v>
                </c:pt>
                <c:pt idx="24">
                  <c:v>1.8276699999999999</c:v>
                </c:pt>
                <c:pt idx="25">
                  <c:v>1.9793799999999999</c:v>
                </c:pt>
                <c:pt idx="26">
                  <c:v>2.28742</c:v>
                </c:pt>
                <c:pt idx="27">
                  <c:v>2.2103000000000002</c:v>
                </c:pt>
                <c:pt idx="28">
                  <c:v>2.0142699999999998</c:v>
                </c:pt>
                <c:pt idx="29">
                  <c:v>1.8790500000000001</c:v>
                </c:pt>
                <c:pt idx="30">
                  <c:v>1.89774</c:v>
                </c:pt>
                <c:pt idx="31">
                  <c:v>2.0886999999999998</c:v>
                </c:pt>
                <c:pt idx="32">
                  <c:v>2.1341600000000001</c:v>
                </c:pt>
                <c:pt idx="33">
                  <c:v>2.1134300000000001</c:v>
                </c:pt>
                <c:pt idx="34">
                  <c:v>2.3334199999999998</c:v>
                </c:pt>
              </c:numCache>
            </c:numRef>
          </c:val>
          <c:smooth val="0"/>
          <c:extLst>
            <c:ext xmlns:c16="http://schemas.microsoft.com/office/drawing/2014/chart" uri="{C3380CC4-5D6E-409C-BE32-E72D297353CC}">
              <c16:uniqueId val="{00000003-3412-4256-83BA-4230C6A08C66}"/>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Index</a:t>
                </a:r>
              </a:p>
            </c:rich>
          </c:tx>
          <c:layout>
            <c:manualLayout>
              <c:xMode val="edge"/>
              <c:yMode val="edge"/>
              <c:x val="2.5337825459608377E-2"/>
              <c:y val="0.3043438591754511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7.245700679574596E-2"/>
          <c:y val="0.85274051841227927"/>
          <c:w val="0.9252358289044209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consume'!$A$181</c:f>
              <c:strCache>
                <c:ptCount val="1"/>
                <c:pt idx="0">
                  <c:v>Base-run PC</c:v>
                </c:pt>
              </c:strCache>
            </c:strRef>
          </c:tx>
          <c:spPr>
            <a:ln w="12700" cap="rnd">
              <a:solidFill>
                <a:sysClr val="windowText" lastClr="000000"/>
              </a:solidFill>
              <a:round/>
            </a:ln>
            <a:effectLst/>
          </c:spPr>
          <c:marker>
            <c:symbol val="none"/>
          </c:marker>
          <c:cat>
            <c:numRef>
              <c:f>'3) propensity to consume'!$B$180:$AJ$180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consume'!$B$181:$AJ$181</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4.4001099999999997</c:v>
                </c:pt>
                <c:pt idx="13">
                  <c:v>5.3774600000000001</c:v>
                </c:pt>
                <c:pt idx="14">
                  <c:v>6.3355699999999997</c:v>
                </c:pt>
                <c:pt idx="15">
                  <c:v>7.2786099999999996</c:v>
                </c:pt>
                <c:pt idx="16">
                  <c:v>8.208260000000001</c:v>
                </c:pt>
                <c:pt idx="17">
                  <c:v>9.1252300000000002</c:v>
                </c:pt>
                <c:pt idx="18">
                  <c:v>10.0299</c:v>
                </c:pt>
                <c:pt idx="19">
                  <c:v>10.922600000000001</c:v>
                </c:pt>
                <c:pt idx="20">
                  <c:v>11.8035</c:v>
                </c:pt>
                <c:pt idx="21">
                  <c:v>12.6731</c:v>
                </c:pt>
                <c:pt idx="22">
                  <c:v>13.5314</c:v>
                </c:pt>
                <c:pt idx="23">
                  <c:v>14.3789</c:v>
                </c:pt>
                <c:pt idx="24">
                  <c:v>15.2157</c:v>
                </c:pt>
                <c:pt idx="25">
                  <c:v>16.042200000000001</c:v>
                </c:pt>
                <c:pt idx="26">
                  <c:v>16.858499999999999</c:v>
                </c:pt>
                <c:pt idx="27">
                  <c:v>17.664900000000003</c:v>
                </c:pt>
                <c:pt idx="28">
                  <c:v>18.4617</c:v>
                </c:pt>
                <c:pt idx="29">
                  <c:v>19.249099999999999</c:v>
                </c:pt>
                <c:pt idx="30">
                  <c:v>20.0273</c:v>
                </c:pt>
                <c:pt idx="31">
                  <c:v>20.796599999999998</c:v>
                </c:pt>
                <c:pt idx="32">
                  <c:v>21.557099999999998</c:v>
                </c:pt>
                <c:pt idx="33">
                  <c:v>22.309099999999997</c:v>
                </c:pt>
                <c:pt idx="34">
                  <c:v>23.052499999999998</c:v>
                </c:pt>
              </c:numCache>
            </c:numRef>
          </c:val>
          <c:smooth val="0"/>
          <c:extLst>
            <c:ext xmlns:c16="http://schemas.microsoft.com/office/drawing/2014/chart" uri="{C3380CC4-5D6E-409C-BE32-E72D297353CC}">
              <c16:uniqueId val="{00000000-7157-48A6-BB3E-D7CE16D7162C}"/>
            </c:ext>
          </c:extLst>
        </c:ser>
        <c:ser>
          <c:idx val="4"/>
          <c:order val="1"/>
          <c:tx>
            <c:strRef>
              <c:f>'3) propensity to consume'!$A$182</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consume'!$B$182:$AJ$182</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4.0878499999999995</c:v>
                </c:pt>
                <c:pt idx="13">
                  <c:v>5.0728900000000001</c:v>
                </c:pt>
                <c:pt idx="14">
                  <c:v>6.0379700000000005</c:v>
                </c:pt>
                <c:pt idx="15">
                  <c:v>6.9870200000000002</c:v>
                </c:pt>
                <c:pt idx="16">
                  <c:v>7.9223599999999994</c:v>
                </c:pt>
                <c:pt idx="17">
                  <c:v>8.8448600000000006</c:v>
                </c:pt>
                <c:pt idx="18">
                  <c:v>9.7549400000000013</c:v>
                </c:pt>
                <c:pt idx="19">
                  <c:v>10.652899999999999</c:v>
                </c:pt>
                <c:pt idx="20">
                  <c:v>11.539100000000001</c:v>
                </c:pt>
                <c:pt idx="21">
                  <c:v>12.413799999999998</c:v>
                </c:pt>
                <c:pt idx="22">
                  <c:v>13.277100000000001</c:v>
                </c:pt>
                <c:pt idx="23">
                  <c:v>14.1295</c:v>
                </c:pt>
                <c:pt idx="24">
                  <c:v>14.971200000000001</c:v>
                </c:pt>
                <c:pt idx="25">
                  <c:v>15.8024</c:v>
                </c:pt>
                <c:pt idx="26">
                  <c:v>16.6233</c:v>
                </c:pt>
                <c:pt idx="27">
                  <c:v>17.4343</c:v>
                </c:pt>
                <c:pt idx="28">
                  <c:v>18.235499999999998</c:v>
                </c:pt>
                <c:pt idx="29">
                  <c:v>19.0273</c:v>
                </c:pt>
                <c:pt idx="30">
                  <c:v>19.809799999999999</c:v>
                </c:pt>
                <c:pt idx="31">
                  <c:v>20.583299999999998</c:v>
                </c:pt>
                <c:pt idx="32">
                  <c:v>21.347900000000003</c:v>
                </c:pt>
                <c:pt idx="33">
                  <c:v>22.103999999999999</c:v>
                </c:pt>
                <c:pt idx="34">
                  <c:v>22.851299999999998</c:v>
                </c:pt>
              </c:numCache>
            </c:numRef>
          </c:val>
          <c:smooth val="0"/>
          <c:extLst>
            <c:ext xmlns:c16="http://schemas.microsoft.com/office/drawing/2014/chart" uri="{C3380CC4-5D6E-409C-BE32-E72D297353CC}">
              <c16:uniqueId val="{00000001-7157-48A6-BB3E-D7CE16D7162C}"/>
            </c:ext>
          </c:extLst>
        </c:ser>
        <c:ser>
          <c:idx val="0"/>
          <c:order val="2"/>
          <c:tx>
            <c:strRef>
              <c:f>'3) propensity to consume'!$A$183</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consume'!$B$183:$AJ$183</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4.4416199999999995</c:v>
                </c:pt>
                <c:pt idx="13">
                  <c:v>5.4180600000000005</c:v>
                </c:pt>
                <c:pt idx="14">
                  <c:v>6.3753599999999997</c:v>
                </c:pt>
                <c:pt idx="15">
                  <c:v>7.3176499999999995</c:v>
                </c:pt>
                <c:pt idx="16">
                  <c:v>8.2465899999999994</c:v>
                </c:pt>
                <c:pt idx="17">
                  <c:v>9.1628299999999996</c:v>
                </c:pt>
                <c:pt idx="18">
                  <c:v>10.066799999999999</c:v>
                </c:pt>
                <c:pt idx="19">
                  <c:v>10.9588</c:v>
                </c:pt>
                <c:pt idx="20">
                  <c:v>11.8391</c:v>
                </c:pt>
                <c:pt idx="21">
                  <c:v>12.7079</c:v>
                </c:pt>
                <c:pt idx="22">
                  <c:v>13.5656</c:v>
                </c:pt>
                <c:pt idx="23">
                  <c:v>14.4124</c:v>
                </c:pt>
                <c:pt idx="24">
                  <c:v>15.2486</c:v>
                </c:pt>
                <c:pt idx="25">
                  <c:v>16.0745</c:v>
                </c:pt>
                <c:pt idx="26">
                  <c:v>16.8902</c:v>
                </c:pt>
                <c:pt idx="27">
                  <c:v>17.696000000000002</c:v>
                </c:pt>
                <c:pt idx="28">
                  <c:v>18.4923</c:v>
                </c:pt>
                <c:pt idx="29">
                  <c:v>19.2791</c:v>
                </c:pt>
                <c:pt idx="30">
                  <c:v>20.056799999999999</c:v>
                </c:pt>
                <c:pt idx="31">
                  <c:v>20.825500000000002</c:v>
                </c:pt>
                <c:pt idx="32">
                  <c:v>21.5855</c:v>
                </c:pt>
                <c:pt idx="33">
                  <c:v>22.337</c:v>
                </c:pt>
                <c:pt idx="34">
                  <c:v>23.079900000000002</c:v>
                </c:pt>
              </c:numCache>
            </c:numRef>
          </c:val>
          <c:smooth val="0"/>
          <c:extLst>
            <c:ext xmlns:c16="http://schemas.microsoft.com/office/drawing/2014/chart" uri="{C3380CC4-5D6E-409C-BE32-E72D297353CC}">
              <c16:uniqueId val="{00000002-7157-48A6-BB3E-D7CE16D7162C}"/>
            </c:ext>
          </c:extLst>
        </c:ser>
        <c:ser>
          <c:idx val="2"/>
          <c:order val="3"/>
          <c:tx>
            <c:strRef>
              <c:f>'3) propensity to consume'!$A$184</c:f>
              <c:strCache>
                <c:ptCount val="1"/>
                <c:pt idx="0">
                  <c:v>FSP and LETS combined PC</c:v>
                </c:pt>
              </c:strCache>
            </c:strRef>
          </c:tx>
          <c:spPr>
            <a:ln w="12700" cap="rnd">
              <a:solidFill>
                <a:srgbClr val="7030A0"/>
              </a:solidFill>
              <a:prstDash val="lgDashDot"/>
              <a:round/>
            </a:ln>
            <a:effectLst/>
          </c:spPr>
          <c:marker>
            <c:symbol val="none"/>
          </c:marker>
          <c:cat>
            <c:numRef>
              <c:f>'3) propensity to consume'!$B$180:$AJ$180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consume'!$B$184:$AJ$184</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4.1016199999999996</c:v>
                </c:pt>
                <c:pt idx="13">
                  <c:v>5.0863699999999996</c:v>
                </c:pt>
                <c:pt idx="14">
                  <c:v>6.0511699999999999</c:v>
                </c:pt>
                <c:pt idx="15">
                  <c:v>6.9999799999999999</c:v>
                </c:pt>
                <c:pt idx="16">
                  <c:v>7.9350899999999998</c:v>
                </c:pt>
                <c:pt idx="17">
                  <c:v>8.8573500000000003</c:v>
                </c:pt>
                <c:pt idx="18">
                  <c:v>9.7672000000000008</c:v>
                </c:pt>
                <c:pt idx="19">
                  <c:v>10.664999999999999</c:v>
                </c:pt>
                <c:pt idx="20">
                  <c:v>11.5509</c:v>
                </c:pt>
                <c:pt idx="21">
                  <c:v>12.4254</c:v>
                </c:pt>
                <c:pt idx="22">
                  <c:v>13.288500000000001</c:v>
                </c:pt>
                <c:pt idx="23">
                  <c:v>14.140700000000001</c:v>
                </c:pt>
                <c:pt idx="24">
                  <c:v>14.982200000000001</c:v>
                </c:pt>
                <c:pt idx="25">
                  <c:v>15.8131</c:v>
                </c:pt>
                <c:pt idx="26">
                  <c:v>16.633900000000001</c:v>
                </c:pt>
                <c:pt idx="27">
                  <c:v>17.444700000000001</c:v>
                </c:pt>
                <c:pt idx="28">
                  <c:v>18.245799999999999</c:v>
                </c:pt>
                <c:pt idx="29">
                  <c:v>19.037400000000002</c:v>
                </c:pt>
                <c:pt idx="30">
                  <c:v>19.819700000000001</c:v>
                </c:pt>
                <c:pt idx="31">
                  <c:v>20.593</c:v>
                </c:pt>
                <c:pt idx="32">
                  <c:v>21.357500000000002</c:v>
                </c:pt>
                <c:pt idx="33">
                  <c:v>22.113400000000002</c:v>
                </c:pt>
                <c:pt idx="34">
                  <c:v>22.860599999999998</c:v>
                </c:pt>
              </c:numCache>
            </c:numRef>
          </c:val>
          <c:smooth val="0"/>
          <c:extLst>
            <c:ext xmlns:c16="http://schemas.microsoft.com/office/drawing/2014/chart" uri="{C3380CC4-5D6E-409C-BE32-E72D297353CC}">
              <c16:uniqueId val="{00000003-7157-48A6-BB3E-D7CE16D7162C}"/>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1000 people</a:t>
                </a:r>
                <a:endParaRPr lang="de-CH" sz="1000">
                  <a:effectLst/>
                </a:endParaRPr>
              </a:p>
            </c:rich>
          </c:tx>
          <c:layout>
            <c:manualLayout>
              <c:xMode val="edge"/>
              <c:yMode val="edge"/>
              <c:x val="1.8016194685170225E-2"/>
              <c:y val="0.21657660741878476"/>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046035003918347"/>
          <c:y val="0.87204097874862418"/>
          <c:w val="0.839317834085905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consume'!$A$212</c:f>
              <c:strCache>
                <c:ptCount val="1"/>
                <c:pt idx="0">
                  <c:v>Base-run PC</c:v>
                </c:pt>
              </c:strCache>
            </c:strRef>
          </c:tx>
          <c:spPr>
            <a:ln w="12700" cap="rnd">
              <a:solidFill>
                <a:sysClr val="windowText" lastClr="000000"/>
              </a:solidFill>
              <a:round/>
            </a:ln>
            <a:effectLst/>
          </c:spPr>
          <c:marker>
            <c:symbol val="none"/>
          </c:marker>
          <c:cat>
            <c:numRef>
              <c:f>'3) propensity to consume'!$B$211:$AJ$211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consume'!$B$212:$AJ$212</c:f>
              <c:numCache>
                <c:formatCode>0</c:formatCode>
                <c:ptCount val="35"/>
                <c:pt idx="0">
                  <c:v>3648.89</c:v>
                </c:pt>
                <c:pt idx="1">
                  <c:v>3660.55</c:v>
                </c:pt>
                <c:pt idx="2">
                  <c:v>3870.61</c:v>
                </c:pt>
                <c:pt idx="3">
                  <c:v>4110.38</c:v>
                </c:pt>
                <c:pt idx="4">
                  <c:v>4396.3999999999996</c:v>
                </c:pt>
                <c:pt idx="5">
                  <c:v>4722.37</c:v>
                </c:pt>
                <c:pt idx="6">
                  <c:v>5046.55</c:v>
                </c:pt>
                <c:pt idx="7">
                  <c:v>5371.46</c:v>
                </c:pt>
                <c:pt idx="8">
                  <c:v>5657.31</c:v>
                </c:pt>
                <c:pt idx="9">
                  <c:v>5896.61</c:v>
                </c:pt>
                <c:pt idx="10">
                  <c:v>6065.99</c:v>
                </c:pt>
                <c:pt idx="11">
                  <c:v>6152.29</c:v>
                </c:pt>
                <c:pt idx="12">
                  <c:v>6155</c:v>
                </c:pt>
                <c:pt idx="13">
                  <c:v>6093.1</c:v>
                </c:pt>
                <c:pt idx="14">
                  <c:v>5985.2</c:v>
                </c:pt>
                <c:pt idx="15">
                  <c:v>5889.03</c:v>
                </c:pt>
                <c:pt idx="16">
                  <c:v>5812.26</c:v>
                </c:pt>
                <c:pt idx="17">
                  <c:v>5757.18</c:v>
                </c:pt>
                <c:pt idx="18">
                  <c:v>5723.43</c:v>
                </c:pt>
                <c:pt idx="19">
                  <c:v>5706.46</c:v>
                </c:pt>
                <c:pt idx="20">
                  <c:v>5703.13</c:v>
                </c:pt>
                <c:pt idx="21">
                  <c:v>5710.76</c:v>
                </c:pt>
                <c:pt idx="22">
                  <c:v>5728.45</c:v>
                </c:pt>
                <c:pt idx="23">
                  <c:v>5756.61</c:v>
                </c:pt>
                <c:pt idx="24">
                  <c:v>5788.3</c:v>
                </c:pt>
                <c:pt idx="25">
                  <c:v>5827.31</c:v>
                </c:pt>
                <c:pt idx="26">
                  <c:v>5873.86</c:v>
                </c:pt>
                <c:pt idx="27">
                  <c:v>5932.65</c:v>
                </c:pt>
                <c:pt idx="28">
                  <c:v>5997.52</c:v>
                </c:pt>
                <c:pt idx="29">
                  <c:v>6073.08</c:v>
                </c:pt>
                <c:pt idx="30">
                  <c:v>6163.22</c:v>
                </c:pt>
                <c:pt idx="31">
                  <c:v>6267.17</c:v>
                </c:pt>
                <c:pt idx="32">
                  <c:v>6386.96</c:v>
                </c:pt>
                <c:pt idx="33">
                  <c:v>6519.21</c:v>
                </c:pt>
                <c:pt idx="34">
                  <c:v>6667.15</c:v>
                </c:pt>
              </c:numCache>
            </c:numRef>
          </c:val>
          <c:smooth val="0"/>
          <c:extLst>
            <c:ext xmlns:c16="http://schemas.microsoft.com/office/drawing/2014/chart" uri="{C3380CC4-5D6E-409C-BE32-E72D297353CC}">
              <c16:uniqueId val="{00000000-E2D9-4B37-AF9B-858EFFB05080}"/>
            </c:ext>
          </c:extLst>
        </c:ser>
        <c:ser>
          <c:idx val="4"/>
          <c:order val="1"/>
          <c:tx>
            <c:strRef>
              <c:f>'3) propensity to consume'!$A$213</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consume'!$B$213:$AJ$213</c:f>
              <c:numCache>
                <c:formatCode>0</c:formatCode>
                <c:ptCount val="35"/>
                <c:pt idx="0">
                  <c:v>3648.89</c:v>
                </c:pt>
                <c:pt idx="1">
                  <c:v>3660.55</c:v>
                </c:pt>
                <c:pt idx="2">
                  <c:v>3870.61</c:v>
                </c:pt>
                <c:pt idx="3">
                  <c:v>4110.38</c:v>
                </c:pt>
                <c:pt idx="4">
                  <c:v>4396.3999999999996</c:v>
                </c:pt>
                <c:pt idx="5">
                  <c:v>4748.55</c:v>
                </c:pt>
                <c:pt idx="6">
                  <c:v>5103.6099999999997</c:v>
                </c:pt>
                <c:pt idx="7">
                  <c:v>5465.85</c:v>
                </c:pt>
                <c:pt idx="8">
                  <c:v>5795.62</c:v>
                </c:pt>
                <c:pt idx="9">
                  <c:v>6084.41</c:v>
                </c:pt>
                <c:pt idx="10">
                  <c:v>6305.85</c:v>
                </c:pt>
                <c:pt idx="11">
                  <c:v>6443.36</c:v>
                </c:pt>
                <c:pt idx="12">
                  <c:v>6483.62</c:v>
                </c:pt>
                <c:pt idx="13">
                  <c:v>6443.02</c:v>
                </c:pt>
                <c:pt idx="14">
                  <c:v>6343.03</c:v>
                </c:pt>
                <c:pt idx="15">
                  <c:v>6232.43</c:v>
                </c:pt>
                <c:pt idx="16">
                  <c:v>6138.83</c:v>
                </c:pt>
                <c:pt idx="17">
                  <c:v>6063.18</c:v>
                </c:pt>
                <c:pt idx="18">
                  <c:v>6007.44</c:v>
                </c:pt>
                <c:pt idx="19">
                  <c:v>5968.78</c:v>
                </c:pt>
                <c:pt idx="20">
                  <c:v>5944.84</c:v>
                </c:pt>
                <c:pt idx="21">
                  <c:v>5933.48</c:v>
                </c:pt>
                <c:pt idx="22">
                  <c:v>5934</c:v>
                </c:pt>
                <c:pt idx="23">
                  <c:v>5947.23</c:v>
                </c:pt>
                <c:pt idx="24">
                  <c:v>5965.43</c:v>
                </c:pt>
                <c:pt idx="25">
                  <c:v>5992.88</c:v>
                </c:pt>
                <c:pt idx="26">
                  <c:v>6029.96</c:v>
                </c:pt>
                <c:pt idx="27">
                  <c:v>6081.38</c:v>
                </c:pt>
                <c:pt idx="28">
                  <c:v>6140.93</c:v>
                </c:pt>
                <c:pt idx="29">
                  <c:v>6212.73</c:v>
                </c:pt>
                <c:pt idx="30">
                  <c:v>6298.37</c:v>
                </c:pt>
                <c:pt idx="31">
                  <c:v>6400.57</c:v>
                </c:pt>
                <c:pt idx="32">
                  <c:v>6520.68</c:v>
                </c:pt>
                <c:pt idx="33">
                  <c:v>6655.77</c:v>
                </c:pt>
                <c:pt idx="34">
                  <c:v>6809.24</c:v>
                </c:pt>
              </c:numCache>
            </c:numRef>
          </c:val>
          <c:smooth val="0"/>
          <c:extLst>
            <c:ext xmlns:c16="http://schemas.microsoft.com/office/drawing/2014/chart" uri="{C3380CC4-5D6E-409C-BE32-E72D297353CC}">
              <c16:uniqueId val="{00000001-E2D9-4B37-AF9B-858EFFB05080}"/>
            </c:ext>
          </c:extLst>
        </c:ser>
        <c:ser>
          <c:idx val="0"/>
          <c:order val="2"/>
          <c:tx>
            <c:strRef>
              <c:f>'3) propensity to consume'!$A$214</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consume'!$B$214:$AJ$214</c:f>
              <c:numCache>
                <c:formatCode>0</c:formatCode>
                <c:ptCount val="35"/>
                <c:pt idx="0">
                  <c:v>3648.89</c:v>
                </c:pt>
                <c:pt idx="1">
                  <c:v>3660.55</c:v>
                </c:pt>
                <c:pt idx="2">
                  <c:v>3870.61</c:v>
                </c:pt>
                <c:pt idx="3">
                  <c:v>4110.38</c:v>
                </c:pt>
                <c:pt idx="4">
                  <c:v>4396.3999999999996</c:v>
                </c:pt>
                <c:pt idx="5">
                  <c:v>4722.43</c:v>
                </c:pt>
                <c:pt idx="6">
                  <c:v>5047.4399999999996</c:v>
                </c:pt>
                <c:pt idx="7">
                  <c:v>5373.79</c:v>
                </c:pt>
                <c:pt idx="8">
                  <c:v>5661.89</c:v>
                </c:pt>
                <c:pt idx="9">
                  <c:v>5903.77</c:v>
                </c:pt>
                <c:pt idx="10">
                  <c:v>6074.99</c:v>
                </c:pt>
                <c:pt idx="11">
                  <c:v>6162.9</c:v>
                </c:pt>
                <c:pt idx="12">
                  <c:v>6166.1</c:v>
                </c:pt>
                <c:pt idx="13">
                  <c:v>6103.57</c:v>
                </c:pt>
                <c:pt idx="14">
                  <c:v>5993.79</c:v>
                </c:pt>
                <c:pt idx="15">
                  <c:v>5895.78</c:v>
                </c:pt>
                <c:pt idx="16">
                  <c:v>5817.26</c:v>
                </c:pt>
                <c:pt idx="17">
                  <c:v>5760.78</c:v>
                </c:pt>
                <c:pt idx="18">
                  <c:v>5726.5</c:v>
                </c:pt>
                <c:pt idx="19">
                  <c:v>5710.02</c:v>
                </c:pt>
                <c:pt idx="20">
                  <c:v>5708.35</c:v>
                </c:pt>
                <c:pt idx="21">
                  <c:v>5719.03</c:v>
                </c:pt>
                <c:pt idx="22">
                  <c:v>5740.92</c:v>
                </c:pt>
                <c:pt idx="23">
                  <c:v>5774.52</c:v>
                </c:pt>
                <c:pt idx="24">
                  <c:v>5812.72</c:v>
                </c:pt>
                <c:pt idx="25">
                  <c:v>5859.51</c:v>
                </c:pt>
                <c:pt idx="26">
                  <c:v>5915.6</c:v>
                </c:pt>
                <c:pt idx="27">
                  <c:v>5985.03</c:v>
                </c:pt>
                <c:pt idx="28">
                  <c:v>6061.77</c:v>
                </c:pt>
                <c:pt idx="29">
                  <c:v>6150.88</c:v>
                </c:pt>
                <c:pt idx="30">
                  <c:v>6255.62</c:v>
                </c:pt>
                <c:pt idx="31">
                  <c:v>6374.44</c:v>
                </c:pt>
                <c:pt idx="32">
                  <c:v>6509.45</c:v>
                </c:pt>
                <c:pt idx="33">
                  <c:v>6657.33</c:v>
                </c:pt>
                <c:pt idx="34">
                  <c:v>6821.71</c:v>
                </c:pt>
              </c:numCache>
            </c:numRef>
          </c:val>
          <c:smooth val="0"/>
          <c:extLst>
            <c:ext xmlns:c16="http://schemas.microsoft.com/office/drawing/2014/chart" uri="{C3380CC4-5D6E-409C-BE32-E72D297353CC}">
              <c16:uniqueId val="{00000002-E2D9-4B37-AF9B-858EFFB05080}"/>
            </c:ext>
          </c:extLst>
        </c:ser>
        <c:ser>
          <c:idx val="2"/>
          <c:order val="3"/>
          <c:tx>
            <c:strRef>
              <c:f>'3) propensity to consume'!$A$215</c:f>
              <c:strCache>
                <c:ptCount val="1"/>
                <c:pt idx="0">
                  <c:v>FSP and LETS combined PC</c:v>
                </c:pt>
              </c:strCache>
            </c:strRef>
          </c:tx>
          <c:spPr>
            <a:ln w="12700" cap="rnd">
              <a:solidFill>
                <a:srgbClr val="7030A0"/>
              </a:solidFill>
              <a:prstDash val="lgDashDot"/>
              <a:round/>
            </a:ln>
            <a:effectLst/>
          </c:spPr>
          <c:marker>
            <c:symbol val="none"/>
          </c:marker>
          <c:cat>
            <c:numRef>
              <c:f>'3) propensity to consume'!$B$211:$AJ$211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consume'!$B$215:$AJ$215</c:f>
              <c:numCache>
                <c:formatCode>0</c:formatCode>
                <c:ptCount val="35"/>
                <c:pt idx="0">
                  <c:v>3648.89</c:v>
                </c:pt>
                <c:pt idx="1">
                  <c:v>3660.55</c:v>
                </c:pt>
                <c:pt idx="2">
                  <c:v>3870.61</c:v>
                </c:pt>
                <c:pt idx="3">
                  <c:v>4110.38</c:v>
                </c:pt>
                <c:pt idx="4">
                  <c:v>4396.3999999999996</c:v>
                </c:pt>
                <c:pt idx="5">
                  <c:v>4748.59</c:v>
                </c:pt>
                <c:pt idx="6">
                  <c:v>5104.47</c:v>
                </c:pt>
                <c:pt idx="7">
                  <c:v>5469.42</c:v>
                </c:pt>
                <c:pt idx="8">
                  <c:v>5803.24</c:v>
                </c:pt>
                <c:pt idx="9">
                  <c:v>6095.4</c:v>
                </c:pt>
                <c:pt idx="10">
                  <c:v>6318.61</c:v>
                </c:pt>
                <c:pt idx="11">
                  <c:v>6457.08</c:v>
                </c:pt>
                <c:pt idx="12">
                  <c:v>6498.19</c:v>
                </c:pt>
                <c:pt idx="13">
                  <c:v>6457.64</c:v>
                </c:pt>
                <c:pt idx="14">
                  <c:v>6356.67</c:v>
                </c:pt>
                <c:pt idx="15">
                  <c:v>6245.43</c:v>
                </c:pt>
                <c:pt idx="16">
                  <c:v>6150.63</c:v>
                </c:pt>
                <c:pt idx="17">
                  <c:v>6074.15</c:v>
                </c:pt>
                <c:pt idx="18">
                  <c:v>6018.57</c:v>
                </c:pt>
                <c:pt idx="19">
                  <c:v>5981.03</c:v>
                </c:pt>
                <c:pt idx="20">
                  <c:v>5959.11</c:v>
                </c:pt>
                <c:pt idx="21">
                  <c:v>5950.67</c:v>
                </c:pt>
                <c:pt idx="22">
                  <c:v>5954.75</c:v>
                </c:pt>
                <c:pt idx="23">
                  <c:v>5971.97</c:v>
                </c:pt>
                <c:pt idx="24">
                  <c:v>5994.35</c:v>
                </c:pt>
                <c:pt idx="25">
                  <c:v>6026.06</c:v>
                </c:pt>
                <c:pt idx="26">
                  <c:v>6068.04</c:v>
                </c:pt>
                <c:pt idx="27">
                  <c:v>6124.68</c:v>
                </c:pt>
                <c:pt idx="28">
                  <c:v>6189.55</c:v>
                </c:pt>
                <c:pt idx="29">
                  <c:v>6266.48</c:v>
                </c:pt>
                <c:pt idx="30">
                  <c:v>6357.49</c:v>
                </c:pt>
                <c:pt idx="31">
                  <c:v>6464.26</c:v>
                </c:pt>
                <c:pt idx="32">
                  <c:v>6588.78</c:v>
                </c:pt>
                <c:pt idx="33">
                  <c:v>6728.14</c:v>
                </c:pt>
                <c:pt idx="34">
                  <c:v>6886.17</c:v>
                </c:pt>
              </c:numCache>
            </c:numRef>
          </c:val>
          <c:smooth val="0"/>
          <c:extLst>
            <c:ext xmlns:c16="http://schemas.microsoft.com/office/drawing/2014/chart" uri="{C3380CC4-5D6E-409C-BE32-E72D297353CC}">
              <c16:uniqueId val="{00000003-E2D9-4B37-AF9B-858EFFB05080}"/>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5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Bn. £</a:t>
                </a:r>
                <a:endParaRPr lang="de-CH" sz="900">
                  <a:effectLst/>
                </a:endParaRPr>
              </a:p>
            </c:rich>
          </c:tx>
          <c:layout>
            <c:manualLayout>
              <c:xMode val="edge"/>
              <c:yMode val="edge"/>
              <c:x val="2.9061808048572408E-2"/>
              <c:y val="0.32216571886847478"/>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1018625418360968E-2"/>
          <c:y val="0.87204097874862418"/>
          <c:w val="0.8858059874534243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consume'!$A$244</c:f>
              <c:strCache>
                <c:ptCount val="1"/>
                <c:pt idx="0">
                  <c:v>Base-run PC</c:v>
                </c:pt>
              </c:strCache>
            </c:strRef>
          </c:tx>
          <c:spPr>
            <a:ln w="12700" cap="rnd">
              <a:solidFill>
                <a:sysClr val="windowText" lastClr="000000"/>
              </a:solidFill>
              <a:round/>
            </a:ln>
            <a:effectLst/>
          </c:spPr>
          <c:marker>
            <c:symbol val="none"/>
          </c:marker>
          <c:cat>
            <c:numRef>
              <c:f>'3) propensity to consume'!$B$243:$AJ$243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consume'!$B$244:$AJ$244</c:f>
              <c:numCache>
                <c:formatCode>0</c:formatCode>
                <c:ptCount val="35"/>
                <c:pt idx="0">
                  <c:v>20.381399999999999</c:v>
                </c:pt>
                <c:pt idx="1">
                  <c:v>27.954999999999998</c:v>
                </c:pt>
                <c:pt idx="2">
                  <c:v>33.073</c:v>
                </c:pt>
                <c:pt idx="3">
                  <c:v>30.662299999999998</c:v>
                </c:pt>
                <c:pt idx="4">
                  <c:v>26.014600000000002</c:v>
                </c:pt>
                <c:pt idx="5">
                  <c:v>21.548400000000001</c:v>
                </c:pt>
                <c:pt idx="6">
                  <c:v>17.734100000000002</c:v>
                </c:pt>
                <c:pt idx="7">
                  <c:v>14.760300000000001</c:v>
                </c:pt>
                <c:pt idx="8">
                  <c:v>13.66</c:v>
                </c:pt>
                <c:pt idx="9">
                  <c:v>15.207800000000001</c:v>
                </c:pt>
                <c:pt idx="10">
                  <c:v>17.8277</c:v>
                </c:pt>
                <c:pt idx="11">
                  <c:v>21.478400000000001</c:v>
                </c:pt>
                <c:pt idx="12">
                  <c:v>30.760400000000001</c:v>
                </c:pt>
                <c:pt idx="13">
                  <c:v>38.606099999999998</c:v>
                </c:pt>
                <c:pt idx="14">
                  <c:v>41.030299999999997</c:v>
                </c:pt>
                <c:pt idx="15">
                  <c:v>42.988300000000002</c:v>
                </c:pt>
                <c:pt idx="16">
                  <c:v>42.987099999999998</c:v>
                </c:pt>
                <c:pt idx="17">
                  <c:v>40.191299999999998</c:v>
                </c:pt>
                <c:pt idx="18">
                  <c:v>40.768099999999997</c:v>
                </c:pt>
                <c:pt idx="19">
                  <c:v>37.5777</c:v>
                </c:pt>
                <c:pt idx="20">
                  <c:v>35.647599999999997</c:v>
                </c:pt>
                <c:pt idx="21">
                  <c:v>33.378100000000003</c:v>
                </c:pt>
                <c:pt idx="22">
                  <c:v>32.558799999999998</c:v>
                </c:pt>
                <c:pt idx="23">
                  <c:v>31.895199999999999</c:v>
                </c:pt>
                <c:pt idx="24">
                  <c:v>26.775300000000001</c:v>
                </c:pt>
                <c:pt idx="25">
                  <c:v>22.1219</c:v>
                </c:pt>
                <c:pt idx="26">
                  <c:v>22.314</c:v>
                </c:pt>
                <c:pt idx="27">
                  <c:v>24.031700000000001</c:v>
                </c:pt>
                <c:pt idx="28">
                  <c:v>25.286100000000001</c:v>
                </c:pt>
                <c:pt idx="29">
                  <c:v>25.695799999999998</c:v>
                </c:pt>
                <c:pt idx="30">
                  <c:v>26.201799999999999</c:v>
                </c:pt>
                <c:pt idx="31">
                  <c:v>26.357800000000001</c:v>
                </c:pt>
                <c:pt idx="32">
                  <c:v>26.4879</c:v>
                </c:pt>
                <c:pt idx="33">
                  <c:v>25.729399999999998</c:v>
                </c:pt>
                <c:pt idx="34">
                  <c:v>24.2639</c:v>
                </c:pt>
              </c:numCache>
            </c:numRef>
          </c:val>
          <c:smooth val="0"/>
          <c:extLst>
            <c:ext xmlns:c16="http://schemas.microsoft.com/office/drawing/2014/chart" uri="{C3380CC4-5D6E-409C-BE32-E72D297353CC}">
              <c16:uniqueId val="{00000000-CDB6-4FA3-8FA2-19CC87AFDE98}"/>
            </c:ext>
          </c:extLst>
        </c:ser>
        <c:ser>
          <c:idx val="4"/>
          <c:order val="1"/>
          <c:tx>
            <c:strRef>
              <c:f>'3) propensity to consume'!$A$245</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consume'!$B$245:$AJ$245</c:f>
              <c:numCache>
                <c:formatCode>0</c:formatCode>
                <c:ptCount val="35"/>
                <c:pt idx="0">
                  <c:v>20.381399999999999</c:v>
                </c:pt>
                <c:pt idx="1">
                  <c:v>27.954999999999998</c:v>
                </c:pt>
                <c:pt idx="2">
                  <c:v>33.073</c:v>
                </c:pt>
                <c:pt idx="3">
                  <c:v>30.662299999999998</c:v>
                </c:pt>
                <c:pt idx="4">
                  <c:v>25.113199999999999</c:v>
                </c:pt>
                <c:pt idx="5">
                  <c:v>20.8142</c:v>
                </c:pt>
                <c:pt idx="6">
                  <c:v>17.213899999999999</c:v>
                </c:pt>
                <c:pt idx="7">
                  <c:v>16.556899999999999</c:v>
                </c:pt>
                <c:pt idx="8">
                  <c:v>18.745200000000001</c:v>
                </c:pt>
                <c:pt idx="9">
                  <c:v>21.563800000000001</c:v>
                </c:pt>
                <c:pt idx="10">
                  <c:v>23.377600000000001</c:v>
                </c:pt>
                <c:pt idx="11">
                  <c:v>25.665600000000001</c:v>
                </c:pt>
                <c:pt idx="12">
                  <c:v>34.532499999999999</c:v>
                </c:pt>
                <c:pt idx="13">
                  <c:v>41.920699999999997</c:v>
                </c:pt>
                <c:pt idx="14">
                  <c:v>42.148099999999999</c:v>
                </c:pt>
                <c:pt idx="15">
                  <c:v>42.4467</c:v>
                </c:pt>
                <c:pt idx="16">
                  <c:v>40.531700000000001</c:v>
                </c:pt>
                <c:pt idx="17">
                  <c:v>36.170200000000001</c:v>
                </c:pt>
                <c:pt idx="18">
                  <c:v>36.525700000000001</c:v>
                </c:pt>
                <c:pt idx="19">
                  <c:v>32.702599999999997</c:v>
                </c:pt>
                <c:pt idx="20">
                  <c:v>30.965900000000001</c:v>
                </c:pt>
                <c:pt idx="21">
                  <c:v>29.065000000000001</c:v>
                </c:pt>
                <c:pt idx="22">
                  <c:v>28.895199999999999</c:v>
                </c:pt>
                <c:pt idx="23">
                  <c:v>28.715499999999999</c:v>
                </c:pt>
                <c:pt idx="24">
                  <c:v>23.910599999999999</c:v>
                </c:pt>
                <c:pt idx="25">
                  <c:v>19.677800000000001</c:v>
                </c:pt>
                <c:pt idx="26">
                  <c:v>20.315999999999999</c:v>
                </c:pt>
                <c:pt idx="27">
                  <c:v>22.496200000000002</c:v>
                </c:pt>
                <c:pt idx="28">
                  <c:v>23.8323</c:v>
                </c:pt>
                <c:pt idx="29">
                  <c:v>24.219000000000001</c:v>
                </c:pt>
                <c:pt idx="30">
                  <c:v>24.5916</c:v>
                </c:pt>
                <c:pt idx="31">
                  <c:v>24.535499999999999</c:v>
                </c:pt>
                <c:pt idx="32">
                  <c:v>24.588699999999999</c:v>
                </c:pt>
                <c:pt idx="33">
                  <c:v>23.855899999999998</c:v>
                </c:pt>
                <c:pt idx="34">
                  <c:v>22.65</c:v>
                </c:pt>
              </c:numCache>
            </c:numRef>
          </c:val>
          <c:smooth val="0"/>
          <c:extLst>
            <c:ext xmlns:c16="http://schemas.microsoft.com/office/drawing/2014/chart" uri="{C3380CC4-5D6E-409C-BE32-E72D297353CC}">
              <c16:uniqueId val="{00000001-CDB6-4FA3-8FA2-19CC87AFDE98}"/>
            </c:ext>
          </c:extLst>
        </c:ser>
        <c:ser>
          <c:idx val="0"/>
          <c:order val="2"/>
          <c:tx>
            <c:strRef>
              <c:f>'3) propensity to consume'!$A$246</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consume'!$B$246:$AJ$246</c:f>
              <c:numCache>
                <c:formatCode>0</c:formatCode>
                <c:ptCount val="35"/>
                <c:pt idx="0">
                  <c:v>20.381399999999999</c:v>
                </c:pt>
                <c:pt idx="1">
                  <c:v>27.954999999999998</c:v>
                </c:pt>
                <c:pt idx="2">
                  <c:v>33.073</c:v>
                </c:pt>
                <c:pt idx="3">
                  <c:v>30.662299999999998</c:v>
                </c:pt>
                <c:pt idx="4">
                  <c:v>26.014600000000002</c:v>
                </c:pt>
                <c:pt idx="5">
                  <c:v>23.121099999999998</c:v>
                </c:pt>
                <c:pt idx="6">
                  <c:v>19.628699999999998</c:v>
                </c:pt>
                <c:pt idx="7">
                  <c:v>17.029800000000002</c:v>
                </c:pt>
                <c:pt idx="8">
                  <c:v>15.082599999999999</c:v>
                </c:pt>
                <c:pt idx="9">
                  <c:v>14.766999999999999</c:v>
                </c:pt>
                <c:pt idx="10">
                  <c:v>18.057600000000001</c:v>
                </c:pt>
                <c:pt idx="11">
                  <c:v>19.606200000000001</c:v>
                </c:pt>
                <c:pt idx="12">
                  <c:v>25.059100000000001</c:v>
                </c:pt>
                <c:pt idx="13">
                  <c:v>29.237200000000001</c:v>
                </c:pt>
                <c:pt idx="14">
                  <c:v>31.0303</c:v>
                </c:pt>
                <c:pt idx="15">
                  <c:v>35.564</c:v>
                </c:pt>
                <c:pt idx="16">
                  <c:v>36.626300000000001</c:v>
                </c:pt>
                <c:pt idx="17">
                  <c:v>35.417200000000001</c:v>
                </c:pt>
                <c:pt idx="18">
                  <c:v>37.244300000000003</c:v>
                </c:pt>
                <c:pt idx="19">
                  <c:v>36.182699999999997</c:v>
                </c:pt>
                <c:pt idx="20">
                  <c:v>38.418999999999997</c:v>
                </c:pt>
                <c:pt idx="21">
                  <c:v>37.999099999999999</c:v>
                </c:pt>
                <c:pt idx="22">
                  <c:v>38.148600000000002</c:v>
                </c:pt>
                <c:pt idx="23">
                  <c:v>38.6967</c:v>
                </c:pt>
                <c:pt idx="24">
                  <c:v>35.768500000000003</c:v>
                </c:pt>
                <c:pt idx="25">
                  <c:v>35.990699999999997</c:v>
                </c:pt>
                <c:pt idx="26">
                  <c:v>36.5212</c:v>
                </c:pt>
                <c:pt idx="27">
                  <c:v>37.7806</c:v>
                </c:pt>
                <c:pt idx="28">
                  <c:v>38.653399999999998</c:v>
                </c:pt>
                <c:pt idx="29">
                  <c:v>38.922400000000003</c:v>
                </c:pt>
                <c:pt idx="30">
                  <c:v>41.125999999999998</c:v>
                </c:pt>
                <c:pt idx="31">
                  <c:v>41.275500000000001</c:v>
                </c:pt>
                <c:pt idx="32">
                  <c:v>41.546999999999997</c:v>
                </c:pt>
                <c:pt idx="33">
                  <c:v>41.275199999999998</c:v>
                </c:pt>
                <c:pt idx="34">
                  <c:v>44.651000000000003</c:v>
                </c:pt>
              </c:numCache>
            </c:numRef>
          </c:val>
          <c:smooth val="0"/>
          <c:extLst>
            <c:ext xmlns:c16="http://schemas.microsoft.com/office/drawing/2014/chart" uri="{C3380CC4-5D6E-409C-BE32-E72D297353CC}">
              <c16:uniqueId val="{00000002-CDB6-4FA3-8FA2-19CC87AFDE98}"/>
            </c:ext>
          </c:extLst>
        </c:ser>
        <c:ser>
          <c:idx val="2"/>
          <c:order val="3"/>
          <c:tx>
            <c:strRef>
              <c:f>'3) propensity to consume'!$A$247</c:f>
              <c:strCache>
                <c:ptCount val="1"/>
                <c:pt idx="0">
                  <c:v>FSP and LETS combined PC</c:v>
                </c:pt>
              </c:strCache>
            </c:strRef>
          </c:tx>
          <c:spPr>
            <a:ln w="12700" cap="rnd">
              <a:solidFill>
                <a:srgbClr val="7030A0"/>
              </a:solidFill>
              <a:prstDash val="lgDashDot"/>
              <a:round/>
            </a:ln>
            <a:effectLst/>
          </c:spPr>
          <c:marker>
            <c:symbol val="none"/>
          </c:marker>
          <c:cat>
            <c:numRef>
              <c:f>'3) propensity to consume'!$B$243:$AJ$243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consume'!$B$247:$AJ$247</c:f>
              <c:numCache>
                <c:formatCode>0</c:formatCode>
                <c:ptCount val="35"/>
                <c:pt idx="0">
                  <c:v>20.381399999999999</c:v>
                </c:pt>
                <c:pt idx="1">
                  <c:v>27.954999999999998</c:v>
                </c:pt>
                <c:pt idx="2">
                  <c:v>33.073</c:v>
                </c:pt>
                <c:pt idx="3">
                  <c:v>30.662299999999998</c:v>
                </c:pt>
                <c:pt idx="4">
                  <c:v>25.113199999999999</c:v>
                </c:pt>
                <c:pt idx="5">
                  <c:v>23.0915</c:v>
                </c:pt>
                <c:pt idx="6">
                  <c:v>22.424700000000001</c:v>
                </c:pt>
                <c:pt idx="7">
                  <c:v>21.035499999999999</c:v>
                </c:pt>
                <c:pt idx="8">
                  <c:v>19.909199999999998</c:v>
                </c:pt>
                <c:pt idx="9">
                  <c:v>19.278500000000001</c:v>
                </c:pt>
                <c:pt idx="10">
                  <c:v>23.464700000000001</c:v>
                </c:pt>
                <c:pt idx="11">
                  <c:v>27.888200000000001</c:v>
                </c:pt>
                <c:pt idx="12">
                  <c:v>32.453299999999999</c:v>
                </c:pt>
                <c:pt idx="13">
                  <c:v>34.731200000000001</c:v>
                </c:pt>
                <c:pt idx="14">
                  <c:v>34.686599999999999</c:v>
                </c:pt>
                <c:pt idx="15">
                  <c:v>40.237099999999998</c:v>
                </c:pt>
                <c:pt idx="16">
                  <c:v>42.161499999999997</c:v>
                </c:pt>
                <c:pt idx="17">
                  <c:v>39.916600000000003</c:v>
                </c:pt>
                <c:pt idx="18">
                  <c:v>38.3508</c:v>
                </c:pt>
                <c:pt idx="19">
                  <c:v>34.781599999999997</c:v>
                </c:pt>
                <c:pt idx="20">
                  <c:v>36.531599999999997</c:v>
                </c:pt>
                <c:pt idx="21">
                  <c:v>36.092100000000002</c:v>
                </c:pt>
                <c:pt idx="22">
                  <c:v>33.951099999999997</c:v>
                </c:pt>
                <c:pt idx="23">
                  <c:v>31.645299999999999</c:v>
                </c:pt>
                <c:pt idx="24">
                  <c:v>27.353200000000001</c:v>
                </c:pt>
                <c:pt idx="25">
                  <c:v>27.168099999999999</c:v>
                </c:pt>
                <c:pt idx="26">
                  <c:v>27.9467</c:v>
                </c:pt>
                <c:pt idx="27">
                  <c:v>26.858799999999999</c:v>
                </c:pt>
                <c:pt idx="28">
                  <c:v>25.661799999999999</c:v>
                </c:pt>
                <c:pt idx="29">
                  <c:v>24.7666</c:v>
                </c:pt>
                <c:pt idx="30">
                  <c:v>27.302600000000002</c:v>
                </c:pt>
                <c:pt idx="31">
                  <c:v>28.509699999999999</c:v>
                </c:pt>
                <c:pt idx="32">
                  <c:v>27.686</c:v>
                </c:pt>
                <c:pt idx="33">
                  <c:v>26.290299999999998</c:v>
                </c:pt>
                <c:pt idx="34">
                  <c:v>31.685500000000001</c:v>
                </c:pt>
              </c:numCache>
            </c:numRef>
          </c:val>
          <c:smooth val="0"/>
          <c:extLst>
            <c:ext xmlns:c16="http://schemas.microsoft.com/office/drawing/2014/chart" uri="{C3380CC4-5D6E-409C-BE32-E72D297353CC}">
              <c16:uniqueId val="{00000003-CDB6-4FA3-8FA2-19CC87AFDE98}"/>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1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sz="1000" b="0" i="0" u="none" strike="noStrike" baseline="0">
                    <a:effectLst/>
                  </a:rPr>
                  <a:t>£ bn</a:t>
                </a:r>
                <a:endParaRPr lang="de-CH"/>
              </a:p>
            </c:rich>
          </c:tx>
          <c:layout>
            <c:manualLayout>
              <c:xMode val="edge"/>
              <c:yMode val="edge"/>
              <c:x val="4.4366877850820573E-2"/>
              <c:y val="0.3267953484981043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83511747532323"/>
          <c:y val="0.87204097874862418"/>
          <c:w val="0.8958577452946978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'3) propensity to consume'!$A$276</c:f>
              <c:strCache>
                <c:ptCount val="1"/>
                <c:pt idx="0">
                  <c:v>Base-run PC</c:v>
                </c:pt>
              </c:strCache>
            </c:strRef>
          </c:tx>
          <c:spPr>
            <a:ln w="12700" cap="rnd">
              <a:solidFill>
                <a:sysClr val="windowText" lastClr="000000"/>
              </a:solidFill>
              <a:round/>
            </a:ln>
            <a:effectLst/>
          </c:spPr>
          <c:marker>
            <c:symbol val="none"/>
          </c:marker>
          <c:cat>
            <c:numRef>
              <c:f>'3) propensity to consume'!$B$275:$AJ$275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consume'!$B$276:$AJ$276</c:f>
              <c:numCache>
                <c:formatCode>0.00</c:formatCode>
                <c:ptCount val="35"/>
                <c:pt idx="0">
                  <c:v>0.18823599999999999</c:v>
                </c:pt>
                <c:pt idx="1">
                  <c:v>0.19115199999999999</c:v>
                </c:pt>
                <c:pt idx="2">
                  <c:v>0.19982</c:v>
                </c:pt>
                <c:pt idx="3">
                  <c:v>0.20366799999999999</c:v>
                </c:pt>
                <c:pt idx="4">
                  <c:v>0.20336699999999999</c:v>
                </c:pt>
                <c:pt idx="5">
                  <c:v>0.20118900000000001</c:v>
                </c:pt>
                <c:pt idx="6">
                  <c:v>0.19801099999999999</c:v>
                </c:pt>
                <c:pt idx="7">
                  <c:v>0.194185</c:v>
                </c:pt>
                <c:pt idx="8">
                  <c:v>0.19031100000000001</c:v>
                </c:pt>
                <c:pt idx="9">
                  <c:v>0.18885399999999999</c:v>
                </c:pt>
                <c:pt idx="10">
                  <c:v>0.191161</c:v>
                </c:pt>
                <c:pt idx="11">
                  <c:v>0.19597200000000001</c:v>
                </c:pt>
                <c:pt idx="12">
                  <c:v>0.209927</c:v>
                </c:pt>
                <c:pt idx="13">
                  <c:v>0.23499700000000001</c:v>
                </c:pt>
                <c:pt idx="14">
                  <c:v>0.25814300000000001</c:v>
                </c:pt>
                <c:pt idx="15">
                  <c:v>0.27895700000000001</c:v>
                </c:pt>
                <c:pt idx="16">
                  <c:v>0.30205300000000002</c:v>
                </c:pt>
                <c:pt idx="17">
                  <c:v>0.31767699999999999</c:v>
                </c:pt>
                <c:pt idx="18">
                  <c:v>0.33601900000000001</c:v>
                </c:pt>
                <c:pt idx="19">
                  <c:v>0.35368100000000002</c:v>
                </c:pt>
                <c:pt idx="20">
                  <c:v>0.36690400000000001</c:v>
                </c:pt>
                <c:pt idx="21">
                  <c:v>0.379778</c:v>
                </c:pt>
                <c:pt idx="22">
                  <c:v>0.39249099999999998</c:v>
                </c:pt>
                <c:pt idx="23">
                  <c:v>0.40889500000000001</c:v>
                </c:pt>
                <c:pt idx="24">
                  <c:v>0.41727300000000001</c:v>
                </c:pt>
                <c:pt idx="25">
                  <c:v>0.41281699999999999</c:v>
                </c:pt>
                <c:pt idx="26">
                  <c:v>0.41187699999999999</c:v>
                </c:pt>
                <c:pt idx="27">
                  <c:v>0.42125499999999999</c:v>
                </c:pt>
                <c:pt idx="28">
                  <c:v>0.43459900000000001</c:v>
                </c:pt>
                <c:pt idx="29">
                  <c:v>0.44606099999999999</c:v>
                </c:pt>
                <c:pt idx="30">
                  <c:v>0.45583800000000002</c:v>
                </c:pt>
                <c:pt idx="31">
                  <c:v>0.464783</c:v>
                </c:pt>
                <c:pt idx="32">
                  <c:v>0.47333799999999998</c:v>
                </c:pt>
                <c:pt idx="33">
                  <c:v>0.48068699999999998</c:v>
                </c:pt>
                <c:pt idx="34">
                  <c:v>0.48477100000000001</c:v>
                </c:pt>
              </c:numCache>
            </c:numRef>
          </c:val>
          <c:smooth val="0"/>
          <c:extLst>
            <c:ext xmlns:c16="http://schemas.microsoft.com/office/drawing/2014/chart" uri="{C3380CC4-5D6E-409C-BE32-E72D297353CC}">
              <c16:uniqueId val="{00000000-0289-4AD9-B193-B0F875ECF30F}"/>
            </c:ext>
          </c:extLst>
        </c:ser>
        <c:ser>
          <c:idx val="4"/>
          <c:order val="1"/>
          <c:tx>
            <c:strRef>
              <c:f>'3) propensity to consume'!$A$277</c:f>
              <c:strCache>
                <c:ptCount val="1"/>
                <c:pt idx="0">
                  <c:v>Finance system’s policy (FSP) PC</c:v>
                </c:pt>
              </c:strCache>
            </c:strRef>
          </c:tx>
          <c:spPr>
            <a:ln w="12700" cap="rnd">
              <a:solidFill>
                <a:srgbClr val="70AD47">
                  <a:lumMod val="75000"/>
                </a:srgbClr>
              </a:solidFill>
              <a:prstDash val="dash"/>
              <a:round/>
            </a:ln>
            <a:effectLst/>
          </c:spPr>
          <c:marker>
            <c:symbol val="none"/>
          </c:marker>
          <c:cat>
            <c:numRef>
              <c:f>'3) propensity to consume'!$B$275:$AJ$275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consume'!$B$277:$AJ$277</c:f>
              <c:numCache>
                <c:formatCode>0.00</c:formatCode>
                <c:ptCount val="35"/>
                <c:pt idx="0">
                  <c:v>0.18823599999999999</c:v>
                </c:pt>
                <c:pt idx="1">
                  <c:v>0.19115199999999999</c:v>
                </c:pt>
                <c:pt idx="2">
                  <c:v>0.19982</c:v>
                </c:pt>
                <c:pt idx="3">
                  <c:v>0.20366799999999999</c:v>
                </c:pt>
                <c:pt idx="4">
                  <c:v>0.20336699999999999</c:v>
                </c:pt>
                <c:pt idx="5">
                  <c:v>0.20118900000000001</c:v>
                </c:pt>
                <c:pt idx="6">
                  <c:v>0.19801099999999999</c:v>
                </c:pt>
                <c:pt idx="7">
                  <c:v>0.19585900000000001</c:v>
                </c:pt>
                <c:pt idx="8">
                  <c:v>0.19864100000000001</c:v>
                </c:pt>
                <c:pt idx="9">
                  <c:v>0.205789</c:v>
                </c:pt>
                <c:pt idx="10">
                  <c:v>0.21473999999999999</c:v>
                </c:pt>
                <c:pt idx="11">
                  <c:v>0.224047</c:v>
                </c:pt>
                <c:pt idx="12">
                  <c:v>0.24662400000000001</c:v>
                </c:pt>
                <c:pt idx="13">
                  <c:v>0.28791800000000001</c:v>
                </c:pt>
                <c:pt idx="14">
                  <c:v>0.32104199999999999</c:v>
                </c:pt>
                <c:pt idx="15">
                  <c:v>0.34884900000000002</c:v>
                </c:pt>
                <c:pt idx="16">
                  <c:v>0.37662400000000001</c:v>
                </c:pt>
                <c:pt idx="17">
                  <c:v>0.391428</c:v>
                </c:pt>
                <c:pt idx="18">
                  <c:v>0.411634</c:v>
                </c:pt>
                <c:pt idx="19">
                  <c:v>0.42896499999999999</c:v>
                </c:pt>
                <c:pt idx="20">
                  <c:v>0.44114799999999998</c:v>
                </c:pt>
                <c:pt idx="21">
                  <c:v>0.45283400000000001</c:v>
                </c:pt>
                <c:pt idx="22">
                  <c:v>0.46507900000000002</c:v>
                </c:pt>
                <c:pt idx="23">
                  <c:v>0.482626</c:v>
                </c:pt>
                <c:pt idx="24">
                  <c:v>0.488875</c:v>
                </c:pt>
                <c:pt idx="25">
                  <c:v>0.48168800000000001</c:v>
                </c:pt>
                <c:pt idx="26">
                  <c:v>0.47833199999999998</c:v>
                </c:pt>
                <c:pt idx="27">
                  <c:v>0.48831799999999997</c:v>
                </c:pt>
                <c:pt idx="28">
                  <c:v>0.50316399999999994</c:v>
                </c:pt>
                <c:pt idx="29">
                  <c:v>0.51537200000000005</c:v>
                </c:pt>
                <c:pt idx="30">
                  <c:v>0.52617000000000003</c:v>
                </c:pt>
                <c:pt idx="31">
                  <c:v>0.53546000000000005</c:v>
                </c:pt>
                <c:pt idx="32">
                  <c:v>0.54435299999999998</c:v>
                </c:pt>
                <c:pt idx="33">
                  <c:v>0.55160200000000004</c:v>
                </c:pt>
                <c:pt idx="34">
                  <c:v>0.55519499999999999</c:v>
                </c:pt>
              </c:numCache>
            </c:numRef>
          </c:val>
          <c:smooth val="0"/>
          <c:extLst>
            <c:ext xmlns:c16="http://schemas.microsoft.com/office/drawing/2014/chart" uri="{C3380CC4-5D6E-409C-BE32-E72D297353CC}">
              <c16:uniqueId val="{00000001-0289-4AD9-B193-B0F875ECF30F}"/>
            </c:ext>
          </c:extLst>
        </c:ser>
        <c:ser>
          <c:idx val="0"/>
          <c:order val="2"/>
          <c:tx>
            <c:strRef>
              <c:f>'3) propensity to consume'!$A$278</c:f>
              <c:strCache>
                <c:ptCount val="1"/>
                <c:pt idx="0">
                  <c:v>Low-carbon energy transition scenario (LETS) PC</c:v>
                </c:pt>
              </c:strCache>
            </c:strRef>
          </c:tx>
          <c:spPr>
            <a:ln w="12700" cap="rnd">
              <a:solidFill>
                <a:srgbClr val="5B9BD5">
                  <a:lumMod val="60000"/>
                  <a:lumOff val="40000"/>
                </a:srgbClr>
              </a:solidFill>
              <a:prstDash val="sysDash"/>
              <a:round/>
            </a:ln>
            <a:effectLst/>
          </c:spPr>
          <c:marker>
            <c:symbol val="none"/>
          </c:marker>
          <c:cat>
            <c:numRef>
              <c:f>'3) propensity to consume'!$B$275:$AJ$275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consume'!$B$278:$AJ$278</c:f>
              <c:numCache>
                <c:formatCode>0.00</c:formatCode>
                <c:ptCount val="35"/>
                <c:pt idx="0">
                  <c:v>0.18823599999999999</c:v>
                </c:pt>
                <c:pt idx="1">
                  <c:v>0.19115199999999999</c:v>
                </c:pt>
                <c:pt idx="2">
                  <c:v>0.19982</c:v>
                </c:pt>
                <c:pt idx="3">
                  <c:v>0.20366799999999999</c:v>
                </c:pt>
                <c:pt idx="4">
                  <c:v>0.20336699999999999</c:v>
                </c:pt>
                <c:pt idx="5">
                  <c:v>0.19575100000000001</c:v>
                </c:pt>
                <c:pt idx="6">
                  <c:v>0.19308500000000001</c:v>
                </c:pt>
                <c:pt idx="7">
                  <c:v>0.189941</c:v>
                </c:pt>
                <c:pt idx="8">
                  <c:v>0.18650700000000001</c:v>
                </c:pt>
                <c:pt idx="9">
                  <c:v>0.18512700000000001</c:v>
                </c:pt>
                <c:pt idx="10">
                  <c:v>0.181869</c:v>
                </c:pt>
                <c:pt idx="11">
                  <c:v>0.18625700000000001</c:v>
                </c:pt>
                <c:pt idx="12">
                  <c:v>0.19942399999999999</c:v>
                </c:pt>
                <c:pt idx="13">
                  <c:v>0.22311300000000001</c:v>
                </c:pt>
                <c:pt idx="14">
                  <c:v>0.244475</c:v>
                </c:pt>
                <c:pt idx="15">
                  <c:v>0.25853399999999999</c:v>
                </c:pt>
                <c:pt idx="16">
                  <c:v>0.27982800000000002</c:v>
                </c:pt>
                <c:pt idx="17">
                  <c:v>0.29372799999999999</c:v>
                </c:pt>
                <c:pt idx="18">
                  <c:v>0.31047799999999998</c:v>
                </c:pt>
                <c:pt idx="19">
                  <c:v>0.32663799999999998</c:v>
                </c:pt>
                <c:pt idx="20">
                  <c:v>0.334152</c:v>
                </c:pt>
                <c:pt idx="21">
                  <c:v>0.34600399999999998</c:v>
                </c:pt>
                <c:pt idx="22">
                  <c:v>0.35786299999999999</c:v>
                </c:pt>
                <c:pt idx="23">
                  <c:v>0.37351499999999999</c:v>
                </c:pt>
                <c:pt idx="24">
                  <c:v>0.38155800000000001</c:v>
                </c:pt>
                <c:pt idx="25">
                  <c:v>0.37541200000000002</c:v>
                </c:pt>
                <c:pt idx="26">
                  <c:v>0.376975</c:v>
                </c:pt>
                <c:pt idx="27">
                  <c:v>0.38695200000000002</c:v>
                </c:pt>
                <c:pt idx="28">
                  <c:v>0.40032699999999999</c:v>
                </c:pt>
                <c:pt idx="29">
                  <c:v>0.41162799999999999</c:v>
                </c:pt>
                <c:pt idx="30">
                  <c:v>0.417632</c:v>
                </c:pt>
                <c:pt idx="31">
                  <c:v>0.42636200000000002</c:v>
                </c:pt>
                <c:pt idx="32">
                  <c:v>0.43466199999999999</c:v>
                </c:pt>
                <c:pt idx="33">
                  <c:v>0.44173600000000002</c:v>
                </c:pt>
                <c:pt idx="34">
                  <c:v>0.43741600000000003</c:v>
                </c:pt>
              </c:numCache>
            </c:numRef>
          </c:val>
          <c:smooth val="0"/>
          <c:extLst>
            <c:ext xmlns:c16="http://schemas.microsoft.com/office/drawing/2014/chart" uri="{C3380CC4-5D6E-409C-BE32-E72D297353CC}">
              <c16:uniqueId val="{00000002-0289-4AD9-B193-B0F875ECF30F}"/>
            </c:ext>
          </c:extLst>
        </c:ser>
        <c:ser>
          <c:idx val="2"/>
          <c:order val="3"/>
          <c:tx>
            <c:strRef>
              <c:f>'3) propensity to consume'!$A$279</c:f>
              <c:strCache>
                <c:ptCount val="1"/>
                <c:pt idx="0">
                  <c:v>FSP and LETS combined PC</c:v>
                </c:pt>
              </c:strCache>
            </c:strRef>
          </c:tx>
          <c:spPr>
            <a:ln w="12700" cap="rnd">
              <a:solidFill>
                <a:srgbClr val="7030A0"/>
              </a:solidFill>
              <a:prstDash val="lgDashDot"/>
              <a:round/>
            </a:ln>
            <a:effectLst/>
          </c:spPr>
          <c:marker>
            <c:symbol val="none"/>
          </c:marker>
          <c:cat>
            <c:numRef>
              <c:f>'3) propensity to consume'!$B$275:$AJ$275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'3) propensity to consume'!$B$279:$AJ$279</c:f>
              <c:numCache>
                <c:formatCode>0.00</c:formatCode>
                <c:ptCount val="35"/>
                <c:pt idx="0">
                  <c:v>0.18823599999999999</c:v>
                </c:pt>
                <c:pt idx="1">
                  <c:v>0.19115199999999999</c:v>
                </c:pt>
                <c:pt idx="2">
                  <c:v>0.19982</c:v>
                </c:pt>
                <c:pt idx="3">
                  <c:v>0.20366799999999999</c:v>
                </c:pt>
                <c:pt idx="4">
                  <c:v>0.20336699999999999</c:v>
                </c:pt>
                <c:pt idx="5">
                  <c:v>0.19669500000000001</c:v>
                </c:pt>
                <c:pt idx="6">
                  <c:v>0.20143</c:v>
                </c:pt>
                <c:pt idx="7">
                  <c:v>0.205482</c:v>
                </c:pt>
                <c:pt idx="8">
                  <c:v>0.208787</c:v>
                </c:pt>
                <c:pt idx="9">
                  <c:v>0.21295700000000001</c:v>
                </c:pt>
                <c:pt idx="10">
                  <c:v>0.21606700000000001</c:v>
                </c:pt>
                <c:pt idx="11">
                  <c:v>0.242646</c:v>
                </c:pt>
                <c:pt idx="12">
                  <c:v>0.274536</c:v>
                </c:pt>
                <c:pt idx="13">
                  <c:v>0.31376500000000002</c:v>
                </c:pt>
                <c:pt idx="14">
                  <c:v>0.34545500000000001</c:v>
                </c:pt>
                <c:pt idx="15">
                  <c:v>0.37576700000000002</c:v>
                </c:pt>
                <c:pt idx="16">
                  <c:v>0.43332199999999998</c:v>
                </c:pt>
                <c:pt idx="17">
                  <c:v>0.47400300000000001</c:v>
                </c:pt>
                <c:pt idx="18">
                  <c:v>0.50572499999999998</c:v>
                </c:pt>
                <c:pt idx="19">
                  <c:v>0.52857900000000002</c:v>
                </c:pt>
                <c:pt idx="20">
                  <c:v>0.54446700000000003</c:v>
                </c:pt>
                <c:pt idx="21">
                  <c:v>0.57994900000000005</c:v>
                </c:pt>
                <c:pt idx="22">
                  <c:v>0.60515799999999997</c:v>
                </c:pt>
                <c:pt idx="23">
                  <c:v>0.62329599999999996</c:v>
                </c:pt>
                <c:pt idx="24">
                  <c:v>0.63101700000000005</c:v>
                </c:pt>
                <c:pt idx="25">
                  <c:v>0.62710600000000005</c:v>
                </c:pt>
                <c:pt idx="26">
                  <c:v>0.64490499999999995</c:v>
                </c:pt>
                <c:pt idx="27">
                  <c:v>0.66055900000000001</c:v>
                </c:pt>
                <c:pt idx="28">
                  <c:v>0.67043799999999998</c:v>
                </c:pt>
                <c:pt idx="29">
                  <c:v>0.67712899999999998</c:v>
                </c:pt>
                <c:pt idx="30">
                  <c:v>0.68308100000000005</c:v>
                </c:pt>
                <c:pt idx="31">
                  <c:v>0.70661099999999999</c:v>
                </c:pt>
                <c:pt idx="32">
                  <c:v>0.723468</c:v>
                </c:pt>
                <c:pt idx="33">
                  <c:v>0.73227500000000001</c:v>
                </c:pt>
                <c:pt idx="34">
                  <c:v>0.73327900000000001</c:v>
                </c:pt>
              </c:numCache>
            </c:numRef>
          </c:val>
          <c:smooth val="0"/>
          <c:extLst>
            <c:ext xmlns:c16="http://schemas.microsoft.com/office/drawing/2014/chart" uri="{C3380CC4-5D6E-409C-BE32-E72D297353CC}">
              <c16:uniqueId val="{00000003-0289-4AD9-B193-B0F875ECF30F}"/>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0.15000000000000002"/>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Mio people</a:t>
                </a:r>
                <a:endParaRPr lang="de-CH" sz="1000">
                  <a:effectLst/>
                </a:endParaRPr>
              </a:p>
            </c:rich>
          </c:tx>
          <c:layout>
            <c:manualLayout>
              <c:xMode val="edge"/>
              <c:yMode val="edge"/>
              <c:x val="1.9912030163080935E-2"/>
              <c:y val="0.29178819294490055"/>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761470527244198"/>
          <c:y val="0.87204097874862418"/>
          <c:w val="0.8380529970561806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prices'!$A$101</c:f>
              <c:strCache>
                <c:ptCount val="1"/>
                <c:pt idx="0">
                  <c:v>Base-run IP</c:v>
                </c:pt>
              </c:strCache>
            </c:strRef>
          </c:tx>
          <c:spPr>
            <a:ln w="12700" cap="rnd">
              <a:solidFill>
                <a:sysClr val="windowText" lastClr="000000"/>
              </a:solidFill>
              <a:round/>
            </a:ln>
            <a:effectLst/>
          </c:spPr>
          <c:marker>
            <c:symbol val="none"/>
          </c:marker>
          <c:cat>
            <c:numRef>
              <c:f>'5) Higher import prices'!$B$100:$AJ$100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prices'!$B$101:$AJ$101</c:f>
              <c:numCache>
                <c:formatCode>0</c:formatCode>
                <c:ptCount val="35"/>
                <c:pt idx="0">
                  <c:v>12.885899999999999</c:v>
                </c:pt>
                <c:pt idx="1">
                  <c:v>12.906499999999999</c:v>
                </c:pt>
                <c:pt idx="2">
                  <c:v>13.020799999999999</c:v>
                </c:pt>
                <c:pt idx="3">
                  <c:v>13.116199999999999</c:v>
                </c:pt>
                <c:pt idx="4">
                  <c:v>13.1227</c:v>
                </c:pt>
                <c:pt idx="5">
                  <c:v>13.0457</c:v>
                </c:pt>
                <c:pt idx="6">
                  <c:v>12.9092</c:v>
                </c:pt>
                <c:pt idx="7">
                  <c:v>12.7319</c:v>
                </c:pt>
                <c:pt idx="8">
                  <c:v>12.532</c:v>
                </c:pt>
                <c:pt idx="9">
                  <c:v>12.351800000000001</c:v>
                </c:pt>
                <c:pt idx="10">
                  <c:v>12.222099999999999</c:v>
                </c:pt>
                <c:pt idx="11">
                  <c:v>12.141500000000001</c:v>
                </c:pt>
                <c:pt idx="12">
                  <c:v>12.133800000000001</c:v>
                </c:pt>
                <c:pt idx="13">
                  <c:v>12.257999999999999</c:v>
                </c:pt>
                <c:pt idx="14">
                  <c:v>12.466799999999999</c:v>
                </c:pt>
                <c:pt idx="15">
                  <c:v>12.690200000000001</c:v>
                </c:pt>
                <c:pt idx="16">
                  <c:v>12.9176</c:v>
                </c:pt>
                <c:pt idx="17">
                  <c:v>13.1235</c:v>
                </c:pt>
                <c:pt idx="18">
                  <c:v>13.298500000000001</c:v>
                </c:pt>
                <c:pt idx="19">
                  <c:v>13.455</c:v>
                </c:pt>
                <c:pt idx="20">
                  <c:v>13.570600000000001</c:v>
                </c:pt>
                <c:pt idx="21">
                  <c:v>13.648899999999999</c:v>
                </c:pt>
                <c:pt idx="22">
                  <c:v>13.6929</c:v>
                </c:pt>
                <c:pt idx="23">
                  <c:v>13.7195</c:v>
                </c:pt>
                <c:pt idx="24">
                  <c:v>13.7225</c:v>
                </c:pt>
                <c:pt idx="25">
                  <c:v>13.667999999999999</c:v>
                </c:pt>
                <c:pt idx="26">
                  <c:v>13.567</c:v>
                </c:pt>
                <c:pt idx="27">
                  <c:v>13.4636</c:v>
                </c:pt>
                <c:pt idx="28">
                  <c:v>13.3795</c:v>
                </c:pt>
                <c:pt idx="29">
                  <c:v>13.3124</c:v>
                </c:pt>
                <c:pt idx="30">
                  <c:v>13.257199999999999</c:v>
                </c:pt>
                <c:pt idx="31">
                  <c:v>13.213699999999999</c:v>
                </c:pt>
                <c:pt idx="32">
                  <c:v>13.180999999999999</c:v>
                </c:pt>
                <c:pt idx="33">
                  <c:v>13.156000000000001</c:v>
                </c:pt>
                <c:pt idx="34">
                  <c:v>13.128</c:v>
                </c:pt>
              </c:numCache>
            </c:numRef>
          </c:val>
          <c:smooth val="0"/>
          <c:extLst>
            <c:ext xmlns:c16="http://schemas.microsoft.com/office/drawing/2014/chart" uri="{C3380CC4-5D6E-409C-BE32-E72D297353CC}">
              <c16:uniqueId val="{00000000-E6B5-4250-B104-721CE967E07E}"/>
            </c:ext>
          </c:extLst>
        </c:ser>
        <c:ser>
          <c:idx val="4"/>
          <c:order val="1"/>
          <c:tx>
            <c:strRef>
              <c:f>'5) Higher import prices'!$A$102</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prices'!$B$102:$AJ$102</c:f>
              <c:numCache>
                <c:formatCode>0</c:formatCode>
                <c:ptCount val="35"/>
                <c:pt idx="0">
                  <c:v>12.885899999999999</c:v>
                </c:pt>
                <c:pt idx="1">
                  <c:v>12.906499999999999</c:v>
                </c:pt>
                <c:pt idx="2">
                  <c:v>13.020799999999999</c:v>
                </c:pt>
                <c:pt idx="3">
                  <c:v>13.116199999999999</c:v>
                </c:pt>
                <c:pt idx="4">
                  <c:v>13.1227</c:v>
                </c:pt>
                <c:pt idx="5">
                  <c:v>13.0457</c:v>
                </c:pt>
                <c:pt idx="6">
                  <c:v>12.9092</c:v>
                </c:pt>
                <c:pt idx="7">
                  <c:v>12.7377</c:v>
                </c:pt>
                <c:pt idx="8">
                  <c:v>12.570600000000001</c:v>
                </c:pt>
                <c:pt idx="9">
                  <c:v>12.432700000000001</c:v>
                </c:pt>
                <c:pt idx="10">
                  <c:v>12.3222</c:v>
                </c:pt>
                <c:pt idx="11">
                  <c:v>12.2256</c:v>
                </c:pt>
                <c:pt idx="12">
                  <c:v>12.1646</c:v>
                </c:pt>
                <c:pt idx="13">
                  <c:v>12.1883</c:v>
                </c:pt>
                <c:pt idx="14">
                  <c:v>12.255100000000001</c:v>
                </c:pt>
                <c:pt idx="15">
                  <c:v>12.3095</c:v>
                </c:pt>
                <c:pt idx="16">
                  <c:v>12.346500000000001</c:v>
                </c:pt>
                <c:pt idx="17">
                  <c:v>12.350899999999999</c:v>
                </c:pt>
                <c:pt idx="18">
                  <c:v>12.3253</c:v>
                </c:pt>
                <c:pt idx="19">
                  <c:v>12.2867</c:v>
                </c:pt>
                <c:pt idx="20">
                  <c:v>12.2242</c:v>
                </c:pt>
                <c:pt idx="21">
                  <c:v>12.1456</c:v>
                </c:pt>
                <c:pt idx="22">
                  <c:v>12.055999999999999</c:v>
                </c:pt>
                <c:pt idx="23">
                  <c:v>11.9681</c:v>
                </c:pt>
                <c:pt idx="24">
                  <c:v>11.873799999999999</c:v>
                </c:pt>
                <c:pt idx="25">
                  <c:v>11.7475</c:v>
                </c:pt>
                <c:pt idx="26">
                  <c:v>11.5968</c:v>
                </c:pt>
                <c:pt idx="27">
                  <c:v>11.4541</c:v>
                </c:pt>
                <c:pt idx="28">
                  <c:v>11.332000000000001</c:v>
                </c:pt>
                <c:pt idx="29">
                  <c:v>11.224</c:v>
                </c:pt>
                <c:pt idx="30">
                  <c:v>11.1229</c:v>
                </c:pt>
                <c:pt idx="31">
                  <c:v>11.026300000000001</c:v>
                </c:pt>
                <c:pt idx="32">
                  <c:v>10.932700000000001</c:v>
                </c:pt>
                <c:pt idx="33">
                  <c:v>10.841100000000001</c:v>
                </c:pt>
                <c:pt idx="34">
                  <c:v>10.7462</c:v>
                </c:pt>
              </c:numCache>
            </c:numRef>
          </c:val>
          <c:smooth val="0"/>
          <c:extLst>
            <c:ext xmlns:c16="http://schemas.microsoft.com/office/drawing/2014/chart" uri="{C3380CC4-5D6E-409C-BE32-E72D297353CC}">
              <c16:uniqueId val="{00000001-E6B5-4250-B104-721CE967E07E}"/>
            </c:ext>
          </c:extLst>
        </c:ser>
        <c:ser>
          <c:idx val="0"/>
          <c:order val="2"/>
          <c:tx>
            <c:strRef>
              <c:f>'5) Higher import prices'!$A$103</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prices'!$B$103:$AJ$103</c:f>
              <c:numCache>
                <c:formatCode>0</c:formatCode>
                <c:ptCount val="35"/>
                <c:pt idx="0">
                  <c:v>12.885899999999999</c:v>
                </c:pt>
                <c:pt idx="1">
                  <c:v>12.906499999999999</c:v>
                </c:pt>
                <c:pt idx="2">
                  <c:v>13.020799999999999</c:v>
                </c:pt>
                <c:pt idx="3">
                  <c:v>13.116199999999999</c:v>
                </c:pt>
                <c:pt idx="4">
                  <c:v>13.1227</c:v>
                </c:pt>
                <c:pt idx="5">
                  <c:v>11.6111</c:v>
                </c:pt>
                <c:pt idx="6">
                  <c:v>11.510199999999999</c:v>
                </c:pt>
                <c:pt idx="7">
                  <c:v>11.3675</c:v>
                </c:pt>
                <c:pt idx="8">
                  <c:v>11.195600000000001</c:v>
                </c:pt>
                <c:pt idx="9">
                  <c:v>11.0032</c:v>
                </c:pt>
                <c:pt idx="10">
                  <c:v>9.4241499999999991</c:v>
                </c:pt>
                <c:pt idx="11">
                  <c:v>9.2416699999999992</c:v>
                </c:pt>
                <c:pt idx="12">
                  <c:v>9.0522100000000005</c:v>
                </c:pt>
                <c:pt idx="13">
                  <c:v>8.8585200000000004</c:v>
                </c:pt>
                <c:pt idx="14">
                  <c:v>8.6627200000000002</c:v>
                </c:pt>
                <c:pt idx="15">
                  <c:v>7.2116499999999997</c:v>
                </c:pt>
                <c:pt idx="16">
                  <c:v>7.0471399999999997</c:v>
                </c:pt>
                <c:pt idx="17">
                  <c:v>6.8834999999999997</c:v>
                </c:pt>
                <c:pt idx="18">
                  <c:v>6.7214299999999998</c:v>
                </c:pt>
                <c:pt idx="19">
                  <c:v>6.5614699999999999</c:v>
                </c:pt>
                <c:pt idx="20">
                  <c:v>5.2734699999999997</c:v>
                </c:pt>
                <c:pt idx="21">
                  <c:v>5.1467400000000003</c:v>
                </c:pt>
                <c:pt idx="22">
                  <c:v>5.0222699999999998</c:v>
                </c:pt>
                <c:pt idx="23">
                  <c:v>4.9001999999999999</c:v>
                </c:pt>
                <c:pt idx="24">
                  <c:v>4.7806300000000004</c:v>
                </c:pt>
                <c:pt idx="25">
                  <c:v>3.6503700000000001</c:v>
                </c:pt>
                <c:pt idx="26">
                  <c:v>3.5610300000000001</c:v>
                </c:pt>
                <c:pt idx="27">
                  <c:v>3.4736600000000002</c:v>
                </c:pt>
                <c:pt idx="28">
                  <c:v>3.3882599999999998</c:v>
                </c:pt>
                <c:pt idx="29">
                  <c:v>3.30484</c:v>
                </c:pt>
                <c:pt idx="30">
                  <c:v>2.3170000000000002</c:v>
                </c:pt>
                <c:pt idx="31">
                  <c:v>2.2599100000000001</c:v>
                </c:pt>
                <c:pt idx="32">
                  <c:v>2.2041599999999999</c:v>
                </c:pt>
                <c:pt idx="33">
                  <c:v>2.14975</c:v>
                </c:pt>
                <c:pt idx="34">
                  <c:v>1.3535200000000001E-4</c:v>
                </c:pt>
              </c:numCache>
            </c:numRef>
          </c:val>
          <c:smooth val="0"/>
          <c:extLst>
            <c:ext xmlns:c16="http://schemas.microsoft.com/office/drawing/2014/chart" uri="{C3380CC4-5D6E-409C-BE32-E72D297353CC}">
              <c16:uniqueId val="{00000002-E6B5-4250-B104-721CE967E07E}"/>
            </c:ext>
          </c:extLst>
        </c:ser>
        <c:ser>
          <c:idx val="2"/>
          <c:order val="3"/>
          <c:tx>
            <c:strRef>
              <c:f>'5) Higher import prices'!$A$104</c:f>
              <c:strCache>
                <c:ptCount val="1"/>
                <c:pt idx="0">
                  <c:v>FSP and LETS combined IP</c:v>
                </c:pt>
              </c:strCache>
            </c:strRef>
          </c:tx>
          <c:spPr>
            <a:ln w="12700" cap="rnd">
              <a:solidFill>
                <a:srgbClr val="7030A0"/>
              </a:solidFill>
              <a:prstDash val="lgDashDot"/>
              <a:round/>
            </a:ln>
            <a:effectLst/>
          </c:spPr>
          <c:marker>
            <c:symbol val="none"/>
          </c:marker>
          <c:cat>
            <c:numRef>
              <c:f>'5) Higher import prices'!$B$100:$AJ$100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prices'!$B$104:$AJ$104</c:f>
              <c:numCache>
                <c:formatCode>0</c:formatCode>
                <c:ptCount val="35"/>
                <c:pt idx="0">
                  <c:v>12.885899999999999</c:v>
                </c:pt>
                <c:pt idx="1">
                  <c:v>12.906499999999999</c:v>
                </c:pt>
                <c:pt idx="2">
                  <c:v>13.020799999999999</c:v>
                </c:pt>
                <c:pt idx="3">
                  <c:v>13.116199999999999</c:v>
                </c:pt>
                <c:pt idx="4">
                  <c:v>13.1227</c:v>
                </c:pt>
                <c:pt idx="5">
                  <c:v>11.6111</c:v>
                </c:pt>
                <c:pt idx="6">
                  <c:v>11.510199999999999</c:v>
                </c:pt>
                <c:pt idx="7">
                  <c:v>11.3675</c:v>
                </c:pt>
                <c:pt idx="8">
                  <c:v>11.195600000000001</c:v>
                </c:pt>
                <c:pt idx="9">
                  <c:v>11.0032</c:v>
                </c:pt>
                <c:pt idx="10">
                  <c:v>9.4241499999999991</c:v>
                </c:pt>
                <c:pt idx="11">
                  <c:v>9.2416699999999992</c:v>
                </c:pt>
                <c:pt idx="12">
                  <c:v>9.0522100000000005</c:v>
                </c:pt>
                <c:pt idx="13">
                  <c:v>8.8585200000000004</c:v>
                </c:pt>
                <c:pt idx="14">
                  <c:v>8.6627200000000002</c:v>
                </c:pt>
                <c:pt idx="15">
                  <c:v>7.2116499999999997</c:v>
                </c:pt>
                <c:pt idx="16">
                  <c:v>7.0471399999999997</c:v>
                </c:pt>
                <c:pt idx="17">
                  <c:v>6.8834999999999997</c:v>
                </c:pt>
                <c:pt idx="18">
                  <c:v>6.7214299999999998</c:v>
                </c:pt>
                <c:pt idx="19">
                  <c:v>6.5614699999999999</c:v>
                </c:pt>
                <c:pt idx="20">
                  <c:v>5.2734699999999997</c:v>
                </c:pt>
                <c:pt idx="21">
                  <c:v>5.1467400000000003</c:v>
                </c:pt>
                <c:pt idx="22">
                  <c:v>5.0222699999999998</c:v>
                </c:pt>
                <c:pt idx="23">
                  <c:v>4.9001999999999999</c:v>
                </c:pt>
                <c:pt idx="24">
                  <c:v>4.7806300000000004</c:v>
                </c:pt>
                <c:pt idx="25">
                  <c:v>3.6503700000000001</c:v>
                </c:pt>
                <c:pt idx="26">
                  <c:v>3.5610300000000001</c:v>
                </c:pt>
                <c:pt idx="27">
                  <c:v>3.4736600000000002</c:v>
                </c:pt>
                <c:pt idx="28">
                  <c:v>3.3882599999999998</c:v>
                </c:pt>
                <c:pt idx="29">
                  <c:v>3.30484</c:v>
                </c:pt>
                <c:pt idx="30">
                  <c:v>2.3170000000000002</c:v>
                </c:pt>
                <c:pt idx="31">
                  <c:v>2.2599100000000001</c:v>
                </c:pt>
                <c:pt idx="32">
                  <c:v>2.2041599999999999</c:v>
                </c:pt>
                <c:pt idx="33">
                  <c:v>2.14975</c:v>
                </c:pt>
                <c:pt idx="34">
                  <c:v>1.3535200000000001E-4</c:v>
                </c:pt>
              </c:numCache>
            </c:numRef>
          </c:val>
          <c:smooth val="0"/>
          <c:extLst>
            <c:ext xmlns:c16="http://schemas.microsoft.com/office/drawing/2014/chart" uri="{C3380CC4-5D6E-409C-BE32-E72D297353CC}">
              <c16:uniqueId val="{00000003-E6B5-4250-B104-721CE967E07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4.5026246719160105E-2"/>
              <c:y val="0.2628292653927748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99869970382143"/>
          <c:y val="0.87204097874862418"/>
          <c:w val="0.8956941414433287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prices'!$A$125</c:f>
              <c:strCache>
                <c:ptCount val="1"/>
                <c:pt idx="0">
                  <c:v>Base-run IP</c:v>
                </c:pt>
              </c:strCache>
            </c:strRef>
          </c:tx>
          <c:spPr>
            <a:ln w="12700" cap="rnd">
              <a:solidFill>
                <a:sysClr val="windowText" lastClr="000000"/>
              </a:solidFill>
              <a:round/>
            </a:ln>
            <a:effectLst/>
          </c:spPr>
          <c:marker>
            <c:symbol val="none"/>
          </c:marker>
          <c:cat>
            <c:numRef>
              <c:f>'5) Higher import prices'!$B$124:$AJ$124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prices'!$B$125:$AJ$125</c:f>
              <c:numCache>
                <c:formatCode>0.00</c:formatCode>
                <c:ptCount val="35"/>
                <c:pt idx="0">
                  <c:v>1</c:v>
                </c:pt>
                <c:pt idx="1">
                  <c:v>0.99243999999999999</c:v>
                </c:pt>
                <c:pt idx="2">
                  <c:v>1.06999</c:v>
                </c:pt>
                <c:pt idx="3">
                  <c:v>1.08727</c:v>
                </c:pt>
                <c:pt idx="4">
                  <c:v>1.1043499999999999</c:v>
                </c:pt>
                <c:pt idx="5">
                  <c:v>1.13167</c:v>
                </c:pt>
                <c:pt idx="6">
                  <c:v>1.16256</c:v>
                </c:pt>
                <c:pt idx="7">
                  <c:v>1.1950099999999999</c:v>
                </c:pt>
                <c:pt idx="8">
                  <c:v>1.28633</c:v>
                </c:pt>
                <c:pt idx="9">
                  <c:v>1.3852899999999999</c:v>
                </c:pt>
                <c:pt idx="10">
                  <c:v>1.44048</c:v>
                </c:pt>
                <c:pt idx="11">
                  <c:v>1.43367</c:v>
                </c:pt>
                <c:pt idx="12">
                  <c:v>1.4374199999999999</c:v>
                </c:pt>
                <c:pt idx="13">
                  <c:v>1.4576499999999999</c:v>
                </c:pt>
                <c:pt idx="14">
                  <c:v>1.48437</c:v>
                </c:pt>
                <c:pt idx="15">
                  <c:v>1.53115</c:v>
                </c:pt>
                <c:pt idx="16">
                  <c:v>1.5913999999999999</c:v>
                </c:pt>
                <c:pt idx="17">
                  <c:v>1.62809</c:v>
                </c:pt>
                <c:pt idx="18">
                  <c:v>1.68458</c:v>
                </c:pt>
                <c:pt idx="19">
                  <c:v>1.7114400000000001</c:v>
                </c:pt>
                <c:pt idx="20">
                  <c:v>1.7409600000000001</c:v>
                </c:pt>
                <c:pt idx="21">
                  <c:v>1.7557700000000001</c:v>
                </c:pt>
                <c:pt idx="22">
                  <c:v>1.76352</c:v>
                </c:pt>
                <c:pt idx="23">
                  <c:v>1.79009</c:v>
                </c:pt>
                <c:pt idx="24">
                  <c:v>1.80796</c:v>
                </c:pt>
                <c:pt idx="25">
                  <c:v>1.8101499999999999</c:v>
                </c:pt>
                <c:pt idx="26">
                  <c:v>1.8432200000000001</c:v>
                </c:pt>
                <c:pt idx="27">
                  <c:v>1.86467</c:v>
                </c:pt>
                <c:pt idx="28">
                  <c:v>1.8904300000000001</c:v>
                </c:pt>
                <c:pt idx="29">
                  <c:v>1.92584</c:v>
                </c:pt>
                <c:pt idx="30">
                  <c:v>1.9696100000000001</c:v>
                </c:pt>
                <c:pt idx="31">
                  <c:v>2.0168300000000001</c:v>
                </c:pt>
                <c:pt idx="32">
                  <c:v>2.0732499999999998</c:v>
                </c:pt>
                <c:pt idx="33">
                  <c:v>2.1275400000000002</c:v>
                </c:pt>
                <c:pt idx="34">
                  <c:v>2.1680600000000001</c:v>
                </c:pt>
              </c:numCache>
            </c:numRef>
          </c:val>
          <c:smooth val="0"/>
          <c:extLst>
            <c:ext xmlns:c16="http://schemas.microsoft.com/office/drawing/2014/chart" uri="{C3380CC4-5D6E-409C-BE32-E72D297353CC}">
              <c16:uniqueId val="{00000000-C2B6-4059-9930-5C075DD5DF6D}"/>
            </c:ext>
          </c:extLst>
        </c:ser>
        <c:ser>
          <c:idx val="4"/>
          <c:order val="1"/>
          <c:tx>
            <c:strRef>
              <c:f>'5) Higher import prices'!$A$126</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prices'!$B$126:$AJ$126</c:f>
              <c:numCache>
                <c:formatCode>0.00</c:formatCode>
                <c:ptCount val="35"/>
                <c:pt idx="0">
                  <c:v>1</c:v>
                </c:pt>
                <c:pt idx="1">
                  <c:v>0.99243999999999999</c:v>
                </c:pt>
                <c:pt idx="2">
                  <c:v>1.06999</c:v>
                </c:pt>
                <c:pt idx="3">
                  <c:v>1.08727</c:v>
                </c:pt>
                <c:pt idx="4">
                  <c:v>1.1043499999999999</c:v>
                </c:pt>
                <c:pt idx="5">
                  <c:v>1.09938</c:v>
                </c:pt>
                <c:pt idx="6">
                  <c:v>1.1246</c:v>
                </c:pt>
                <c:pt idx="7">
                  <c:v>1.2160200000000001</c:v>
                </c:pt>
                <c:pt idx="8">
                  <c:v>1.5231300000000001</c:v>
                </c:pt>
                <c:pt idx="9">
                  <c:v>1.8475600000000001</c:v>
                </c:pt>
                <c:pt idx="10">
                  <c:v>1.8930499999999999</c:v>
                </c:pt>
                <c:pt idx="11">
                  <c:v>1.7157899999999999</c:v>
                </c:pt>
                <c:pt idx="12">
                  <c:v>1.5656699999999999</c:v>
                </c:pt>
                <c:pt idx="13">
                  <c:v>1.5180100000000001</c:v>
                </c:pt>
                <c:pt idx="14">
                  <c:v>1.44817</c:v>
                </c:pt>
                <c:pt idx="15">
                  <c:v>1.42371</c:v>
                </c:pt>
                <c:pt idx="16">
                  <c:v>1.4234199999999999</c:v>
                </c:pt>
                <c:pt idx="17">
                  <c:v>1.38009</c:v>
                </c:pt>
                <c:pt idx="18">
                  <c:v>1.4121600000000001</c:v>
                </c:pt>
                <c:pt idx="19">
                  <c:v>1.4097200000000001</c:v>
                </c:pt>
                <c:pt idx="20">
                  <c:v>1.42537</c:v>
                </c:pt>
                <c:pt idx="21">
                  <c:v>1.44167</c:v>
                </c:pt>
                <c:pt idx="22">
                  <c:v>1.46427</c:v>
                </c:pt>
                <c:pt idx="23">
                  <c:v>1.5325800000000001</c:v>
                </c:pt>
                <c:pt idx="24">
                  <c:v>1.5517000000000001</c:v>
                </c:pt>
                <c:pt idx="25">
                  <c:v>1.55477</c:v>
                </c:pt>
                <c:pt idx="26">
                  <c:v>1.5789599999999999</c:v>
                </c:pt>
                <c:pt idx="27">
                  <c:v>1.6514899999999999</c:v>
                </c:pt>
                <c:pt idx="28">
                  <c:v>1.70543</c:v>
                </c:pt>
                <c:pt idx="29">
                  <c:v>1.7402200000000001</c:v>
                </c:pt>
                <c:pt idx="30">
                  <c:v>1.7799700000000001</c:v>
                </c:pt>
                <c:pt idx="31">
                  <c:v>1.8007899999999999</c:v>
                </c:pt>
                <c:pt idx="32">
                  <c:v>1.84317</c:v>
                </c:pt>
                <c:pt idx="33">
                  <c:v>1.88622</c:v>
                </c:pt>
                <c:pt idx="34">
                  <c:v>1.92367</c:v>
                </c:pt>
              </c:numCache>
            </c:numRef>
          </c:val>
          <c:smooth val="0"/>
          <c:extLst>
            <c:ext xmlns:c16="http://schemas.microsoft.com/office/drawing/2014/chart" uri="{C3380CC4-5D6E-409C-BE32-E72D297353CC}">
              <c16:uniqueId val="{00000001-C2B6-4059-9930-5C075DD5DF6D}"/>
            </c:ext>
          </c:extLst>
        </c:ser>
        <c:ser>
          <c:idx val="0"/>
          <c:order val="2"/>
          <c:tx>
            <c:strRef>
              <c:f>'5) Higher import prices'!$A$127</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prices'!$B$127:$AJ$127</c:f>
              <c:numCache>
                <c:formatCode>0.00</c:formatCode>
                <c:ptCount val="35"/>
                <c:pt idx="0">
                  <c:v>1</c:v>
                </c:pt>
                <c:pt idx="1">
                  <c:v>0.99243999999999999</c:v>
                </c:pt>
                <c:pt idx="2">
                  <c:v>1.06999</c:v>
                </c:pt>
                <c:pt idx="3">
                  <c:v>1.08727</c:v>
                </c:pt>
                <c:pt idx="4">
                  <c:v>1.1043499999999999</c:v>
                </c:pt>
                <c:pt idx="5">
                  <c:v>1.2669999999999999</c:v>
                </c:pt>
                <c:pt idx="6">
                  <c:v>1.40004</c:v>
                </c:pt>
                <c:pt idx="7">
                  <c:v>1.5345</c:v>
                </c:pt>
                <c:pt idx="8">
                  <c:v>1.68187</c:v>
                </c:pt>
                <c:pt idx="9">
                  <c:v>1.68632</c:v>
                </c:pt>
                <c:pt idx="10">
                  <c:v>1.91855</c:v>
                </c:pt>
                <c:pt idx="11">
                  <c:v>1.88845</c:v>
                </c:pt>
                <c:pt idx="12">
                  <c:v>1.68868</c:v>
                </c:pt>
                <c:pt idx="13">
                  <c:v>1.51606</c:v>
                </c:pt>
                <c:pt idx="14">
                  <c:v>1.5097100000000001</c:v>
                </c:pt>
                <c:pt idx="15">
                  <c:v>1.79467</c:v>
                </c:pt>
                <c:pt idx="16">
                  <c:v>2.0489899999999999</c:v>
                </c:pt>
                <c:pt idx="17">
                  <c:v>2.2705099999999998</c:v>
                </c:pt>
                <c:pt idx="18">
                  <c:v>2.4929299999999999</c:v>
                </c:pt>
                <c:pt idx="19">
                  <c:v>2.7374000000000001</c:v>
                </c:pt>
                <c:pt idx="20">
                  <c:v>3.29372</c:v>
                </c:pt>
                <c:pt idx="21">
                  <c:v>3.7252800000000001</c:v>
                </c:pt>
                <c:pt idx="22">
                  <c:v>3.9943900000000001</c:v>
                </c:pt>
                <c:pt idx="23">
                  <c:v>4.22004</c:v>
                </c:pt>
                <c:pt idx="24">
                  <c:v>4.64595</c:v>
                </c:pt>
                <c:pt idx="25">
                  <c:v>5.8404100000000003</c:v>
                </c:pt>
                <c:pt idx="26">
                  <c:v>6.6766800000000002</c:v>
                </c:pt>
                <c:pt idx="27">
                  <c:v>6.6917600000000004</c:v>
                </c:pt>
                <c:pt idx="28">
                  <c:v>6.5222300000000004</c:v>
                </c:pt>
                <c:pt idx="29">
                  <c:v>6.4953799999999999</c:v>
                </c:pt>
                <c:pt idx="30">
                  <c:v>6.9693899999999998</c:v>
                </c:pt>
                <c:pt idx="31">
                  <c:v>7.2663900000000003</c:v>
                </c:pt>
                <c:pt idx="32">
                  <c:v>7.4859999999999998</c:v>
                </c:pt>
                <c:pt idx="33">
                  <c:v>7.7815099999999999</c:v>
                </c:pt>
                <c:pt idx="34">
                  <c:v>9.3994599999999995</c:v>
                </c:pt>
              </c:numCache>
            </c:numRef>
          </c:val>
          <c:smooth val="0"/>
          <c:extLst>
            <c:ext xmlns:c16="http://schemas.microsoft.com/office/drawing/2014/chart" uri="{C3380CC4-5D6E-409C-BE32-E72D297353CC}">
              <c16:uniqueId val="{00000002-C2B6-4059-9930-5C075DD5DF6D}"/>
            </c:ext>
          </c:extLst>
        </c:ser>
        <c:ser>
          <c:idx val="2"/>
          <c:order val="3"/>
          <c:tx>
            <c:strRef>
              <c:f>'5) Higher import prices'!$A$128</c:f>
              <c:strCache>
                <c:ptCount val="1"/>
                <c:pt idx="0">
                  <c:v>FSP and LETS combined IP</c:v>
                </c:pt>
              </c:strCache>
            </c:strRef>
          </c:tx>
          <c:spPr>
            <a:ln w="12700" cap="rnd">
              <a:solidFill>
                <a:srgbClr val="7030A0"/>
              </a:solidFill>
              <a:prstDash val="lgDashDot"/>
              <a:round/>
            </a:ln>
            <a:effectLst/>
          </c:spPr>
          <c:marker>
            <c:symbol val="none"/>
          </c:marker>
          <c:cat>
            <c:numRef>
              <c:f>'5) Higher import prices'!$B$124:$AJ$124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prices'!$B$128:$AJ$128</c:f>
              <c:numCache>
                <c:formatCode>0.00</c:formatCode>
                <c:ptCount val="35"/>
                <c:pt idx="0">
                  <c:v>1</c:v>
                </c:pt>
                <c:pt idx="1">
                  <c:v>0.99243999999999999</c:v>
                </c:pt>
                <c:pt idx="2">
                  <c:v>1.06999</c:v>
                </c:pt>
                <c:pt idx="3">
                  <c:v>1.08727</c:v>
                </c:pt>
                <c:pt idx="4">
                  <c:v>1.1043499999999999</c:v>
                </c:pt>
                <c:pt idx="5">
                  <c:v>1.1676500000000001</c:v>
                </c:pt>
                <c:pt idx="6">
                  <c:v>1.3894500000000001</c:v>
                </c:pt>
                <c:pt idx="7">
                  <c:v>1.63357</c:v>
                </c:pt>
                <c:pt idx="8">
                  <c:v>1.85815</c:v>
                </c:pt>
                <c:pt idx="9">
                  <c:v>1.8957999999999999</c:v>
                </c:pt>
                <c:pt idx="10">
                  <c:v>1.8407800000000001</c:v>
                </c:pt>
                <c:pt idx="11">
                  <c:v>1.93144</c:v>
                </c:pt>
                <c:pt idx="12">
                  <c:v>1.71716</c:v>
                </c:pt>
                <c:pt idx="13">
                  <c:v>1.4563999999999999</c:v>
                </c:pt>
                <c:pt idx="14">
                  <c:v>1.29434</c:v>
                </c:pt>
                <c:pt idx="15">
                  <c:v>1.3587</c:v>
                </c:pt>
                <c:pt idx="16">
                  <c:v>1.5543800000000001</c:v>
                </c:pt>
                <c:pt idx="17">
                  <c:v>1.6280300000000001</c:v>
                </c:pt>
                <c:pt idx="18">
                  <c:v>1.6508700000000001</c:v>
                </c:pt>
                <c:pt idx="19">
                  <c:v>1.6131599999999999</c:v>
                </c:pt>
                <c:pt idx="20">
                  <c:v>1.7016</c:v>
                </c:pt>
                <c:pt idx="21">
                  <c:v>1.8935200000000001</c:v>
                </c:pt>
                <c:pt idx="22">
                  <c:v>1.91012</c:v>
                </c:pt>
                <c:pt idx="23">
                  <c:v>1.8553299999999999</c:v>
                </c:pt>
                <c:pt idx="24">
                  <c:v>1.8333999999999999</c:v>
                </c:pt>
                <c:pt idx="25">
                  <c:v>1.9885200000000001</c:v>
                </c:pt>
                <c:pt idx="26">
                  <c:v>2.3002699999999998</c:v>
                </c:pt>
                <c:pt idx="27">
                  <c:v>2.2255500000000001</c:v>
                </c:pt>
                <c:pt idx="28">
                  <c:v>2.0316900000000002</c:v>
                </c:pt>
                <c:pt idx="29">
                  <c:v>1.8994500000000001</c:v>
                </c:pt>
                <c:pt idx="30">
                  <c:v>1.9222600000000001</c:v>
                </c:pt>
                <c:pt idx="31">
                  <c:v>2.1175299999999999</c:v>
                </c:pt>
                <c:pt idx="32">
                  <c:v>2.16797</c:v>
                </c:pt>
                <c:pt idx="33">
                  <c:v>2.1529600000000002</c:v>
                </c:pt>
                <c:pt idx="34">
                  <c:v>2.3813200000000001</c:v>
                </c:pt>
              </c:numCache>
            </c:numRef>
          </c:val>
          <c:smooth val="0"/>
          <c:extLst>
            <c:ext xmlns:c16="http://schemas.microsoft.com/office/drawing/2014/chart" uri="{C3380CC4-5D6E-409C-BE32-E72D297353CC}">
              <c16:uniqueId val="{00000003-C2B6-4059-9930-5C075DD5DF6D}"/>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Index</a:t>
                </a:r>
              </a:p>
            </c:rich>
          </c:tx>
          <c:layout>
            <c:manualLayout>
              <c:xMode val="edge"/>
              <c:yMode val="edge"/>
              <c:x val="2.3122004497942078E-2"/>
              <c:y val="0.3161676841828410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7.245700679574596E-2"/>
          <c:y val="0.85274051841227927"/>
          <c:w val="0.9252358289044209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prices'!$A$181</c:f>
              <c:strCache>
                <c:ptCount val="1"/>
                <c:pt idx="0">
                  <c:v>Base-run IP</c:v>
                </c:pt>
              </c:strCache>
            </c:strRef>
          </c:tx>
          <c:spPr>
            <a:ln w="12700" cap="rnd">
              <a:solidFill>
                <a:sysClr val="windowText" lastClr="000000"/>
              </a:solidFill>
              <a:round/>
            </a:ln>
            <a:effectLst/>
          </c:spPr>
          <c:marker>
            <c:symbol val="none"/>
          </c:marker>
          <c:cat>
            <c:numRef>
              <c:f>'5) Higher import prices'!$B$180:$AJ$180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prices'!$B$181:$AJ$181</c:f>
              <c:numCache>
                <c:formatCode>0.00</c:formatCode>
                <c:ptCount val="35"/>
                <c:pt idx="0">
                  <c:v>10.467799999999999</c:v>
                </c:pt>
                <c:pt idx="1">
                  <c:v>10.6752</c:v>
                </c:pt>
                <c:pt idx="2">
                  <c:v>10.1401</c:v>
                </c:pt>
                <c:pt idx="3">
                  <c:v>9.5491200000000003</c:v>
                </c:pt>
                <c:pt idx="4">
                  <c:v>7.9532600000000002</c:v>
                </c:pt>
                <c:pt idx="5">
                  <c:v>4.2197200000000006</c:v>
                </c:pt>
                <c:pt idx="6">
                  <c:v>4.1319099999999995</c:v>
                </c:pt>
                <c:pt idx="7">
                  <c:v>4.0508499999999996</c:v>
                </c:pt>
                <c:pt idx="8">
                  <c:v>3.9728600000000003</c:v>
                </c:pt>
                <c:pt idx="9">
                  <c:v>3.8968099999999999</c:v>
                </c:pt>
                <c:pt idx="10">
                  <c:v>3.8223499999999997</c:v>
                </c:pt>
                <c:pt idx="11">
                  <c:v>3.7493600000000002</c:v>
                </c:pt>
                <c:pt idx="12">
                  <c:v>4.4077200000000003</c:v>
                </c:pt>
                <c:pt idx="13">
                  <c:v>5.3849</c:v>
                </c:pt>
                <c:pt idx="14">
                  <c:v>6.3428699999999996</c:v>
                </c:pt>
                <c:pt idx="15">
                  <c:v>7.2857700000000003</c:v>
                </c:pt>
                <c:pt idx="16">
                  <c:v>8.2152900000000013</c:v>
                </c:pt>
                <c:pt idx="17">
                  <c:v>9.1321300000000001</c:v>
                </c:pt>
                <c:pt idx="18">
                  <c:v>10.036700000000002</c:v>
                </c:pt>
                <c:pt idx="19">
                  <c:v>10.929200000000002</c:v>
                </c:pt>
                <c:pt idx="20">
                  <c:v>11.8101</c:v>
                </c:pt>
                <c:pt idx="21">
                  <c:v>12.679500000000001</c:v>
                </c:pt>
                <c:pt idx="22">
                  <c:v>13.537700000000001</c:v>
                </c:pt>
                <c:pt idx="23">
                  <c:v>14.3851</c:v>
                </c:pt>
                <c:pt idx="24">
                  <c:v>15.2218</c:v>
                </c:pt>
                <c:pt idx="25">
                  <c:v>16.048100000000002</c:v>
                </c:pt>
                <c:pt idx="26">
                  <c:v>16.8643</c:v>
                </c:pt>
                <c:pt idx="27">
                  <c:v>17.6706</c:v>
                </c:pt>
                <c:pt idx="28">
                  <c:v>18.467299999999998</c:v>
                </c:pt>
                <c:pt idx="29">
                  <c:v>19.2546</c:v>
                </c:pt>
                <c:pt idx="30">
                  <c:v>20.032700000000002</c:v>
                </c:pt>
                <c:pt idx="31">
                  <c:v>20.8019</c:v>
                </c:pt>
                <c:pt idx="32">
                  <c:v>21.5623</c:v>
                </c:pt>
                <c:pt idx="33">
                  <c:v>22.3142</c:v>
                </c:pt>
                <c:pt idx="34">
                  <c:v>23.057400000000001</c:v>
                </c:pt>
              </c:numCache>
            </c:numRef>
          </c:val>
          <c:smooth val="0"/>
          <c:extLst>
            <c:ext xmlns:c16="http://schemas.microsoft.com/office/drawing/2014/chart" uri="{C3380CC4-5D6E-409C-BE32-E72D297353CC}">
              <c16:uniqueId val="{00000000-61C9-4ECB-8E65-DF864756D43E}"/>
            </c:ext>
          </c:extLst>
        </c:ser>
        <c:ser>
          <c:idx val="4"/>
          <c:order val="1"/>
          <c:tx>
            <c:strRef>
              <c:f>'5) Higher import prices'!$A$182</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prices'!$B$182:$AJ$182</c:f>
              <c:numCache>
                <c:formatCode>0.00</c:formatCode>
                <c:ptCount val="35"/>
                <c:pt idx="0">
                  <c:v>10.467799999999999</c:v>
                </c:pt>
                <c:pt idx="1">
                  <c:v>10.6752</c:v>
                </c:pt>
                <c:pt idx="2">
                  <c:v>10.1401</c:v>
                </c:pt>
                <c:pt idx="3">
                  <c:v>9.5491200000000003</c:v>
                </c:pt>
                <c:pt idx="4">
                  <c:v>7.9532600000000002</c:v>
                </c:pt>
                <c:pt idx="5">
                  <c:v>4.2197200000000006</c:v>
                </c:pt>
                <c:pt idx="6">
                  <c:v>4.1319099999999995</c:v>
                </c:pt>
                <c:pt idx="7">
                  <c:v>4.0508499999999996</c:v>
                </c:pt>
                <c:pt idx="8">
                  <c:v>3.9728600000000003</c:v>
                </c:pt>
                <c:pt idx="9">
                  <c:v>3.8968099999999999</c:v>
                </c:pt>
                <c:pt idx="10">
                  <c:v>3.8223499999999997</c:v>
                </c:pt>
                <c:pt idx="11">
                  <c:v>3.7493600000000002</c:v>
                </c:pt>
                <c:pt idx="12">
                  <c:v>4.0910700000000002</c:v>
                </c:pt>
                <c:pt idx="13">
                  <c:v>5.0760500000000004</c:v>
                </c:pt>
                <c:pt idx="14">
                  <c:v>6.0410600000000008</c:v>
                </c:pt>
                <c:pt idx="15">
                  <c:v>6.9900399999999996</c:v>
                </c:pt>
                <c:pt idx="16">
                  <c:v>7.9253400000000003</c:v>
                </c:pt>
                <c:pt idx="17">
                  <c:v>8.8477700000000006</c:v>
                </c:pt>
                <c:pt idx="18">
                  <c:v>9.7577999999999996</c:v>
                </c:pt>
                <c:pt idx="19">
                  <c:v>10.655700000000001</c:v>
                </c:pt>
                <c:pt idx="20">
                  <c:v>11.5419</c:v>
                </c:pt>
                <c:pt idx="21">
                  <c:v>12.416499999999999</c:v>
                </c:pt>
                <c:pt idx="22">
                  <c:v>13.2798</c:v>
                </c:pt>
                <c:pt idx="23">
                  <c:v>14.132100000000001</c:v>
                </c:pt>
                <c:pt idx="24">
                  <c:v>14.973700000000001</c:v>
                </c:pt>
                <c:pt idx="25">
                  <c:v>15.8049</c:v>
                </c:pt>
                <c:pt idx="26">
                  <c:v>16.625799999999998</c:v>
                </c:pt>
                <c:pt idx="27">
                  <c:v>17.436700000000002</c:v>
                </c:pt>
                <c:pt idx="28">
                  <c:v>18.2379</c:v>
                </c:pt>
                <c:pt idx="29">
                  <c:v>19.029599999999999</c:v>
                </c:pt>
                <c:pt idx="30">
                  <c:v>19.812099999999997</c:v>
                </c:pt>
                <c:pt idx="31">
                  <c:v>20.5855</c:v>
                </c:pt>
                <c:pt idx="32">
                  <c:v>21.350099999999998</c:v>
                </c:pt>
                <c:pt idx="33">
                  <c:v>22.106099999999998</c:v>
                </c:pt>
                <c:pt idx="34">
                  <c:v>22.853400000000001</c:v>
                </c:pt>
              </c:numCache>
            </c:numRef>
          </c:val>
          <c:smooth val="0"/>
          <c:extLst>
            <c:ext xmlns:c16="http://schemas.microsoft.com/office/drawing/2014/chart" uri="{C3380CC4-5D6E-409C-BE32-E72D297353CC}">
              <c16:uniqueId val="{00000001-61C9-4ECB-8E65-DF864756D43E}"/>
            </c:ext>
          </c:extLst>
        </c:ser>
        <c:ser>
          <c:idx val="0"/>
          <c:order val="2"/>
          <c:tx>
            <c:strRef>
              <c:f>'5) Higher import prices'!$A$183</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prices'!$B$183:$AJ$183</c:f>
              <c:numCache>
                <c:formatCode>0.00</c:formatCode>
                <c:ptCount val="35"/>
                <c:pt idx="0">
                  <c:v>10.467799999999999</c:v>
                </c:pt>
                <c:pt idx="1">
                  <c:v>10.6752</c:v>
                </c:pt>
                <c:pt idx="2">
                  <c:v>10.1401</c:v>
                </c:pt>
                <c:pt idx="3">
                  <c:v>9.5491200000000003</c:v>
                </c:pt>
                <c:pt idx="4">
                  <c:v>7.9532600000000002</c:v>
                </c:pt>
                <c:pt idx="5">
                  <c:v>4.2197200000000006</c:v>
                </c:pt>
                <c:pt idx="6">
                  <c:v>4.1319099999999995</c:v>
                </c:pt>
                <c:pt idx="7">
                  <c:v>4.0508499999999996</c:v>
                </c:pt>
                <c:pt idx="8">
                  <c:v>3.9728600000000003</c:v>
                </c:pt>
                <c:pt idx="9">
                  <c:v>3.8968099999999999</c:v>
                </c:pt>
                <c:pt idx="10">
                  <c:v>3.8223499999999997</c:v>
                </c:pt>
                <c:pt idx="11">
                  <c:v>3.7493600000000002</c:v>
                </c:pt>
                <c:pt idx="12">
                  <c:v>4.4746600000000001</c:v>
                </c:pt>
                <c:pt idx="13">
                  <c:v>5.4503999999999992</c:v>
                </c:pt>
                <c:pt idx="14">
                  <c:v>6.4070499999999999</c:v>
                </c:pt>
                <c:pt idx="15">
                  <c:v>7.3487499999999999</c:v>
                </c:pt>
                <c:pt idx="16">
                  <c:v>8.2771100000000004</c:v>
                </c:pt>
                <c:pt idx="17">
                  <c:v>9.1928000000000001</c:v>
                </c:pt>
                <c:pt idx="18">
                  <c:v>10.096200000000001</c:v>
                </c:pt>
                <c:pt idx="19">
                  <c:v>10.9876</c:v>
                </c:pt>
                <c:pt idx="20">
                  <c:v>11.8674</c:v>
                </c:pt>
                <c:pt idx="21">
                  <c:v>12.735700000000001</c:v>
                </c:pt>
                <c:pt idx="22">
                  <c:v>13.5929</c:v>
                </c:pt>
                <c:pt idx="23">
                  <c:v>14.439200000000001</c:v>
                </c:pt>
                <c:pt idx="24">
                  <c:v>15.274899999999999</c:v>
                </c:pt>
                <c:pt idx="25">
                  <c:v>16.100300000000001</c:v>
                </c:pt>
                <c:pt idx="26">
                  <c:v>16.915500000000002</c:v>
                </c:pt>
                <c:pt idx="27">
                  <c:v>17.7209</c:v>
                </c:pt>
                <c:pt idx="28">
                  <c:v>18.5167</c:v>
                </c:pt>
                <c:pt idx="29">
                  <c:v>19.303099999999997</c:v>
                </c:pt>
                <c:pt idx="30">
                  <c:v>20.080299999999998</c:v>
                </c:pt>
                <c:pt idx="31">
                  <c:v>20.848700000000001</c:v>
                </c:pt>
                <c:pt idx="32">
                  <c:v>21.6083</c:v>
                </c:pt>
                <c:pt idx="33">
                  <c:v>22.359400000000001</c:v>
                </c:pt>
                <c:pt idx="34">
                  <c:v>23.101900000000001</c:v>
                </c:pt>
              </c:numCache>
            </c:numRef>
          </c:val>
          <c:smooth val="0"/>
          <c:extLst>
            <c:ext xmlns:c16="http://schemas.microsoft.com/office/drawing/2014/chart" uri="{C3380CC4-5D6E-409C-BE32-E72D297353CC}">
              <c16:uniqueId val="{00000002-61C9-4ECB-8E65-DF864756D43E}"/>
            </c:ext>
          </c:extLst>
        </c:ser>
        <c:ser>
          <c:idx val="2"/>
          <c:order val="3"/>
          <c:tx>
            <c:strRef>
              <c:f>'5) Higher import prices'!$A$184</c:f>
              <c:strCache>
                <c:ptCount val="1"/>
                <c:pt idx="0">
                  <c:v>FSP and LETS combined IP</c:v>
                </c:pt>
              </c:strCache>
            </c:strRef>
          </c:tx>
          <c:spPr>
            <a:ln w="12700" cap="rnd">
              <a:solidFill>
                <a:srgbClr val="7030A0"/>
              </a:solidFill>
              <a:prstDash val="lgDashDot"/>
              <a:round/>
            </a:ln>
            <a:effectLst/>
          </c:spPr>
          <c:marker>
            <c:symbol val="none"/>
          </c:marker>
          <c:cat>
            <c:numRef>
              <c:f>'5) Higher import prices'!$B$180:$AJ$180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prices'!$B$184:$AJ$184</c:f>
              <c:numCache>
                <c:formatCode>0.00</c:formatCode>
                <c:ptCount val="35"/>
                <c:pt idx="0">
                  <c:v>10.467799999999999</c:v>
                </c:pt>
                <c:pt idx="1">
                  <c:v>10.6752</c:v>
                </c:pt>
                <c:pt idx="2">
                  <c:v>10.1401</c:v>
                </c:pt>
                <c:pt idx="3">
                  <c:v>9.5491200000000003</c:v>
                </c:pt>
                <c:pt idx="4">
                  <c:v>7.9532600000000002</c:v>
                </c:pt>
                <c:pt idx="5">
                  <c:v>4.2197200000000006</c:v>
                </c:pt>
                <c:pt idx="6">
                  <c:v>4.1319099999999995</c:v>
                </c:pt>
                <c:pt idx="7">
                  <c:v>4.0508499999999996</c:v>
                </c:pt>
                <c:pt idx="8">
                  <c:v>3.9728600000000003</c:v>
                </c:pt>
                <c:pt idx="9">
                  <c:v>3.8968099999999999</c:v>
                </c:pt>
                <c:pt idx="10">
                  <c:v>3.8223499999999997</c:v>
                </c:pt>
                <c:pt idx="11">
                  <c:v>3.7493600000000002</c:v>
                </c:pt>
                <c:pt idx="12">
                  <c:v>4.1050399999999998</c:v>
                </c:pt>
                <c:pt idx="13">
                  <c:v>5.0897200000000007</c:v>
                </c:pt>
                <c:pt idx="14">
                  <c:v>6.0544399999999996</c:v>
                </c:pt>
                <c:pt idx="15">
                  <c:v>7.00319</c:v>
                </c:pt>
                <c:pt idx="16">
                  <c:v>7.9382399999999995</c:v>
                </c:pt>
                <c:pt idx="17">
                  <c:v>8.8604500000000002</c:v>
                </c:pt>
                <c:pt idx="18">
                  <c:v>9.7702399999999994</c:v>
                </c:pt>
                <c:pt idx="19">
                  <c:v>10.667899999999999</c:v>
                </c:pt>
                <c:pt idx="20">
                  <c:v>11.553799999999999</c:v>
                </c:pt>
                <c:pt idx="21">
                  <c:v>12.4282</c:v>
                </c:pt>
                <c:pt idx="22">
                  <c:v>13.2913</c:v>
                </c:pt>
                <c:pt idx="23">
                  <c:v>14.1435</c:v>
                </c:pt>
                <c:pt idx="24">
                  <c:v>14.9849</c:v>
                </c:pt>
                <c:pt idx="25">
                  <c:v>15.815799999999999</c:v>
                </c:pt>
                <c:pt idx="26">
                  <c:v>16.636500000000002</c:v>
                </c:pt>
                <c:pt idx="27">
                  <c:v>17.447299999999998</c:v>
                </c:pt>
                <c:pt idx="28">
                  <c:v>18.2483</c:v>
                </c:pt>
                <c:pt idx="29">
                  <c:v>19.0398</c:v>
                </c:pt>
                <c:pt idx="30">
                  <c:v>19.822099999999999</c:v>
                </c:pt>
                <c:pt idx="31">
                  <c:v>20.595400000000001</c:v>
                </c:pt>
                <c:pt idx="32">
                  <c:v>21.3598</c:v>
                </c:pt>
                <c:pt idx="33">
                  <c:v>22.1157</c:v>
                </c:pt>
                <c:pt idx="34">
                  <c:v>22.8628</c:v>
                </c:pt>
              </c:numCache>
            </c:numRef>
          </c:val>
          <c:smooth val="0"/>
          <c:extLst>
            <c:ext xmlns:c16="http://schemas.microsoft.com/office/drawing/2014/chart" uri="{C3380CC4-5D6E-409C-BE32-E72D297353CC}">
              <c16:uniqueId val="{00000003-61C9-4ECB-8E65-DF864756D43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1000 people</a:t>
                </a:r>
                <a:endParaRPr lang="de-CH" sz="1000">
                  <a:effectLst/>
                </a:endParaRPr>
              </a:p>
            </c:rich>
          </c:tx>
          <c:layout>
            <c:manualLayout>
              <c:xMode val="edge"/>
              <c:yMode val="edge"/>
              <c:x val="2.9095346494010525E-2"/>
              <c:y val="0.23420275590551182"/>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046035003918347"/>
          <c:y val="0.87204097874862418"/>
          <c:w val="0.839317834085905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prices'!$A$212</c:f>
              <c:strCache>
                <c:ptCount val="1"/>
                <c:pt idx="0">
                  <c:v>Base-run IP</c:v>
                </c:pt>
              </c:strCache>
            </c:strRef>
          </c:tx>
          <c:spPr>
            <a:ln w="12700" cap="rnd">
              <a:solidFill>
                <a:sysClr val="windowText" lastClr="000000"/>
              </a:solidFill>
              <a:round/>
            </a:ln>
            <a:effectLst/>
          </c:spPr>
          <c:marker>
            <c:symbol val="none"/>
          </c:marker>
          <c:cat>
            <c:numRef>
              <c:f>'5) Higher import prices'!$B$211:$AJ$211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prices'!$B$212:$AJ$212</c:f>
              <c:numCache>
                <c:formatCode>0</c:formatCode>
                <c:ptCount val="35"/>
                <c:pt idx="0">
                  <c:v>3648.89</c:v>
                </c:pt>
                <c:pt idx="1">
                  <c:v>3660.56</c:v>
                </c:pt>
                <c:pt idx="2">
                  <c:v>3870.64</c:v>
                </c:pt>
                <c:pt idx="3">
                  <c:v>4110.41</c:v>
                </c:pt>
                <c:pt idx="4">
                  <c:v>4396.3900000000003</c:v>
                </c:pt>
                <c:pt idx="5">
                  <c:v>4722.22</c:v>
                </c:pt>
                <c:pt idx="6">
                  <c:v>5046.12</c:v>
                </c:pt>
                <c:pt idx="7">
                  <c:v>5370.66</c:v>
                </c:pt>
                <c:pt idx="8">
                  <c:v>5656.15</c:v>
                </c:pt>
                <c:pt idx="9">
                  <c:v>5895.23</c:v>
                </c:pt>
                <c:pt idx="10">
                  <c:v>6064.38</c:v>
                </c:pt>
                <c:pt idx="11">
                  <c:v>6150.38</c:v>
                </c:pt>
                <c:pt idx="12">
                  <c:v>6152.82</c:v>
                </c:pt>
                <c:pt idx="13">
                  <c:v>6090.8</c:v>
                </c:pt>
                <c:pt idx="14">
                  <c:v>5983.43</c:v>
                </c:pt>
                <c:pt idx="15">
                  <c:v>5886.54</c:v>
                </c:pt>
                <c:pt idx="16">
                  <c:v>5810.37</c:v>
                </c:pt>
                <c:pt idx="17">
                  <c:v>5756.08</c:v>
                </c:pt>
                <c:pt idx="18">
                  <c:v>5723.27</c:v>
                </c:pt>
                <c:pt idx="19">
                  <c:v>5707.35</c:v>
                </c:pt>
                <c:pt idx="20">
                  <c:v>5705.27</c:v>
                </c:pt>
                <c:pt idx="21">
                  <c:v>5714.32</c:v>
                </c:pt>
                <c:pt idx="22">
                  <c:v>5733.68</c:v>
                </c:pt>
                <c:pt idx="23">
                  <c:v>5763.78</c:v>
                </c:pt>
                <c:pt idx="24">
                  <c:v>5797.7</c:v>
                </c:pt>
                <c:pt idx="25">
                  <c:v>5839.29</c:v>
                </c:pt>
                <c:pt idx="26">
                  <c:v>5888.86</c:v>
                </c:pt>
                <c:pt idx="27">
                  <c:v>5951.23</c:v>
                </c:pt>
                <c:pt idx="28">
                  <c:v>6020.27</c:v>
                </c:pt>
                <c:pt idx="29">
                  <c:v>6100.93</c:v>
                </c:pt>
                <c:pt idx="30">
                  <c:v>6197.14</c:v>
                </c:pt>
                <c:pt idx="31">
                  <c:v>6307.91</c:v>
                </c:pt>
                <c:pt idx="32">
                  <c:v>6435.35</c:v>
                </c:pt>
                <c:pt idx="33">
                  <c:v>6576.06</c:v>
                </c:pt>
                <c:pt idx="34">
                  <c:v>6733.38</c:v>
                </c:pt>
              </c:numCache>
            </c:numRef>
          </c:val>
          <c:smooth val="0"/>
          <c:extLst>
            <c:ext xmlns:c16="http://schemas.microsoft.com/office/drawing/2014/chart" uri="{C3380CC4-5D6E-409C-BE32-E72D297353CC}">
              <c16:uniqueId val="{00000000-8762-44E9-924B-26A76716DB78}"/>
            </c:ext>
          </c:extLst>
        </c:ser>
        <c:ser>
          <c:idx val="4"/>
          <c:order val="1"/>
          <c:tx>
            <c:strRef>
              <c:f>'5) Higher import prices'!$A$213</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prices'!$B$213:$AJ$213</c:f>
              <c:numCache>
                <c:formatCode>0</c:formatCode>
                <c:ptCount val="35"/>
                <c:pt idx="0">
                  <c:v>3648.89</c:v>
                </c:pt>
                <c:pt idx="1">
                  <c:v>3660.56</c:v>
                </c:pt>
                <c:pt idx="2">
                  <c:v>3870.64</c:v>
                </c:pt>
                <c:pt idx="3">
                  <c:v>4110.41</c:v>
                </c:pt>
                <c:pt idx="4">
                  <c:v>4396.3900000000003</c:v>
                </c:pt>
                <c:pt idx="5">
                  <c:v>4748.3999999999996</c:v>
                </c:pt>
                <c:pt idx="6">
                  <c:v>5103.16</c:v>
                </c:pt>
                <c:pt idx="7">
                  <c:v>5464.97</c:v>
                </c:pt>
                <c:pt idx="8">
                  <c:v>5794.25</c:v>
                </c:pt>
                <c:pt idx="9">
                  <c:v>6082.47</c:v>
                </c:pt>
                <c:pt idx="10">
                  <c:v>6303.22</c:v>
                </c:pt>
                <c:pt idx="11">
                  <c:v>6439.89</c:v>
                </c:pt>
                <c:pt idx="12">
                  <c:v>6479.23</c:v>
                </c:pt>
                <c:pt idx="13">
                  <c:v>6437.73</c:v>
                </c:pt>
                <c:pt idx="14">
                  <c:v>6337</c:v>
                </c:pt>
                <c:pt idx="15">
                  <c:v>6225.99</c:v>
                </c:pt>
                <c:pt idx="16">
                  <c:v>6132.17</c:v>
                </c:pt>
                <c:pt idx="17">
                  <c:v>6056.47</c:v>
                </c:pt>
                <c:pt idx="18">
                  <c:v>6000.89</c:v>
                </c:pt>
                <c:pt idx="19">
                  <c:v>5962.59</c:v>
                </c:pt>
                <c:pt idx="20">
                  <c:v>5939.23</c:v>
                </c:pt>
                <c:pt idx="21">
                  <c:v>5928.67</c:v>
                </c:pt>
                <c:pt idx="22">
                  <c:v>5930.25</c:v>
                </c:pt>
                <c:pt idx="23">
                  <c:v>5944.84</c:v>
                </c:pt>
                <c:pt idx="24">
                  <c:v>5964.71</c:v>
                </c:pt>
                <c:pt idx="25">
                  <c:v>5994.19</c:v>
                </c:pt>
                <c:pt idx="26">
                  <c:v>6033.75</c:v>
                </c:pt>
                <c:pt idx="27">
                  <c:v>6088.19</c:v>
                </c:pt>
                <c:pt idx="28">
                  <c:v>6151.36</c:v>
                </c:pt>
                <c:pt idx="29">
                  <c:v>6227.43</c:v>
                </c:pt>
                <c:pt idx="30">
                  <c:v>6318.38</c:v>
                </c:pt>
                <c:pt idx="31">
                  <c:v>6426.6</c:v>
                </c:pt>
                <c:pt idx="32">
                  <c:v>6553.57</c:v>
                </c:pt>
                <c:pt idx="33">
                  <c:v>6696.37</c:v>
                </c:pt>
                <c:pt idx="34">
                  <c:v>6858.5</c:v>
                </c:pt>
              </c:numCache>
            </c:numRef>
          </c:val>
          <c:smooth val="0"/>
          <c:extLst>
            <c:ext xmlns:c16="http://schemas.microsoft.com/office/drawing/2014/chart" uri="{C3380CC4-5D6E-409C-BE32-E72D297353CC}">
              <c16:uniqueId val="{00000001-8762-44E9-924B-26A76716DB78}"/>
            </c:ext>
          </c:extLst>
        </c:ser>
        <c:ser>
          <c:idx val="0"/>
          <c:order val="2"/>
          <c:tx>
            <c:strRef>
              <c:f>'5) Higher import prices'!$A$214</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prices'!$B$214:$AJ$214</c:f>
              <c:numCache>
                <c:formatCode>0</c:formatCode>
                <c:ptCount val="35"/>
                <c:pt idx="0">
                  <c:v>3648.89</c:v>
                </c:pt>
                <c:pt idx="1">
                  <c:v>3660.56</c:v>
                </c:pt>
                <c:pt idx="2">
                  <c:v>3870.64</c:v>
                </c:pt>
                <c:pt idx="3">
                  <c:v>4110.41</c:v>
                </c:pt>
                <c:pt idx="4">
                  <c:v>4396.3900000000003</c:v>
                </c:pt>
                <c:pt idx="5">
                  <c:v>4722.29</c:v>
                </c:pt>
                <c:pt idx="6">
                  <c:v>5047.3900000000003</c:v>
                </c:pt>
                <c:pt idx="7">
                  <c:v>5374.05</c:v>
                </c:pt>
                <c:pt idx="8">
                  <c:v>5662.82</c:v>
                </c:pt>
                <c:pt idx="9">
                  <c:v>5905.75</c:v>
                </c:pt>
                <c:pt idx="10">
                  <c:v>6078.07</c:v>
                </c:pt>
                <c:pt idx="11">
                  <c:v>6167.66</c:v>
                </c:pt>
                <c:pt idx="12">
                  <c:v>6172.54</c:v>
                </c:pt>
                <c:pt idx="13">
                  <c:v>6111.88</c:v>
                </c:pt>
                <c:pt idx="14">
                  <c:v>6003.84</c:v>
                </c:pt>
                <c:pt idx="15">
                  <c:v>5907.41</c:v>
                </c:pt>
                <c:pt idx="16">
                  <c:v>5831.05</c:v>
                </c:pt>
                <c:pt idx="17">
                  <c:v>5777.12</c:v>
                </c:pt>
                <c:pt idx="18">
                  <c:v>5745.99</c:v>
                </c:pt>
                <c:pt idx="19">
                  <c:v>5733.08</c:v>
                </c:pt>
                <c:pt idx="20">
                  <c:v>5735.46</c:v>
                </c:pt>
                <c:pt idx="21">
                  <c:v>5750.73</c:v>
                </c:pt>
                <c:pt idx="22">
                  <c:v>5777.7</c:v>
                </c:pt>
                <c:pt idx="23">
                  <c:v>5817.03</c:v>
                </c:pt>
                <c:pt idx="24">
                  <c:v>5861.57</c:v>
                </c:pt>
                <c:pt idx="25">
                  <c:v>5915.58</c:v>
                </c:pt>
                <c:pt idx="26">
                  <c:v>5979.89</c:v>
                </c:pt>
                <c:pt idx="27">
                  <c:v>6058.49</c:v>
                </c:pt>
                <c:pt idx="28">
                  <c:v>6145.5</c:v>
                </c:pt>
                <c:pt idx="29">
                  <c:v>6247.36</c:v>
                </c:pt>
                <c:pt idx="30">
                  <c:v>6365.98</c:v>
                </c:pt>
                <c:pt idx="31">
                  <c:v>6499.92</c:v>
                </c:pt>
                <c:pt idx="32">
                  <c:v>6651.28</c:v>
                </c:pt>
                <c:pt idx="33">
                  <c:v>6816.68</c:v>
                </c:pt>
                <c:pt idx="34">
                  <c:v>7000.03</c:v>
                </c:pt>
              </c:numCache>
            </c:numRef>
          </c:val>
          <c:smooth val="0"/>
          <c:extLst>
            <c:ext xmlns:c16="http://schemas.microsoft.com/office/drawing/2014/chart" uri="{C3380CC4-5D6E-409C-BE32-E72D297353CC}">
              <c16:uniqueId val="{00000002-8762-44E9-924B-26A76716DB78}"/>
            </c:ext>
          </c:extLst>
        </c:ser>
        <c:ser>
          <c:idx val="2"/>
          <c:order val="3"/>
          <c:tx>
            <c:strRef>
              <c:f>'5) Higher import prices'!$A$215</c:f>
              <c:strCache>
                <c:ptCount val="1"/>
                <c:pt idx="0">
                  <c:v>FSP and LETS combined IP</c:v>
                </c:pt>
              </c:strCache>
            </c:strRef>
          </c:tx>
          <c:spPr>
            <a:ln w="12700" cap="rnd">
              <a:solidFill>
                <a:srgbClr val="7030A0"/>
              </a:solidFill>
              <a:prstDash val="lgDashDot"/>
              <a:round/>
            </a:ln>
            <a:effectLst/>
          </c:spPr>
          <c:marker>
            <c:symbol val="none"/>
          </c:marker>
          <c:cat>
            <c:numRef>
              <c:f>'5) Higher import prices'!$B$211:$AJ$211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prices'!$B$215:$AJ$215</c:f>
              <c:numCache>
                <c:formatCode>0</c:formatCode>
                <c:ptCount val="35"/>
                <c:pt idx="0">
                  <c:v>3648.89</c:v>
                </c:pt>
                <c:pt idx="1">
                  <c:v>3660.56</c:v>
                </c:pt>
                <c:pt idx="2">
                  <c:v>3870.64</c:v>
                </c:pt>
                <c:pt idx="3">
                  <c:v>4110.41</c:v>
                </c:pt>
                <c:pt idx="4">
                  <c:v>4396.3900000000003</c:v>
                </c:pt>
                <c:pt idx="5">
                  <c:v>4748.4399999999996</c:v>
                </c:pt>
                <c:pt idx="6">
                  <c:v>5104.0200000000004</c:v>
                </c:pt>
                <c:pt idx="7">
                  <c:v>5468.53</c:v>
                </c:pt>
                <c:pt idx="8">
                  <c:v>5801.87</c:v>
                </c:pt>
                <c:pt idx="9">
                  <c:v>6093.47</c:v>
                </c:pt>
                <c:pt idx="10">
                  <c:v>6316.01</c:v>
                </c:pt>
                <c:pt idx="11">
                  <c:v>6453.66</c:v>
                </c:pt>
                <c:pt idx="12">
                  <c:v>6493.89</c:v>
                </c:pt>
                <c:pt idx="13">
                  <c:v>6452.47</c:v>
                </c:pt>
                <c:pt idx="14">
                  <c:v>6350.79</c:v>
                </c:pt>
                <c:pt idx="15">
                  <c:v>6238.69</c:v>
                </c:pt>
                <c:pt idx="16">
                  <c:v>6143.86</c:v>
                </c:pt>
                <c:pt idx="17">
                  <c:v>6067.51</c:v>
                </c:pt>
                <c:pt idx="18">
                  <c:v>6012.16</c:v>
                </c:pt>
                <c:pt idx="19">
                  <c:v>5975.04</c:v>
                </c:pt>
                <c:pt idx="20">
                  <c:v>5953.73</c:v>
                </c:pt>
                <c:pt idx="21">
                  <c:v>5946.15</c:v>
                </c:pt>
                <c:pt idx="22">
                  <c:v>5951.34</c:v>
                </c:pt>
                <c:pt idx="23">
                  <c:v>5969.98</c:v>
                </c:pt>
                <c:pt idx="24">
                  <c:v>5994.12</c:v>
                </c:pt>
                <c:pt idx="25">
                  <c:v>6027.95</c:v>
                </c:pt>
                <c:pt idx="26">
                  <c:v>6072.51</c:v>
                </c:pt>
                <c:pt idx="27">
                  <c:v>6132.26</c:v>
                </c:pt>
                <c:pt idx="28">
                  <c:v>6200.86</c:v>
                </c:pt>
                <c:pt idx="29">
                  <c:v>6282.19</c:v>
                </c:pt>
                <c:pt idx="30">
                  <c:v>6378.64</c:v>
                </c:pt>
                <c:pt idx="31">
                  <c:v>6491.51</c:v>
                </c:pt>
                <c:pt idx="32">
                  <c:v>6622.91</c:v>
                </c:pt>
                <c:pt idx="33">
                  <c:v>6769.98</c:v>
                </c:pt>
                <c:pt idx="34">
                  <c:v>6936.69</c:v>
                </c:pt>
              </c:numCache>
            </c:numRef>
          </c:val>
          <c:smooth val="0"/>
          <c:extLst>
            <c:ext xmlns:c16="http://schemas.microsoft.com/office/drawing/2014/chart" uri="{C3380CC4-5D6E-409C-BE32-E72D297353CC}">
              <c16:uniqueId val="{00000003-8762-44E9-924B-26A76716DB78}"/>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5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Bn. £</a:t>
                </a:r>
                <a:endParaRPr lang="de-CH" sz="900">
                  <a:effectLst/>
                </a:endParaRPr>
              </a:p>
            </c:rich>
          </c:tx>
          <c:layout>
            <c:manualLayout>
              <c:xMode val="edge"/>
              <c:yMode val="edge"/>
              <c:x val="2.9061808048572408E-2"/>
              <c:y val="0.32216571886847478"/>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1018625418360968E-2"/>
          <c:y val="0.87204097874862418"/>
          <c:w val="0.8858059874534243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2131654659941"/>
          <c:y val="5.0925925925925923E-2"/>
          <c:w val="0.8339076438844214"/>
          <c:h val="0.59878969674245264"/>
        </c:manualLayout>
      </c:layout>
      <c:lineChart>
        <c:grouping val="standard"/>
        <c:varyColors val="0"/>
        <c:ser>
          <c:idx val="3"/>
          <c:order val="0"/>
          <c:tx>
            <c:strRef>
              <c:f>'0) Systems policy with GF'!$A$186</c:f>
              <c:strCache>
                <c:ptCount val="1"/>
                <c:pt idx="0">
                  <c:v>Base-run</c:v>
                </c:pt>
              </c:strCache>
            </c:strRef>
          </c:tx>
          <c:spPr>
            <a:ln w="12700" cap="rnd">
              <a:solidFill>
                <a:sysClr val="windowText" lastClr="000000"/>
              </a:solidFill>
              <a:round/>
            </a:ln>
            <a:effectLst/>
          </c:spPr>
          <c:marker>
            <c:symbol val="none"/>
          </c:marker>
          <c:cat>
            <c:numRef>
              <c:f>'0) Systems policy with GF'!$B$185:$AJ$185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GF'!$B$186:$AJ$186</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4.4017700000000008</c:v>
                </c:pt>
                <c:pt idx="13">
                  <c:v>5.3790800000000001</c:v>
                </c:pt>
                <c:pt idx="14">
                  <c:v>6.3371700000000004</c:v>
                </c:pt>
                <c:pt idx="15">
                  <c:v>7.28017</c:v>
                </c:pt>
                <c:pt idx="16">
                  <c:v>8.2097999999999995</c:v>
                </c:pt>
                <c:pt idx="17">
                  <c:v>9.1267300000000002</c:v>
                </c:pt>
                <c:pt idx="18">
                  <c:v>10.0314</c:v>
                </c:pt>
                <c:pt idx="19">
                  <c:v>10.923999999999999</c:v>
                </c:pt>
                <c:pt idx="20">
                  <c:v>11.805</c:v>
                </c:pt>
                <c:pt idx="21">
                  <c:v>12.6745</c:v>
                </c:pt>
                <c:pt idx="22">
                  <c:v>13.5328</c:v>
                </c:pt>
                <c:pt idx="23">
                  <c:v>14.3803</c:v>
                </c:pt>
                <c:pt idx="24">
                  <c:v>15.2171</c:v>
                </c:pt>
                <c:pt idx="25">
                  <c:v>16.043500000000002</c:v>
                </c:pt>
                <c:pt idx="26">
                  <c:v>16.8598</c:v>
                </c:pt>
                <c:pt idx="27">
                  <c:v>17.6662</c:v>
                </c:pt>
                <c:pt idx="28">
                  <c:v>18.462900000000001</c:v>
                </c:pt>
                <c:pt idx="29">
                  <c:v>19.250299999999999</c:v>
                </c:pt>
                <c:pt idx="30">
                  <c:v>20.028500000000001</c:v>
                </c:pt>
                <c:pt idx="31">
                  <c:v>20.797699999999999</c:v>
                </c:pt>
                <c:pt idx="32">
                  <c:v>21.558199999999999</c:v>
                </c:pt>
                <c:pt idx="33">
                  <c:v>22.310200000000002</c:v>
                </c:pt>
                <c:pt idx="34">
                  <c:v>23.0535</c:v>
                </c:pt>
              </c:numCache>
            </c:numRef>
          </c:val>
          <c:smooth val="0"/>
          <c:extLst>
            <c:ext xmlns:c16="http://schemas.microsoft.com/office/drawing/2014/chart" uri="{C3380CC4-5D6E-409C-BE32-E72D297353CC}">
              <c16:uniqueId val="{00000000-A0CD-4FF9-BA42-F58A9375FDBE}"/>
            </c:ext>
          </c:extLst>
        </c:ser>
        <c:ser>
          <c:idx val="4"/>
          <c:order val="1"/>
          <c:tx>
            <c:strRef>
              <c:f>'0) Systems policy with GF'!$A$187</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GF'!$B$185:$AJ$185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GF'!$B$187:$AJ$187</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4.0907099999999996</c:v>
                </c:pt>
                <c:pt idx="13">
                  <c:v>5.0756899999999998</c:v>
                </c:pt>
                <c:pt idx="14">
                  <c:v>6.0407099999999998</c:v>
                </c:pt>
                <c:pt idx="15">
                  <c:v>6.9897099999999996</c:v>
                </c:pt>
                <c:pt idx="16">
                  <c:v>7.9250100000000003</c:v>
                </c:pt>
                <c:pt idx="17">
                  <c:v>8.8474500000000003</c:v>
                </c:pt>
                <c:pt idx="18">
                  <c:v>9.7574799999999993</c:v>
                </c:pt>
                <c:pt idx="19">
                  <c:v>10.6554</c:v>
                </c:pt>
                <c:pt idx="20">
                  <c:v>11.541600000000001</c:v>
                </c:pt>
                <c:pt idx="21">
                  <c:v>12.4162</c:v>
                </c:pt>
                <c:pt idx="22">
                  <c:v>13.279500000000001</c:v>
                </c:pt>
                <c:pt idx="23">
                  <c:v>14.1318</c:v>
                </c:pt>
                <c:pt idx="24">
                  <c:v>14.9734</c:v>
                </c:pt>
                <c:pt idx="25">
                  <c:v>15.804600000000001</c:v>
                </c:pt>
                <c:pt idx="26">
                  <c:v>16.625499999999999</c:v>
                </c:pt>
                <c:pt idx="27">
                  <c:v>17.436400000000003</c:v>
                </c:pt>
                <c:pt idx="28">
                  <c:v>18.237599999999997</c:v>
                </c:pt>
                <c:pt idx="29">
                  <c:v>19.029400000000003</c:v>
                </c:pt>
                <c:pt idx="30">
                  <c:v>19.811799999999998</c:v>
                </c:pt>
                <c:pt idx="31">
                  <c:v>20.5853</c:v>
                </c:pt>
                <c:pt idx="32">
                  <c:v>21.349900000000002</c:v>
                </c:pt>
                <c:pt idx="33">
                  <c:v>22.105900000000002</c:v>
                </c:pt>
                <c:pt idx="34">
                  <c:v>22.853200000000001</c:v>
                </c:pt>
              </c:numCache>
            </c:numRef>
          </c:val>
          <c:smooth val="0"/>
          <c:extLst>
            <c:ext xmlns:c16="http://schemas.microsoft.com/office/drawing/2014/chart" uri="{C3380CC4-5D6E-409C-BE32-E72D297353CC}">
              <c16:uniqueId val="{00000001-A0CD-4FF9-BA42-F58A9375FDBE}"/>
            </c:ext>
          </c:extLst>
        </c:ser>
        <c:ser>
          <c:idx val="0"/>
          <c:order val="2"/>
          <c:tx>
            <c:strRef>
              <c:f>'0) Systems policy with GF'!$A$188</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GF'!$B$185:$AJ$185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GF'!$B$188:$AJ$188</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4.4439099999999998</c:v>
                </c:pt>
                <c:pt idx="13">
                  <c:v>5.4203000000000001</c:v>
                </c:pt>
                <c:pt idx="14">
                  <c:v>6.3775500000000003</c:v>
                </c:pt>
                <c:pt idx="15">
                  <c:v>7.3198100000000004</c:v>
                </c:pt>
                <c:pt idx="16">
                  <c:v>8.2487000000000013</c:v>
                </c:pt>
                <c:pt idx="17">
                  <c:v>9.164909999999999</c:v>
                </c:pt>
                <c:pt idx="18">
                  <c:v>10.0688</c:v>
                </c:pt>
                <c:pt idx="19">
                  <c:v>10.960799999999999</c:v>
                </c:pt>
                <c:pt idx="20">
                  <c:v>11.840999999999999</c:v>
                </c:pt>
                <c:pt idx="21">
                  <c:v>12.7098</c:v>
                </c:pt>
                <c:pt idx="22">
                  <c:v>13.567500000000001</c:v>
                </c:pt>
                <c:pt idx="23">
                  <c:v>14.414299999999999</c:v>
                </c:pt>
                <c:pt idx="24">
                  <c:v>15.250500000000001</c:v>
                </c:pt>
                <c:pt idx="25">
                  <c:v>16.0763</c:v>
                </c:pt>
                <c:pt idx="26">
                  <c:v>16.8919</c:v>
                </c:pt>
                <c:pt idx="27">
                  <c:v>17.697700000000001</c:v>
                </c:pt>
                <c:pt idx="28">
                  <c:v>18.4939</c:v>
                </c:pt>
                <c:pt idx="29">
                  <c:v>19.2807</c:v>
                </c:pt>
                <c:pt idx="30">
                  <c:v>20.058400000000002</c:v>
                </c:pt>
                <c:pt idx="31">
                  <c:v>20.827099999999998</c:v>
                </c:pt>
                <c:pt idx="32">
                  <c:v>21.5871</c:v>
                </c:pt>
                <c:pt idx="33">
                  <c:v>22.3386</c:v>
                </c:pt>
                <c:pt idx="34">
                  <c:v>23.081400000000002</c:v>
                </c:pt>
              </c:numCache>
            </c:numRef>
          </c:val>
          <c:smooth val="0"/>
          <c:extLst>
            <c:ext xmlns:c16="http://schemas.microsoft.com/office/drawing/2014/chart" uri="{C3380CC4-5D6E-409C-BE32-E72D297353CC}">
              <c16:uniqueId val="{00000002-A0CD-4FF9-BA42-F58A9375FDBE}"/>
            </c:ext>
          </c:extLst>
        </c:ser>
        <c:ser>
          <c:idx val="2"/>
          <c:order val="3"/>
          <c:tx>
            <c:strRef>
              <c:f>'0) Systems policy with GF'!$A$189</c:f>
              <c:strCache>
                <c:ptCount val="1"/>
                <c:pt idx="0">
                  <c:v>GFGS  and LETS combined</c:v>
                </c:pt>
              </c:strCache>
            </c:strRef>
          </c:tx>
          <c:spPr>
            <a:ln w="12700" cap="rnd">
              <a:solidFill>
                <a:srgbClr val="7030A0"/>
              </a:solidFill>
              <a:prstDash val="lgDashDot"/>
              <a:round/>
            </a:ln>
            <a:effectLst/>
          </c:spPr>
          <c:marker>
            <c:symbol val="none"/>
          </c:marker>
          <c:cat>
            <c:numRef>
              <c:f>'0) Systems policy with GF'!$B$185:$AJ$185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GF'!$B$189:$AJ$189</c:f>
              <c:numCache>
                <c:formatCode>0.00</c:formatCode>
                <c:ptCount val="35"/>
                <c:pt idx="0">
                  <c:v>10.467799999999999</c:v>
                </c:pt>
                <c:pt idx="1">
                  <c:v>10.6751</c:v>
                </c:pt>
                <c:pt idx="2">
                  <c:v>10.14</c:v>
                </c:pt>
                <c:pt idx="3">
                  <c:v>9.5490400000000015</c:v>
                </c:pt>
                <c:pt idx="4">
                  <c:v>7.9530900000000004</c:v>
                </c:pt>
                <c:pt idx="5">
                  <c:v>4.2194599999999998</c:v>
                </c:pt>
                <c:pt idx="6">
                  <c:v>4.1316600000000001</c:v>
                </c:pt>
                <c:pt idx="7">
                  <c:v>4.0506000000000002</c:v>
                </c:pt>
                <c:pt idx="8">
                  <c:v>3.97262</c:v>
                </c:pt>
                <c:pt idx="9">
                  <c:v>3.8965700000000001</c:v>
                </c:pt>
                <c:pt idx="10">
                  <c:v>3.82212</c:v>
                </c:pt>
                <c:pt idx="11">
                  <c:v>3.7491300000000001</c:v>
                </c:pt>
                <c:pt idx="12">
                  <c:v>4.1046800000000001</c:v>
                </c:pt>
                <c:pt idx="13">
                  <c:v>5.0893699999999997</c:v>
                </c:pt>
                <c:pt idx="14">
                  <c:v>6.0541</c:v>
                </c:pt>
                <c:pt idx="15">
                  <c:v>7.0028500000000005</c:v>
                </c:pt>
                <c:pt idx="16">
                  <c:v>7.9379200000000001</c:v>
                </c:pt>
                <c:pt idx="17">
                  <c:v>8.8601299999999998</c:v>
                </c:pt>
                <c:pt idx="18">
                  <c:v>9.7699200000000008</c:v>
                </c:pt>
                <c:pt idx="19">
                  <c:v>10.6676</c:v>
                </c:pt>
                <c:pt idx="20">
                  <c:v>11.5535</c:v>
                </c:pt>
                <c:pt idx="21">
                  <c:v>12.427899999999999</c:v>
                </c:pt>
                <c:pt idx="22">
                  <c:v>13.291</c:v>
                </c:pt>
                <c:pt idx="23">
                  <c:v>14.1432</c:v>
                </c:pt>
                <c:pt idx="24">
                  <c:v>14.9846</c:v>
                </c:pt>
                <c:pt idx="25">
                  <c:v>15.8155</c:v>
                </c:pt>
                <c:pt idx="26">
                  <c:v>16.636200000000002</c:v>
                </c:pt>
                <c:pt idx="27">
                  <c:v>17.446999999999999</c:v>
                </c:pt>
                <c:pt idx="28">
                  <c:v>18.248000000000001</c:v>
                </c:pt>
                <c:pt idx="29">
                  <c:v>19.0396</c:v>
                </c:pt>
                <c:pt idx="30">
                  <c:v>19.821900000000003</c:v>
                </c:pt>
                <c:pt idx="31">
                  <c:v>20.595099999999999</c:v>
                </c:pt>
                <c:pt idx="32">
                  <c:v>21.359599999999997</c:v>
                </c:pt>
                <c:pt idx="33">
                  <c:v>22.115500000000001</c:v>
                </c:pt>
                <c:pt idx="34">
                  <c:v>22.862599999999997</c:v>
                </c:pt>
              </c:numCache>
            </c:numRef>
          </c:val>
          <c:smooth val="0"/>
          <c:extLst>
            <c:ext xmlns:c16="http://schemas.microsoft.com/office/drawing/2014/chart" uri="{C3380CC4-5D6E-409C-BE32-E72D297353CC}">
              <c16:uniqueId val="{00000003-A0CD-4FF9-BA42-F58A9375FDB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1000 people</a:t>
                </a:r>
                <a:endParaRPr lang="de-CH" sz="1000">
                  <a:effectLst/>
                </a:endParaRPr>
              </a:p>
            </c:rich>
          </c:tx>
          <c:layout>
            <c:manualLayout>
              <c:xMode val="edge"/>
              <c:yMode val="edge"/>
              <c:x val="1.6020734501030271E-2"/>
              <c:y val="0.29284748497346924"/>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8993613983171142E-2"/>
          <c:y val="0.84426343402214821"/>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prices'!$A$244</c:f>
              <c:strCache>
                <c:ptCount val="1"/>
                <c:pt idx="0">
                  <c:v>Base-run IP</c:v>
                </c:pt>
              </c:strCache>
            </c:strRef>
          </c:tx>
          <c:spPr>
            <a:ln w="12700" cap="rnd">
              <a:solidFill>
                <a:sysClr val="windowText" lastClr="000000"/>
              </a:solidFill>
              <a:round/>
            </a:ln>
            <a:effectLst/>
          </c:spPr>
          <c:marker>
            <c:symbol val="none"/>
          </c:marker>
          <c:cat>
            <c:numRef>
              <c:f>'5) Higher import prices'!$B$243:$AJ$243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prices'!$B$244:$AJ$244</c:f>
              <c:numCache>
                <c:formatCode>0</c:formatCode>
                <c:ptCount val="35"/>
                <c:pt idx="0">
                  <c:v>20.381399999999999</c:v>
                </c:pt>
                <c:pt idx="1">
                  <c:v>28.0565</c:v>
                </c:pt>
                <c:pt idx="2">
                  <c:v>33.080800000000004</c:v>
                </c:pt>
                <c:pt idx="3">
                  <c:v>30.663799999999998</c:v>
                </c:pt>
                <c:pt idx="4">
                  <c:v>26.016100000000002</c:v>
                </c:pt>
                <c:pt idx="5">
                  <c:v>21.549600000000002</c:v>
                </c:pt>
                <c:pt idx="6">
                  <c:v>17.735099999999999</c:v>
                </c:pt>
                <c:pt idx="7">
                  <c:v>14.8505</c:v>
                </c:pt>
                <c:pt idx="8">
                  <c:v>13.977600000000001</c:v>
                </c:pt>
                <c:pt idx="9">
                  <c:v>15.4856</c:v>
                </c:pt>
                <c:pt idx="10">
                  <c:v>18.0307</c:v>
                </c:pt>
                <c:pt idx="11">
                  <c:v>21.939599999999999</c:v>
                </c:pt>
                <c:pt idx="12">
                  <c:v>31.8886</c:v>
                </c:pt>
                <c:pt idx="13">
                  <c:v>39.290999999999997</c:v>
                </c:pt>
                <c:pt idx="14">
                  <c:v>41.955100000000002</c:v>
                </c:pt>
                <c:pt idx="15">
                  <c:v>43.885199999999998</c:v>
                </c:pt>
                <c:pt idx="16">
                  <c:v>43.576000000000001</c:v>
                </c:pt>
                <c:pt idx="17">
                  <c:v>41.003900000000002</c:v>
                </c:pt>
                <c:pt idx="18">
                  <c:v>41.215899999999998</c:v>
                </c:pt>
                <c:pt idx="19">
                  <c:v>38.056100000000001</c:v>
                </c:pt>
                <c:pt idx="20">
                  <c:v>36.013500000000001</c:v>
                </c:pt>
                <c:pt idx="21">
                  <c:v>33.769300000000001</c:v>
                </c:pt>
                <c:pt idx="22">
                  <c:v>33.1081</c:v>
                </c:pt>
                <c:pt idx="23">
                  <c:v>32.2271</c:v>
                </c:pt>
                <c:pt idx="24">
                  <c:v>27.111499999999999</c:v>
                </c:pt>
                <c:pt idx="25">
                  <c:v>22.548400000000001</c:v>
                </c:pt>
                <c:pt idx="26">
                  <c:v>23.003900000000002</c:v>
                </c:pt>
                <c:pt idx="27">
                  <c:v>24.804200000000002</c:v>
                </c:pt>
                <c:pt idx="28">
                  <c:v>26.1005</c:v>
                </c:pt>
                <c:pt idx="29">
                  <c:v>26.721299999999999</c:v>
                </c:pt>
                <c:pt idx="30">
                  <c:v>27.392199999999999</c:v>
                </c:pt>
                <c:pt idx="31">
                  <c:v>27.745100000000001</c:v>
                </c:pt>
                <c:pt idx="32">
                  <c:v>27.996300000000002</c:v>
                </c:pt>
                <c:pt idx="33">
                  <c:v>27.3276</c:v>
                </c:pt>
                <c:pt idx="34">
                  <c:v>25.970099999999999</c:v>
                </c:pt>
              </c:numCache>
            </c:numRef>
          </c:val>
          <c:smooth val="0"/>
          <c:extLst>
            <c:ext xmlns:c16="http://schemas.microsoft.com/office/drawing/2014/chart" uri="{C3380CC4-5D6E-409C-BE32-E72D297353CC}">
              <c16:uniqueId val="{00000000-9651-456F-ACD6-70D426045DB2}"/>
            </c:ext>
          </c:extLst>
        </c:ser>
        <c:ser>
          <c:idx val="4"/>
          <c:order val="1"/>
          <c:tx>
            <c:strRef>
              <c:f>'5) Higher import prices'!$A$245</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prices'!$B$245:$AJ$245</c:f>
              <c:numCache>
                <c:formatCode>0</c:formatCode>
                <c:ptCount val="35"/>
                <c:pt idx="0">
                  <c:v>20.381399999999999</c:v>
                </c:pt>
                <c:pt idx="1">
                  <c:v>28.0565</c:v>
                </c:pt>
                <c:pt idx="2">
                  <c:v>33.080800000000004</c:v>
                </c:pt>
                <c:pt idx="3">
                  <c:v>30.663799999999998</c:v>
                </c:pt>
                <c:pt idx="4">
                  <c:v>25.114699999999999</c:v>
                </c:pt>
                <c:pt idx="5">
                  <c:v>20.8154</c:v>
                </c:pt>
                <c:pt idx="6">
                  <c:v>17.210599999999999</c:v>
                </c:pt>
                <c:pt idx="7">
                  <c:v>16.529499999999999</c:v>
                </c:pt>
                <c:pt idx="8">
                  <c:v>18.6966</c:v>
                </c:pt>
                <c:pt idx="9">
                  <c:v>21.503599999999999</c:v>
                </c:pt>
                <c:pt idx="10">
                  <c:v>23.316099999999999</c:v>
                </c:pt>
                <c:pt idx="11">
                  <c:v>25.5991</c:v>
                </c:pt>
                <c:pt idx="12">
                  <c:v>34.450000000000003</c:v>
                </c:pt>
                <c:pt idx="13">
                  <c:v>41.821599999999997</c:v>
                </c:pt>
                <c:pt idx="14">
                  <c:v>42.038800000000002</c:v>
                </c:pt>
                <c:pt idx="15">
                  <c:v>42.334499999999998</c:v>
                </c:pt>
                <c:pt idx="16">
                  <c:v>40.432099999999998</c:v>
                </c:pt>
                <c:pt idx="17">
                  <c:v>36.094999999999999</c:v>
                </c:pt>
                <c:pt idx="18">
                  <c:v>36.469200000000001</c:v>
                </c:pt>
                <c:pt idx="19">
                  <c:v>32.677900000000001</c:v>
                </c:pt>
                <c:pt idx="20">
                  <c:v>30.969899999999999</c:v>
                </c:pt>
                <c:pt idx="21">
                  <c:v>29.0989</c:v>
                </c:pt>
                <c:pt idx="22">
                  <c:v>28.96</c:v>
                </c:pt>
                <c:pt idx="23">
                  <c:v>28.8155</c:v>
                </c:pt>
                <c:pt idx="24">
                  <c:v>24.0229</c:v>
                </c:pt>
                <c:pt idx="25">
                  <c:v>19.811499999999999</c:v>
                </c:pt>
                <c:pt idx="26">
                  <c:v>20.576499999999999</c:v>
                </c:pt>
                <c:pt idx="27">
                  <c:v>22.813199999999998</c:v>
                </c:pt>
                <c:pt idx="28">
                  <c:v>24.222799999999999</c:v>
                </c:pt>
                <c:pt idx="29">
                  <c:v>24.658300000000001</c:v>
                </c:pt>
                <c:pt idx="30">
                  <c:v>25.090800000000002</c:v>
                </c:pt>
                <c:pt idx="31">
                  <c:v>25.154299999999999</c:v>
                </c:pt>
                <c:pt idx="32">
                  <c:v>25.308199999999999</c:v>
                </c:pt>
                <c:pt idx="33">
                  <c:v>24.6662</c:v>
                </c:pt>
                <c:pt idx="34">
                  <c:v>23.668199999999999</c:v>
                </c:pt>
              </c:numCache>
            </c:numRef>
          </c:val>
          <c:smooth val="0"/>
          <c:extLst>
            <c:ext xmlns:c16="http://schemas.microsoft.com/office/drawing/2014/chart" uri="{C3380CC4-5D6E-409C-BE32-E72D297353CC}">
              <c16:uniqueId val="{00000001-9651-456F-ACD6-70D426045DB2}"/>
            </c:ext>
          </c:extLst>
        </c:ser>
        <c:ser>
          <c:idx val="0"/>
          <c:order val="2"/>
          <c:tx>
            <c:strRef>
              <c:f>'5) Higher import prices'!$A$246</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prices'!$B$246:$AJ$246</c:f>
              <c:numCache>
                <c:formatCode>0</c:formatCode>
                <c:ptCount val="35"/>
                <c:pt idx="0">
                  <c:v>20.381399999999999</c:v>
                </c:pt>
                <c:pt idx="1">
                  <c:v>28.0565</c:v>
                </c:pt>
                <c:pt idx="2">
                  <c:v>33.080800000000004</c:v>
                </c:pt>
                <c:pt idx="3">
                  <c:v>30.663799999999998</c:v>
                </c:pt>
                <c:pt idx="4">
                  <c:v>26.016100000000002</c:v>
                </c:pt>
                <c:pt idx="5">
                  <c:v>24.5105</c:v>
                </c:pt>
                <c:pt idx="6">
                  <c:v>21.128399999999999</c:v>
                </c:pt>
                <c:pt idx="7">
                  <c:v>18.844000000000001</c:v>
                </c:pt>
                <c:pt idx="8">
                  <c:v>17.009899999999998</c:v>
                </c:pt>
                <c:pt idx="9">
                  <c:v>16.618400000000001</c:v>
                </c:pt>
                <c:pt idx="10">
                  <c:v>22.533000000000001</c:v>
                </c:pt>
                <c:pt idx="11">
                  <c:v>24.247299999999999</c:v>
                </c:pt>
                <c:pt idx="12">
                  <c:v>30.363399999999999</c:v>
                </c:pt>
                <c:pt idx="13">
                  <c:v>34.457799999999999</c:v>
                </c:pt>
                <c:pt idx="14">
                  <c:v>37.281999999999996</c:v>
                </c:pt>
                <c:pt idx="15">
                  <c:v>45.103400000000001</c:v>
                </c:pt>
                <c:pt idx="16">
                  <c:v>47.234400000000001</c:v>
                </c:pt>
                <c:pt idx="17">
                  <c:v>47.053400000000003</c:v>
                </c:pt>
                <c:pt idx="18">
                  <c:v>49.648099999999999</c:v>
                </c:pt>
                <c:pt idx="19">
                  <c:v>49.639600000000002</c:v>
                </c:pt>
                <c:pt idx="20">
                  <c:v>54.844999999999999</c:v>
                </c:pt>
                <c:pt idx="21">
                  <c:v>55.167700000000004</c:v>
                </c:pt>
                <c:pt idx="22">
                  <c:v>55.9253</c:v>
                </c:pt>
                <c:pt idx="23">
                  <c:v>57.191400000000002</c:v>
                </c:pt>
                <c:pt idx="24">
                  <c:v>54.900500000000001</c:v>
                </c:pt>
                <c:pt idx="25">
                  <c:v>57.644300000000001</c:v>
                </c:pt>
                <c:pt idx="26">
                  <c:v>58.423999999999999</c:v>
                </c:pt>
                <c:pt idx="27">
                  <c:v>59.937899999999999</c:v>
                </c:pt>
                <c:pt idx="28">
                  <c:v>61.231999999999999</c:v>
                </c:pt>
                <c:pt idx="29">
                  <c:v>62.1113</c:v>
                </c:pt>
                <c:pt idx="30">
                  <c:v>66.680800000000005</c:v>
                </c:pt>
                <c:pt idx="31">
                  <c:v>67.436199999999999</c:v>
                </c:pt>
                <c:pt idx="32">
                  <c:v>68.308499999999995</c:v>
                </c:pt>
                <c:pt idx="33">
                  <c:v>68.697199999999995</c:v>
                </c:pt>
                <c:pt idx="34">
                  <c:v>76.745699999999999</c:v>
                </c:pt>
              </c:numCache>
            </c:numRef>
          </c:val>
          <c:smooth val="0"/>
          <c:extLst>
            <c:ext xmlns:c16="http://schemas.microsoft.com/office/drawing/2014/chart" uri="{C3380CC4-5D6E-409C-BE32-E72D297353CC}">
              <c16:uniqueId val="{00000002-9651-456F-ACD6-70D426045DB2}"/>
            </c:ext>
          </c:extLst>
        </c:ser>
        <c:ser>
          <c:idx val="2"/>
          <c:order val="3"/>
          <c:tx>
            <c:strRef>
              <c:f>'5) Higher import prices'!$A$247</c:f>
              <c:strCache>
                <c:ptCount val="1"/>
                <c:pt idx="0">
                  <c:v>FSP and LETS combined IP</c:v>
                </c:pt>
              </c:strCache>
            </c:strRef>
          </c:tx>
          <c:spPr>
            <a:ln w="12700" cap="rnd">
              <a:solidFill>
                <a:srgbClr val="7030A0"/>
              </a:solidFill>
              <a:prstDash val="lgDashDot"/>
              <a:round/>
            </a:ln>
            <a:effectLst/>
          </c:spPr>
          <c:marker>
            <c:symbol val="none"/>
          </c:marker>
          <c:cat>
            <c:numRef>
              <c:f>'5) Higher import prices'!$B$243:$AJ$243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prices'!$B$247:$AJ$247</c:f>
              <c:numCache>
                <c:formatCode>0</c:formatCode>
                <c:ptCount val="35"/>
                <c:pt idx="0">
                  <c:v>20.381399999999999</c:v>
                </c:pt>
                <c:pt idx="1">
                  <c:v>28.0565</c:v>
                </c:pt>
                <c:pt idx="2">
                  <c:v>33.080800000000004</c:v>
                </c:pt>
                <c:pt idx="3">
                  <c:v>30.663799999999998</c:v>
                </c:pt>
                <c:pt idx="4">
                  <c:v>25.114699999999999</c:v>
                </c:pt>
                <c:pt idx="5">
                  <c:v>23.0914</c:v>
                </c:pt>
                <c:pt idx="6">
                  <c:v>22.419499999999999</c:v>
                </c:pt>
                <c:pt idx="7">
                  <c:v>21.0212</c:v>
                </c:pt>
                <c:pt idx="8">
                  <c:v>19.8842</c:v>
                </c:pt>
                <c:pt idx="9">
                  <c:v>19.244</c:v>
                </c:pt>
                <c:pt idx="10">
                  <c:v>23.421299999999999</c:v>
                </c:pt>
                <c:pt idx="11">
                  <c:v>27.836300000000001</c:v>
                </c:pt>
                <c:pt idx="12">
                  <c:v>32.389000000000003</c:v>
                </c:pt>
                <c:pt idx="13">
                  <c:v>34.655200000000001</c:v>
                </c:pt>
                <c:pt idx="14">
                  <c:v>34.631900000000002</c:v>
                </c:pt>
                <c:pt idx="15">
                  <c:v>40.140999999999998</c:v>
                </c:pt>
                <c:pt idx="16">
                  <c:v>42.059600000000003</c:v>
                </c:pt>
                <c:pt idx="17">
                  <c:v>39.834000000000003</c:v>
                </c:pt>
                <c:pt idx="18">
                  <c:v>38.283900000000003</c:v>
                </c:pt>
                <c:pt idx="19">
                  <c:v>34.736899999999999</c:v>
                </c:pt>
                <c:pt idx="20">
                  <c:v>36.504600000000003</c:v>
                </c:pt>
                <c:pt idx="21">
                  <c:v>36.093200000000003</c:v>
                </c:pt>
                <c:pt idx="22">
                  <c:v>33.978400000000001</c:v>
                </c:pt>
                <c:pt idx="23">
                  <c:v>31.704999999999998</c:v>
                </c:pt>
                <c:pt idx="24">
                  <c:v>27.445799999999998</c:v>
                </c:pt>
                <c:pt idx="25">
                  <c:v>27.297999999999998</c:v>
                </c:pt>
                <c:pt idx="26">
                  <c:v>28.117999999999999</c:v>
                </c:pt>
                <c:pt idx="27">
                  <c:v>27.076799999999999</c:v>
                </c:pt>
                <c:pt idx="28">
                  <c:v>25.933499999999999</c:v>
                </c:pt>
                <c:pt idx="29">
                  <c:v>25.099499999999999</c:v>
                </c:pt>
                <c:pt idx="30">
                  <c:v>27.706099999999999</c:v>
                </c:pt>
                <c:pt idx="31">
                  <c:v>28.994599999999998</c:v>
                </c:pt>
                <c:pt idx="32">
                  <c:v>28.2532</c:v>
                </c:pt>
                <c:pt idx="33">
                  <c:v>26.9374</c:v>
                </c:pt>
                <c:pt idx="34">
                  <c:v>32.412700000000001</c:v>
                </c:pt>
              </c:numCache>
            </c:numRef>
          </c:val>
          <c:smooth val="0"/>
          <c:extLst>
            <c:ext xmlns:c16="http://schemas.microsoft.com/office/drawing/2014/chart" uri="{C3380CC4-5D6E-409C-BE32-E72D297353CC}">
              <c16:uniqueId val="{00000003-9651-456F-ACD6-70D426045DB2}"/>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1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sz="1000" b="0" i="0" u="none" strike="noStrike" baseline="0">
                    <a:effectLst/>
                  </a:rPr>
                  <a:t>£ bn</a:t>
                </a:r>
                <a:endParaRPr lang="de-CH"/>
              </a:p>
            </c:rich>
          </c:tx>
          <c:layout>
            <c:manualLayout>
              <c:xMode val="edge"/>
              <c:yMode val="edge"/>
              <c:x val="4.4366877850820573E-2"/>
              <c:y val="0.3267953484981043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83511747532323"/>
          <c:y val="0.87204097874862418"/>
          <c:w val="0.8958577452946978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'5) Higher import prices'!$A$276</c:f>
              <c:strCache>
                <c:ptCount val="1"/>
                <c:pt idx="0">
                  <c:v>Base-run IP</c:v>
                </c:pt>
              </c:strCache>
            </c:strRef>
          </c:tx>
          <c:spPr>
            <a:ln w="12700" cap="rnd">
              <a:solidFill>
                <a:sysClr val="windowText" lastClr="000000"/>
              </a:solidFill>
              <a:round/>
            </a:ln>
            <a:effectLst/>
          </c:spPr>
          <c:marker>
            <c:symbol val="none"/>
          </c:marker>
          <c:cat>
            <c:numRef>
              <c:f>'5) Higher import prices'!$B$275:$AJ$275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prices'!$B$276:$AJ$276</c:f>
              <c:numCache>
                <c:formatCode>0.00</c:formatCode>
                <c:ptCount val="35"/>
                <c:pt idx="0">
                  <c:v>0.18823599999999999</c:v>
                </c:pt>
                <c:pt idx="1">
                  <c:v>0.19115199999999999</c:v>
                </c:pt>
                <c:pt idx="2">
                  <c:v>0.19982</c:v>
                </c:pt>
                <c:pt idx="3">
                  <c:v>0.20366799999999999</c:v>
                </c:pt>
                <c:pt idx="4">
                  <c:v>0.20336799999999999</c:v>
                </c:pt>
                <c:pt idx="5">
                  <c:v>0.20119100000000001</c:v>
                </c:pt>
                <c:pt idx="6">
                  <c:v>0.19801299999999999</c:v>
                </c:pt>
                <c:pt idx="7">
                  <c:v>0.194186</c:v>
                </c:pt>
                <c:pt idx="8">
                  <c:v>0.19029499999999999</c:v>
                </c:pt>
                <c:pt idx="9">
                  <c:v>0.188828</c:v>
                </c:pt>
                <c:pt idx="10">
                  <c:v>0.19112899999999999</c:v>
                </c:pt>
                <c:pt idx="11">
                  <c:v>0.195933</c:v>
                </c:pt>
                <c:pt idx="12">
                  <c:v>0.20988200000000001</c:v>
                </c:pt>
                <c:pt idx="13">
                  <c:v>0.23494699999999999</c:v>
                </c:pt>
                <c:pt idx="14">
                  <c:v>0.25808900000000001</c:v>
                </c:pt>
                <c:pt idx="15">
                  <c:v>0.27890199999999998</c:v>
                </c:pt>
                <c:pt idx="16">
                  <c:v>0.30199799999999999</c:v>
                </c:pt>
                <c:pt idx="17">
                  <c:v>0.31762200000000002</c:v>
                </c:pt>
                <c:pt idx="18">
                  <c:v>0.33596500000000001</c:v>
                </c:pt>
                <c:pt idx="19">
                  <c:v>0.35363099999999997</c:v>
                </c:pt>
                <c:pt idx="20">
                  <c:v>0.36686299999999999</c:v>
                </c:pt>
                <c:pt idx="21">
                  <c:v>0.37975199999999998</c:v>
                </c:pt>
                <c:pt idx="22">
                  <c:v>0.392486</c:v>
                </c:pt>
                <c:pt idx="23">
                  <c:v>0.408918</c:v>
                </c:pt>
                <c:pt idx="24">
                  <c:v>0.41748000000000002</c:v>
                </c:pt>
                <c:pt idx="25">
                  <c:v>0.41335499999999997</c:v>
                </c:pt>
                <c:pt idx="26">
                  <c:v>0.413026</c:v>
                </c:pt>
                <c:pt idx="27">
                  <c:v>0.422601</c:v>
                </c:pt>
                <c:pt idx="28">
                  <c:v>0.43601099999999998</c:v>
                </c:pt>
                <c:pt idx="29">
                  <c:v>0.44751000000000002</c:v>
                </c:pt>
                <c:pt idx="30">
                  <c:v>0.45732099999999998</c:v>
                </c:pt>
                <c:pt idx="31">
                  <c:v>0.46630700000000003</c:v>
                </c:pt>
                <c:pt idx="32">
                  <c:v>0.47491899999999998</c:v>
                </c:pt>
                <c:pt idx="33">
                  <c:v>0.48234300000000002</c:v>
                </c:pt>
                <c:pt idx="34">
                  <c:v>0.48652200000000001</c:v>
                </c:pt>
              </c:numCache>
            </c:numRef>
          </c:val>
          <c:smooth val="0"/>
          <c:extLst>
            <c:ext xmlns:c16="http://schemas.microsoft.com/office/drawing/2014/chart" uri="{C3380CC4-5D6E-409C-BE32-E72D297353CC}">
              <c16:uniqueId val="{00000000-ADB9-4285-ACE6-F323D33A1CF0}"/>
            </c:ext>
          </c:extLst>
        </c:ser>
        <c:ser>
          <c:idx val="4"/>
          <c:order val="1"/>
          <c:tx>
            <c:strRef>
              <c:f>'5) Higher import prices'!$A$277</c:f>
              <c:strCache>
                <c:ptCount val="1"/>
                <c:pt idx="0">
                  <c:v>Finance system’s policy (FSP) IP</c:v>
                </c:pt>
              </c:strCache>
            </c:strRef>
          </c:tx>
          <c:spPr>
            <a:ln w="12700" cap="rnd">
              <a:solidFill>
                <a:srgbClr val="70AD47">
                  <a:lumMod val="75000"/>
                </a:srgbClr>
              </a:solidFill>
              <a:prstDash val="dash"/>
              <a:round/>
            </a:ln>
            <a:effectLst/>
          </c:spPr>
          <c:marker>
            <c:symbol val="none"/>
          </c:marker>
          <c:cat>
            <c:numRef>
              <c:f>'5) Higher import prices'!$B$275:$AJ$275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prices'!$B$277:$AJ$277</c:f>
              <c:numCache>
                <c:formatCode>0.00</c:formatCode>
                <c:ptCount val="35"/>
                <c:pt idx="0">
                  <c:v>0.18823599999999999</c:v>
                </c:pt>
                <c:pt idx="1">
                  <c:v>0.19115199999999999</c:v>
                </c:pt>
                <c:pt idx="2">
                  <c:v>0.19982</c:v>
                </c:pt>
                <c:pt idx="3">
                  <c:v>0.20366799999999999</c:v>
                </c:pt>
                <c:pt idx="4">
                  <c:v>0.20336799999999999</c:v>
                </c:pt>
                <c:pt idx="5">
                  <c:v>0.20119100000000001</c:v>
                </c:pt>
                <c:pt idx="6">
                  <c:v>0.19801299999999999</c:v>
                </c:pt>
                <c:pt idx="7">
                  <c:v>0.19583300000000001</c:v>
                </c:pt>
                <c:pt idx="8">
                  <c:v>0.19856499999999999</c:v>
                </c:pt>
                <c:pt idx="9">
                  <c:v>0.20566100000000001</c:v>
                </c:pt>
                <c:pt idx="10">
                  <c:v>0.21456600000000001</c:v>
                </c:pt>
                <c:pt idx="11">
                  <c:v>0.223827</c:v>
                </c:pt>
                <c:pt idx="12">
                  <c:v>0.24632599999999999</c:v>
                </c:pt>
                <c:pt idx="13">
                  <c:v>0.28748899999999999</c:v>
                </c:pt>
                <c:pt idx="14">
                  <c:v>0.32047799999999999</c:v>
                </c:pt>
                <c:pt idx="15">
                  <c:v>0.34815000000000002</c:v>
                </c:pt>
                <c:pt idx="16">
                  <c:v>0.37581999999999999</c:v>
                </c:pt>
                <c:pt idx="17">
                  <c:v>0.390594</c:v>
                </c:pt>
                <c:pt idx="18">
                  <c:v>0.41080299999999997</c:v>
                </c:pt>
                <c:pt idx="19">
                  <c:v>0.428178</c:v>
                </c:pt>
                <c:pt idx="20">
                  <c:v>0.44045499999999999</c:v>
                </c:pt>
                <c:pt idx="21">
                  <c:v>0.45227099999999998</c:v>
                </c:pt>
                <c:pt idx="22">
                  <c:v>0.46468100000000001</c:v>
                </c:pt>
                <c:pt idx="23">
                  <c:v>0.482431</c:v>
                </c:pt>
                <c:pt idx="24">
                  <c:v>0.48891800000000002</c:v>
                </c:pt>
                <c:pt idx="25">
                  <c:v>0.48183199999999998</c:v>
                </c:pt>
                <c:pt idx="26">
                  <c:v>0.47892099999999999</c:v>
                </c:pt>
                <c:pt idx="27">
                  <c:v>0.489514</c:v>
                </c:pt>
                <c:pt idx="28">
                  <c:v>0.50492099999999995</c:v>
                </c:pt>
                <c:pt idx="29">
                  <c:v>0.51769100000000001</c:v>
                </c:pt>
                <c:pt idx="30">
                  <c:v>0.52913200000000005</c:v>
                </c:pt>
                <c:pt idx="31">
                  <c:v>0.53921399999999997</c:v>
                </c:pt>
                <c:pt idx="32">
                  <c:v>0.54903100000000005</c:v>
                </c:pt>
                <c:pt idx="33">
                  <c:v>0.55727199999999999</c:v>
                </c:pt>
                <c:pt idx="34">
                  <c:v>0.56188199999999999</c:v>
                </c:pt>
              </c:numCache>
            </c:numRef>
          </c:val>
          <c:smooth val="0"/>
          <c:extLst>
            <c:ext xmlns:c16="http://schemas.microsoft.com/office/drawing/2014/chart" uri="{C3380CC4-5D6E-409C-BE32-E72D297353CC}">
              <c16:uniqueId val="{00000001-ADB9-4285-ACE6-F323D33A1CF0}"/>
            </c:ext>
          </c:extLst>
        </c:ser>
        <c:ser>
          <c:idx val="0"/>
          <c:order val="2"/>
          <c:tx>
            <c:strRef>
              <c:f>'5) Higher import prices'!$A$278</c:f>
              <c:strCache>
                <c:ptCount val="1"/>
                <c:pt idx="0">
                  <c:v>Low-carbon energy transition scenario (LETS) IP</c:v>
                </c:pt>
              </c:strCache>
            </c:strRef>
          </c:tx>
          <c:spPr>
            <a:ln w="12700" cap="rnd">
              <a:solidFill>
                <a:srgbClr val="5B9BD5">
                  <a:lumMod val="60000"/>
                  <a:lumOff val="40000"/>
                </a:srgbClr>
              </a:solidFill>
              <a:prstDash val="sysDash"/>
              <a:round/>
            </a:ln>
            <a:effectLst/>
          </c:spPr>
          <c:marker>
            <c:symbol val="none"/>
          </c:marker>
          <c:cat>
            <c:numRef>
              <c:f>'5) Higher import prices'!$B$275:$AJ$275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prices'!$B$278:$AJ$278</c:f>
              <c:numCache>
                <c:formatCode>0.00</c:formatCode>
                <c:ptCount val="35"/>
                <c:pt idx="0">
                  <c:v>0.18823599999999999</c:v>
                </c:pt>
                <c:pt idx="1">
                  <c:v>0.19115199999999999</c:v>
                </c:pt>
                <c:pt idx="2">
                  <c:v>0.19982</c:v>
                </c:pt>
                <c:pt idx="3">
                  <c:v>0.20366799999999999</c:v>
                </c:pt>
                <c:pt idx="4">
                  <c:v>0.20336799999999999</c:v>
                </c:pt>
                <c:pt idx="5">
                  <c:v>0.19575200000000001</c:v>
                </c:pt>
                <c:pt idx="6">
                  <c:v>0.19308700000000001</c:v>
                </c:pt>
                <c:pt idx="7">
                  <c:v>0.189943</c:v>
                </c:pt>
                <c:pt idx="8">
                  <c:v>0.18650900000000001</c:v>
                </c:pt>
                <c:pt idx="9">
                  <c:v>0.18512899999999999</c:v>
                </c:pt>
                <c:pt idx="10">
                  <c:v>0.181871</c:v>
                </c:pt>
                <c:pt idx="11">
                  <c:v>0.18625800000000001</c:v>
                </c:pt>
                <c:pt idx="12">
                  <c:v>0.19942599999999999</c:v>
                </c:pt>
                <c:pt idx="13">
                  <c:v>0.22311500000000001</c:v>
                </c:pt>
                <c:pt idx="14">
                  <c:v>0.244477</c:v>
                </c:pt>
                <c:pt idx="15">
                  <c:v>0.25853599999999999</c:v>
                </c:pt>
                <c:pt idx="16">
                  <c:v>0.27983000000000002</c:v>
                </c:pt>
                <c:pt idx="17">
                  <c:v>0.29372999999999999</c:v>
                </c:pt>
                <c:pt idx="18">
                  <c:v>0.310479</c:v>
                </c:pt>
                <c:pt idx="19">
                  <c:v>0.32663900000000001</c:v>
                </c:pt>
                <c:pt idx="20">
                  <c:v>0.33415400000000001</c:v>
                </c:pt>
                <c:pt idx="21">
                  <c:v>0.34600500000000001</c:v>
                </c:pt>
                <c:pt idx="22">
                  <c:v>0.35786400000000002</c:v>
                </c:pt>
                <c:pt idx="23">
                  <c:v>0.37351600000000001</c:v>
                </c:pt>
                <c:pt idx="24">
                  <c:v>0.38156000000000001</c:v>
                </c:pt>
                <c:pt idx="25">
                  <c:v>0.375413</c:v>
                </c:pt>
                <c:pt idx="26">
                  <c:v>0.37697599999999998</c:v>
                </c:pt>
                <c:pt idx="27">
                  <c:v>0.38695299999999999</c:v>
                </c:pt>
                <c:pt idx="28">
                  <c:v>0.40032800000000002</c:v>
                </c:pt>
                <c:pt idx="29">
                  <c:v>0.41162900000000002</c:v>
                </c:pt>
                <c:pt idx="30">
                  <c:v>0.41763299999999998</c:v>
                </c:pt>
                <c:pt idx="31">
                  <c:v>0.42636299999999999</c:v>
                </c:pt>
                <c:pt idx="32">
                  <c:v>0.43466300000000002</c:v>
                </c:pt>
                <c:pt idx="33">
                  <c:v>0.44173699999999999</c:v>
                </c:pt>
                <c:pt idx="34">
                  <c:v>0.43741600000000003</c:v>
                </c:pt>
              </c:numCache>
            </c:numRef>
          </c:val>
          <c:smooth val="0"/>
          <c:extLst>
            <c:ext xmlns:c16="http://schemas.microsoft.com/office/drawing/2014/chart" uri="{C3380CC4-5D6E-409C-BE32-E72D297353CC}">
              <c16:uniqueId val="{00000002-ADB9-4285-ACE6-F323D33A1CF0}"/>
            </c:ext>
          </c:extLst>
        </c:ser>
        <c:ser>
          <c:idx val="2"/>
          <c:order val="3"/>
          <c:tx>
            <c:strRef>
              <c:f>'5) Higher import prices'!$A$279</c:f>
              <c:strCache>
                <c:ptCount val="1"/>
                <c:pt idx="0">
                  <c:v>FSP and LETS combined IP</c:v>
                </c:pt>
              </c:strCache>
            </c:strRef>
          </c:tx>
          <c:spPr>
            <a:ln w="12700" cap="rnd">
              <a:solidFill>
                <a:srgbClr val="7030A0"/>
              </a:solidFill>
              <a:prstDash val="lgDashDot"/>
              <a:round/>
            </a:ln>
            <a:effectLst/>
          </c:spPr>
          <c:marker>
            <c:symbol val="none"/>
          </c:marker>
          <c:cat>
            <c:numRef>
              <c:f>'5) Higher import prices'!$B$275:$AJ$275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'5) Higher import prices'!$B$279:$AJ$279</c:f>
              <c:numCache>
                <c:formatCode>0.00</c:formatCode>
                <c:ptCount val="35"/>
                <c:pt idx="0">
                  <c:v>0.18823599999999999</c:v>
                </c:pt>
                <c:pt idx="1">
                  <c:v>0.19115199999999999</c:v>
                </c:pt>
                <c:pt idx="2">
                  <c:v>0.19982</c:v>
                </c:pt>
                <c:pt idx="3">
                  <c:v>0.20366799999999999</c:v>
                </c:pt>
                <c:pt idx="4">
                  <c:v>0.20336799999999999</c:v>
                </c:pt>
                <c:pt idx="5">
                  <c:v>0.19669600000000001</c:v>
                </c:pt>
                <c:pt idx="6">
                  <c:v>0.20142399999999999</c:v>
                </c:pt>
                <c:pt idx="7">
                  <c:v>0.205457</c:v>
                </c:pt>
                <c:pt idx="8">
                  <c:v>0.20873</c:v>
                </c:pt>
                <c:pt idx="9">
                  <c:v>0.21285699999999999</c:v>
                </c:pt>
                <c:pt idx="10">
                  <c:v>0.215915</c:v>
                </c:pt>
                <c:pt idx="11">
                  <c:v>0.242426</c:v>
                </c:pt>
                <c:pt idx="12">
                  <c:v>0.27422200000000002</c:v>
                </c:pt>
                <c:pt idx="13">
                  <c:v>0.31332100000000002</c:v>
                </c:pt>
                <c:pt idx="14">
                  <c:v>0.344912</c:v>
                </c:pt>
                <c:pt idx="15">
                  <c:v>0.37513099999999999</c:v>
                </c:pt>
                <c:pt idx="16">
                  <c:v>0.43244500000000002</c:v>
                </c:pt>
                <c:pt idx="17">
                  <c:v>0.47298800000000002</c:v>
                </c:pt>
                <c:pt idx="18">
                  <c:v>0.50467700000000004</c:v>
                </c:pt>
                <c:pt idx="19">
                  <c:v>0.52755799999999997</c:v>
                </c:pt>
                <c:pt idx="20">
                  <c:v>0.543512</c:v>
                </c:pt>
                <c:pt idx="21">
                  <c:v>0.57909900000000003</c:v>
                </c:pt>
                <c:pt idx="22">
                  <c:v>0.60445199999999999</c:v>
                </c:pt>
                <c:pt idx="23">
                  <c:v>0.622776</c:v>
                </c:pt>
                <c:pt idx="24">
                  <c:v>0.63073800000000002</c:v>
                </c:pt>
                <c:pt idx="25">
                  <c:v>0.62712500000000004</c:v>
                </c:pt>
                <c:pt idx="26">
                  <c:v>0.64527900000000005</c:v>
                </c:pt>
                <c:pt idx="27">
                  <c:v>0.66135200000000005</c:v>
                </c:pt>
                <c:pt idx="28">
                  <c:v>0.67172799999999999</c:v>
                </c:pt>
                <c:pt idx="29">
                  <c:v>0.67900300000000002</c:v>
                </c:pt>
                <c:pt idx="30">
                  <c:v>0.68564000000000003</c:v>
                </c:pt>
                <c:pt idx="31">
                  <c:v>0.709978</c:v>
                </c:pt>
                <c:pt idx="32">
                  <c:v>0.72775800000000002</c:v>
                </c:pt>
                <c:pt idx="33">
                  <c:v>0.73757200000000001</c:v>
                </c:pt>
                <c:pt idx="34">
                  <c:v>0.739645</c:v>
                </c:pt>
              </c:numCache>
            </c:numRef>
          </c:val>
          <c:smooth val="0"/>
          <c:extLst>
            <c:ext xmlns:c16="http://schemas.microsoft.com/office/drawing/2014/chart" uri="{C3380CC4-5D6E-409C-BE32-E72D297353CC}">
              <c16:uniqueId val="{00000003-ADB9-4285-ACE6-F323D33A1CF0}"/>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0.15000000000000002"/>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Mio people</a:t>
                </a:r>
                <a:endParaRPr lang="de-CH" sz="1000">
                  <a:effectLst/>
                </a:endParaRPr>
              </a:p>
            </c:rich>
          </c:tx>
          <c:layout>
            <c:manualLayout>
              <c:xMode val="edge"/>
              <c:yMode val="edge"/>
              <c:x val="3.099109378184527E-2"/>
              <c:y val="0.30364720034995624"/>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2761470527244198"/>
          <c:y val="0.87204097874862418"/>
          <c:w val="0.8380529970561806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NW'!$A$101</c:f>
              <c:strCache>
                <c:ptCount val="1"/>
                <c:pt idx="0">
                  <c:v>Base-run IPNW</c:v>
                </c:pt>
              </c:strCache>
            </c:strRef>
          </c:tx>
          <c:spPr>
            <a:ln w="12700" cap="rnd">
              <a:solidFill>
                <a:sysClr val="windowText" lastClr="000000"/>
              </a:solidFill>
              <a:round/>
            </a:ln>
            <a:effectLst/>
          </c:spPr>
          <c:marker>
            <c:symbol val="none"/>
          </c:marker>
          <c:cat>
            <c:numRef>
              <c:f>'6) Higher import prices und NW'!$B$100:$AJ$100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NW'!$B$101:$AJ$101</c:f>
              <c:numCache>
                <c:formatCode>0</c:formatCode>
                <c:ptCount val="35"/>
                <c:pt idx="0">
                  <c:v>12.885899999999999</c:v>
                </c:pt>
                <c:pt idx="1">
                  <c:v>12.906499999999999</c:v>
                </c:pt>
                <c:pt idx="2">
                  <c:v>13.0207</c:v>
                </c:pt>
                <c:pt idx="3">
                  <c:v>13.1157</c:v>
                </c:pt>
                <c:pt idx="4">
                  <c:v>13.1214</c:v>
                </c:pt>
                <c:pt idx="5">
                  <c:v>13.0436</c:v>
                </c:pt>
                <c:pt idx="6">
                  <c:v>12.906599999999999</c:v>
                </c:pt>
                <c:pt idx="7">
                  <c:v>12.7288</c:v>
                </c:pt>
                <c:pt idx="8">
                  <c:v>12.523099999999999</c:v>
                </c:pt>
                <c:pt idx="9">
                  <c:v>12.3088</c:v>
                </c:pt>
                <c:pt idx="10">
                  <c:v>12.1134</c:v>
                </c:pt>
                <c:pt idx="11">
                  <c:v>11.944800000000001</c:v>
                </c:pt>
                <c:pt idx="12">
                  <c:v>11.836399999999999</c:v>
                </c:pt>
                <c:pt idx="13">
                  <c:v>11.8474</c:v>
                </c:pt>
                <c:pt idx="14">
                  <c:v>11.9277</c:v>
                </c:pt>
                <c:pt idx="15">
                  <c:v>11.999700000000001</c:v>
                </c:pt>
                <c:pt idx="16">
                  <c:v>12.050800000000001</c:v>
                </c:pt>
                <c:pt idx="17">
                  <c:v>12.06</c:v>
                </c:pt>
                <c:pt idx="18">
                  <c:v>12.023899999999999</c:v>
                </c:pt>
                <c:pt idx="19">
                  <c:v>11.9579</c:v>
                </c:pt>
                <c:pt idx="20">
                  <c:v>11.851100000000001</c:v>
                </c:pt>
                <c:pt idx="21">
                  <c:v>11.7133</c:v>
                </c:pt>
                <c:pt idx="22">
                  <c:v>11.553800000000001</c:v>
                </c:pt>
                <c:pt idx="23">
                  <c:v>11.389799999999999</c:v>
                </c:pt>
                <c:pt idx="24">
                  <c:v>11.2186</c:v>
                </c:pt>
                <c:pt idx="25">
                  <c:v>11.0299</c:v>
                </c:pt>
                <c:pt idx="26">
                  <c:v>10.8262</c:v>
                </c:pt>
                <c:pt idx="27">
                  <c:v>10.6119</c:v>
                </c:pt>
                <c:pt idx="28">
                  <c:v>10.3909</c:v>
                </c:pt>
                <c:pt idx="29">
                  <c:v>10.165900000000001</c:v>
                </c:pt>
                <c:pt idx="30">
                  <c:v>9.9392099999999992</c:v>
                </c:pt>
                <c:pt idx="31">
                  <c:v>9.7148199999999996</c:v>
                </c:pt>
                <c:pt idx="32">
                  <c:v>9.4998299999999993</c:v>
                </c:pt>
                <c:pt idx="33">
                  <c:v>9.2923100000000005</c:v>
                </c:pt>
                <c:pt idx="34">
                  <c:v>9.0857899999999994</c:v>
                </c:pt>
              </c:numCache>
            </c:numRef>
          </c:val>
          <c:smooth val="0"/>
          <c:extLst>
            <c:ext xmlns:c16="http://schemas.microsoft.com/office/drawing/2014/chart" uri="{C3380CC4-5D6E-409C-BE32-E72D297353CC}">
              <c16:uniqueId val="{00000000-B3CA-443A-A447-6AED97228328}"/>
            </c:ext>
          </c:extLst>
        </c:ser>
        <c:ser>
          <c:idx val="4"/>
          <c:order val="1"/>
          <c:tx>
            <c:strRef>
              <c:f>'6) Higher import prices und NW'!$A$102</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NW'!$B$102:$AJ$102</c:f>
              <c:numCache>
                <c:formatCode>0</c:formatCode>
                <c:ptCount val="35"/>
                <c:pt idx="0">
                  <c:v>12.885899999999999</c:v>
                </c:pt>
                <c:pt idx="1">
                  <c:v>12.906499999999999</c:v>
                </c:pt>
                <c:pt idx="2">
                  <c:v>13.0207</c:v>
                </c:pt>
                <c:pt idx="3">
                  <c:v>13.1157</c:v>
                </c:pt>
                <c:pt idx="4">
                  <c:v>13.1214</c:v>
                </c:pt>
                <c:pt idx="5">
                  <c:v>13.0436</c:v>
                </c:pt>
                <c:pt idx="6">
                  <c:v>12.906599999999999</c:v>
                </c:pt>
                <c:pt idx="7">
                  <c:v>12.730499999999999</c:v>
                </c:pt>
                <c:pt idx="8">
                  <c:v>12.547700000000001</c:v>
                </c:pt>
                <c:pt idx="9">
                  <c:v>12.386900000000001</c:v>
                </c:pt>
                <c:pt idx="10">
                  <c:v>12.2498</c:v>
                </c:pt>
                <c:pt idx="11">
                  <c:v>12.122999999999999</c:v>
                </c:pt>
                <c:pt idx="12">
                  <c:v>12.0267</c:v>
                </c:pt>
                <c:pt idx="13">
                  <c:v>12.0085</c:v>
                </c:pt>
                <c:pt idx="14">
                  <c:v>12.0273</c:v>
                </c:pt>
                <c:pt idx="15">
                  <c:v>12.0273</c:v>
                </c:pt>
                <c:pt idx="16">
                  <c:v>12.003399999999999</c:v>
                </c:pt>
                <c:pt idx="17">
                  <c:v>11.9437</c:v>
                </c:pt>
                <c:pt idx="18">
                  <c:v>11.848800000000001</c:v>
                </c:pt>
                <c:pt idx="19">
                  <c:v>11.7316</c:v>
                </c:pt>
                <c:pt idx="20">
                  <c:v>11.5837</c:v>
                </c:pt>
                <c:pt idx="21">
                  <c:v>11.4122</c:v>
                </c:pt>
                <c:pt idx="22">
                  <c:v>11.2249</c:v>
                </c:pt>
                <c:pt idx="23">
                  <c:v>11.0358</c:v>
                </c:pt>
                <c:pt idx="24">
                  <c:v>10.8436</c:v>
                </c:pt>
                <c:pt idx="25">
                  <c:v>10.6402</c:v>
                </c:pt>
                <c:pt idx="26">
                  <c:v>10.4274</c:v>
                </c:pt>
                <c:pt idx="27">
                  <c:v>10.208500000000001</c:v>
                </c:pt>
                <c:pt idx="28">
                  <c:v>9.9861199999999997</c:v>
                </c:pt>
                <c:pt idx="29">
                  <c:v>9.7624099999999991</c:v>
                </c:pt>
                <c:pt idx="30">
                  <c:v>9.5389199999999992</c:v>
                </c:pt>
                <c:pt idx="31">
                  <c:v>9.3168399999999991</c:v>
                </c:pt>
                <c:pt idx="32">
                  <c:v>9.0977999999999994</c:v>
                </c:pt>
                <c:pt idx="33">
                  <c:v>8.8837700000000002</c:v>
                </c:pt>
                <c:pt idx="34">
                  <c:v>8.6733700000000002</c:v>
                </c:pt>
              </c:numCache>
            </c:numRef>
          </c:val>
          <c:smooth val="0"/>
          <c:extLst>
            <c:ext xmlns:c16="http://schemas.microsoft.com/office/drawing/2014/chart" uri="{C3380CC4-5D6E-409C-BE32-E72D297353CC}">
              <c16:uniqueId val="{00000001-B3CA-443A-A447-6AED97228328}"/>
            </c:ext>
          </c:extLst>
        </c:ser>
        <c:ser>
          <c:idx val="0"/>
          <c:order val="2"/>
          <c:tx>
            <c:strRef>
              <c:f>'6) Higher import prices und NW'!$A$103</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NW'!$B$103:$AJ$103</c:f>
              <c:numCache>
                <c:formatCode>0</c:formatCode>
                <c:ptCount val="35"/>
                <c:pt idx="0">
                  <c:v>12.885899999999999</c:v>
                </c:pt>
                <c:pt idx="1">
                  <c:v>12.906499999999999</c:v>
                </c:pt>
                <c:pt idx="2">
                  <c:v>13.0207</c:v>
                </c:pt>
                <c:pt idx="3">
                  <c:v>13.1157</c:v>
                </c:pt>
                <c:pt idx="4">
                  <c:v>13.1214</c:v>
                </c:pt>
                <c:pt idx="5">
                  <c:v>11.6092</c:v>
                </c:pt>
                <c:pt idx="6">
                  <c:v>11.5076</c:v>
                </c:pt>
                <c:pt idx="7">
                  <c:v>11.3645</c:v>
                </c:pt>
                <c:pt idx="8">
                  <c:v>11.192399999999999</c:v>
                </c:pt>
                <c:pt idx="9">
                  <c:v>10.999700000000001</c:v>
                </c:pt>
                <c:pt idx="10">
                  <c:v>9.4209800000000001</c:v>
                </c:pt>
                <c:pt idx="11">
                  <c:v>9.2383900000000008</c:v>
                </c:pt>
                <c:pt idx="12">
                  <c:v>9.0488800000000005</c:v>
                </c:pt>
                <c:pt idx="13">
                  <c:v>8.8551699999999993</c:v>
                </c:pt>
                <c:pt idx="14">
                  <c:v>8.6593699999999991</c:v>
                </c:pt>
                <c:pt idx="15">
                  <c:v>7.2088000000000001</c:v>
                </c:pt>
                <c:pt idx="16">
                  <c:v>7.0443100000000003</c:v>
                </c:pt>
                <c:pt idx="17">
                  <c:v>6.8807099999999997</c:v>
                </c:pt>
                <c:pt idx="18">
                  <c:v>6.71868</c:v>
                </c:pt>
                <c:pt idx="19">
                  <c:v>6.5587600000000004</c:v>
                </c:pt>
                <c:pt idx="20">
                  <c:v>5.27128</c:v>
                </c:pt>
                <c:pt idx="21">
                  <c:v>5.14459</c:v>
                </c:pt>
                <c:pt idx="22">
                  <c:v>5.0201700000000002</c:v>
                </c:pt>
                <c:pt idx="23">
                  <c:v>4.8981399999999997</c:v>
                </c:pt>
                <c:pt idx="24">
                  <c:v>4.7786099999999996</c:v>
                </c:pt>
                <c:pt idx="25">
                  <c:v>3.6488200000000002</c:v>
                </c:pt>
                <c:pt idx="26">
                  <c:v>3.55952</c:v>
                </c:pt>
                <c:pt idx="27">
                  <c:v>3.4721799999999998</c:v>
                </c:pt>
                <c:pt idx="28">
                  <c:v>3.3868200000000002</c:v>
                </c:pt>
                <c:pt idx="29">
                  <c:v>3.3034300000000001</c:v>
                </c:pt>
                <c:pt idx="30">
                  <c:v>2.3160099999999999</c:v>
                </c:pt>
                <c:pt idx="31">
                  <c:v>2.2589399999999999</c:v>
                </c:pt>
                <c:pt idx="32">
                  <c:v>2.20322</c:v>
                </c:pt>
                <c:pt idx="33">
                  <c:v>2.1488299999999998</c:v>
                </c:pt>
                <c:pt idx="34">
                  <c:v>1.3488200000000001E-4</c:v>
                </c:pt>
              </c:numCache>
            </c:numRef>
          </c:val>
          <c:smooth val="0"/>
          <c:extLst>
            <c:ext xmlns:c16="http://schemas.microsoft.com/office/drawing/2014/chart" uri="{C3380CC4-5D6E-409C-BE32-E72D297353CC}">
              <c16:uniqueId val="{00000002-B3CA-443A-A447-6AED97228328}"/>
            </c:ext>
          </c:extLst>
        </c:ser>
        <c:ser>
          <c:idx val="2"/>
          <c:order val="3"/>
          <c:tx>
            <c:strRef>
              <c:f>'6) Higher import prices und NW'!$A$104</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NW'!$B$100:$AJ$100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NW'!$B$104:$AJ$104</c:f>
              <c:numCache>
                <c:formatCode>0</c:formatCode>
                <c:ptCount val="35"/>
                <c:pt idx="0">
                  <c:v>12.885899999999999</c:v>
                </c:pt>
                <c:pt idx="1">
                  <c:v>12.906499999999999</c:v>
                </c:pt>
                <c:pt idx="2">
                  <c:v>13.0207</c:v>
                </c:pt>
                <c:pt idx="3">
                  <c:v>13.1157</c:v>
                </c:pt>
                <c:pt idx="4">
                  <c:v>13.1214</c:v>
                </c:pt>
                <c:pt idx="5">
                  <c:v>11.6092</c:v>
                </c:pt>
                <c:pt idx="6">
                  <c:v>11.5076</c:v>
                </c:pt>
                <c:pt idx="7">
                  <c:v>11.3645</c:v>
                </c:pt>
                <c:pt idx="8">
                  <c:v>11.192399999999999</c:v>
                </c:pt>
                <c:pt idx="9">
                  <c:v>10.999700000000001</c:v>
                </c:pt>
                <c:pt idx="10">
                  <c:v>9.4209800000000001</c:v>
                </c:pt>
                <c:pt idx="11">
                  <c:v>9.2383900000000008</c:v>
                </c:pt>
                <c:pt idx="12">
                  <c:v>9.0488800000000005</c:v>
                </c:pt>
                <c:pt idx="13">
                  <c:v>8.8551699999999993</c:v>
                </c:pt>
                <c:pt idx="14">
                  <c:v>8.6593699999999991</c:v>
                </c:pt>
                <c:pt idx="15">
                  <c:v>7.2088000000000001</c:v>
                </c:pt>
                <c:pt idx="16">
                  <c:v>7.0443100000000003</c:v>
                </c:pt>
                <c:pt idx="17">
                  <c:v>6.8807099999999997</c:v>
                </c:pt>
                <c:pt idx="18">
                  <c:v>6.71868</c:v>
                </c:pt>
                <c:pt idx="19">
                  <c:v>6.5587600000000004</c:v>
                </c:pt>
                <c:pt idx="20">
                  <c:v>5.27128</c:v>
                </c:pt>
                <c:pt idx="21">
                  <c:v>5.14459</c:v>
                </c:pt>
                <c:pt idx="22">
                  <c:v>5.0201700000000002</c:v>
                </c:pt>
                <c:pt idx="23">
                  <c:v>4.8981399999999997</c:v>
                </c:pt>
                <c:pt idx="24">
                  <c:v>4.7786099999999996</c:v>
                </c:pt>
                <c:pt idx="25">
                  <c:v>3.6488200000000002</c:v>
                </c:pt>
                <c:pt idx="26">
                  <c:v>3.55952</c:v>
                </c:pt>
                <c:pt idx="27">
                  <c:v>3.4721799999999998</c:v>
                </c:pt>
                <c:pt idx="28">
                  <c:v>3.3868200000000002</c:v>
                </c:pt>
                <c:pt idx="29">
                  <c:v>3.3034300000000001</c:v>
                </c:pt>
                <c:pt idx="30">
                  <c:v>2.3160099999999999</c:v>
                </c:pt>
                <c:pt idx="31">
                  <c:v>2.2589399999999999</c:v>
                </c:pt>
                <c:pt idx="32">
                  <c:v>2.20322</c:v>
                </c:pt>
                <c:pt idx="33">
                  <c:v>2.1488299999999998</c:v>
                </c:pt>
                <c:pt idx="34">
                  <c:v>1.3488200000000001E-4</c:v>
                </c:pt>
              </c:numCache>
            </c:numRef>
          </c:val>
          <c:smooth val="0"/>
          <c:extLst>
            <c:ext xmlns:c16="http://schemas.microsoft.com/office/drawing/2014/chart" uri="{C3380CC4-5D6E-409C-BE32-E72D297353CC}">
              <c16:uniqueId val="{00000003-B3CA-443A-A447-6AED97228328}"/>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4.5026179837425045E-2"/>
              <c:y val="0.2331204588731221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99869970382143"/>
          <c:y val="0.87204097874862418"/>
          <c:w val="0.8956941414433287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NW'!$A$125</c:f>
              <c:strCache>
                <c:ptCount val="1"/>
                <c:pt idx="0">
                  <c:v>Base-run IPNW</c:v>
                </c:pt>
              </c:strCache>
            </c:strRef>
          </c:tx>
          <c:spPr>
            <a:ln w="12700" cap="rnd">
              <a:solidFill>
                <a:sysClr val="windowText" lastClr="000000"/>
              </a:solidFill>
              <a:round/>
            </a:ln>
            <a:effectLst/>
          </c:spPr>
          <c:marker>
            <c:symbol val="none"/>
          </c:marker>
          <c:cat>
            <c:numRef>
              <c:f>'6) Higher import prices und NW'!$B$124:$AJ$124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NW'!$B$125:$AJ$125</c:f>
              <c:numCache>
                <c:formatCode>0.00</c:formatCode>
                <c:ptCount val="35"/>
                <c:pt idx="0">
                  <c:v>1</c:v>
                </c:pt>
                <c:pt idx="1">
                  <c:v>0.99242799999999998</c:v>
                </c:pt>
                <c:pt idx="2">
                  <c:v>1.06989</c:v>
                </c:pt>
                <c:pt idx="3">
                  <c:v>1.08632</c:v>
                </c:pt>
                <c:pt idx="4">
                  <c:v>1.10311</c:v>
                </c:pt>
                <c:pt idx="5">
                  <c:v>1.13029</c:v>
                </c:pt>
                <c:pt idx="6">
                  <c:v>1.1612</c:v>
                </c:pt>
                <c:pt idx="7">
                  <c:v>1.1937199999999999</c:v>
                </c:pt>
                <c:pt idx="8">
                  <c:v>1.20949</c:v>
                </c:pt>
                <c:pt idx="9">
                  <c:v>1.1914100000000001</c:v>
                </c:pt>
                <c:pt idx="10">
                  <c:v>1.1591</c:v>
                </c:pt>
                <c:pt idx="11">
                  <c:v>1.1103000000000001</c:v>
                </c:pt>
                <c:pt idx="12">
                  <c:v>1.1528799999999999</c:v>
                </c:pt>
                <c:pt idx="13">
                  <c:v>1.2220599999999999</c:v>
                </c:pt>
                <c:pt idx="14">
                  <c:v>1.2539400000000001</c:v>
                </c:pt>
                <c:pt idx="15">
                  <c:v>1.2706900000000001</c:v>
                </c:pt>
                <c:pt idx="16">
                  <c:v>1.28806</c:v>
                </c:pt>
                <c:pt idx="17">
                  <c:v>1.23732</c:v>
                </c:pt>
                <c:pt idx="18">
                  <c:v>1.21204</c:v>
                </c:pt>
                <c:pt idx="19">
                  <c:v>1.13975</c:v>
                </c:pt>
                <c:pt idx="20">
                  <c:v>1.0602499999999999</c:v>
                </c:pt>
                <c:pt idx="21">
                  <c:v>0.97697199999999995</c:v>
                </c:pt>
                <c:pt idx="22">
                  <c:v>0.91294299999999995</c:v>
                </c:pt>
                <c:pt idx="23">
                  <c:v>0.91614600000000002</c:v>
                </c:pt>
                <c:pt idx="24">
                  <c:v>0.89437800000000001</c:v>
                </c:pt>
                <c:pt idx="25">
                  <c:v>0.89851099999999995</c:v>
                </c:pt>
                <c:pt idx="26">
                  <c:v>0.82999800000000001</c:v>
                </c:pt>
                <c:pt idx="27">
                  <c:v>0.67310899999999996</c:v>
                </c:pt>
                <c:pt idx="28">
                  <c:v>0.527474</c:v>
                </c:pt>
                <c:pt idx="29">
                  <c:v>0.42436400000000002</c:v>
                </c:pt>
                <c:pt idx="30">
                  <c:v>0.35004099999999999</c:v>
                </c:pt>
                <c:pt idx="31">
                  <c:v>0.33372600000000002</c:v>
                </c:pt>
                <c:pt idx="32">
                  <c:v>0.38769199999999998</c:v>
                </c:pt>
                <c:pt idx="33">
                  <c:v>0.39978200000000003</c:v>
                </c:pt>
                <c:pt idx="34">
                  <c:v>0.374303</c:v>
                </c:pt>
              </c:numCache>
            </c:numRef>
          </c:val>
          <c:smooth val="0"/>
          <c:extLst>
            <c:ext xmlns:c16="http://schemas.microsoft.com/office/drawing/2014/chart" uri="{C3380CC4-5D6E-409C-BE32-E72D297353CC}">
              <c16:uniqueId val="{00000000-8973-4B7C-97DA-DFC59C806E91}"/>
            </c:ext>
          </c:extLst>
        </c:ser>
        <c:ser>
          <c:idx val="4"/>
          <c:order val="1"/>
          <c:tx>
            <c:strRef>
              <c:f>'6) Higher import prices und NW'!$A$126</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NW'!$B$126:$AJ$126</c:f>
              <c:numCache>
                <c:formatCode>0.00</c:formatCode>
                <c:ptCount val="35"/>
                <c:pt idx="0">
                  <c:v>1</c:v>
                </c:pt>
                <c:pt idx="1">
                  <c:v>0.99242799999999998</c:v>
                </c:pt>
                <c:pt idx="2">
                  <c:v>1.06989</c:v>
                </c:pt>
                <c:pt idx="3">
                  <c:v>1.08632</c:v>
                </c:pt>
                <c:pt idx="4">
                  <c:v>1.10311</c:v>
                </c:pt>
                <c:pt idx="5">
                  <c:v>1.0980300000000001</c:v>
                </c:pt>
                <c:pt idx="6">
                  <c:v>1.12327</c:v>
                </c:pt>
                <c:pt idx="7">
                  <c:v>1.17631</c:v>
                </c:pt>
                <c:pt idx="8">
                  <c:v>1.3949800000000001</c:v>
                </c:pt>
                <c:pt idx="9">
                  <c:v>1.64838</c:v>
                </c:pt>
                <c:pt idx="10">
                  <c:v>1.67235</c:v>
                </c:pt>
                <c:pt idx="11">
                  <c:v>1.49908</c:v>
                </c:pt>
                <c:pt idx="12">
                  <c:v>1.3706499999999999</c:v>
                </c:pt>
                <c:pt idx="13">
                  <c:v>1.34795</c:v>
                </c:pt>
                <c:pt idx="14">
                  <c:v>1.28118</c:v>
                </c:pt>
                <c:pt idx="15">
                  <c:v>1.2315799999999999</c:v>
                </c:pt>
                <c:pt idx="16">
                  <c:v>1.2024699999999999</c:v>
                </c:pt>
                <c:pt idx="17">
                  <c:v>1.12629</c:v>
                </c:pt>
                <c:pt idx="18">
                  <c:v>1.09093</c:v>
                </c:pt>
                <c:pt idx="19">
                  <c:v>1.0150600000000001</c:v>
                </c:pt>
                <c:pt idx="20">
                  <c:v>0.93245</c:v>
                </c:pt>
                <c:pt idx="21">
                  <c:v>0.84633400000000003</c:v>
                </c:pt>
                <c:pt idx="22">
                  <c:v>0.78536399999999995</c:v>
                </c:pt>
                <c:pt idx="23">
                  <c:v>0.79324300000000003</c:v>
                </c:pt>
                <c:pt idx="24">
                  <c:v>0.77199899999999999</c:v>
                </c:pt>
                <c:pt idx="25">
                  <c:v>0.77471900000000005</c:v>
                </c:pt>
                <c:pt idx="26">
                  <c:v>0.71691800000000006</c:v>
                </c:pt>
                <c:pt idx="27">
                  <c:v>0.58310899999999999</c:v>
                </c:pt>
                <c:pt idx="28">
                  <c:v>0.45865400000000001</c:v>
                </c:pt>
                <c:pt idx="29">
                  <c:v>0.37060999999999999</c:v>
                </c:pt>
                <c:pt idx="30">
                  <c:v>0.30665199999999998</c:v>
                </c:pt>
                <c:pt idx="31">
                  <c:v>0.25718800000000003</c:v>
                </c:pt>
                <c:pt idx="32">
                  <c:v>0.23912700000000001</c:v>
                </c:pt>
                <c:pt idx="33">
                  <c:v>0.23418800000000001</c:v>
                </c:pt>
                <c:pt idx="34">
                  <c:v>0.21766099999999999</c:v>
                </c:pt>
              </c:numCache>
            </c:numRef>
          </c:val>
          <c:smooth val="0"/>
          <c:extLst>
            <c:ext xmlns:c16="http://schemas.microsoft.com/office/drawing/2014/chart" uri="{C3380CC4-5D6E-409C-BE32-E72D297353CC}">
              <c16:uniqueId val="{00000001-8973-4B7C-97DA-DFC59C806E91}"/>
            </c:ext>
          </c:extLst>
        </c:ser>
        <c:ser>
          <c:idx val="0"/>
          <c:order val="2"/>
          <c:tx>
            <c:strRef>
              <c:f>'6) Higher import prices und NW'!$A$127</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NW'!$B$127:$AJ$127</c:f>
              <c:numCache>
                <c:formatCode>0.00</c:formatCode>
                <c:ptCount val="35"/>
                <c:pt idx="0">
                  <c:v>1</c:v>
                </c:pt>
                <c:pt idx="1">
                  <c:v>0.99242799999999998</c:v>
                </c:pt>
                <c:pt idx="2">
                  <c:v>1.06989</c:v>
                </c:pt>
                <c:pt idx="3">
                  <c:v>1.08632</c:v>
                </c:pt>
                <c:pt idx="4">
                  <c:v>1.10311</c:v>
                </c:pt>
                <c:pt idx="5">
                  <c:v>1.2602500000000001</c:v>
                </c:pt>
                <c:pt idx="6">
                  <c:v>1.3814299999999999</c:v>
                </c:pt>
                <c:pt idx="7">
                  <c:v>1.4954099999999999</c:v>
                </c:pt>
                <c:pt idx="8">
                  <c:v>1.6070500000000001</c:v>
                </c:pt>
                <c:pt idx="9">
                  <c:v>1.56708</c:v>
                </c:pt>
                <c:pt idx="10">
                  <c:v>1.7549699999999999</c:v>
                </c:pt>
                <c:pt idx="11">
                  <c:v>1.6952199999999999</c:v>
                </c:pt>
                <c:pt idx="12">
                  <c:v>1.4890000000000001</c:v>
                </c:pt>
                <c:pt idx="13">
                  <c:v>1.3143499999999999</c:v>
                </c:pt>
                <c:pt idx="14">
                  <c:v>1.27745</c:v>
                </c:pt>
                <c:pt idx="15">
                  <c:v>1.4956499999999999</c:v>
                </c:pt>
                <c:pt idx="16">
                  <c:v>1.6676599999999999</c:v>
                </c:pt>
                <c:pt idx="17">
                  <c:v>1.7660800000000001</c:v>
                </c:pt>
                <c:pt idx="18">
                  <c:v>1.8341000000000001</c:v>
                </c:pt>
                <c:pt idx="19">
                  <c:v>1.8982300000000001</c:v>
                </c:pt>
                <c:pt idx="20">
                  <c:v>2.1711200000000002</c:v>
                </c:pt>
                <c:pt idx="21">
                  <c:v>2.3081399999999999</c:v>
                </c:pt>
                <c:pt idx="22">
                  <c:v>2.2704599999999999</c:v>
                </c:pt>
                <c:pt idx="23">
                  <c:v>2.2015500000000001</c:v>
                </c:pt>
                <c:pt idx="24">
                  <c:v>2.1720899999999999</c:v>
                </c:pt>
                <c:pt idx="25">
                  <c:v>2.4612799999999999</c:v>
                </c:pt>
                <c:pt idx="26">
                  <c:v>2.51268</c:v>
                </c:pt>
                <c:pt idx="27">
                  <c:v>2.2436600000000002</c:v>
                </c:pt>
                <c:pt idx="28">
                  <c:v>1.9766999999999999</c:v>
                </c:pt>
                <c:pt idx="29">
                  <c:v>1.7496</c:v>
                </c:pt>
                <c:pt idx="30">
                  <c:v>1.60145</c:v>
                </c:pt>
                <c:pt idx="31">
                  <c:v>1.56301</c:v>
                </c:pt>
                <c:pt idx="32">
                  <c:v>1.42038</c:v>
                </c:pt>
                <c:pt idx="33">
                  <c:v>1.2116</c:v>
                </c:pt>
                <c:pt idx="34">
                  <c:v>1.5646800000000001</c:v>
                </c:pt>
              </c:numCache>
            </c:numRef>
          </c:val>
          <c:smooth val="0"/>
          <c:extLst>
            <c:ext xmlns:c16="http://schemas.microsoft.com/office/drawing/2014/chart" uri="{C3380CC4-5D6E-409C-BE32-E72D297353CC}">
              <c16:uniqueId val="{00000002-8973-4B7C-97DA-DFC59C806E91}"/>
            </c:ext>
          </c:extLst>
        </c:ser>
        <c:ser>
          <c:idx val="2"/>
          <c:order val="3"/>
          <c:tx>
            <c:strRef>
              <c:f>'6) Higher import prices und NW'!$A$128</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NW'!$B$124:$AJ$124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NW'!$B$128:$AJ$128</c:f>
              <c:numCache>
                <c:formatCode>0.00</c:formatCode>
                <c:ptCount val="35"/>
                <c:pt idx="0">
                  <c:v>1</c:v>
                </c:pt>
                <c:pt idx="1">
                  <c:v>0.99242799999999998</c:v>
                </c:pt>
                <c:pt idx="2">
                  <c:v>1.06989</c:v>
                </c:pt>
                <c:pt idx="3">
                  <c:v>1.08632</c:v>
                </c:pt>
                <c:pt idx="4">
                  <c:v>1.10311</c:v>
                </c:pt>
                <c:pt idx="5">
                  <c:v>1.1652199999999999</c:v>
                </c:pt>
                <c:pt idx="6">
                  <c:v>1.3748</c:v>
                </c:pt>
                <c:pt idx="7">
                  <c:v>1.5968199999999999</c:v>
                </c:pt>
                <c:pt idx="8">
                  <c:v>1.78712</c:v>
                </c:pt>
                <c:pt idx="9">
                  <c:v>1.7864100000000001</c:v>
                </c:pt>
                <c:pt idx="10">
                  <c:v>1.6969099999999999</c:v>
                </c:pt>
                <c:pt idx="11">
                  <c:v>1.76973</c:v>
                </c:pt>
                <c:pt idx="12">
                  <c:v>1.56351</c:v>
                </c:pt>
                <c:pt idx="13">
                  <c:v>1.31863</c:v>
                </c:pt>
                <c:pt idx="14">
                  <c:v>1.1555899999999999</c:v>
                </c:pt>
                <c:pt idx="15">
                  <c:v>1.1892400000000001</c:v>
                </c:pt>
                <c:pt idx="16">
                  <c:v>1.3669</c:v>
                </c:pt>
                <c:pt idx="17">
                  <c:v>1.40534</c:v>
                </c:pt>
                <c:pt idx="18">
                  <c:v>1.38243</c:v>
                </c:pt>
                <c:pt idx="19">
                  <c:v>1.3040700000000001</c:v>
                </c:pt>
                <c:pt idx="20">
                  <c:v>1.3043899999999999</c:v>
                </c:pt>
                <c:pt idx="21">
                  <c:v>1.4179900000000001</c:v>
                </c:pt>
                <c:pt idx="22">
                  <c:v>1.3552999999999999</c:v>
                </c:pt>
                <c:pt idx="23">
                  <c:v>1.2243200000000001</c:v>
                </c:pt>
                <c:pt idx="24">
                  <c:v>1.1205700000000001</c:v>
                </c:pt>
                <c:pt idx="25">
                  <c:v>1.1744699999999999</c:v>
                </c:pt>
                <c:pt idx="26">
                  <c:v>1.2613300000000001</c:v>
                </c:pt>
                <c:pt idx="27">
                  <c:v>1.1071800000000001</c:v>
                </c:pt>
                <c:pt idx="28">
                  <c:v>0.90111699999999995</c:v>
                </c:pt>
                <c:pt idx="29">
                  <c:v>0.74159299999999995</c:v>
                </c:pt>
                <c:pt idx="30">
                  <c:v>0.72320899999999999</c:v>
                </c:pt>
                <c:pt idx="31">
                  <c:v>0.95213400000000004</c:v>
                </c:pt>
                <c:pt idx="32">
                  <c:v>0.95636500000000002</c:v>
                </c:pt>
                <c:pt idx="33">
                  <c:v>0.84794700000000001</c:v>
                </c:pt>
                <c:pt idx="34">
                  <c:v>0.95931299999999997</c:v>
                </c:pt>
              </c:numCache>
            </c:numRef>
          </c:val>
          <c:smooth val="0"/>
          <c:extLst>
            <c:ext xmlns:c16="http://schemas.microsoft.com/office/drawing/2014/chart" uri="{C3380CC4-5D6E-409C-BE32-E72D297353CC}">
              <c16:uniqueId val="{00000003-8973-4B7C-97DA-DFC59C806E91}"/>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Index</a:t>
                </a:r>
              </a:p>
            </c:rich>
          </c:tx>
          <c:layout>
            <c:manualLayout>
              <c:xMode val="edge"/>
              <c:yMode val="edge"/>
              <c:x val="2.3122004497942078E-2"/>
              <c:y val="0.316167521654178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7.245700679574596E-2"/>
          <c:y val="0.85274051841227927"/>
          <c:w val="0.9252358289044209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NW'!$A$181</c:f>
              <c:strCache>
                <c:ptCount val="1"/>
                <c:pt idx="0">
                  <c:v>Base-run IPNW</c:v>
                </c:pt>
              </c:strCache>
            </c:strRef>
          </c:tx>
          <c:spPr>
            <a:ln w="12700" cap="rnd">
              <a:solidFill>
                <a:sysClr val="windowText" lastClr="000000"/>
              </a:solidFill>
              <a:round/>
            </a:ln>
            <a:effectLst/>
          </c:spPr>
          <c:marker>
            <c:symbol val="none"/>
          </c:marker>
          <c:cat>
            <c:numRef>
              <c:f>'6) Higher import prices und NW'!$B$180:$AJ$180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NW'!$B$181:$AJ$181</c:f>
              <c:numCache>
                <c:formatCode>0.00</c:formatCode>
                <c:ptCount val="35"/>
                <c:pt idx="0">
                  <c:v>10.467799999999999</c:v>
                </c:pt>
                <c:pt idx="1">
                  <c:v>10.671799999999999</c:v>
                </c:pt>
                <c:pt idx="2">
                  <c:v>10.1355</c:v>
                </c:pt>
                <c:pt idx="3">
                  <c:v>9.5419699999999992</c:v>
                </c:pt>
                <c:pt idx="4">
                  <c:v>7.9383599999999994</c:v>
                </c:pt>
                <c:pt idx="5">
                  <c:v>4.1973000000000003</c:v>
                </c:pt>
                <c:pt idx="6">
                  <c:v>4.1099700000000006</c:v>
                </c:pt>
                <c:pt idx="7">
                  <c:v>4.0293400000000004</c:v>
                </c:pt>
                <c:pt idx="8">
                  <c:v>3.9517699999999998</c:v>
                </c:pt>
                <c:pt idx="9">
                  <c:v>3.8761199999999998</c:v>
                </c:pt>
                <c:pt idx="10">
                  <c:v>3.80206</c:v>
                </c:pt>
                <c:pt idx="11">
                  <c:v>3.7294499999999999</c:v>
                </c:pt>
                <c:pt idx="12">
                  <c:v>3.6582399999999997</c:v>
                </c:pt>
                <c:pt idx="13">
                  <c:v>4.2257299999999995</c:v>
                </c:pt>
                <c:pt idx="14">
                  <c:v>5.21183</c:v>
                </c:pt>
                <c:pt idx="15">
                  <c:v>6.1782399999999997</c:v>
                </c:pt>
                <c:pt idx="16">
                  <c:v>7.1292299999999997</c:v>
                </c:pt>
                <c:pt idx="17">
                  <c:v>8.0666799999999999</c:v>
                </c:pt>
                <c:pt idx="18">
                  <c:v>8.9912600000000005</c:v>
                </c:pt>
                <c:pt idx="19">
                  <c:v>9.9033799999999985</c:v>
                </c:pt>
                <c:pt idx="20">
                  <c:v>10.8034</c:v>
                </c:pt>
                <c:pt idx="21">
                  <c:v>11.6915</c:v>
                </c:pt>
                <c:pt idx="22">
                  <c:v>12.568</c:v>
                </c:pt>
                <c:pt idx="23">
                  <c:v>13.433200000000001</c:v>
                </c:pt>
                <c:pt idx="24">
                  <c:v>14.2873</c:v>
                </c:pt>
                <c:pt idx="25">
                  <c:v>15.130600000000001</c:v>
                </c:pt>
                <c:pt idx="26">
                  <c:v>15.9634</c:v>
                </c:pt>
                <c:pt idx="27">
                  <c:v>16.786000000000001</c:v>
                </c:pt>
                <c:pt idx="28">
                  <c:v>17.598400000000002</c:v>
                </c:pt>
                <c:pt idx="29">
                  <c:v>18.4011</c:v>
                </c:pt>
                <c:pt idx="30">
                  <c:v>19.194299999999998</c:v>
                </c:pt>
                <c:pt idx="31">
                  <c:v>19.978099999999998</c:v>
                </c:pt>
                <c:pt idx="32">
                  <c:v>20.752800000000001</c:v>
                </c:pt>
                <c:pt idx="33">
                  <c:v>21.518699999999999</c:v>
                </c:pt>
                <c:pt idx="34">
                  <c:v>22.275599999999997</c:v>
                </c:pt>
              </c:numCache>
            </c:numRef>
          </c:val>
          <c:smooth val="0"/>
          <c:extLst>
            <c:ext xmlns:c16="http://schemas.microsoft.com/office/drawing/2014/chart" uri="{C3380CC4-5D6E-409C-BE32-E72D297353CC}">
              <c16:uniqueId val="{00000000-1322-4CDC-8082-EF12F752FF01}"/>
            </c:ext>
          </c:extLst>
        </c:ser>
        <c:ser>
          <c:idx val="4"/>
          <c:order val="1"/>
          <c:tx>
            <c:strRef>
              <c:f>'6) Higher import prices und NW'!$A$182</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NW'!$B$182:$AJ$182</c:f>
              <c:numCache>
                <c:formatCode>0.00</c:formatCode>
                <c:ptCount val="35"/>
                <c:pt idx="0">
                  <c:v>10.467799999999999</c:v>
                </c:pt>
                <c:pt idx="1">
                  <c:v>10.671799999999999</c:v>
                </c:pt>
                <c:pt idx="2">
                  <c:v>10.1355</c:v>
                </c:pt>
                <c:pt idx="3">
                  <c:v>9.5419699999999992</c:v>
                </c:pt>
                <c:pt idx="4">
                  <c:v>7.9383599999999994</c:v>
                </c:pt>
                <c:pt idx="5">
                  <c:v>4.1973000000000003</c:v>
                </c:pt>
                <c:pt idx="6">
                  <c:v>4.1099700000000006</c:v>
                </c:pt>
                <c:pt idx="7">
                  <c:v>4.0293400000000004</c:v>
                </c:pt>
                <c:pt idx="8">
                  <c:v>3.9517699999999998</c:v>
                </c:pt>
                <c:pt idx="9">
                  <c:v>3.8761199999999998</c:v>
                </c:pt>
                <c:pt idx="10">
                  <c:v>3.80206</c:v>
                </c:pt>
                <c:pt idx="11">
                  <c:v>3.7294499999999999</c:v>
                </c:pt>
                <c:pt idx="12">
                  <c:v>3.6582399999999997</c:v>
                </c:pt>
                <c:pt idx="13">
                  <c:v>3.8569599999999999</c:v>
                </c:pt>
                <c:pt idx="14">
                  <c:v>4.8525299999999998</c:v>
                </c:pt>
                <c:pt idx="15">
                  <c:v>5.8278100000000004</c:v>
                </c:pt>
                <c:pt idx="16">
                  <c:v>6.78634</c:v>
                </c:pt>
                <c:pt idx="17">
                  <c:v>7.7307499999999996</c:v>
                </c:pt>
                <c:pt idx="18">
                  <c:v>8.6620200000000001</c:v>
                </c:pt>
                <c:pt idx="19">
                  <c:v>9.5806299999999993</c:v>
                </c:pt>
                <c:pt idx="20">
                  <c:v>10.4869</c:v>
                </c:pt>
                <c:pt idx="21">
                  <c:v>11.381200000000002</c:v>
                </c:pt>
                <c:pt idx="22">
                  <c:v>12.2638</c:v>
                </c:pt>
                <c:pt idx="23">
                  <c:v>13.1349</c:v>
                </c:pt>
                <c:pt idx="24">
                  <c:v>13.994899999999999</c:v>
                </c:pt>
                <c:pt idx="25">
                  <c:v>14.8439</c:v>
                </c:pt>
                <c:pt idx="26">
                  <c:v>15.6823</c:v>
                </c:pt>
                <c:pt idx="27">
                  <c:v>16.510300000000001</c:v>
                </c:pt>
                <c:pt idx="28">
                  <c:v>17.328200000000002</c:v>
                </c:pt>
                <c:pt idx="29">
                  <c:v>18.136200000000002</c:v>
                </c:pt>
                <c:pt idx="30">
                  <c:v>18.9345</c:v>
                </c:pt>
                <c:pt idx="31">
                  <c:v>19.723400000000002</c:v>
                </c:pt>
                <c:pt idx="32">
                  <c:v>20.5031</c:v>
                </c:pt>
                <c:pt idx="33">
                  <c:v>21.273900000000001</c:v>
                </c:pt>
                <c:pt idx="34">
                  <c:v>22.035499999999999</c:v>
                </c:pt>
              </c:numCache>
            </c:numRef>
          </c:val>
          <c:smooth val="0"/>
          <c:extLst>
            <c:ext xmlns:c16="http://schemas.microsoft.com/office/drawing/2014/chart" uri="{C3380CC4-5D6E-409C-BE32-E72D297353CC}">
              <c16:uniqueId val="{00000001-1322-4CDC-8082-EF12F752FF01}"/>
            </c:ext>
          </c:extLst>
        </c:ser>
        <c:ser>
          <c:idx val="0"/>
          <c:order val="2"/>
          <c:tx>
            <c:strRef>
              <c:f>'6) Higher import prices und NW'!$A$183</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NW'!$B$183:$AJ$183</c:f>
              <c:numCache>
                <c:formatCode>0.00</c:formatCode>
                <c:ptCount val="35"/>
                <c:pt idx="0">
                  <c:v>10.467799999999999</c:v>
                </c:pt>
                <c:pt idx="1">
                  <c:v>10.671799999999999</c:v>
                </c:pt>
                <c:pt idx="2">
                  <c:v>10.1355</c:v>
                </c:pt>
                <c:pt idx="3">
                  <c:v>9.5419699999999992</c:v>
                </c:pt>
                <c:pt idx="4">
                  <c:v>7.9383599999999994</c:v>
                </c:pt>
                <c:pt idx="5">
                  <c:v>4.1973000000000003</c:v>
                </c:pt>
                <c:pt idx="6">
                  <c:v>4.1099700000000006</c:v>
                </c:pt>
                <c:pt idx="7">
                  <c:v>4.0293400000000004</c:v>
                </c:pt>
                <c:pt idx="8">
                  <c:v>3.9517699999999998</c:v>
                </c:pt>
                <c:pt idx="9">
                  <c:v>3.8761199999999998</c:v>
                </c:pt>
                <c:pt idx="10">
                  <c:v>3.80206</c:v>
                </c:pt>
                <c:pt idx="11">
                  <c:v>3.7294499999999999</c:v>
                </c:pt>
                <c:pt idx="12">
                  <c:v>3.6582399999999997</c:v>
                </c:pt>
                <c:pt idx="13">
                  <c:v>4.2368800000000002</c:v>
                </c:pt>
                <c:pt idx="14">
                  <c:v>5.2227200000000007</c:v>
                </c:pt>
                <c:pt idx="15">
                  <c:v>6.1889099999999999</c:v>
                </c:pt>
                <c:pt idx="16">
                  <c:v>7.13971</c:v>
                </c:pt>
                <c:pt idx="17">
                  <c:v>8.0769700000000011</c:v>
                </c:pt>
                <c:pt idx="18">
                  <c:v>9.00136</c:v>
                </c:pt>
                <c:pt idx="19">
                  <c:v>9.9132999999999996</c:v>
                </c:pt>
                <c:pt idx="20">
                  <c:v>10.8131</c:v>
                </c:pt>
                <c:pt idx="21">
                  <c:v>11.701000000000001</c:v>
                </c:pt>
                <c:pt idx="22">
                  <c:v>12.577299999999999</c:v>
                </c:pt>
                <c:pt idx="23">
                  <c:v>13.442399999999999</c:v>
                </c:pt>
                <c:pt idx="24">
                  <c:v>14.296299999999999</c:v>
                </c:pt>
                <c:pt idx="25">
                  <c:v>15.1395</c:v>
                </c:pt>
                <c:pt idx="26">
                  <c:v>15.972100000000001</c:v>
                </c:pt>
                <c:pt idx="27">
                  <c:v>16.794499999999999</c:v>
                </c:pt>
                <c:pt idx="28">
                  <c:v>17.6068</c:v>
                </c:pt>
                <c:pt idx="29">
                  <c:v>18.409299999999998</c:v>
                </c:pt>
                <c:pt idx="30">
                  <c:v>19.202300000000001</c:v>
                </c:pt>
                <c:pt idx="31">
                  <c:v>19.986000000000001</c:v>
                </c:pt>
                <c:pt idx="32">
                  <c:v>20.7606</c:v>
                </c:pt>
                <c:pt idx="33">
                  <c:v>21.526299999999999</c:v>
                </c:pt>
                <c:pt idx="34">
                  <c:v>22.283000000000001</c:v>
                </c:pt>
              </c:numCache>
            </c:numRef>
          </c:val>
          <c:smooth val="0"/>
          <c:extLst>
            <c:ext xmlns:c16="http://schemas.microsoft.com/office/drawing/2014/chart" uri="{C3380CC4-5D6E-409C-BE32-E72D297353CC}">
              <c16:uniqueId val="{00000002-1322-4CDC-8082-EF12F752FF01}"/>
            </c:ext>
          </c:extLst>
        </c:ser>
        <c:ser>
          <c:idx val="2"/>
          <c:order val="3"/>
          <c:tx>
            <c:strRef>
              <c:f>'6) Higher import prices und NW'!$A$184</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NW'!$B$180:$AJ$180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NW'!$B$184:$AJ$184</c:f>
              <c:numCache>
                <c:formatCode>0.00</c:formatCode>
                <c:ptCount val="35"/>
                <c:pt idx="0">
                  <c:v>10.467799999999999</c:v>
                </c:pt>
                <c:pt idx="1">
                  <c:v>10.671799999999999</c:v>
                </c:pt>
                <c:pt idx="2">
                  <c:v>10.1355</c:v>
                </c:pt>
                <c:pt idx="3">
                  <c:v>9.5419699999999992</c:v>
                </c:pt>
                <c:pt idx="4">
                  <c:v>7.9383599999999994</c:v>
                </c:pt>
                <c:pt idx="5">
                  <c:v>4.1973000000000003</c:v>
                </c:pt>
                <c:pt idx="6">
                  <c:v>4.1099700000000006</c:v>
                </c:pt>
                <c:pt idx="7">
                  <c:v>4.0293400000000004</c:v>
                </c:pt>
                <c:pt idx="8">
                  <c:v>3.9517699999999998</c:v>
                </c:pt>
                <c:pt idx="9">
                  <c:v>3.8761199999999998</c:v>
                </c:pt>
                <c:pt idx="10">
                  <c:v>3.80206</c:v>
                </c:pt>
                <c:pt idx="11">
                  <c:v>3.7294499999999999</c:v>
                </c:pt>
                <c:pt idx="12">
                  <c:v>3.6582399999999997</c:v>
                </c:pt>
                <c:pt idx="13">
                  <c:v>3.8569599999999999</c:v>
                </c:pt>
                <c:pt idx="14">
                  <c:v>4.8525299999999998</c:v>
                </c:pt>
                <c:pt idx="15">
                  <c:v>5.8278100000000004</c:v>
                </c:pt>
                <c:pt idx="16">
                  <c:v>6.78634</c:v>
                </c:pt>
                <c:pt idx="17">
                  <c:v>7.7307499999999996</c:v>
                </c:pt>
                <c:pt idx="18">
                  <c:v>8.6620200000000001</c:v>
                </c:pt>
                <c:pt idx="19">
                  <c:v>9.5806299999999993</c:v>
                </c:pt>
                <c:pt idx="20">
                  <c:v>10.4869</c:v>
                </c:pt>
                <c:pt idx="21">
                  <c:v>11.381200000000002</c:v>
                </c:pt>
                <c:pt idx="22">
                  <c:v>12.2638</c:v>
                </c:pt>
                <c:pt idx="23">
                  <c:v>13.1349</c:v>
                </c:pt>
                <c:pt idx="24">
                  <c:v>13.994899999999999</c:v>
                </c:pt>
                <c:pt idx="25">
                  <c:v>14.8439</c:v>
                </c:pt>
                <c:pt idx="26">
                  <c:v>15.6823</c:v>
                </c:pt>
                <c:pt idx="27">
                  <c:v>16.510300000000001</c:v>
                </c:pt>
                <c:pt idx="28">
                  <c:v>17.328200000000002</c:v>
                </c:pt>
                <c:pt idx="29">
                  <c:v>18.136200000000002</c:v>
                </c:pt>
                <c:pt idx="30">
                  <c:v>18.9345</c:v>
                </c:pt>
                <c:pt idx="31">
                  <c:v>19.723400000000002</c:v>
                </c:pt>
                <c:pt idx="32">
                  <c:v>20.5031</c:v>
                </c:pt>
                <c:pt idx="33">
                  <c:v>21.273900000000001</c:v>
                </c:pt>
                <c:pt idx="34">
                  <c:v>22.035499999999999</c:v>
                </c:pt>
              </c:numCache>
            </c:numRef>
          </c:val>
          <c:smooth val="0"/>
          <c:extLst>
            <c:ext xmlns:c16="http://schemas.microsoft.com/office/drawing/2014/chart" uri="{C3380CC4-5D6E-409C-BE32-E72D297353CC}">
              <c16:uniqueId val="{00000003-1322-4CDC-8082-EF12F752FF01}"/>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1000 people</a:t>
                </a:r>
                <a:endParaRPr lang="de-CH" sz="1000">
                  <a:effectLst/>
                </a:endParaRPr>
              </a:p>
            </c:rich>
          </c:tx>
          <c:layout>
            <c:manualLayout>
              <c:xMode val="edge"/>
              <c:yMode val="edge"/>
              <c:x val="1.8016194685170225E-2"/>
              <c:y val="0.23420266191146297"/>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3.6259205689251173E-2"/>
          <c:y val="0.87204097874862418"/>
          <c:w val="0.9412456752234577"/>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NW'!$A$212</c:f>
              <c:strCache>
                <c:ptCount val="1"/>
                <c:pt idx="0">
                  <c:v>Base-run IPNW</c:v>
                </c:pt>
              </c:strCache>
            </c:strRef>
          </c:tx>
          <c:spPr>
            <a:ln w="12700" cap="rnd">
              <a:solidFill>
                <a:sysClr val="windowText" lastClr="000000"/>
              </a:solidFill>
              <a:round/>
            </a:ln>
            <a:effectLst/>
          </c:spPr>
          <c:marker>
            <c:symbol val="none"/>
          </c:marker>
          <c:cat>
            <c:numRef>
              <c:f>'6) Higher import prices und NW'!$B$211:$AJ$211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NW'!$B$212:$AJ$212</c:f>
              <c:numCache>
                <c:formatCode>0</c:formatCode>
                <c:ptCount val="35"/>
                <c:pt idx="0">
                  <c:v>3648.89</c:v>
                </c:pt>
                <c:pt idx="1">
                  <c:v>3660.44</c:v>
                </c:pt>
                <c:pt idx="2">
                  <c:v>3869.85</c:v>
                </c:pt>
                <c:pt idx="3">
                  <c:v>4107.91</c:v>
                </c:pt>
                <c:pt idx="4">
                  <c:v>4390.29</c:v>
                </c:pt>
                <c:pt idx="5">
                  <c:v>4709.25</c:v>
                </c:pt>
                <c:pt idx="6">
                  <c:v>5022.59</c:v>
                </c:pt>
                <c:pt idx="7">
                  <c:v>5331.23</c:v>
                </c:pt>
                <c:pt idx="8">
                  <c:v>5594.38</c:v>
                </c:pt>
                <c:pt idx="9">
                  <c:v>5802.81</c:v>
                </c:pt>
                <c:pt idx="10">
                  <c:v>5934.05</c:v>
                </c:pt>
                <c:pt idx="11">
                  <c:v>5978.82</c:v>
                </c:pt>
                <c:pt idx="12">
                  <c:v>5929.71</c:v>
                </c:pt>
                <c:pt idx="13">
                  <c:v>5808.91</c:v>
                </c:pt>
                <c:pt idx="14">
                  <c:v>5644.69</c:v>
                </c:pt>
                <c:pt idx="15">
                  <c:v>5488.32</c:v>
                </c:pt>
                <c:pt idx="16">
                  <c:v>5339.87</c:v>
                </c:pt>
                <c:pt idx="17">
                  <c:v>5203.2</c:v>
                </c:pt>
                <c:pt idx="18">
                  <c:v>5079.6099999999997</c:v>
                </c:pt>
                <c:pt idx="19">
                  <c:v>4966.78</c:v>
                </c:pt>
                <c:pt idx="20">
                  <c:v>4863.1099999999997</c:v>
                </c:pt>
                <c:pt idx="21">
                  <c:v>4767.18</c:v>
                </c:pt>
                <c:pt idx="22">
                  <c:v>4678.5200000000004</c:v>
                </c:pt>
                <c:pt idx="23">
                  <c:v>4598.3900000000003</c:v>
                </c:pt>
                <c:pt idx="24">
                  <c:v>4519.7299999999996</c:v>
                </c:pt>
                <c:pt idx="25">
                  <c:v>4446.29</c:v>
                </c:pt>
                <c:pt idx="26">
                  <c:v>4378.71</c:v>
                </c:pt>
                <c:pt idx="27">
                  <c:v>4319.12</c:v>
                </c:pt>
                <c:pt idx="28">
                  <c:v>4263.5</c:v>
                </c:pt>
                <c:pt idx="29">
                  <c:v>4214.0600000000004</c:v>
                </c:pt>
                <c:pt idx="30">
                  <c:v>4168.78</c:v>
                </c:pt>
                <c:pt idx="31">
                  <c:v>4126.76</c:v>
                </c:pt>
                <c:pt idx="32">
                  <c:v>4088.1</c:v>
                </c:pt>
                <c:pt idx="33">
                  <c:v>4051.71</c:v>
                </c:pt>
                <c:pt idx="34">
                  <c:v>4018.81</c:v>
                </c:pt>
              </c:numCache>
            </c:numRef>
          </c:val>
          <c:smooth val="0"/>
          <c:extLst>
            <c:ext xmlns:c16="http://schemas.microsoft.com/office/drawing/2014/chart" uri="{C3380CC4-5D6E-409C-BE32-E72D297353CC}">
              <c16:uniqueId val="{00000000-FBA9-4DBA-8F61-9AA393EE274E}"/>
            </c:ext>
          </c:extLst>
        </c:ser>
        <c:ser>
          <c:idx val="4"/>
          <c:order val="1"/>
          <c:tx>
            <c:strRef>
              <c:f>'6) Higher import prices und NW'!$A$213</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NW'!$B$213:$AJ$213</c:f>
              <c:numCache>
                <c:formatCode>0</c:formatCode>
                <c:ptCount val="35"/>
                <c:pt idx="0">
                  <c:v>3648.89</c:v>
                </c:pt>
                <c:pt idx="1">
                  <c:v>3660.44</c:v>
                </c:pt>
                <c:pt idx="2">
                  <c:v>3869.85</c:v>
                </c:pt>
                <c:pt idx="3">
                  <c:v>4107.91</c:v>
                </c:pt>
                <c:pt idx="4">
                  <c:v>4390.29</c:v>
                </c:pt>
                <c:pt idx="5">
                  <c:v>4735.49</c:v>
                </c:pt>
                <c:pt idx="6">
                  <c:v>5079.91</c:v>
                </c:pt>
                <c:pt idx="7">
                  <c:v>5426.2</c:v>
                </c:pt>
                <c:pt idx="8">
                  <c:v>5733.11</c:v>
                </c:pt>
                <c:pt idx="9">
                  <c:v>5989.87</c:v>
                </c:pt>
                <c:pt idx="10">
                  <c:v>6169.91</c:v>
                </c:pt>
                <c:pt idx="11">
                  <c:v>6262.04</c:v>
                </c:pt>
                <c:pt idx="12">
                  <c:v>6248.5</c:v>
                </c:pt>
                <c:pt idx="13">
                  <c:v>6146.89</c:v>
                </c:pt>
                <c:pt idx="14">
                  <c:v>5981.7</c:v>
                </c:pt>
                <c:pt idx="15">
                  <c:v>5811.86</c:v>
                </c:pt>
                <c:pt idx="16">
                  <c:v>5648.76</c:v>
                </c:pt>
                <c:pt idx="17">
                  <c:v>5494.62</c:v>
                </c:pt>
                <c:pt idx="18">
                  <c:v>5352.59</c:v>
                </c:pt>
                <c:pt idx="19">
                  <c:v>5221.8</c:v>
                </c:pt>
                <c:pt idx="20">
                  <c:v>5101.24</c:v>
                </c:pt>
                <c:pt idx="21">
                  <c:v>4989.82</c:v>
                </c:pt>
                <c:pt idx="22">
                  <c:v>4887.1499999999996</c:v>
                </c:pt>
                <c:pt idx="23">
                  <c:v>4794.6499999999996</c:v>
                </c:pt>
                <c:pt idx="24">
                  <c:v>4704.2</c:v>
                </c:pt>
                <c:pt idx="25">
                  <c:v>4619.87</c:v>
                </c:pt>
                <c:pt idx="26">
                  <c:v>4542.41</c:v>
                </c:pt>
                <c:pt idx="27">
                  <c:v>4473.92</c:v>
                </c:pt>
                <c:pt idx="28">
                  <c:v>4410.17</c:v>
                </c:pt>
                <c:pt idx="29">
                  <c:v>4353.4399999999996</c:v>
                </c:pt>
                <c:pt idx="30">
                  <c:v>4301.45</c:v>
                </c:pt>
                <c:pt idx="31">
                  <c:v>4253.08</c:v>
                </c:pt>
                <c:pt idx="32">
                  <c:v>4208.38</c:v>
                </c:pt>
                <c:pt idx="33">
                  <c:v>4166.49</c:v>
                </c:pt>
                <c:pt idx="34">
                  <c:v>4128.5600000000004</c:v>
                </c:pt>
              </c:numCache>
            </c:numRef>
          </c:val>
          <c:smooth val="0"/>
          <c:extLst>
            <c:ext xmlns:c16="http://schemas.microsoft.com/office/drawing/2014/chart" uri="{C3380CC4-5D6E-409C-BE32-E72D297353CC}">
              <c16:uniqueId val="{00000001-FBA9-4DBA-8F61-9AA393EE274E}"/>
            </c:ext>
          </c:extLst>
        </c:ser>
        <c:ser>
          <c:idx val="0"/>
          <c:order val="2"/>
          <c:tx>
            <c:strRef>
              <c:f>'6) Higher import prices und NW'!$A$214</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NW'!$B$214:$AJ$214</c:f>
              <c:numCache>
                <c:formatCode>0</c:formatCode>
                <c:ptCount val="35"/>
                <c:pt idx="0">
                  <c:v>3648.89</c:v>
                </c:pt>
                <c:pt idx="1">
                  <c:v>3660.44</c:v>
                </c:pt>
                <c:pt idx="2">
                  <c:v>3869.85</c:v>
                </c:pt>
                <c:pt idx="3">
                  <c:v>4107.91</c:v>
                </c:pt>
                <c:pt idx="4">
                  <c:v>4390.29</c:v>
                </c:pt>
                <c:pt idx="5">
                  <c:v>4709.26</c:v>
                </c:pt>
                <c:pt idx="6">
                  <c:v>5023.34</c:v>
                </c:pt>
                <c:pt idx="7">
                  <c:v>5333.17</c:v>
                </c:pt>
                <c:pt idx="8">
                  <c:v>5597.96</c:v>
                </c:pt>
                <c:pt idx="9">
                  <c:v>5808.39</c:v>
                </c:pt>
                <c:pt idx="10">
                  <c:v>5941.36</c:v>
                </c:pt>
                <c:pt idx="11">
                  <c:v>5988.23</c:v>
                </c:pt>
                <c:pt idx="12">
                  <c:v>5940.57</c:v>
                </c:pt>
                <c:pt idx="13">
                  <c:v>5820.01</c:v>
                </c:pt>
                <c:pt idx="14">
                  <c:v>5655.27</c:v>
                </c:pt>
                <c:pt idx="15">
                  <c:v>5498.24</c:v>
                </c:pt>
                <c:pt idx="16">
                  <c:v>5348.92</c:v>
                </c:pt>
                <c:pt idx="17">
                  <c:v>5211.3</c:v>
                </c:pt>
                <c:pt idx="18">
                  <c:v>5086.8900000000003</c:v>
                </c:pt>
                <c:pt idx="19">
                  <c:v>4973.37</c:v>
                </c:pt>
                <c:pt idx="20">
                  <c:v>4869.1000000000004</c:v>
                </c:pt>
                <c:pt idx="21">
                  <c:v>4772.53</c:v>
                </c:pt>
                <c:pt idx="22">
                  <c:v>4683.26</c:v>
                </c:pt>
                <c:pt idx="23">
                  <c:v>4602.67</c:v>
                </c:pt>
                <c:pt idx="24">
                  <c:v>4523.71</c:v>
                </c:pt>
                <c:pt idx="25">
                  <c:v>4450.03</c:v>
                </c:pt>
                <c:pt idx="26">
                  <c:v>4382.1099999999997</c:v>
                </c:pt>
                <c:pt idx="27">
                  <c:v>4322.2299999999996</c:v>
                </c:pt>
                <c:pt idx="28">
                  <c:v>4266.4399999999996</c:v>
                </c:pt>
                <c:pt idx="29">
                  <c:v>4216.8999999999996</c:v>
                </c:pt>
                <c:pt idx="30">
                  <c:v>4171.55</c:v>
                </c:pt>
                <c:pt idx="31">
                  <c:v>4129.5</c:v>
                </c:pt>
                <c:pt idx="32">
                  <c:v>4090.74</c:v>
                </c:pt>
                <c:pt idx="33">
                  <c:v>4054.29</c:v>
                </c:pt>
                <c:pt idx="34">
                  <c:v>4021.55</c:v>
                </c:pt>
              </c:numCache>
            </c:numRef>
          </c:val>
          <c:smooth val="0"/>
          <c:extLst>
            <c:ext xmlns:c16="http://schemas.microsoft.com/office/drawing/2014/chart" uri="{C3380CC4-5D6E-409C-BE32-E72D297353CC}">
              <c16:uniqueId val="{00000002-FBA9-4DBA-8F61-9AA393EE274E}"/>
            </c:ext>
          </c:extLst>
        </c:ser>
        <c:ser>
          <c:idx val="2"/>
          <c:order val="3"/>
          <c:tx>
            <c:strRef>
              <c:f>'6) Higher import prices und NW'!$A$215</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NW'!$B$211:$AJ$211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NW'!$B$215:$AJ$215</c:f>
              <c:numCache>
                <c:formatCode>0</c:formatCode>
                <c:ptCount val="35"/>
                <c:pt idx="0">
                  <c:v>3648.89</c:v>
                </c:pt>
                <c:pt idx="1">
                  <c:v>3660.44</c:v>
                </c:pt>
                <c:pt idx="2">
                  <c:v>3869.85</c:v>
                </c:pt>
                <c:pt idx="3">
                  <c:v>4107.91</c:v>
                </c:pt>
                <c:pt idx="4">
                  <c:v>4390.29</c:v>
                </c:pt>
                <c:pt idx="5">
                  <c:v>4735.5</c:v>
                </c:pt>
                <c:pt idx="6">
                  <c:v>5080.3999999999996</c:v>
                </c:pt>
                <c:pt idx="7">
                  <c:v>5428.35</c:v>
                </c:pt>
                <c:pt idx="8">
                  <c:v>5737.9</c:v>
                </c:pt>
                <c:pt idx="9">
                  <c:v>5996.89</c:v>
                </c:pt>
                <c:pt idx="10">
                  <c:v>6177.94</c:v>
                </c:pt>
                <c:pt idx="11">
                  <c:v>6270.69</c:v>
                </c:pt>
                <c:pt idx="12">
                  <c:v>6257.82</c:v>
                </c:pt>
                <c:pt idx="13">
                  <c:v>6155.98</c:v>
                </c:pt>
                <c:pt idx="14">
                  <c:v>5990.11</c:v>
                </c:pt>
                <c:pt idx="15">
                  <c:v>5819.85</c:v>
                </c:pt>
                <c:pt idx="16">
                  <c:v>5656.28</c:v>
                </c:pt>
                <c:pt idx="17">
                  <c:v>5501.46</c:v>
                </c:pt>
                <c:pt idx="18">
                  <c:v>5358.77</c:v>
                </c:pt>
                <c:pt idx="19">
                  <c:v>5227.38</c:v>
                </c:pt>
                <c:pt idx="20">
                  <c:v>5106.3599999999997</c:v>
                </c:pt>
                <c:pt idx="21">
                  <c:v>4994.58</c:v>
                </c:pt>
                <c:pt idx="22">
                  <c:v>4891.4399999999996</c:v>
                </c:pt>
                <c:pt idx="23">
                  <c:v>4798.53</c:v>
                </c:pt>
                <c:pt idx="24">
                  <c:v>4707.87</c:v>
                </c:pt>
                <c:pt idx="25">
                  <c:v>4623.49</c:v>
                </c:pt>
                <c:pt idx="26">
                  <c:v>4545.91</c:v>
                </c:pt>
                <c:pt idx="27">
                  <c:v>4477.16</c:v>
                </c:pt>
                <c:pt idx="28">
                  <c:v>4413.25</c:v>
                </c:pt>
                <c:pt idx="29">
                  <c:v>4356.4399999999996</c:v>
                </c:pt>
                <c:pt idx="30">
                  <c:v>4304.41</c:v>
                </c:pt>
                <c:pt idx="31">
                  <c:v>4256.24</c:v>
                </c:pt>
                <c:pt idx="32">
                  <c:v>4211.46</c:v>
                </c:pt>
                <c:pt idx="33">
                  <c:v>4169.37</c:v>
                </c:pt>
                <c:pt idx="34">
                  <c:v>4131.34</c:v>
                </c:pt>
              </c:numCache>
            </c:numRef>
          </c:val>
          <c:smooth val="0"/>
          <c:extLst>
            <c:ext xmlns:c16="http://schemas.microsoft.com/office/drawing/2014/chart" uri="{C3380CC4-5D6E-409C-BE32-E72D297353CC}">
              <c16:uniqueId val="{00000003-FBA9-4DBA-8F61-9AA393EE274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5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900" b="0" i="0" baseline="0">
                    <a:effectLst/>
                  </a:rPr>
                  <a:t>Bn. £</a:t>
                </a:r>
                <a:endParaRPr lang="de-CH" sz="900">
                  <a:effectLst/>
                </a:endParaRPr>
              </a:p>
            </c:rich>
          </c:tx>
          <c:layout>
            <c:manualLayout>
              <c:xMode val="edge"/>
              <c:yMode val="edge"/>
              <c:x val="2.2414337582940619E-2"/>
              <c:y val="0.32216579891127162"/>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1018625418360968E-2"/>
          <c:y val="0.87204097874862418"/>
          <c:w val="0.8858059874534243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NW'!$A$244</c:f>
              <c:strCache>
                <c:ptCount val="1"/>
                <c:pt idx="0">
                  <c:v>Base-run IPNW</c:v>
                </c:pt>
              </c:strCache>
            </c:strRef>
          </c:tx>
          <c:spPr>
            <a:ln w="12700" cap="rnd">
              <a:solidFill>
                <a:sysClr val="windowText" lastClr="000000"/>
              </a:solidFill>
              <a:round/>
            </a:ln>
            <a:effectLst/>
          </c:spPr>
          <c:marker>
            <c:symbol val="none"/>
          </c:marker>
          <c:cat>
            <c:numRef>
              <c:f>'6) Higher import prices und NW'!$B$243:$AJ$243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NW'!$B$244:$AJ$244</c:f>
              <c:numCache>
                <c:formatCode>0</c:formatCode>
                <c:ptCount val="35"/>
                <c:pt idx="0">
                  <c:v>20.381399999999999</c:v>
                </c:pt>
                <c:pt idx="1">
                  <c:v>28.054300000000001</c:v>
                </c:pt>
                <c:pt idx="2">
                  <c:v>33.060600000000001</c:v>
                </c:pt>
                <c:pt idx="3">
                  <c:v>30.6311</c:v>
                </c:pt>
                <c:pt idx="4">
                  <c:v>25.9816</c:v>
                </c:pt>
                <c:pt idx="5">
                  <c:v>21.520800000000001</c:v>
                </c:pt>
                <c:pt idx="6">
                  <c:v>17.712299999999999</c:v>
                </c:pt>
                <c:pt idx="7">
                  <c:v>14.5817</c:v>
                </c:pt>
                <c:pt idx="8">
                  <c:v>12.4033</c:v>
                </c:pt>
                <c:pt idx="9">
                  <c:v>12.581</c:v>
                </c:pt>
                <c:pt idx="10">
                  <c:v>13.9557</c:v>
                </c:pt>
                <c:pt idx="11">
                  <c:v>16.802299999999999</c:v>
                </c:pt>
                <c:pt idx="12">
                  <c:v>26.102599999999999</c:v>
                </c:pt>
                <c:pt idx="13">
                  <c:v>32.793199999999999</c:v>
                </c:pt>
                <c:pt idx="14">
                  <c:v>33.9238</c:v>
                </c:pt>
                <c:pt idx="15">
                  <c:v>34.222200000000001</c:v>
                </c:pt>
                <c:pt idx="16">
                  <c:v>32.412700000000001</c:v>
                </c:pt>
                <c:pt idx="17">
                  <c:v>27.661000000000001</c:v>
                </c:pt>
                <c:pt idx="18">
                  <c:v>26.109000000000002</c:v>
                </c:pt>
                <c:pt idx="19">
                  <c:v>21.388400000000001</c:v>
                </c:pt>
                <c:pt idx="20">
                  <c:v>18.193300000000001</c:v>
                </c:pt>
                <c:pt idx="21">
                  <c:v>15.290800000000001</c:v>
                </c:pt>
                <c:pt idx="22">
                  <c:v>14.104699999999999</c:v>
                </c:pt>
                <c:pt idx="23">
                  <c:v>13.2843</c:v>
                </c:pt>
                <c:pt idx="24">
                  <c:v>10.8161</c:v>
                </c:pt>
                <c:pt idx="25">
                  <c:v>8.7527500000000007</c:v>
                </c:pt>
                <c:pt idx="26">
                  <c:v>7.04176</c:v>
                </c:pt>
                <c:pt idx="27">
                  <c:v>5.6472199999999999</c:v>
                </c:pt>
                <c:pt idx="28">
                  <c:v>4.5273300000000001</c:v>
                </c:pt>
                <c:pt idx="29">
                  <c:v>3.63734</c:v>
                </c:pt>
                <c:pt idx="30">
                  <c:v>3.0306299999999999</c:v>
                </c:pt>
                <c:pt idx="31">
                  <c:v>3.3452500000000001</c:v>
                </c:pt>
                <c:pt idx="32">
                  <c:v>3.6708799999999999</c:v>
                </c:pt>
                <c:pt idx="33">
                  <c:v>3.1555399999999998</c:v>
                </c:pt>
                <c:pt idx="34">
                  <c:v>2.6363500000000002</c:v>
                </c:pt>
              </c:numCache>
            </c:numRef>
          </c:val>
          <c:smooth val="0"/>
          <c:extLst>
            <c:ext xmlns:c16="http://schemas.microsoft.com/office/drawing/2014/chart" uri="{C3380CC4-5D6E-409C-BE32-E72D297353CC}">
              <c16:uniqueId val="{00000000-62AF-40BD-8C9B-1EB92EB9D5FC}"/>
            </c:ext>
          </c:extLst>
        </c:ser>
        <c:ser>
          <c:idx val="4"/>
          <c:order val="1"/>
          <c:tx>
            <c:strRef>
              <c:f>'6) Higher import prices und NW'!$A$245</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NW'!$B$245:$AJ$245</c:f>
              <c:numCache>
                <c:formatCode>0</c:formatCode>
                <c:ptCount val="35"/>
                <c:pt idx="0">
                  <c:v>20.381399999999999</c:v>
                </c:pt>
                <c:pt idx="1">
                  <c:v>28.054300000000001</c:v>
                </c:pt>
                <c:pt idx="2">
                  <c:v>33.060600000000001</c:v>
                </c:pt>
                <c:pt idx="3">
                  <c:v>30.6311</c:v>
                </c:pt>
                <c:pt idx="4">
                  <c:v>25.0809</c:v>
                </c:pt>
                <c:pt idx="5">
                  <c:v>20.787199999999999</c:v>
                </c:pt>
                <c:pt idx="6">
                  <c:v>17.130099999999999</c:v>
                </c:pt>
                <c:pt idx="7">
                  <c:v>15.353199999999999</c:v>
                </c:pt>
                <c:pt idx="8">
                  <c:v>16.664200000000001</c:v>
                </c:pt>
                <c:pt idx="9">
                  <c:v>18.8797</c:v>
                </c:pt>
                <c:pt idx="10">
                  <c:v>20.200600000000001</c:v>
                </c:pt>
                <c:pt idx="11">
                  <c:v>21.865400000000001</c:v>
                </c:pt>
                <c:pt idx="12">
                  <c:v>29.752700000000001</c:v>
                </c:pt>
                <c:pt idx="13">
                  <c:v>36.128700000000002</c:v>
                </c:pt>
                <c:pt idx="14">
                  <c:v>35.254300000000001</c:v>
                </c:pt>
                <c:pt idx="15">
                  <c:v>34.210900000000002</c:v>
                </c:pt>
                <c:pt idx="16">
                  <c:v>31.421399999999998</c:v>
                </c:pt>
                <c:pt idx="17">
                  <c:v>26.325900000000001</c:v>
                </c:pt>
                <c:pt idx="18">
                  <c:v>24.68</c:v>
                </c:pt>
                <c:pt idx="19">
                  <c:v>19.933700000000002</c:v>
                </c:pt>
                <c:pt idx="20">
                  <c:v>16.6447</c:v>
                </c:pt>
                <c:pt idx="21">
                  <c:v>13.7712</c:v>
                </c:pt>
                <c:pt idx="22">
                  <c:v>12.731199999999999</c:v>
                </c:pt>
                <c:pt idx="23">
                  <c:v>12.0032</c:v>
                </c:pt>
                <c:pt idx="24">
                  <c:v>9.7144999999999992</c:v>
                </c:pt>
                <c:pt idx="25">
                  <c:v>7.8604599999999998</c:v>
                </c:pt>
                <c:pt idx="26">
                  <c:v>6.3343600000000002</c:v>
                </c:pt>
                <c:pt idx="27">
                  <c:v>5.0930799999999996</c:v>
                </c:pt>
                <c:pt idx="28">
                  <c:v>4.0968200000000001</c:v>
                </c:pt>
                <c:pt idx="29">
                  <c:v>3.3047499999999999</c:v>
                </c:pt>
                <c:pt idx="30">
                  <c:v>2.6785399999999999</c:v>
                </c:pt>
                <c:pt idx="31">
                  <c:v>2.1945399999999999</c:v>
                </c:pt>
                <c:pt idx="32">
                  <c:v>2.1806800000000002</c:v>
                </c:pt>
                <c:pt idx="33">
                  <c:v>1.8830199999999999</c:v>
                </c:pt>
                <c:pt idx="34">
                  <c:v>1.57643</c:v>
                </c:pt>
              </c:numCache>
            </c:numRef>
          </c:val>
          <c:smooth val="0"/>
          <c:extLst>
            <c:ext xmlns:c16="http://schemas.microsoft.com/office/drawing/2014/chart" uri="{C3380CC4-5D6E-409C-BE32-E72D297353CC}">
              <c16:uniqueId val="{00000001-62AF-40BD-8C9B-1EB92EB9D5FC}"/>
            </c:ext>
          </c:extLst>
        </c:ser>
        <c:ser>
          <c:idx val="0"/>
          <c:order val="2"/>
          <c:tx>
            <c:strRef>
              <c:f>'6) Higher import prices und NW'!$A$246</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NW'!$B$246:$AJ$246</c:f>
              <c:numCache>
                <c:formatCode>0</c:formatCode>
                <c:ptCount val="35"/>
                <c:pt idx="0">
                  <c:v>20.381399999999999</c:v>
                </c:pt>
                <c:pt idx="1">
                  <c:v>28.054300000000001</c:v>
                </c:pt>
                <c:pt idx="2">
                  <c:v>33.060600000000001</c:v>
                </c:pt>
                <c:pt idx="3">
                  <c:v>30.6311</c:v>
                </c:pt>
                <c:pt idx="4">
                  <c:v>25.9816</c:v>
                </c:pt>
                <c:pt idx="5">
                  <c:v>24.258099999999999</c:v>
                </c:pt>
                <c:pt idx="6">
                  <c:v>20.6981</c:v>
                </c:pt>
                <c:pt idx="7">
                  <c:v>18.154699999999998</c:v>
                </c:pt>
                <c:pt idx="8">
                  <c:v>15.9619</c:v>
                </c:pt>
                <c:pt idx="9">
                  <c:v>15.093400000000001</c:v>
                </c:pt>
                <c:pt idx="10">
                  <c:v>20.412700000000001</c:v>
                </c:pt>
                <c:pt idx="11">
                  <c:v>21.407499999999999</c:v>
                </c:pt>
                <c:pt idx="12">
                  <c:v>26.532800000000002</c:v>
                </c:pt>
                <c:pt idx="13">
                  <c:v>29.469200000000001</c:v>
                </c:pt>
                <c:pt idx="14">
                  <c:v>30.879200000000001</c:v>
                </c:pt>
                <c:pt idx="15">
                  <c:v>37.1813</c:v>
                </c:pt>
                <c:pt idx="16">
                  <c:v>37.548000000000002</c:v>
                </c:pt>
                <c:pt idx="17">
                  <c:v>35.104500000000002</c:v>
                </c:pt>
                <c:pt idx="18">
                  <c:v>35.299900000000001</c:v>
                </c:pt>
                <c:pt idx="19">
                  <c:v>32.603299999999997</c:v>
                </c:pt>
                <c:pt idx="20">
                  <c:v>34.979999999999997</c:v>
                </c:pt>
                <c:pt idx="21">
                  <c:v>32.3001</c:v>
                </c:pt>
                <c:pt idx="22">
                  <c:v>29.824400000000001</c:v>
                </c:pt>
                <c:pt idx="23">
                  <c:v>28.132000000000001</c:v>
                </c:pt>
                <c:pt idx="24">
                  <c:v>23.047699999999999</c:v>
                </c:pt>
                <c:pt idx="25">
                  <c:v>22.683800000000002</c:v>
                </c:pt>
                <c:pt idx="26">
                  <c:v>20.217500000000001</c:v>
                </c:pt>
                <c:pt idx="27">
                  <c:v>18.4834</c:v>
                </c:pt>
                <c:pt idx="28">
                  <c:v>17.514800000000001</c:v>
                </c:pt>
                <c:pt idx="29">
                  <c:v>14.6313</c:v>
                </c:pt>
                <c:pt idx="30">
                  <c:v>14.102499999999999</c:v>
                </c:pt>
                <c:pt idx="31">
                  <c:v>13.430400000000001</c:v>
                </c:pt>
                <c:pt idx="32">
                  <c:v>10.9345</c:v>
                </c:pt>
                <c:pt idx="33">
                  <c:v>8.7914499999999993</c:v>
                </c:pt>
                <c:pt idx="34">
                  <c:v>12.5997</c:v>
                </c:pt>
              </c:numCache>
            </c:numRef>
          </c:val>
          <c:smooth val="0"/>
          <c:extLst>
            <c:ext xmlns:c16="http://schemas.microsoft.com/office/drawing/2014/chart" uri="{C3380CC4-5D6E-409C-BE32-E72D297353CC}">
              <c16:uniqueId val="{00000002-62AF-40BD-8C9B-1EB92EB9D5FC}"/>
            </c:ext>
          </c:extLst>
        </c:ser>
        <c:ser>
          <c:idx val="2"/>
          <c:order val="3"/>
          <c:tx>
            <c:strRef>
              <c:f>'6) Higher import prices und NW'!$A$247</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NW'!$B$243:$AJ$243</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NW'!$B$247:$AJ$247</c:f>
              <c:numCache>
                <c:formatCode>0</c:formatCode>
                <c:ptCount val="35"/>
                <c:pt idx="0">
                  <c:v>20.381399999999999</c:v>
                </c:pt>
                <c:pt idx="1">
                  <c:v>28.054300000000001</c:v>
                </c:pt>
                <c:pt idx="2">
                  <c:v>33.060600000000001</c:v>
                </c:pt>
                <c:pt idx="3">
                  <c:v>30.6311</c:v>
                </c:pt>
                <c:pt idx="4">
                  <c:v>25.0809</c:v>
                </c:pt>
                <c:pt idx="5">
                  <c:v>22.944400000000002</c:v>
                </c:pt>
                <c:pt idx="6">
                  <c:v>22.010200000000001</c:v>
                </c:pt>
                <c:pt idx="7">
                  <c:v>20.3171</c:v>
                </c:pt>
                <c:pt idx="8">
                  <c:v>18.819299999999998</c:v>
                </c:pt>
                <c:pt idx="9">
                  <c:v>17.7285</c:v>
                </c:pt>
                <c:pt idx="10">
                  <c:v>21.302600000000002</c:v>
                </c:pt>
                <c:pt idx="11">
                  <c:v>25.046700000000001</c:v>
                </c:pt>
                <c:pt idx="12">
                  <c:v>28.833100000000002</c:v>
                </c:pt>
                <c:pt idx="13">
                  <c:v>30.361000000000001</c:v>
                </c:pt>
                <c:pt idx="14">
                  <c:v>29.505099999999999</c:v>
                </c:pt>
                <c:pt idx="15">
                  <c:v>33.595599999999997</c:v>
                </c:pt>
                <c:pt idx="16">
                  <c:v>35.108800000000002</c:v>
                </c:pt>
                <c:pt idx="17">
                  <c:v>31.499199999999998</c:v>
                </c:pt>
                <c:pt idx="18">
                  <c:v>29.221399999999999</c:v>
                </c:pt>
                <c:pt idx="19">
                  <c:v>24.582799999999999</c:v>
                </c:pt>
                <c:pt idx="20">
                  <c:v>24.820900000000002</c:v>
                </c:pt>
                <c:pt idx="21">
                  <c:v>23.187200000000001</c:v>
                </c:pt>
                <c:pt idx="22">
                  <c:v>19.925000000000001</c:v>
                </c:pt>
                <c:pt idx="23">
                  <c:v>16.785900000000002</c:v>
                </c:pt>
                <c:pt idx="24">
                  <c:v>13.447800000000001</c:v>
                </c:pt>
                <c:pt idx="25">
                  <c:v>12.6214</c:v>
                </c:pt>
                <c:pt idx="26">
                  <c:v>11.5611</c:v>
                </c:pt>
                <c:pt idx="27">
                  <c:v>9.6833799999999997</c:v>
                </c:pt>
                <c:pt idx="28">
                  <c:v>7.98522</c:v>
                </c:pt>
                <c:pt idx="29">
                  <c:v>6.66629</c:v>
                </c:pt>
                <c:pt idx="30">
                  <c:v>8.7618399999999994</c:v>
                </c:pt>
                <c:pt idx="31">
                  <c:v>9.4191500000000001</c:v>
                </c:pt>
                <c:pt idx="32">
                  <c:v>7.9510300000000003</c:v>
                </c:pt>
                <c:pt idx="33">
                  <c:v>6.49411</c:v>
                </c:pt>
                <c:pt idx="34">
                  <c:v>10.946999999999999</c:v>
                </c:pt>
              </c:numCache>
            </c:numRef>
          </c:val>
          <c:smooth val="0"/>
          <c:extLst>
            <c:ext xmlns:c16="http://schemas.microsoft.com/office/drawing/2014/chart" uri="{C3380CC4-5D6E-409C-BE32-E72D297353CC}">
              <c16:uniqueId val="{00000003-62AF-40BD-8C9B-1EB92EB9D5FC}"/>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sz="1000" b="0" i="0" u="none" strike="noStrike" baseline="0">
                    <a:effectLst/>
                  </a:rPr>
                  <a:t>£ bn</a:t>
                </a:r>
                <a:endParaRPr lang="de-CH"/>
              </a:p>
            </c:rich>
          </c:tx>
          <c:layout>
            <c:manualLayout>
              <c:xMode val="edge"/>
              <c:yMode val="edge"/>
              <c:x val="3.328773743742923E-2"/>
              <c:y val="0.326795486150478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0.10183511747532323"/>
          <c:y val="0.87204097874862418"/>
          <c:w val="0.8958577452946978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'6) Higher import prices und NW'!$A$276</c:f>
              <c:strCache>
                <c:ptCount val="1"/>
                <c:pt idx="0">
                  <c:v>Base-run IPNW</c:v>
                </c:pt>
              </c:strCache>
            </c:strRef>
          </c:tx>
          <c:spPr>
            <a:ln w="12700" cap="rnd">
              <a:solidFill>
                <a:sysClr val="windowText" lastClr="000000"/>
              </a:solidFill>
              <a:round/>
            </a:ln>
            <a:effectLst/>
          </c:spPr>
          <c:marker>
            <c:symbol val="none"/>
          </c:marker>
          <c:cat>
            <c:numRef>
              <c:f>'6) Higher import prices und NW'!$B$275:$AJ$275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NW'!$B$276:$AJ$276</c:f>
              <c:numCache>
                <c:formatCode>0.00</c:formatCode>
                <c:ptCount val="35"/>
                <c:pt idx="0">
                  <c:v>0.18823599999999999</c:v>
                </c:pt>
                <c:pt idx="1">
                  <c:v>0.19115199999999999</c:v>
                </c:pt>
                <c:pt idx="2">
                  <c:v>0.199818</c:v>
                </c:pt>
                <c:pt idx="3">
                  <c:v>0.203655</c:v>
                </c:pt>
                <c:pt idx="4">
                  <c:v>0.203346</c:v>
                </c:pt>
                <c:pt idx="5">
                  <c:v>0.20116300000000001</c:v>
                </c:pt>
                <c:pt idx="6">
                  <c:v>0.19798199999999999</c:v>
                </c:pt>
                <c:pt idx="7">
                  <c:v>0.19415199999999999</c:v>
                </c:pt>
                <c:pt idx="8">
                  <c:v>0.18994800000000001</c:v>
                </c:pt>
                <c:pt idx="9">
                  <c:v>0.18743399999999999</c:v>
                </c:pt>
                <c:pt idx="10">
                  <c:v>0.18798899999999999</c:v>
                </c:pt>
                <c:pt idx="11">
                  <c:v>0.19048899999999999</c:v>
                </c:pt>
                <c:pt idx="12">
                  <c:v>0.20288900000000001</c:v>
                </c:pt>
                <c:pt idx="13">
                  <c:v>0.226912</c:v>
                </c:pt>
                <c:pt idx="14">
                  <c:v>0.24792</c:v>
                </c:pt>
                <c:pt idx="15">
                  <c:v>0.26411299999999999</c:v>
                </c:pt>
                <c:pt idx="16">
                  <c:v>0.27979199999999999</c:v>
                </c:pt>
                <c:pt idx="17">
                  <c:v>0.285136</c:v>
                </c:pt>
                <c:pt idx="18">
                  <c:v>0.29123599999999999</c:v>
                </c:pt>
                <c:pt idx="19">
                  <c:v>0.29351899999999997</c:v>
                </c:pt>
                <c:pt idx="20">
                  <c:v>0.29114000000000001</c:v>
                </c:pt>
                <c:pt idx="21">
                  <c:v>0.28788399999999997</c:v>
                </c:pt>
                <c:pt idx="22">
                  <c:v>0.28527599999999997</c:v>
                </c:pt>
                <c:pt idx="23">
                  <c:v>0.28655000000000003</c:v>
                </c:pt>
                <c:pt idx="24">
                  <c:v>0.283217</c:v>
                </c:pt>
                <c:pt idx="25">
                  <c:v>0.276675</c:v>
                </c:pt>
                <c:pt idx="26">
                  <c:v>0.26928299999999999</c:v>
                </c:pt>
                <c:pt idx="27">
                  <c:v>0.261633</c:v>
                </c:pt>
                <c:pt idx="28">
                  <c:v>0.253915</c:v>
                </c:pt>
                <c:pt idx="29">
                  <c:v>0.24621599999999999</c:v>
                </c:pt>
                <c:pt idx="30">
                  <c:v>0.23861299999999999</c:v>
                </c:pt>
                <c:pt idx="31">
                  <c:v>0.23250899999999999</c:v>
                </c:pt>
                <c:pt idx="32">
                  <c:v>0.228745</c:v>
                </c:pt>
                <c:pt idx="33">
                  <c:v>0.22384299999999999</c:v>
                </c:pt>
                <c:pt idx="34">
                  <c:v>0.217445</c:v>
                </c:pt>
              </c:numCache>
            </c:numRef>
          </c:val>
          <c:smooth val="0"/>
          <c:extLst>
            <c:ext xmlns:c16="http://schemas.microsoft.com/office/drawing/2014/chart" uri="{C3380CC4-5D6E-409C-BE32-E72D297353CC}">
              <c16:uniqueId val="{00000000-C4B3-4D4D-BF4E-6A7353768C1D}"/>
            </c:ext>
          </c:extLst>
        </c:ser>
        <c:ser>
          <c:idx val="4"/>
          <c:order val="1"/>
          <c:tx>
            <c:strRef>
              <c:f>'6) Higher import prices und NW'!$A$277</c:f>
              <c:strCache>
                <c:ptCount val="1"/>
                <c:pt idx="0">
                  <c:v>Finance system’s policy (FSP) IPNW</c:v>
                </c:pt>
              </c:strCache>
            </c:strRef>
          </c:tx>
          <c:spPr>
            <a:ln w="12700" cap="rnd">
              <a:solidFill>
                <a:srgbClr val="70AD47">
                  <a:lumMod val="75000"/>
                </a:srgbClr>
              </a:solidFill>
              <a:prstDash val="dash"/>
              <a:round/>
            </a:ln>
            <a:effectLst/>
          </c:spPr>
          <c:marker>
            <c:symbol val="none"/>
          </c:marker>
          <c:cat>
            <c:numRef>
              <c:f>'6) Higher import prices und NW'!$B$275:$AJ$275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NW'!$B$277:$AJ$277</c:f>
              <c:numCache>
                <c:formatCode>0.00</c:formatCode>
                <c:ptCount val="35"/>
                <c:pt idx="0">
                  <c:v>0.18823599999999999</c:v>
                </c:pt>
                <c:pt idx="1">
                  <c:v>0.19115199999999999</c:v>
                </c:pt>
                <c:pt idx="2">
                  <c:v>0.199818</c:v>
                </c:pt>
                <c:pt idx="3">
                  <c:v>0.203655</c:v>
                </c:pt>
                <c:pt idx="4">
                  <c:v>0.203346</c:v>
                </c:pt>
                <c:pt idx="5">
                  <c:v>0.20116300000000001</c:v>
                </c:pt>
                <c:pt idx="6">
                  <c:v>0.19798199999999999</c:v>
                </c:pt>
                <c:pt idx="7">
                  <c:v>0.19473299999999999</c:v>
                </c:pt>
                <c:pt idx="8">
                  <c:v>0.19534899999999999</c:v>
                </c:pt>
                <c:pt idx="9">
                  <c:v>0.200235</c:v>
                </c:pt>
                <c:pt idx="10">
                  <c:v>0.206706</c:v>
                </c:pt>
                <c:pt idx="11">
                  <c:v>0.21283299999999999</c:v>
                </c:pt>
                <c:pt idx="12">
                  <c:v>0.23059299999999999</c:v>
                </c:pt>
                <c:pt idx="13">
                  <c:v>0.26466099999999998</c:v>
                </c:pt>
                <c:pt idx="14">
                  <c:v>0.289545</c:v>
                </c:pt>
                <c:pt idx="15">
                  <c:v>0.30688300000000002</c:v>
                </c:pt>
                <c:pt idx="16">
                  <c:v>0.32291500000000001</c:v>
                </c:pt>
                <c:pt idx="17">
                  <c:v>0.32720900000000003</c:v>
                </c:pt>
                <c:pt idx="18">
                  <c:v>0.33277000000000001</c:v>
                </c:pt>
                <c:pt idx="19">
                  <c:v>0.33420100000000003</c:v>
                </c:pt>
                <c:pt idx="20">
                  <c:v>0.33003700000000002</c:v>
                </c:pt>
                <c:pt idx="21">
                  <c:v>0.32466099999999998</c:v>
                </c:pt>
                <c:pt idx="22">
                  <c:v>0.32042799999999999</c:v>
                </c:pt>
                <c:pt idx="23">
                  <c:v>0.32110300000000003</c:v>
                </c:pt>
                <c:pt idx="24">
                  <c:v>0.31678499999999998</c:v>
                </c:pt>
                <c:pt idx="25">
                  <c:v>0.309006</c:v>
                </c:pt>
                <c:pt idx="26">
                  <c:v>0.30037199999999997</c:v>
                </c:pt>
                <c:pt idx="27">
                  <c:v>0.29152800000000001</c:v>
                </c:pt>
                <c:pt idx="28">
                  <c:v>0.282669</c:v>
                </c:pt>
                <c:pt idx="29">
                  <c:v>0.27388299999999999</c:v>
                </c:pt>
                <c:pt idx="30">
                  <c:v>0.26522200000000001</c:v>
                </c:pt>
                <c:pt idx="31">
                  <c:v>0.25672400000000001</c:v>
                </c:pt>
                <c:pt idx="32">
                  <c:v>0.249138</c:v>
                </c:pt>
                <c:pt idx="33">
                  <c:v>0.24211299999999999</c:v>
                </c:pt>
                <c:pt idx="34">
                  <c:v>0.23455699999999999</c:v>
                </c:pt>
              </c:numCache>
            </c:numRef>
          </c:val>
          <c:smooth val="0"/>
          <c:extLst>
            <c:ext xmlns:c16="http://schemas.microsoft.com/office/drawing/2014/chart" uri="{C3380CC4-5D6E-409C-BE32-E72D297353CC}">
              <c16:uniqueId val="{00000001-C4B3-4D4D-BF4E-6A7353768C1D}"/>
            </c:ext>
          </c:extLst>
        </c:ser>
        <c:ser>
          <c:idx val="0"/>
          <c:order val="2"/>
          <c:tx>
            <c:strRef>
              <c:f>'6) Higher import prices und NW'!$A$278</c:f>
              <c:strCache>
                <c:ptCount val="1"/>
                <c:pt idx="0">
                  <c:v>Low-carbon energy transition scenario (LETS) IPNW</c:v>
                </c:pt>
              </c:strCache>
            </c:strRef>
          </c:tx>
          <c:spPr>
            <a:ln w="12700" cap="rnd">
              <a:solidFill>
                <a:srgbClr val="5B9BD5">
                  <a:lumMod val="60000"/>
                  <a:lumOff val="40000"/>
                </a:srgbClr>
              </a:solidFill>
              <a:prstDash val="sysDash"/>
              <a:round/>
            </a:ln>
            <a:effectLst/>
          </c:spPr>
          <c:marker>
            <c:symbol val="none"/>
          </c:marker>
          <c:cat>
            <c:numRef>
              <c:f>'6) Higher import prices und NW'!$B$275:$AJ$275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NW'!$B$278:$AJ$278</c:f>
              <c:numCache>
                <c:formatCode>0.00</c:formatCode>
                <c:ptCount val="35"/>
                <c:pt idx="0">
                  <c:v>0.18823599999999999</c:v>
                </c:pt>
                <c:pt idx="1">
                  <c:v>0.19115199999999999</c:v>
                </c:pt>
                <c:pt idx="2">
                  <c:v>0.199818</c:v>
                </c:pt>
                <c:pt idx="3">
                  <c:v>0.203655</c:v>
                </c:pt>
                <c:pt idx="4">
                  <c:v>0.203346</c:v>
                </c:pt>
                <c:pt idx="5">
                  <c:v>0.19572600000000001</c:v>
                </c:pt>
                <c:pt idx="6">
                  <c:v>0.19305600000000001</c:v>
                </c:pt>
                <c:pt idx="7">
                  <c:v>0.18991</c:v>
                </c:pt>
                <c:pt idx="8">
                  <c:v>0.186474</c:v>
                </c:pt>
                <c:pt idx="9">
                  <c:v>0.18509300000000001</c:v>
                </c:pt>
                <c:pt idx="10">
                  <c:v>0.181836</c:v>
                </c:pt>
                <c:pt idx="11">
                  <c:v>0.186223</c:v>
                </c:pt>
                <c:pt idx="12">
                  <c:v>0.19939100000000001</c:v>
                </c:pt>
                <c:pt idx="13">
                  <c:v>0.22308</c:v>
                </c:pt>
                <c:pt idx="14">
                  <c:v>0.24444199999999999</c:v>
                </c:pt>
                <c:pt idx="15">
                  <c:v>0.25850400000000001</c:v>
                </c:pt>
                <c:pt idx="16">
                  <c:v>0.27979900000000002</c:v>
                </c:pt>
                <c:pt idx="17">
                  <c:v>0.29370000000000002</c:v>
                </c:pt>
                <c:pt idx="18">
                  <c:v>0.31045</c:v>
                </c:pt>
                <c:pt idx="19">
                  <c:v>0.32661000000000001</c:v>
                </c:pt>
                <c:pt idx="20">
                  <c:v>0.33412700000000001</c:v>
                </c:pt>
                <c:pt idx="21">
                  <c:v>0.34598000000000001</c:v>
                </c:pt>
                <c:pt idx="22">
                  <c:v>0.35783900000000002</c:v>
                </c:pt>
                <c:pt idx="23">
                  <c:v>0.37349199999999999</c:v>
                </c:pt>
                <c:pt idx="24">
                  <c:v>0.38153599999999999</c:v>
                </c:pt>
                <c:pt idx="25">
                  <c:v>0.375392</c:v>
                </c:pt>
                <c:pt idx="26">
                  <c:v>0.37695600000000001</c:v>
                </c:pt>
                <c:pt idx="27">
                  <c:v>0.38693300000000003</c:v>
                </c:pt>
                <c:pt idx="28">
                  <c:v>0.400146</c:v>
                </c:pt>
                <c:pt idx="29">
                  <c:v>0.40463199999999999</c:v>
                </c:pt>
                <c:pt idx="30">
                  <c:v>0.39591500000000002</c:v>
                </c:pt>
                <c:pt idx="31">
                  <c:v>0.39823999999999998</c:v>
                </c:pt>
                <c:pt idx="32">
                  <c:v>0.39562999999999998</c:v>
                </c:pt>
                <c:pt idx="33">
                  <c:v>0.38644899999999999</c:v>
                </c:pt>
                <c:pt idx="34">
                  <c:v>0.368089</c:v>
                </c:pt>
              </c:numCache>
            </c:numRef>
          </c:val>
          <c:smooth val="0"/>
          <c:extLst>
            <c:ext xmlns:c16="http://schemas.microsoft.com/office/drawing/2014/chart" uri="{C3380CC4-5D6E-409C-BE32-E72D297353CC}">
              <c16:uniqueId val="{00000002-C4B3-4D4D-BF4E-6A7353768C1D}"/>
            </c:ext>
          </c:extLst>
        </c:ser>
        <c:ser>
          <c:idx val="2"/>
          <c:order val="3"/>
          <c:tx>
            <c:strRef>
              <c:f>'6) Higher import prices und NW'!$A$279</c:f>
              <c:strCache>
                <c:ptCount val="1"/>
                <c:pt idx="0">
                  <c:v>FSP and LETS combined IPNW</c:v>
                </c:pt>
              </c:strCache>
            </c:strRef>
          </c:tx>
          <c:spPr>
            <a:ln w="12700" cap="rnd">
              <a:solidFill>
                <a:srgbClr val="7030A0"/>
              </a:solidFill>
              <a:prstDash val="lgDashDot"/>
              <a:round/>
            </a:ln>
            <a:effectLst/>
          </c:spPr>
          <c:marker>
            <c:symbol val="none"/>
          </c:marker>
          <c:cat>
            <c:numRef>
              <c:f>'6) Higher import prices und NW'!$B$275:$AJ$275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'6) Higher import prices und NW'!$B$279:$AJ$279</c:f>
              <c:numCache>
                <c:formatCode>0.00</c:formatCode>
                <c:ptCount val="35"/>
                <c:pt idx="0">
                  <c:v>0.18823599999999999</c:v>
                </c:pt>
                <c:pt idx="1">
                  <c:v>0.19115199999999999</c:v>
                </c:pt>
                <c:pt idx="2">
                  <c:v>0.199818</c:v>
                </c:pt>
                <c:pt idx="3">
                  <c:v>0.203655</c:v>
                </c:pt>
                <c:pt idx="4">
                  <c:v>0.203346</c:v>
                </c:pt>
                <c:pt idx="5">
                  <c:v>0.19661999999999999</c:v>
                </c:pt>
                <c:pt idx="6">
                  <c:v>0.20082800000000001</c:v>
                </c:pt>
                <c:pt idx="7">
                  <c:v>0.20402500000000001</c:v>
                </c:pt>
                <c:pt idx="8">
                  <c:v>0.206094</c:v>
                </c:pt>
                <c:pt idx="9">
                  <c:v>0.20847299999999999</c:v>
                </c:pt>
                <c:pt idx="10">
                  <c:v>0.20896999999999999</c:v>
                </c:pt>
                <c:pt idx="11">
                  <c:v>0.23157700000000001</c:v>
                </c:pt>
                <c:pt idx="12">
                  <c:v>0.25796799999999998</c:v>
                </c:pt>
                <c:pt idx="13">
                  <c:v>0.289798</c:v>
                </c:pt>
                <c:pt idx="14">
                  <c:v>0.31340400000000002</c:v>
                </c:pt>
                <c:pt idx="15">
                  <c:v>0.33334599999999998</c:v>
                </c:pt>
                <c:pt idx="16">
                  <c:v>0.37781399999999998</c:v>
                </c:pt>
                <c:pt idx="17">
                  <c:v>0.40538299999999999</c:v>
                </c:pt>
                <c:pt idx="18">
                  <c:v>0.42290499999999998</c:v>
                </c:pt>
                <c:pt idx="19">
                  <c:v>0.43010700000000002</c:v>
                </c:pt>
                <c:pt idx="20">
                  <c:v>0.42903000000000002</c:v>
                </c:pt>
                <c:pt idx="21">
                  <c:v>0.44667400000000002</c:v>
                </c:pt>
                <c:pt idx="22">
                  <c:v>0.45343600000000001</c:v>
                </c:pt>
                <c:pt idx="23">
                  <c:v>0.45232600000000001</c:v>
                </c:pt>
                <c:pt idx="24">
                  <c:v>0.44409799999999999</c:v>
                </c:pt>
                <c:pt idx="25">
                  <c:v>0.43008000000000002</c:v>
                </c:pt>
                <c:pt idx="26">
                  <c:v>0.42795699999999998</c:v>
                </c:pt>
                <c:pt idx="27">
                  <c:v>0.42258600000000002</c:v>
                </c:pt>
                <c:pt idx="28">
                  <c:v>0.41330899999999998</c:v>
                </c:pt>
                <c:pt idx="29">
                  <c:v>0.40222799999999997</c:v>
                </c:pt>
                <c:pt idx="30">
                  <c:v>0.39064199999999999</c:v>
                </c:pt>
                <c:pt idx="31">
                  <c:v>0.39659100000000003</c:v>
                </c:pt>
                <c:pt idx="32">
                  <c:v>0.39513999999999999</c:v>
                </c:pt>
                <c:pt idx="33">
                  <c:v>0.38603199999999999</c:v>
                </c:pt>
                <c:pt idx="34">
                  <c:v>0.37114999999999998</c:v>
                </c:pt>
              </c:numCache>
            </c:numRef>
          </c:val>
          <c:smooth val="0"/>
          <c:extLst>
            <c:ext xmlns:c16="http://schemas.microsoft.com/office/drawing/2014/chart" uri="{C3380CC4-5D6E-409C-BE32-E72D297353CC}">
              <c16:uniqueId val="{00000003-C4B3-4D4D-BF4E-6A7353768C1D}"/>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0.15000000000000002"/>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de-CH" sz="1000" b="0" i="0" baseline="0">
                    <a:effectLst/>
                  </a:rPr>
                  <a:t>Mio people</a:t>
                </a:r>
                <a:endParaRPr lang="de-CH" sz="1000">
                  <a:effectLst/>
                </a:endParaRPr>
              </a:p>
            </c:rich>
          </c:tx>
          <c:layout>
            <c:manualLayout>
              <c:xMode val="edge"/>
              <c:yMode val="edge"/>
              <c:x val="2.6559493048079825E-2"/>
              <c:y val="0.26474916729412062"/>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7.8866651196630555E-2"/>
          <c:y val="0.87204097874862418"/>
          <c:w val="0.90231178171197468"/>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28460039326459"/>
          <c:y val="5.0925925925925923E-2"/>
          <c:w val="0.82504436003775616"/>
          <c:h val="0.63329590322948759"/>
        </c:manualLayout>
      </c:layout>
      <c:lineChart>
        <c:grouping val="standard"/>
        <c:varyColors val="0"/>
        <c:ser>
          <c:idx val="3"/>
          <c:order val="0"/>
          <c:tx>
            <c:strRef>
              <c:f>'0) Systems policy with GF'!$A$289</c:f>
              <c:strCache>
                <c:ptCount val="1"/>
                <c:pt idx="0">
                  <c:v>Base-run</c:v>
                </c:pt>
              </c:strCache>
            </c:strRef>
          </c:tx>
          <c:spPr>
            <a:ln w="12700" cap="rnd">
              <a:solidFill>
                <a:sysClr val="windowText" lastClr="000000"/>
              </a:solidFill>
              <a:round/>
            </a:ln>
            <a:effectLst/>
          </c:spPr>
          <c:marker>
            <c:symbol val="none"/>
          </c:marker>
          <c:cat>
            <c:numRef>
              <c:f>'0) Systems policy with GF'!$B$288:$AJ$288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GF'!$B$289:$AJ$289</c:f>
              <c:numCache>
                <c:formatCode>0.00</c:formatCode>
                <c:ptCount val="35"/>
                <c:pt idx="0">
                  <c:v>0.18823599999999999</c:v>
                </c:pt>
                <c:pt idx="1">
                  <c:v>0.19115199999999999</c:v>
                </c:pt>
                <c:pt idx="2">
                  <c:v>0.19982</c:v>
                </c:pt>
                <c:pt idx="3">
                  <c:v>0.20366799999999999</c:v>
                </c:pt>
                <c:pt idx="4">
                  <c:v>0.20336699999999999</c:v>
                </c:pt>
                <c:pt idx="5">
                  <c:v>0.20118900000000001</c:v>
                </c:pt>
                <c:pt idx="6">
                  <c:v>0.19801099999999999</c:v>
                </c:pt>
                <c:pt idx="7">
                  <c:v>0.194185</c:v>
                </c:pt>
                <c:pt idx="8">
                  <c:v>0.19029099999999999</c:v>
                </c:pt>
                <c:pt idx="9">
                  <c:v>0.18882399999999999</c:v>
                </c:pt>
                <c:pt idx="10">
                  <c:v>0.19112299999999999</c:v>
                </c:pt>
                <c:pt idx="11">
                  <c:v>0.19592599999999999</c:v>
                </c:pt>
                <c:pt idx="12">
                  <c:v>0.209873</c:v>
                </c:pt>
                <c:pt idx="13">
                  <c:v>0.234935</c:v>
                </c:pt>
                <c:pt idx="14">
                  <c:v>0.25807200000000002</c:v>
                </c:pt>
                <c:pt idx="15">
                  <c:v>0.27888099999999999</c:v>
                </c:pt>
                <c:pt idx="16">
                  <c:v>0.30197099999999999</c:v>
                </c:pt>
                <c:pt idx="17">
                  <c:v>0.31758999999999998</c:v>
                </c:pt>
                <c:pt idx="18">
                  <c:v>0.335928</c:v>
                </c:pt>
                <c:pt idx="19">
                  <c:v>0.35358699999999998</c:v>
                </c:pt>
                <c:pt idx="20">
                  <c:v>0.36681399999999997</c:v>
                </c:pt>
                <c:pt idx="21">
                  <c:v>0.37969799999999998</c:v>
                </c:pt>
                <c:pt idx="22">
                  <c:v>0.39242700000000003</c:v>
                </c:pt>
                <c:pt idx="23">
                  <c:v>0.40885500000000002</c:v>
                </c:pt>
                <c:pt idx="24">
                  <c:v>0.41741499999999998</c:v>
                </c:pt>
                <c:pt idx="25">
                  <c:v>0.41329500000000002</c:v>
                </c:pt>
                <c:pt idx="26">
                  <c:v>0.41298099999999999</c:v>
                </c:pt>
                <c:pt idx="27">
                  <c:v>0.42255999999999999</c:v>
                </c:pt>
                <c:pt idx="28">
                  <c:v>0.43597200000000003</c:v>
                </c:pt>
                <c:pt idx="29">
                  <c:v>0.44747199999999998</c:v>
                </c:pt>
                <c:pt idx="30">
                  <c:v>0.45728400000000002</c:v>
                </c:pt>
                <c:pt idx="31">
                  <c:v>0.46627099999999999</c:v>
                </c:pt>
                <c:pt idx="32">
                  <c:v>0.47488200000000003</c:v>
                </c:pt>
                <c:pt idx="33">
                  <c:v>0.48230400000000001</c:v>
                </c:pt>
                <c:pt idx="34">
                  <c:v>0.48647899999999999</c:v>
                </c:pt>
              </c:numCache>
            </c:numRef>
          </c:val>
          <c:smooth val="0"/>
          <c:extLst>
            <c:ext xmlns:c16="http://schemas.microsoft.com/office/drawing/2014/chart" uri="{C3380CC4-5D6E-409C-BE32-E72D297353CC}">
              <c16:uniqueId val="{00000000-4555-4D67-BF72-FFB82C2DB9EE}"/>
            </c:ext>
          </c:extLst>
        </c:ser>
        <c:ser>
          <c:idx val="4"/>
          <c:order val="1"/>
          <c:tx>
            <c:strRef>
              <c:f>'0) Systems policy with GF'!$A$290</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GF'!$B$288:$AJ$288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GF'!$B$290:$AJ$290</c:f>
              <c:numCache>
                <c:formatCode>0.00</c:formatCode>
                <c:ptCount val="35"/>
                <c:pt idx="0">
                  <c:v>0.18823599999999999</c:v>
                </c:pt>
                <c:pt idx="1">
                  <c:v>0.19115199999999999</c:v>
                </c:pt>
                <c:pt idx="2">
                  <c:v>0.19982</c:v>
                </c:pt>
                <c:pt idx="3">
                  <c:v>0.20366799999999999</c:v>
                </c:pt>
                <c:pt idx="4">
                  <c:v>0.20336699999999999</c:v>
                </c:pt>
                <c:pt idx="5">
                  <c:v>0.20118900000000001</c:v>
                </c:pt>
                <c:pt idx="6">
                  <c:v>0.19801099999999999</c:v>
                </c:pt>
                <c:pt idx="7">
                  <c:v>0.195826</c:v>
                </c:pt>
                <c:pt idx="8">
                  <c:v>0.19855500000000001</c:v>
                </c:pt>
                <c:pt idx="9">
                  <c:v>0.205651</c:v>
                </c:pt>
                <c:pt idx="10">
                  <c:v>0.214559</c:v>
                </c:pt>
                <c:pt idx="11">
                  <c:v>0.223824</c:v>
                </c:pt>
                <c:pt idx="12">
                  <c:v>0.24632499999999999</c:v>
                </c:pt>
                <c:pt idx="13">
                  <c:v>0.28749000000000002</c:v>
                </c:pt>
                <c:pt idx="14">
                  <c:v>0.32047900000000001</c:v>
                </c:pt>
                <c:pt idx="15">
                  <c:v>0.34815200000000002</c:v>
                </c:pt>
                <c:pt idx="16">
                  <c:v>0.37582199999999999</c:v>
                </c:pt>
                <c:pt idx="17">
                  <c:v>0.390594</c:v>
                </c:pt>
                <c:pt idx="18">
                  <c:v>0.410802</c:v>
                </c:pt>
                <c:pt idx="19">
                  <c:v>0.42817499999999997</c:v>
                </c:pt>
                <c:pt idx="20">
                  <c:v>0.44045200000000001</c:v>
                </c:pt>
                <c:pt idx="21">
                  <c:v>0.452266</c:v>
                </c:pt>
                <c:pt idx="22">
                  <c:v>0.46467599999999998</c:v>
                </c:pt>
                <c:pt idx="23">
                  <c:v>0.48242499999999999</c:v>
                </c:pt>
                <c:pt idx="24">
                  <c:v>0.48891099999999998</c:v>
                </c:pt>
                <c:pt idx="25">
                  <c:v>0.481825</c:v>
                </c:pt>
                <c:pt idx="26">
                  <c:v>0.478912</c:v>
                </c:pt>
                <c:pt idx="27">
                  <c:v>0.48950399999999999</c:v>
                </c:pt>
                <c:pt idx="28">
                  <c:v>0.50490900000000005</c:v>
                </c:pt>
                <c:pt idx="29">
                  <c:v>0.517679</c:v>
                </c:pt>
                <c:pt idx="30">
                  <c:v>0.52911799999999998</c:v>
                </c:pt>
                <c:pt idx="31">
                  <c:v>0.53919799999999996</c:v>
                </c:pt>
                <c:pt idx="32">
                  <c:v>0.54901500000000003</c:v>
                </c:pt>
                <c:pt idx="33">
                  <c:v>0.55725400000000003</c:v>
                </c:pt>
                <c:pt idx="34">
                  <c:v>0.561863</c:v>
                </c:pt>
              </c:numCache>
            </c:numRef>
          </c:val>
          <c:smooth val="0"/>
          <c:extLst>
            <c:ext xmlns:c16="http://schemas.microsoft.com/office/drawing/2014/chart" uri="{C3380CC4-5D6E-409C-BE32-E72D297353CC}">
              <c16:uniqueId val="{00000001-4555-4D67-BF72-FFB82C2DB9EE}"/>
            </c:ext>
          </c:extLst>
        </c:ser>
        <c:ser>
          <c:idx val="0"/>
          <c:order val="2"/>
          <c:tx>
            <c:strRef>
              <c:f>'0) Systems policy with GF'!$A$291</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GF'!$B$288:$AJ$288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GF'!$B$291:$AJ$291</c:f>
              <c:numCache>
                <c:formatCode>0.00</c:formatCode>
                <c:ptCount val="35"/>
                <c:pt idx="0">
                  <c:v>0.18823599999999999</c:v>
                </c:pt>
                <c:pt idx="1">
                  <c:v>0.19115199999999999</c:v>
                </c:pt>
                <c:pt idx="2">
                  <c:v>0.19982</c:v>
                </c:pt>
                <c:pt idx="3">
                  <c:v>0.20366799999999999</c:v>
                </c:pt>
                <c:pt idx="4">
                  <c:v>0.20336699999999999</c:v>
                </c:pt>
                <c:pt idx="5">
                  <c:v>0.19575100000000001</c:v>
                </c:pt>
                <c:pt idx="6">
                  <c:v>0.19308500000000001</c:v>
                </c:pt>
                <c:pt idx="7">
                  <c:v>0.189941</c:v>
                </c:pt>
                <c:pt idx="8">
                  <c:v>0.18650700000000001</c:v>
                </c:pt>
                <c:pt idx="9">
                  <c:v>0.18512700000000001</c:v>
                </c:pt>
                <c:pt idx="10">
                  <c:v>0.181869</c:v>
                </c:pt>
                <c:pt idx="11">
                  <c:v>0.18625700000000001</c:v>
                </c:pt>
                <c:pt idx="12">
                  <c:v>0.19942399999999999</c:v>
                </c:pt>
                <c:pt idx="13">
                  <c:v>0.22311300000000001</c:v>
                </c:pt>
                <c:pt idx="14">
                  <c:v>0.244475</c:v>
                </c:pt>
                <c:pt idx="15">
                  <c:v>0.25853399999999999</c:v>
                </c:pt>
                <c:pt idx="16">
                  <c:v>0.27982800000000002</c:v>
                </c:pt>
                <c:pt idx="17">
                  <c:v>0.29372799999999999</c:v>
                </c:pt>
                <c:pt idx="18">
                  <c:v>0.31047799999999998</c:v>
                </c:pt>
                <c:pt idx="19">
                  <c:v>0.32663799999999998</c:v>
                </c:pt>
                <c:pt idx="20">
                  <c:v>0.334152</c:v>
                </c:pt>
                <c:pt idx="21">
                  <c:v>0.34600399999999998</c:v>
                </c:pt>
                <c:pt idx="22">
                  <c:v>0.35786299999999999</c:v>
                </c:pt>
                <c:pt idx="23">
                  <c:v>0.37351499999999999</c:v>
                </c:pt>
                <c:pt idx="24">
                  <c:v>0.38155800000000001</c:v>
                </c:pt>
                <c:pt idx="25">
                  <c:v>0.37541200000000002</c:v>
                </c:pt>
                <c:pt idx="26">
                  <c:v>0.376975</c:v>
                </c:pt>
                <c:pt idx="27">
                  <c:v>0.38695200000000002</c:v>
                </c:pt>
                <c:pt idx="28">
                  <c:v>0.40032699999999999</c:v>
                </c:pt>
                <c:pt idx="29">
                  <c:v>0.41162799999999999</c:v>
                </c:pt>
                <c:pt idx="30">
                  <c:v>0.417632</c:v>
                </c:pt>
                <c:pt idx="31">
                  <c:v>0.42636200000000002</c:v>
                </c:pt>
                <c:pt idx="32">
                  <c:v>0.43466199999999999</c:v>
                </c:pt>
                <c:pt idx="33">
                  <c:v>0.44173600000000002</c:v>
                </c:pt>
                <c:pt idx="34">
                  <c:v>0.43741600000000003</c:v>
                </c:pt>
              </c:numCache>
            </c:numRef>
          </c:val>
          <c:smooth val="0"/>
          <c:extLst>
            <c:ext xmlns:c16="http://schemas.microsoft.com/office/drawing/2014/chart" uri="{C3380CC4-5D6E-409C-BE32-E72D297353CC}">
              <c16:uniqueId val="{00000002-4555-4D67-BF72-FFB82C2DB9EE}"/>
            </c:ext>
          </c:extLst>
        </c:ser>
        <c:ser>
          <c:idx val="2"/>
          <c:order val="3"/>
          <c:tx>
            <c:strRef>
              <c:f>'0) Systems policy with GF'!$A$292</c:f>
              <c:strCache>
                <c:ptCount val="1"/>
                <c:pt idx="0">
                  <c:v>GFGS  and LETS combined</c:v>
                </c:pt>
              </c:strCache>
            </c:strRef>
          </c:tx>
          <c:spPr>
            <a:ln w="12700" cap="rnd">
              <a:solidFill>
                <a:srgbClr val="7030A0"/>
              </a:solidFill>
              <a:prstDash val="lgDashDot"/>
              <a:round/>
            </a:ln>
            <a:effectLst/>
          </c:spPr>
          <c:marker>
            <c:symbol val="none"/>
          </c:marker>
          <c:cat>
            <c:numRef>
              <c:f>'0) Systems policy with GF'!$B$288:$AJ$288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GF'!$B$292:$AJ$292</c:f>
              <c:numCache>
                <c:formatCode>0.00</c:formatCode>
                <c:ptCount val="35"/>
                <c:pt idx="0">
                  <c:v>0.18823599999999999</c:v>
                </c:pt>
                <c:pt idx="1">
                  <c:v>0.19115199999999999</c:v>
                </c:pt>
                <c:pt idx="2">
                  <c:v>0.19982</c:v>
                </c:pt>
                <c:pt idx="3">
                  <c:v>0.20366799999999999</c:v>
                </c:pt>
                <c:pt idx="4">
                  <c:v>0.20336699999999999</c:v>
                </c:pt>
                <c:pt idx="5">
                  <c:v>0.19669400000000001</c:v>
                </c:pt>
                <c:pt idx="6">
                  <c:v>0.20141899999999999</c:v>
                </c:pt>
                <c:pt idx="7">
                  <c:v>0.20544899999999999</c:v>
                </c:pt>
                <c:pt idx="8">
                  <c:v>0.20872099999999999</c:v>
                </c:pt>
                <c:pt idx="9">
                  <c:v>0.21284900000000001</c:v>
                </c:pt>
                <c:pt idx="10">
                  <c:v>0.21590799999999999</c:v>
                </c:pt>
                <c:pt idx="11">
                  <c:v>0.24242</c:v>
                </c:pt>
                <c:pt idx="12">
                  <c:v>0.27421699999999999</c:v>
                </c:pt>
                <c:pt idx="13">
                  <c:v>0.31331799999999999</c:v>
                </c:pt>
                <c:pt idx="14">
                  <c:v>0.34491100000000002</c:v>
                </c:pt>
                <c:pt idx="15">
                  <c:v>0.37513099999999999</c:v>
                </c:pt>
                <c:pt idx="16">
                  <c:v>0.432446</c:v>
                </c:pt>
                <c:pt idx="17">
                  <c:v>0.47298899999999999</c:v>
                </c:pt>
                <c:pt idx="18">
                  <c:v>0.50467700000000004</c:v>
                </c:pt>
                <c:pt idx="19">
                  <c:v>0.52755700000000005</c:v>
                </c:pt>
                <c:pt idx="20">
                  <c:v>0.54351000000000005</c:v>
                </c:pt>
                <c:pt idx="21">
                  <c:v>0.57909500000000003</c:v>
                </c:pt>
                <c:pt idx="22">
                  <c:v>0.60444699999999996</c:v>
                </c:pt>
                <c:pt idx="23">
                  <c:v>0.62277000000000005</c:v>
                </c:pt>
                <c:pt idx="24">
                  <c:v>0.63073100000000004</c:v>
                </c:pt>
                <c:pt idx="25">
                  <c:v>0.62711700000000004</c:v>
                </c:pt>
                <c:pt idx="26">
                  <c:v>0.64527000000000001</c:v>
                </c:pt>
                <c:pt idx="27">
                  <c:v>0.66134199999999999</c:v>
                </c:pt>
                <c:pt idx="28">
                  <c:v>0.67171599999999998</c:v>
                </c:pt>
                <c:pt idx="29">
                  <c:v>0.67898999999999998</c:v>
                </c:pt>
                <c:pt idx="30">
                  <c:v>0.68562500000000004</c:v>
                </c:pt>
                <c:pt idx="31">
                  <c:v>0.70996199999999998</c:v>
                </c:pt>
                <c:pt idx="32">
                  <c:v>0.72774000000000005</c:v>
                </c:pt>
                <c:pt idx="33">
                  <c:v>0.73755300000000001</c:v>
                </c:pt>
                <c:pt idx="34">
                  <c:v>0.73962499999999998</c:v>
                </c:pt>
              </c:numCache>
            </c:numRef>
          </c:val>
          <c:smooth val="0"/>
          <c:extLst>
            <c:ext xmlns:c16="http://schemas.microsoft.com/office/drawing/2014/chart" uri="{C3380CC4-5D6E-409C-BE32-E72D297353CC}">
              <c16:uniqueId val="{00000003-4555-4D67-BF72-FFB82C2DB9E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people</a:t>
                </a:r>
              </a:p>
            </c:rich>
          </c:tx>
          <c:layout>
            <c:manualLayout>
              <c:xMode val="edge"/>
              <c:yMode val="edge"/>
              <c:x val="2.5225289670610367E-2"/>
              <c:y val="0.245797101449275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8.0937891951050611E-2"/>
          <c:y val="0.87204097874862418"/>
          <c:w val="0.91675489348616701"/>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2131654659941"/>
          <c:y val="5.0925925925925923E-2"/>
          <c:w val="0.8339076438844214"/>
          <c:h val="0.61915486979221934"/>
        </c:manualLayout>
      </c:layout>
      <c:lineChart>
        <c:grouping val="standard"/>
        <c:varyColors val="0"/>
        <c:ser>
          <c:idx val="3"/>
          <c:order val="0"/>
          <c:tx>
            <c:strRef>
              <c:f>'0) Systems policy with GF'!$A$255</c:f>
              <c:strCache>
                <c:ptCount val="1"/>
                <c:pt idx="0">
                  <c:v>Base-run</c:v>
                </c:pt>
              </c:strCache>
            </c:strRef>
          </c:tx>
          <c:spPr>
            <a:ln w="12700" cap="rnd">
              <a:solidFill>
                <a:sysClr val="windowText" lastClr="000000"/>
              </a:solidFill>
              <a:round/>
            </a:ln>
            <a:effectLst/>
          </c:spPr>
          <c:marker>
            <c:symbol val="none"/>
          </c:marker>
          <c:cat>
            <c:numRef>
              <c:f>'0) Systems policy with GF'!$B$254:$AJ$254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GF'!$B$255:$AJ$255</c:f>
              <c:numCache>
                <c:formatCode>0</c:formatCode>
                <c:ptCount val="35"/>
                <c:pt idx="0">
                  <c:v>20.381399999999999</c:v>
                </c:pt>
                <c:pt idx="1">
                  <c:v>27.954999999999998</c:v>
                </c:pt>
                <c:pt idx="2">
                  <c:v>33.072899999999997</c:v>
                </c:pt>
                <c:pt idx="3">
                  <c:v>30.662299999999998</c:v>
                </c:pt>
                <c:pt idx="4">
                  <c:v>26.014600000000002</c:v>
                </c:pt>
                <c:pt idx="5">
                  <c:v>21.548400000000001</c:v>
                </c:pt>
                <c:pt idx="6">
                  <c:v>17.734100000000002</c:v>
                </c:pt>
                <c:pt idx="7">
                  <c:v>14.743</c:v>
                </c:pt>
                <c:pt idx="8">
                  <c:v>13.623900000000001</c:v>
                </c:pt>
                <c:pt idx="9">
                  <c:v>15.1557</c:v>
                </c:pt>
                <c:pt idx="10">
                  <c:v>17.765599999999999</c:v>
                </c:pt>
                <c:pt idx="11">
                  <c:v>21.410900000000002</c:v>
                </c:pt>
                <c:pt idx="12">
                  <c:v>30.688400000000001</c:v>
                </c:pt>
                <c:pt idx="13">
                  <c:v>38.530200000000001</c:v>
                </c:pt>
                <c:pt idx="14">
                  <c:v>40.976999999999997</c:v>
                </c:pt>
                <c:pt idx="15">
                  <c:v>42.9253</c:v>
                </c:pt>
                <c:pt idx="16">
                  <c:v>42.925800000000002</c:v>
                </c:pt>
                <c:pt idx="17">
                  <c:v>40.141599999999997</c:v>
                </c:pt>
                <c:pt idx="18">
                  <c:v>40.745399999999997</c:v>
                </c:pt>
                <c:pt idx="19">
                  <c:v>37.595399999999998</c:v>
                </c:pt>
                <c:pt idx="20">
                  <c:v>35.7151</c:v>
                </c:pt>
                <c:pt idx="21">
                  <c:v>33.503100000000003</c:v>
                </c:pt>
                <c:pt idx="22">
                  <c:v>32.744900000000001</c:v>
                </c:pt>
                <c:pt idx="23">
                  <c:v>32.140599999999999</c:v>
                </c:pt>
                <c:pt idx="24">
                  <c:v>27.084700000000002</c:v>
                </c:pt>
                <c:pt idx="25">
                  <c:v>22.531700000000001</c:v>
                </c:pt>
                <c:pt idx="26">
                  <c:v>22.7727</c:v>
                </c:pt>
                <c:pt idx="27">
                  <c:v>24.489599999999999</c:v>
                </c:pt>
                <c:pt idx="28">
                  <c:v>25.776299999999999</c:v>
                </c:pt>
                <c:pt idx="29">
                  <c:v>26.255299999999998</c:v>
                </c:pt>
                <c:pt idx="30">
                  <c:v>26.872499999999999</c:v>
                </c:pt>
                <c:pt idx="31">
                  <c:v>27.173100000000002</c:v>
                </c:pt>
                <c:pt idx="32">
                  <c:v>27.465900000000001</c:v>
                </c:pt>
                <c:pt idx="33">
                  <c:v>26.873100000000001</c:v>
                </c:pt>
                <c:pt idx="34">
                  <c:v>25.5639</c:v>
                </c:pt>
              </c:numCache>
            </c:numRef>
          </c:val>
          <c:smooth val="0"/>
          <c:extLst>
            <c:ext xmlns:c16="http://schemas.microsoft.com/office/drawing/2014/chart" uri="{C3380CC4-5D6E-409C-BE32-E72D297353CC}">
              <c16:uniqueId val="{00000000-9956-45B2-BB96-FD6E5E6091C7}"/>
            </c:ext>
          </c:extLst>
        </c:ser>
        <c:ser>
          <c:idx val="4"/>
          <c:order val="1"/>
          <c:tx>
            <c:strRef>
              <c:f>'0) Systems policy with GF'!$A$256</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GF'!$B$254:$AJ$254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GF'!$B$256:$AJ$256</c:f>
              <c:numCache>
                <c:formatCode>0</c:formatCode>
                <c:ptCount val="35"/>
                <c:pt idx="0">
                  <c:v>20.381399999999999</c:v>
                </c:pt>
                <c:pt idx="1">
                  <c:v>27.954999999999998</c:v>
                </c:pt>
                <c:pt idx="2">
                  <c:v>33.072899999999997</c:v>
                </c:pt>
                <c:pt idx="3">
                  <c:v>30.662299999999998</c:v>
                </c:pt>
                <c:pt idx="4">
                  <c:v>25.113199999999999</c:v>
                </c:pt>
                <c:pt idx="5">
                  <c:v>20.8142</c:v>
                </c:pt>
                <c:pt idx="6">
                  <c:v>17.2087</c:v>
                </c:pt>
                <c:pt idx="7">
                  <c:v>16.525099999999998</c:v>
                </c:pt>
                <c:pt idx="8">
                  <c:v>18.692599999999999</c:v>
                </c:pt>
                <c:pt idx="9">
                  <c:v>21.5015</c:v>
                </c:pt>
                <c:pt idx="10">
                  <c:v>23.316299999999998</c:v>
                </c:pt>
                <c:pt idx="11">
                  <c:v>25.6007</c:v>
                </c:pt>
                <c:pt idx="12">
                  <c:v>34.451900000000002</c:v>
                </c:pt>
                <c:pt idx="13">
                  <c:v>41.823399999999999</c:v>
                </c:pt>
                <c:pt idx="14">
                  <c:v>42.040300000000002</c:v>
                </c:pt>
                <c:pt idx="15">
                  <c:v>42.335599999999999</c:v>
                </c:pt>
                <c:pt idx="16">
                  <c:v>40.432699999999997</c:v>
                </c:pt>
                <c:pt idx="17">
                  <c:v>36.094999999999999</c:v>
                </c:pt>
                <c:pt idx="18">
                  <c:v>36.468899999999998</c:v>
                </c:pt>
                <c:pt idx="19">
                  <c:v>32.677300000000002</c:v>
                </c:pt>
                <c:pt idx="20">
                  <c:v>30.969200000000001</c:v>
                </c:pt>
                <c:pt idx="21">
                  <c:v>29.098199999999999</c:v>
                </c:pt>
                <c:pt idx="22">
                  <c:v>28.959199999999999</c:v>
                </c:pt>
                <c:pt idx="23">
                  <c:v>28.814699999999998</c:v>
                </c:pt>
                <c:pt idx="24">
                  <c:v>24.022099999999998</c:v>
                </c:pt>
                <c:pt idx="25">
                  <c:v>19.8108</c:v>
                </c:pt>
                <c:pt idx="26">
                  <c:v>20.575500000000002</c:v>
                </c:pt>
                <c:pt idx="27">
                  <c:v>22.812000000000001</c:v>
                </c:pt>
                <c:pt idx="28">
                  <c:v>24.221499999999999</c:v>
                </c:pt>
                <c:pt idx="29">
                  <c:v>24.6569</c:v>
                </c:pt>
                <c:pt idx="30">
                  <c:v>25.089500000000001</c:v>
                </c:pt>
                <c:pt idx="31">
                  <c:v>25.152999999999999</c:v>
                </c:pt>
                <c:pt idx="32">
                  <c:v>25.306799999999999</c:v>
                </c:pt>
                <c:pt idx="33">
                  <c:v>24.6648</c:v>
                </c:pt>
                <c:pt idx="34">
                  <c:v>23.666399999999999</c:v>
                </c:pt>
              </c:numCache>
            </c:numRef>
          </c:val>
          <c:smooth val="0"/>
          <c:extLst>
            <c:ext xmlns:c16="http://schemas.microsoft.com/office/drawing/2014/chart" uri="{C3380CC4-5D6E-409C-BE32-E72D297353CC}">
              <c16:uniqueId val="{00000001-9956-45B2-BB96-FD6E5E6091C7}"/>
            </c:ext>
          </c:extLst>
        </c:ser>
        <c:ser>
          <c:idx val="0"/>
          <c:order val="2"/>
          <c:tx>
            <c:strRef>
              <c:f>'0) Systems policy with GF'!$A$257</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GF'!$B$254:$AJ$254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GF'!$B$257:$AJ$257</c:f>
              <c:numCache>
                <c:formatCode>0</c:formatCode>
                <c:ptCount val="35"/>
                <c:pt idx="0">
                  <c:v>20.381399999999999</c:v>
                </c:pt>
                <c:pt idx="1">
                  <c:v>27.954999999999998</c:v>
                </c:pt>
                <c:pt idx="2">
                  <c:v>33.072899999999997</c:v>
                </c:pt>
                <c:pt idx="3">
                  <c:v>30.662299999999998</c:v>
                </c:pt>
                <c:pt idx="4">
                  <c:v>26.014600000000002</c:v>
                </c:pt>
                <c:pt idx="5">
                  <c:v>23.1188</c:v>
                </c:pt>
                <c:pt idx="6">
                  <c:v>19.623899999999999</c:v>
                </c:pt>
                <c:pt idx="7">
                  <c:v>17.021799999999999</c:v>
                </c:pt>
                <c:pt idx="8">
                  <c:v>15.071400000000001</c:v>
                </c:pt>
                <c:pt idx="9">
                  <c:v>14.7529</c:v>
                </c:pt>
                <c:pt idx="10">
                  <c:v>18.040099999999999</c:v>
                </c:pt>
                <c:pt idx="11">
                  <c:v>19.584499999999998</c:v>
                </c:pt>
                <c:pt idx="12">
                  <c:v>25.032299999999999</c:v>
                </c:pt>
                <c:pt idx="13">
                  <c:v>29.2059</c:v>
                </c:pt>
                <c:pt idx="14">
                  <c:v>30.994900000000001</c:v>
                </c:pt>
                <c:pt idx="15">
                  <c:v>35.526899999999998</c:v>
                </c:pt>
                <c:pt idx="16">
                  <c:v>36.590000000000003</c:v>
                </c:pt>
                <c:pt idx="17">
                  <c:v>35.383499999999998</c:v>
                </c:pt>
                <c:pt idx="18">
                  <c:v>37.216200000000001</c:v>
                </c:pt>
                <c:pt idx="19">
                  <c:v>36.162999999999997</c:v>
                </c:pt>
                <c:pt idx="20">
                  <c:v>38.411299999999997</c:v>
                </c:pt>
                <c:pt idx="21">
                  <c:v>38.006599999999999</c:v>
                </c:pt>
                <c:pt idx="22">
                  <c:v>38.175400000000003</c:v>
                </c:pt>
                <c:pt idx="23">
                  <c:v>38.746600000000001</c:v>
                </c:pt>
                <c:pt idx="24">
                  <c:v>35.845300000000002</c:v>
                </c:pt>
                <c:pt idx="25">
                  <c:v>36.099299999999999</c:v>
                </c:pt>
                <c:pt idx="26">
                  <c:v>36.667200000000001</c:v>
                </c:pt>
                <c:pt idx="27">
                  <c:v>37.970399999999998</c:v>
                </c:pt>
                <c:pt idx="28">
                  <c:v>38.893799999999999</c:v>
                </c:pt>
                <c:pt idx="29">
                  <c:v>39.224200000000003</c:v>
                </c:pt>
                <c:pt idx="30">
                  <c:v>41.498199999999997</c:v>
                </c:pt>
                <c:pt idx="31">
                  <c:v>41.724699999999999</c:v>
                </c:pt>
                <c:pt idx="32">
                  <c:v>42.079000000000001</c:v>
                </c:pt>
                <c:pt idx="33">
                  <c:v>41.893999999999998</c:v>
                </c:pt>
                <c:pt idx="34">
                  <c:v>45.361499999999999</c:v>
                </c:pt>
              </c:numCache>
            </c:numRef>
          </c:val>
          <c:smooth val="0"/>
          <c:extLst>
            <c:ext xmlns:c16="http://schemas.microsoft.com/office/drawing/2014/chart" uri="{C3380CC4-5D6E-409C-BE32-E72D297353CC}">
              <c16:uniqueId val="{00000002-9956-45B2-BB96-FD6E5E6091C7}"/>
            </c:ext>
          </c:extLst>
        </c:ser>
        <c:ser>
          <c:idx val="2"/>
          <c:order val="3"/>
          <c:tx>
            <c:strRef>
              <c:f>'0) Systems policy with GF'!$A$258</c:f>
              <c:strCache>
                <c:ptCount val="1"/>
                <c:pt idx="0">
                  <c:v>GFGS  and LETS combined</c:v>
                </c:pt>
              </c:strCache>
            </c:strRef>
          </c:tx>
          <c:spPr>
            <a:ln w="12700" cap="rnd">
              <a:solidFill>
                <a:srgbClr val="7030A0"/>
              </a:solidFill>
              <a:prstDash val="lgDashDot"/>
              <a:round/>
            </a:ln>
            <a:effectLst/>
          </c:spPr>
          <c:marker>
            <c:symbol val="none"/>
          </c:marker>
          <c:cat>
            <c:numRef>
              <c:f>'0) Systems policy with GF'!$B$254:$AJ$254</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GF'!$B$258:$AJ$258</c:f>
              <c:numCache>
                <c:formatCode>0</c:formatCode>
                <c:ptCount val="35"/>
                <c:pt idx="0">
                  <c:v>20.381399999999999</c:v>
                </c:pt>
                <c:pt idx="1">
                  <c:v>27.954999999999998</c:v>
                </c:pt>
                <c:pt idx="2">
                  <c:v>33.072899999999997</c:v>
                </c:pt>
                <c:pt idx="3">
                  <c:v>30.662299999999998</c:v>
                </c:pt>
                <c:pt idx="4">
                  <c:v>25.113199999999999</c:v>
                </c:pt>
                <c:pt idx="5">
                  <c:v>23.089200000000002</c:v>
                </c:pt>
                <c:pt idx="6">
                  <c:v>22.416399999999999</c:v>
                </c:pt>
                <c:pt idx="7">
                  <c:v>21.0183</c:v>
                </c:pt>
                <c:pt idx="8">
                  <c:v>19.882000000000001</c:v>
                </c:pt>
                <c:pt idx="9">
                  <c:v>19.242699999999999</c:v>
                </c:pt>
                <c:pt idx="10">
                  <c:v>23.4206</c:v>
                </c:pt>
                <c:pt idx="11">
                  <c:v>27.836300000000001</c:v>
                </c:pt>
                <c:pt idx="12">
                  <c:v>32.389600000000002</c:v>
                </c:pt>
                <c:pt idx="13">
                  <c:v>34.656100000000002</c:v>
                </c:pt>
                <c:pt idx="14">
                  <c:v>34.633000000000003</c:v>
                </c:pt>
                <c:pt idx="15">
                  <c:v>40.142099999999999</c:v>
                </c:pt>
                <c:pt idx="16">
                  <c:v>42.060400000000001</c:v>
                </c:pt>
                <c:pt idx="17">
                  <c:v>39.834400000000002</c:v>
                </c:pt>
                <c:pt idx="18">
                  <c:v>38.284100000000002</c:v>
                </c:pt>
                <c:pt idx="19">
                  <c:v>34.736800000000002</c:v>
                </c:pt>
                <c:pt idx="20">
                  <c:v>36.504300000000001</c:v>
                </c:pt>
                <c:pt idx="21">
                  <c:v>36.092599999999997</c:v>
                </c:pt>
                <c:pt idx="22">
                  <c:v>33.977699999999999</c:v>
                </c:pt>
                <c:pt idx="23">
                  <c:v>31.7043</c:v>
                </c:pt>
                <c:pt idx="24">
                  <c:v>27.445</c:v>
                </c:pt>
                <c:pt idx="25">
                  <c:v>27.2971</c:v>
                </c:pt>
                <c:pt idx="26">
                  <c:v>28.117000000000001</c:v>
                </c:pt>
                <c:pt idx="27">
                  <c:v>27.075800000000001</c:v>
                </c:pt>
                <c:pt idx="28">
                  <c:v>25.932400000000001</c:v>
                </c:pt>
                <c:pt idx="29">
                  <c:v>25.098299999999998</c:v>
                </c:pt>
                <c:pt idx="30">
                  <c:v>27.704899999999999</c:v>
                </c:pt>
                <c:pt idx="31">
                  <c:v>28.993300000000001</c:v>
                </c:pt>
                <c:pt idx="32">
                  <c:v>28.251899999999999</c:v>
                </c:pt>
                <c:pt idx="33">
                  <c:v>26.9361</c:v>
                </c:pt>
                <c:pt idx="34">
                  <c:v>32.411099999999998</c:v>
                </c:pt>
              </c:numCache>
            </c:numRef>
          </c:val>
          <c:smooth val="0"/>
          <c:extLst>
            <c:ext xmlns:c16="http://schemas.microsoft.com/office/drawing/2014/chart" uri="{C3380CC4-5D6E-409C-BE32-E72D297353CC}">
              <c16:uniqueId val="{00000003-9956-45B2-BB96-FD6E5E6091C7}"/>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1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 bn.</a:t>
                </a:r>
              </a:p>
            </c:rich>
          </c:tx>
          <c:layout>
            <c:manualLayout>
              <c:xMode val="edge"/>
              <c:yMode val="edge"/>
              <c:x val="2.8552859543122148E-2"/>
              <c:y val="0.3621374954052119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9.0472143484545298E-2"/>
          <c:y val="0.84889289880431629"/>
          <c:w val="0.88542208816830936"/>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2131654659941"/>
          <c:y val="3.9915819771083522E-2"/>
          <c:w val="0.82947591614945893"/>
          <c:h val="0.63475620460737214"/>
        </c:manualLayout>
      </c:layout>
      <c:lineChart>
        <c:grouping val="standard"/>
        <c:varyColors val="0"/>
        <c:ser>
          <c:idx val="3"/>
          <c:order val="0"/>
          <c:tx>
            <c:strRef>
              <c:f>'0) Systems policy with GF'!$A$152</c:f>
              <c:strCache>
                <c:ptCount val="1"/>
                <c:pt idx="0">
                  <c:v>Base-run</c:v>
                </c:pt>
              </c:strCache>
            </c:strRef>
          </c:tx>
          <c:spPr>
            <a:ln w="12700" cap="rnd">
              <a:solidFill>
                <a:sysClr val="windowText" lastClr="000000"/>
              </a:solidFill>
              <a:round/>
            </a:ln>
            <a:effectLst/>
          </c:spPr>
          <c:marker>
            <c:symbol val="none"/>
          </c:marker>
          <c:cat>
            <c:numRef>
              <c:f>'0) Systems policy with GF'!$B$151:$AJ$151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GF'!$B$152:$AJ$152</c:f>
              <c:numCache>
                <c:formatCode>0</c:formatCode>
                <c:ptCount val="35"/>
                <c:pt idx="0">
                  <c:v>0</c:v>
                </c:pt>
                <c:pt idx="1">
                  <c:v>0</c:v>
                </c:pt>
                <c:pt idx="2">
                  <c:v>8.4513599999999994E-2</c:v>
                </c:pt>
                <c:pt idx="3">
                  <c:v>0</c:v>
                </c:pt>
                <c:pt idx="4">
                  <c:v>0</c:v>
                </c:pt>
                <c:pt idx="5">
                  <c:v>0</c:v>
                </c:pt>
                <c:pt idx="6">
                  <c:v>0</c:v>
                </c:pt>
                <c:pt idx="7">
                  <c:v>1.30714</c:v>
                </c:pt>
                <c:pt idx="8">
                  <c:v>4.3753200000000003</c:v>
                </c:pt>
                <c:pt idx="9">
                  <c:v>4.0305400000000002</c:v>
                </c:pt>
                <c:pt idx="10">
                  <c:v>3.13428</c:v>
                </c:pt>
                <c:pt idx="11">
                  <c:v>6.3281000000000001</c:v>
                </c:pt>
                <c:pt idx="12">
                  <c:v>14.6122</c:v>
                </c:pt>
                <c:pt idx="13">
                  <c:v>8.9918899999999997</c:v>
                </c:pt>
                <c:pt idx="14">
                  <c:v>11.618</c:v>
                </c:pt>
                <c:pt idx="15">
                  <c:v>11.336600000000001</c:v>
                </c:pt>
                <c:pt idx="16">
                  <c:v>7.4306000000000001</c:v>
                </c:pt>
                <c:pt idx="17">
                  <c:v>10.051399999999999</c:v>
                </c:pt>
                <c:pt idx="18">
                  <c:v>5.1399400000000002</c:v>
                </c:pt>
                <c:pt idx="19">
                  <c:v>5.0299800000000001</c:v>
                </c:pt>
                <c:pt idx="20">
                  <c:v>3.0323899999999999</c:v>
                </c:pt>
                <c:pt idx="21">
                  <c:v>2.69916</c:v>
                </c:pt>
                <c:pt idx="22">
                  <c:v>3.9954200000000002</c:v>
                </c:pt>
                <c:pt idx="23">
                  <c:v>0.64839100000000005</c:v>
                </c:pt>
                <c:pt idx="24">
                  <c:v>0</c:v>
                </c:pt>
                <c:pt idx="25">
                  <c:v>4.2646299999999998E-2</c:v>
                </c:pt>
                <c:pt idx="26">
                  <c:v>2.8350499999999998</c:v>
                </c:pt>
                <c:pt idx="27">
                  <c:v>3.9240499999999998</c:v>
                </c:pt>
                <c:pt idx="28">
                  <c:v>4.0657500000000004</c:v>
                </c:pt>
                <c:pt idx="29">
                  <c:v>5.8046100000000003</c:v>
                </c:pt>
                <c:pt idx="30">
                  <c:v>6.3721899999999998</c:v>
                </c:pt>
                <c:pt idx="31">
                  <c:v>6.8537100000000004</c:v>
                </c:pt>
                <c:pt idx="32">
                  <c:v>6.1253799999999998</c:v>
                </c:pt>
                <c:pt idx="33">
                  <c:v>4.9502199999999998</c:v>
                </c:pt>
                <c:pt idx="34">
                  <c:v>4.1357400000000002</c:v>
                </c:pt>
              </c:numCache>
            </c:numRef>
          </c:val>
          <c:smooth val="0"/>
          <c:extLst>
            <c:ext xmlns:c16="http://schemas.microsoft.com/office/drawing/2014/chart" uri="{C3380CC4-5D6E-409C-BE32-E72D297353CC}">
              <c16:uniqueId val="{00000000-EFFB-4E76-B3E0-E3E6322C51BB}"/>
            </c:ext>
          </c:extLst>
        </c:ser>
        <c:ser>
          <c:idx val="4"/>
          <c:order val="1"/>
          <c:tx>
            <c:strRef>
              <c:f>'0) Systems policy with GF'!$A$153</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GF'!$B$151:$AJ$151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GF'!$B$153:$AJ$153</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1-EFFB-4E76-B3E0-E3E6322C51BB}"/>
            </c:ext>
          </c:extLst>
        </c:ser>
        <c:ser>
          <c:idx val="0"/>
          <c:order val="2"/>
          <c:tx>
            <c:strRef>
              <c:f>'0) Systems policy with GF'!$A$155</c:f>
              <c:strCache>
                <c:ptCount val="1"/>
                <c:pt idx="0">
                  <c:v>GFGS  and LETS combined</c:v>
                </c:pt>
              </c:strCache>
            </c:strRef>
          </c:tx>
          <c:spPr>
            <a:ln w="12700" cap="rnd">
              <a:solidFill>
                <a:srgbClr val="5B9BD5">
                  <a:lumMod val="60000"/>
                  <a:lumOff val="40000"/>
                </a:srgbClr>
              </a:solidFill>
              <a:prstDash val="sysDash"/>
              <a:round/>
            </a:ln>
            <a:effectLst/>
          </c:spPr>
          <c:marker>
            <c:symbol val="none"/>
          </c:marker>
          <c:cat>
            <c:numRef>
              <c:f>'0) Systems policy with GF'!$B$151:$AJ$151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GF'!$B$155:$AJ$155</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2-EFFB-4E76-B3E0-E3E6322C51BB}"/>
            </c:ext>
          </c:extLst>
        </c:ser>
        <c:ser>
          <c:idx val="2"/>
          <c:order val="3"/>
          <c:tx>
            <c:strRef>
              <c:f>'0) Systems policy with GF'!$A$154</c:f>
              <c:strCache>
                <c:ptCount val="1"/>
                <c:pt idx="0">
                  <c:v>Low-carbon energy transition scenario (LETS)</c:v>
                </c:pt>
              </c:strCache>
            </c:strRef>
          </c:tx>
          <c:spPr>
            <a:ln w="12700" cap="rnd">
              <a:solidFill>
                <a:srgbClr val="7030A0"/>
              </a:solidFill>
              <a:prstDash val="lgDashDot"/>
              <a:round/>
            </a:ln>
            <a:effectLst/>
          </c:spPr>
          <c:marker>
            <c:symbol val="none"/>
          </c:marker>
          <c:cat>
            <c:numRef>
              <c:f>'0) Systems policy with GF'!$B$151:$AJ$151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GF'!$B$154:$AJ$154</c:f>
              <c:numCache>
                <c:formatCode>0</c:formatCode>
                <c:ptCount val="35"/>
                <c:pt idx="0">
                  <c:v>0</c:v>
                </c:pt>
                <c:pt idx="1">
                  <c:v>0</c:v>
                </c:pt>
                <c:pt idx="2">
                  <c:v>8.4513599999999994E-2</c:v>
                </c:pt>
                <c:pt idx="3">
                  <c:v>0</c:v>
                </c:pt>
                <c:pt idx="4">
                  <c:v>0</c:v>
                </c:pt>
                <c:pt idx="5">
                  <c:v>17.3627</c:v>
                </c:pt>
                <c:pt idx="6">
                  <c:v>18.7102</c:v>
                </c:pt>
                <c:pt idx="7">
                  <c:v>22.541599999999999</c:v>
                </c:pt>
                <c:pt idx="8">
                  <c:v>23.794899999999998</c:v>
                </c:pt>
                <c:pt idx="9">
                  <c:v>22.603000000000002</c:v>
                </c:pt>
                <c:pt idx="10">
                  <c:v>55.146599999999999</c:v>
                </c:pt>
                <c:pt idx="11">
                  <c:v>56.846800000000002</c:v>
                </c:pt>
                <c:pt idx="12">
                  <c:v>64.6631</c:v>
                </c:pt>
                <c:pt idx="13">
                  <c:v>63.093000000000004</c:v>
                </c:pt>
                <c:pt idx="14">
                  <c:v>75.389399999999995</c:v>
                </c:pt>
                <c:pt idx="15">
                  <c:v>115.965</c:v>
                </c:pt>
                <c:pt idx="16">
                  <c:v>128.69200000000001</c:v>
                </c:pt>
                <c:pt idx="17">
                  <c:v>140.738</c:v>
                </c:pt>
                <c:pt idx="18">
                  <c:v>149.428</c:v>
                </c:pt>
                <c:pt idx="19">
                  <c:v>161.55099999999999</c:v>
                </c:pt>
                <c:pt idx="20">
                  <c:v>197.52600000000001</c:v>
                </c:pt>
                <c:pt idx="21">
                  <c:v>205.52</c:v>
                </c:pt>
                <c:pt idx="22">
                  <c:v>211.68799999999999</c:v>
                </c:pt>
                <c:pt idx="23">
                  <c:v>219.22499999999999</c:v>
                </c:pt>
                <c:pt idx="24">
                  <c:v>225.72900000000001</c:v>
                </c:pt>
                <c:pt idx="25">
                  <c:v>255.51499999999999</c:v>
                </c:pt>
                <c:pt idx="26">
                  <c:v>256.63</c:v>
                </c:pt>
                <c:pt idx="27">
                  <c:v>257.69499999999999</c:v>
                </c:pt>
                <c:pt idx="28">
                  <c:v>260.68299999999999</c:v>
                </c:pt>
                <c:pt idx="29">
                  <c:v>265.54399999999998</c:v>
                </c:pt>
                <c:pt idx="30">
                  <c:v>292.13099999999997</c:v>
                </c:pt>
                <c:pt idx="31">
                  <c:v>296.58300000000003</c:v>
                </c:pt>
                <c:pt idx="32">
                  <c:v>300.92099999999999</c:v>
                </c:pt>
                <c:pt idx="33">
                  <c:v>306.024</c:v>
                </c:pt>
                <c:pt idx="34">
                  <c:v>361.25099999999998</c:v>
                </c:pt>
              </c:numCache>
            </c:numRef>
          </c:val>
          <c:smooth val="0"/>
          <c:extLst>
            <c:ext xmlns:c16="http://schemas.microsoft.com/office/drawing/2014/chart" uri="{C3380CC4-5D6E-409C-BE32-E72D297353CC}">
              <c16:uniqueId val="{00000003-EFFB-4E76-B3E0-E3E6322C51BB}"/>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thw/year</a:t>
                </a:r>
              </a:p>
            </c:rich>
          </c:tx>
          <c:layout>
            <c:manualLayout>
              <c:xMode val="edge"/>
              <c:yMode val="edge"/>
              <c:x val="2.4343672086413529E-2"/>
              <c:y val="0.2803275313129211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818373673719E-2"/>
          <c:y val="0.87204097874862418"/>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28460039326459"/>
          <c:y val="5.0925925925925923E-2"/>
          <c:w val="0.82504436003775616"/>
          <c:h val="0.60963618689543253"/>
        </c:manualLayout>
      </c:layout>
      <c:lineChart>
        <c:grouping val="standard"/>
        <c:varyColors val="0"/>
        <c:ser>
          <c:idx val="3"/>
          <c:order val="0"/>
          <c:tx>
            <c:strRef>
              <c:f>'0) Systems policy with GF'!$A$127</c:f>
              <c:strCache>
                <c:ptCount val="1"/>
                <c:pt idx="0">
                  <c:v>Base-run</c:v>
                </c:pt>
              </c:strCache>
            </c:strRef>
          </c:tx>
          <c:spPr>
            <a:ln w="12700" cap="rnd">
              <a:solidFill>
                <a:sysClr val="windowText" lastClr="000000"/>
              </a:solidFill>
              <a:round/>
            </a:ln>
            <a:effectLst/>
          </c:spPr>
          <c:marker>
            <c:symbol val="none"/>
          </c:marker>
          <c:cat>
            <c:numRef>
              <c:f>'0) Systems policy with GF'!$B$126:$AJ$126</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GF'!$B$127:$AJ$127</c:f>
              <c:numCache>
                <c:formatCode>0.00</c:formatCode>
                <c:ptCount val="35"/>
                <c:pt idx="0">
                  <c:v>1</c:v>
                </c:pt>
                <c:pt idx="1">
                  <c:v>0.98749500000000001</c:v>
                </c:pt>
                <c:pt idx="2">
                  <c:v>1.06775</c:v>
                </c:pt>
                <c:pt idx="3">
                  <c:v>1.08551</c:v>
                </c:pt>
                <c:pt idx="4">
                  <c:v>1.1040000000000001</c:v>
                </c:pt>
                <c:pt idx="5">
                  <c:v>1.1315500000000001</c:v>
                </c:pt>
                <c:pt idx="6">
                  <c:v>1.16249</c:v>
                </c:pt>
                <c:pt idx="7">
                  <c:v>1.19495</c:v>
                </c:pt>
                <c:pt idx="8">
                  <c:v>1.2621500000000001</c:v>
                </c:pt>
                <c:pt idx="9">
                  <c:v>1.35337</c:v>
                </c:pt>
                <c:pt idx="10">
                  <c:v>1.4138900000000001</c:v>
                </c:pt>
                <c:pt idx="11">
                  <c:v>1.40412</c:v>
                </c:pt>
                <c:pt idx="12">
                  <c:v>1.3980600000000001</c:v>
                </c:pt>
                <c:pt idx="13">
                  <c:v>1.4224300000000001</c:v>
                </c:pt>
                <c:pt idx="14">
                  <c:v>1.45028</c:v>
                </c:pt>
                <c:pt idx="15">
                  <c:v>1.49736</c:v>
                </c:pt>
                <c:pt idx="16">
                  <c:v>1.56203</c:v>
                </c:pt>
                <c:pt idx="17">
                  <c:v>1.5976399999999999</c:v>
                </c:pt>
                <c:pt idx="18">
                  <c:v>1.6584000000000001</c:v>
                </c:pt>
                <c:pt idx="19">
                  <c:v>1.6898500000000001</c:v>
                </c:pt>
                <c:pt idx="20">
                  <c:v>1.7232700000000001</c:v>
                </c:pt>
                <c:pt idx="21">
                  <c:v>1.74126</c:v>
                </c:pt>
                <c:pt idx="22">
                  <c:v>1.7476100000000001</c:v>
                </c:pt>
                <c:pt idx="23">
                  <c:v>1.7792600000000001</c:v>
                </c:pt>
                <c:pt idx="24">
                  <c:v>1.80379</c:v>
                </c:pt>
                <c:pt idx="25">
                  <c:v>1.8088200000000001</c:v>
                </c:pt>
                <c:pt idx="26">
                  <c:v>1.8329800000000001</c:v>
                </c:pt>
                <c:pt idx="27">
                  <c:v>1.84768</c:v>
                </c:pt>
                <c:pt idx="28">
                  <c:v>1.86944</c:v>
                </c:pt>
                <c:pt idx="29">
                  <c:v>1.8978299999999999</c:v>
                </c:pt>
                <c:pt idx="30">
                  <c:v>1.9367300000000001</c:v>
                </c:pt>
                <c:pt idx="31">
                  <c:v>1.97827</c:v>
                </c:pt>
                <c:pt idx="32">
                  <c:v>2.0337000000000001</c:v>
                </c:pt>
                <c:pt idx="33">
                  <c:v>2.0898599999999998</c:v>
                </c:pt>
                <c:pt idx="34">
                  <c:v>2.13286</c:v>
                </c:pt>
              </c:numCache>
            </c:numRef>
          </c:val>
          <c:smooth val="0"/>
          <c:extLst>
            <c:ext xmlns:c16="http://schemas.microsoft.com/office/drawing/2014/chart" uri="{C3380CC4-5D6E-409C-BE32-E72D297353CC}">
              <c16:uniqueId val="{00000000-E64E-4BBB-882C-B94A154674E4}"/>
            </c:ext>
          </c:extLst>
        </c:ser>
        <c:ser>
          <c:idx val="4"/>
          <c:order val="1"/>
          <c:tx>
            <c:strRef>
              <c:f>'0) Systems policy with GF'!$A$128</c:f>
              <c:strCache>
                <c:ptCount val="1"/>
                <c:pt idx="0">
                  <c:v>Finance system’s policy scenario (GFGS) </c:v>
                </c:pt>
              </c:strCache>
            </c:strRef>
          </c:tx>
          <c:spPr>
            <a:ln w="12700" cap="rnd">
              <a:solidFill>
                <a:srgbClr val="70AD47">
                  <a:lumMod val="75000"/>
                </a:srgbClr>
              </a:solidFill>
              <a:prstDash val="dash"/>
              <a:round/>
            </a:ln>
            <a:effectLst/>
          </c:spPr>
          <c:marker>
            <c:symbol val="none"/>
          </c:marker>
          <c:cat>
            <c:numRef>
              <c:f>'0) Systems policy with GF'!$B$126:$AJ$126</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GF'!$B$128:$AJ$128</c:f>
              <c:numCache>
                <c:formatCode>0.00</c:formatCode>
                <c:ptCount val="35"/>
                <c:pt idx="0">
                  <c:v>1</c:v>
                </c:pt>
                <c:pt idx="1">
                  <c:v>0.98749500000000001</c:v>
                </c:pt>
                <c:pt idx="2">
                  <c:v>1.06775</c:v>
                </c:pt>
                <c:pt idx="3">
                  <c:v>1.08551</c:v>
                </c:pt>
                <c:pt idx="4">
                  <c:v>1.1040000000000001</c:v>
                </c:pt>
                <c:pt idx="5">
                  <c:v>1.09927</c:v>
                </c:pt>
                <c:pt idx="6">
                  <c:v>1.12453</c:v>
                </c:pt>
                <c:pt idx="7">
                  <c:v>1.2158</c:v>
                </c:pt>
                <c:pt idx="8">
                  <c:v>1.52278</c:v>
                </c:pt>
                <c:pt idx="9">
                  <c:v>1.8472900000000001</c:v>
                </c:pt>
                <c:pt idx="10">
                  <c:v>1.8929800000000001</c:v>
                </c:pt>
                <c:pt idx="11">
                  <c:v>1.71587</c:v>
                </c:pt>
                <c:pt idx="12">
                  <c:v>1.56579</c:v>
                </c:pt>
                <c:pt idx="13">
                  <c:v>1.5181199999999999</c:v>
                </c:pt>
                <c:pt idx="14">
                  <c:v>1.44825</c:v>
                </c:pt>
                <c:pt idx="15">
                  <c:v>1.42378</c:v>
                </c:pt>
                <c:pt idx="16">
                  <c:v>1.4234599999999999</c:v>
                </c:pt>
                <c:pt idx="17">
                  <c:v>1.3801099999999999</c:v>
                </c:pt>
                <c:pt idx="18">
                  <c:v>1.4121699999999999</c:v>
                </c:pt>
                <c:pt idx="19">
                  <c:v>1.40971</c:v>
                </c:pt>
                <c:pt idx="20">
                  <c:v>1.4253499999999999</c:v>
                </c:pt>
                <c:pt idx="21">
                  <c:v>1.44164</c:v>
                </c:pt>
                <c:pt idx="22">
                  <c:v>1.46424</c:v>
                </c:pt>
                <c:pt idx="23">
                  <c:v>1.5325500000000001</c:v>
                </c:pt>
                <c:pt idx="24">
                  <c:v>1.5516700000000001</c:v>
                </c:pt>
                <c:pt idx="25">
                  <c:v>1.5547299999999999</c:v>
                </c:pt>
                <c:pt idx="26">
                  <c:v>1.57891</c:v>
                </c:pt>
                <c:pt idx="27">
                  <c:v>1.65143</c:v>
                </c:pt>
                <c:pt idx="28">
                  <c:v>1.7053700000000001</c:v>
                </c:pt>
                <c:pt idx="29">
                  <c:v>1.7401500000000001</c:v>
                </c:pt>
                <c:pt idx="30">
                  <c:v>1.7799</c:v>
                </c:pt>
                <c:pt idx="31">
                  <c:v>1.8007299999999999</c:v>
                </c:pt>
                <c:pt idx="32">
                  <c:v>1.84311</c:v>
                </c:pt>
                <c:pt idx="33">
                  <c:v>1.88615</c:v>
                </c:pt>
                <c:pt idx="34">
                  <c:v>1.9235899999999999</c:v>
                </c:pt>
              </c:numCache>
            </c:numRef>
          </c:val>
          <c:smooth val="0"/>
          <c:extLst>
            <c:ext xmlns:c16="http://schemas.microsoft.com/office/drawing/2014/chart" uri="{C3380CC4-5D6E-409C-BE32-E72D297353CC}">
              <c16:uniqueId val="{00000001-E64E-4BBB-882C-B94A154674E4}"/>
            </c:ext>
          </c:extLst>
        </c:ser>
        <c:ser>
          <c:idx val="0"/>
          <c:order val="2"/>
          <c:tx>
            <c:strRef>
              <c:f>'0) Systems policy with GF'!$A$129</c:f>
              <c:strCache>
                <c:ptCount val="1"/>
                <c:pt idx="0">
                  <c:v>Low-carbon energy transition scenario (LETS)</c:v>
                </c:pt>
              </c:strCache>
            </c:strRef>
          </c:tx>
          <c:spPr>
            <a:ln w="12700" cap="rnd">
              <a:solidFill>
                <a:srgbClr val="5B9BD5">
                  <a:lumMod val="60000"/>
                  <a:lumOff val="40000"/>
                </a:srgbClr>
              </a:solidFill>
              <a:prstDash val="sysDash"/>
              <a:round/>
            </a:ln>
            <a:effectLst/>
          </c:spPr>
          <c:marker>
            <c:symbol val="none"/>
          </c:marker>
          <c:cat>
            <c:numRef>
              <c:f>'0) Systems policy with GF'!$B$126:$AJ$126</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GF'!$B$129:$AJ$129</c:f>
              <c:numCache>
                <c:formatCode>0.00</c:formatCode>
                <c:ptCount val="35"/>
                <c:pt idx="0">
                  <c:v>1</c:v>
                </c:pt>
                <c:pt idx="1">
                  <c:v>0.98749500000000001</c:v>
                </c:pt>
                <c:pt idx="2">
                  <c:v>1.06775</c:v>
                </c:pt>
                <c:pt idx="3">
                  <c:v>1.08551</c:v>
                </c:pt>
                <c:pt idx="4">
                  <c:v>1.1040000000000001</c:v>
                </c:pt>
                <c:pt idx="5">
                  <c:v>1.22411</c:v>
                </c:pt>
                <c:pt idx="6">
                  <c:v>1.3180099999999999</c:v>
                </c:pt>
                <c:pt idx="7">
                  <c:v>1.41214</c:v>
                </c:pt>
                <c:pt idx="8">
                  <c:v>1.5061100000000001</c:v>
                </c:pt>
                <c:pt idx="9">
                  <c:v>1.49742</c:v>
                </c:pt>
                <c:pt idx="10">
                  <c:v>1.59582</c:v>
                </c:pt>
                <c:pt idx="11">
                  <c:v>1.5227599999999999</c:v>
                </c:pt>
                <c:pt idx="12">
                  <c:v>1.37883</c:v>
                </c:pt>
                <c:pt idx="13">
                  <c:v>1.27308</c:v>
                </c:pt>
                <c:pt idx="14">
                  <c:v>1.26546</c:v>
                </c:pt>
                <c:pt idx="15">
                  <c:v>1.44652</c:v>
                </c:pt>
                <c:pt idx="16">
                  <c:v>1.6121799999999999</c:v>
                </c:pt>
                <c:pt idx="17">
                  <c:v>1.7347300000000001</c:v>
                </c:pt>
                <c:pt idx="18">
                  <c:v>1.8823399999999999</c:v>
                </c:pt>
                <c:pt idx="19">
                  <c:v>2.0281500000000001</c:v>
                </c:pt>
                <c:pt idx="20">
                  <c:v>2.3550200000000001</c:v>
                </c:pt>
                <c:pt idx="21">
                  <c:v>2.5995499999999998</c:v>
                </c:pt>
                <c:pt idx="22">
                  <c:v>2.7435700000000001</c:v>
                </c:pt>
                <c:pt idx="23">
                  <c:v>2.8827500000000001</c:v>
                </c:pt>
                <c:pt idx="24">
                  <c:v>3.10168</c:v>
                </c:pt>
                <c:pt idx="25">
                  <c:v>3.7364899999999999</c:v>
                </c:pt>
                <c:pt idx="26">
                  <c:v>4.1932600000000004</c:v>
                </c:pt>
                <c:pt idx="27">
                  <c:v>4.2184499999999998</c:v>
                </c:pt>
                <c:pt idx="28">
                  <c:v>4.1363500000000002</c:v>
                </c:pt>
                <c:pt idx="29">
                  <c:v>4.11409</c:v>
                </c:pt>
                <c:pt idx="30">
                  <c:v>4.3693499999999998</c:v>
                </c:pt>
                <c:pt idx="31">
                  <c:v>4.5157800000000003</c:v>
                </c:pt>
                <c:pt idx="32">
                  <c:v>4.6283700000000003</c:v>
                </c:pt>
                <c:pt idx="33">
                  <c:v>4.7782</c:v>
                </c:pt>
                <c:pt idx="34">
                  <c:v>5.6380400000000002</c:v>
                </c:pt>
              </c:numCache>
            </c:numRef>
          </c:val>
          <c:smooth val="0"/>
          <c:extLst>
            <c:ext xmlns:c16="http://schemas.microsoft.com/office/drawing/2014/chart" uri="{C3380CC4-5D6E-409C-BE32-E72D297353CC}">
              <c16:uniqueId val="{00000002-E64E-4BBB-882C-B94A154674E4}"/>
            </c:ext>
          </c:extLst>
        </c:ser>
        <c:ser>
          <c:idx val="2"/>
          <c:order val="4"/>
          <c:tx>
            <c:strRef>
              <c:f>'0) Systems policy with GF'!$A$130</c:f>
              <c:strCache>
                <c:ptCount val="1"/>
                <c:pt idx="0">
                  <c:v>GFGS  and LETS combined</c:v>
                </c:pt>
              </c:strCache>
            </c:strRef>
          </c:tx>
          <c:spPr>
            <a:ln w="12700" cap="rnd">
              <a:solidFill>
                <a:srgbClr val="7030A0"/>
              </a:solidFill>
              <a:prstDash val="lgDashDot"/>
              <a:round/>
            </a:ln>
            <a:effectLst/>
          </c:spPr>
          <c:marker>
            <c:symbol val="none"/>
          </c:marker>
          <c:cat>
            <c:numRef>
              <c:f>'0) Systems policy with GF'!$B$126:$AJ$126</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'0) Systems policy with GF'!$B$130:$AJ$130</c:f>
              <c:numCache>
                <c:formatCode>0.00</c:formatCode>
                <c:ptCount val="35"/>
                <c:pt idx="0">
                  <c:v>1</c:v>
                </c:pt>
                <c:pt idx="1">
                  <c:v>0.98749500000000001</c:v>
                </c:pt>
                <c:pt idx="2">
                  <c:v>1.06775</c:v>
                </c:pt>
                <c:pt idx="3">
                  <c:v>1.08551</c:v>
                </c:pt>
                <c:pt idx="4">
                  <c:v>1.1040000000000001</c:v>
                </c:pt>
                <c:pt idx="5">
                  <c:v>1.16753</c:v>
                </c:pt>
                <c:pt idx="6">
                  <c:v>1.3893</c:v>
                </c:pt>
                <c:pt idx="7">
                  <c:v>1.63337</c:v>
                </c:pt>
                <c:pt idx="8">
                  <c:v>1.85795</c:v>
                </c:pt>
                <c:pt idx="9">
                  <c:v>1.89567</c:v>
                </c:pt>
                <c:pt idx="10">
                  <c:v>1.84073</c:v>
                </c:pt>
                <c:pt idx="11">
                  <c:v>1.9314499999999999</c:v>
                </c:pt>
                <c:pt idx="12">
                  <c:v>1.7172099999999999</c:v>
                </c:pt>
                <c:pt idx="13">
                  <c:v>1.4564600000000001</c:v>
                </c:pt>
                <c:pt idx="14">
                  <c:v>1.2944</c:v>
                </c:pt>
                <c:pt idx="15">
                  <c:v>1.35876</c:v>
                </c:pt>
                <c:pt idx="16">
                  <c:v>1.55443</c:v>
                </c:pt>
                <c:pt idx="17">
                  <c:v>1.62808</c:v>
                </c:pt>
                <c:pt idx="18">
                  <c:v>1.6509</c:v>
                </c:pt>
                <c:pt idx="19">
                  <c:v>1.6131800000000001</c:v>
                </c:pt>
                <c:pt idx="20">
                  <c:v>1.7016</c:v>
                </c:pt>
                <c:pt idx="21">
                  <c:v>1.89351</c:v>
                </c:pt>
                <c:pt idx="22">
                  <c:v>1.9100999999999999</c:v>
                </c:pt>
                <c:pt idx="23">
                  <c:v>1.8552999999999999</c:v>
                </c:pt>
                <c:pt idx="24">
                  <c:v>1.8333699999999999</c:v>
                </c:pt>
                <c:pt idx="25">
                  <c:v>1.98848</c:v>
                </c:pt>
                <c:pt idx="26">
                  <c:v>2.3002099999999999</c:v>
                </c:pt>
                <c:pt idx="27">
                  <c:v>2.2254999999999998</c:v>
                </c:pt>
                <c:pt idx="28">
                  <c:v>2.0316399999999999</c:v>
                </c:pt>
                <c:pt idx="29">
                  <c:v>1.8993899999999999</c:v>
                </c:pt>
                <c:pt idx="30">
                  <c:v>1.9221999999999999</c:v>
                </c:pt>
                <c:pt idx="31">
                  <c:v>2.11747</c:v>
                </c:pt>
                <c:pt idx="32">
                  <c:v>2.1678999999999999</c:v>
                </c:pt>
                <c:pt idx="33">
                  <c:v>2.1528999999999998</c:v>
                </c:pt>
                <c:pt idx="34">
                  <c:v>2.38124</c:v>
                </c:pt>
              </c:numCache>
            </c:numRef>
          </c:val>
          <c:smooth val="0"/>
          <c:extLst>
            <c:ext xmlns:c16="http://schemas.microsoft.com/office/drawing/2014/chart" uri="{C3380CC4-5D6E-409C-BE32-E72D297353CC}">
              <c16:uniqueId val="{00000003-E64E-4BBB-882C-B94A154674E4}"/>
            </c:ext>
          </c:extLst>
        </c:ser>
        <c:dLbls>
          <c:showLegendKey val="0"/>
          <c:showVal val="0"/>
          <c:showCatName val="0"/>
          <c:showSerName val="0"/>
          <c:showPercent val="0"/>
          <c:showBubbleSize val="0"/>
        </c:dLbls>
        <c:smooth val="0"/>
        <c:axId val="869943664"/>
        <c:axId val="869945328"/>
        <c:extLst>
          <c:ext xmlns:c15="http://schemas.microsoft.com/office/drawing/2012/chart" uri="{02D57815-91ED-43cb-92C2-25804820EDAC}">
            <c15:filteredLineSeries>
              <c15:ser>
                <c:idx val="1"/>
                <c:order val="3"/>
                <c:tx>
                  <c:strRef>
                    <c:extLst>
                      <c:ext uri="{02D57815-91ED-43cb-92C2-25804820EDAC}">
                        <c15:formulaRef>
                          <c15:sqref>'1) Base-run and noFC (3)'!#REF!</c15:sqref>
                        </c15:formulaRef>
                      </c:ext>
                    </c:extLst>
                    <c:strCache>
                      <c:ptCount val="1"/>
                      <c:pt idx="0">
                        <c:v>#REF!</c:v>
                      </c:pt>
                    </c:strCache>
                  </c:strRef>
                </c:tx>
                <c:spPr>
                  <a:ln w="28575" cap="rnd">
                    <a:solidFill>
                      <a:schemeClr val="accent3"/>
                    </a:solidFill>
                    <a:round/>
                  </a:ln>
                  <a:effectLst/>
                </c:spPr>
                <c:marker>
                  <c:symbol val="none"/>
                </c:marker>
                <c:cat>
                  <c:numRef>
                    <c:extLst>
                      <c:ext uri="{02D57815-91ED-43cb-92C2-25804820EDAC}">
                        <c15:formulaRef>
                          <c15:sqref>'0) Systems policy with GF'!$B$126:$AJ$126</c15:sqref>
                        </c15:formulaRef>
                      </c:ext>
                    </c:extLst>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extLst>
                      <c:ext uri="{02D57815-91ED-43cb-92C2-25804820EDAC}">
                        <c15:formulaRef>
                          <c15:sqref>'1) Base-run and noFC (3)'!#REF!</c15:sqref>
                        </c15:formulaRef>
                      </c:ext>
                    </c:extLst>
                    <c:numCache>
                      <c:formatCode>General</c:formatCode>
                      <c:ptCount val="1"/>
                      <c:pt idx="0">
                        <c:v>1</c:v>
                      </c:pt>
                    </c:numCache>
                  </c:numRef>
                </c:val>
                <c:smooth val="0"/>
                <c:extLst>
                  <c:ext xmlns:c16="http://schemas.microsoft.com/office/drawing/2014/chart" uri="{C3380CC4-5D6E-409C-BE32-E72D297353CC}">
                    <c16:uniqueId val="{00000004-E64E-4BBB-882C-B94A154674E4}"/>
                  </c:ext>
                </c:extLst>
              </c15:ser>
            </c15:filteredLineSeries>
          </c:ext>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Index</a:t>
                </a:r>
              </a:p>
            </c:rich>
          </c:tx>
          <c:layout>
            <c:manualLayout>
              <c:xMode val="edge"/>
              <c:yMode val="edge"/>
              <c:x val="3.2899881532091897E-2"/>
              <c:y val="0.3135491519732710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6.0104056348152593E-2"/>
          <c:y val="0.8418651406399944"/>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high'!$A$100</c:f>
              <c:strCache>
                <c:ptCount val="1"/>
                <c:pt idx="0">
                  <c:v>Base-run SH</c:v>
                </c:pt>
              </c:strCache>
            </c:strRef>
          </c:tx>
          <c:spPr>
            <a:ln w="12700" cap="rnd">
              <a:solidFill>
                <a:sysClr val="windowText" lastClr="000000"/>
              </a:solidFill>
              <a:round/>
            </a:ln>
            <a:effectLst/>
          </c:spPr>
          <c:marker>
            <c:symbol val="none"/>
          </c:marker>
          <c:cat>
            <c:numRef>
              <c:f>'2) Scenario high'!$B$99:$AJ$99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high'!$B$100:$AJ$100</c:f>
              <c:numCache>
                <c:formatCode>0</c:formatCode>
                <c:ptCount val="35"/>
                <c:pt idx="0">
                  <c:v>12.885899999999999</c:v>
                </c:pt>
                <c:pt idx="1">
                  <c:v>12.906499999999999</c:v>
                </c:pt>
                <c:pt idx="2">
                  <c:v>13.020799999999999</c:v>
                </c:pt>
                <c:pt idx="3">
                  <c:v>13.116199999999999</c:v>
                </c:pt>
                <c:pt idx="4">
                  <c:v>13.1226</c:v>
                </c:pt>
                <c:pt idx="5">
                  <c:v>13.0456</c:v>
                </c:pt>
                <c:pt idx="6">
                  <c:v>12.9091</c:v>
                </c:pt>
                <c:pt idx="7">
                  <c:v>12.7318</c:v>
                </c:pt>
                <c:pt idx="8">
                  <c:v>12.5318</c:v>
                </c:pt>
                <c:pt idx="9">
                  <c:v>12.351599999999999</c:v>
                </c:pt>
                <c:pt idx="10">
                  <c:v>12.2217</c:v>
                </c:pt>
                <c:pt idx="11">
                  <c:v>12.1408</c:v>
                </c:pt>
                <c:pt idx="12">
                  <c:v>12.1325</c:v>
                </c:pt>
                <c:pt idx="13">
                  <c:v>12.256</c:v>
                </c:pt>
                <c:pt idx="14">
                  <c:v>12.463699999999999</c:v>
                </c:pt>
                <c:pt idx="15">
                  <c:v>12.6861</c:v>
                </c:pt>
                <c:pt idx="16">
                  <c:v>12.9123</c:v>
                </c:pt>
                <c:pt idx="17">
                  <c:v>13.1168</c:v>
                </c:pt>
                <c:pt idx="18">
                  <c:v>13.2906</c:v>
                </c:pt>
                <c:pt idx="19">
                  <c:v>13.4457</c:v>
                </c:pt>
                <c:pt idx="20">
                  <c:v>13.5601</c:v>
                </c:pt>
                <c:pt idx="21">
                  <c:v>13.6372</c:v>
                </c:pt>
                <c:pt idx="22">
                  <c:v>13.680099999999999</c:v>
                </c:pt>
                <c:pt idx="23">
                  <c:v>13.7059</c:v>
                </c:pt>
                <c:pt idx="24">
                  <c:v>13.7082</c:v>
                </c:pt>
                <c:pt idx="25">
                  <c:v>13.6534</c:v>
                </c:pt>
                <c:pt idx="26">
                  <c:v>13.552099999999999</c:v>
                </c:pt>
                <c:pt idx="27">
                  <c:v>13.4488</c:v>
                </c:pt>
                <c:pt idx="28">
                  <c:v>13.3649</c:v>
                </c:pt>
                <c:pt idx="29">
                  <c:v>13.2981</c:v>
                </c:pt>
                <c:pt idx="30">
                  <c:v>13.2432</c:v>
                </c:pt>
                <c:pt idx="31">
                  <c:v>13.1999</c:v>
                </c:pt>
                <c:pt idx="32">
                  <c:v>13.1671</c:v>
                </c:pt>
                <c:pt idx="33">
                  <c:v>13.1416</c:v>
                </c:pt>
                <c:pt idx="34">
                  <c:v>13.1128</c:v>
                </c:pt>
              </c:numCache>
            </c:numRef>
          </c:val>
          <c:smooth val="0"/>
          <c:extLst>
            <c:ext xmlns:c16="http://schemas.microsoft.com/office/drawing/2014/chart" uri="{C3380CC4-5D6E-409C-BE32-E72D297353CC}">
              <c16:uniqueId val="{00000000-42B0-455F-8056-A7D3A30FC482}"/>
            </c:ext>
          </c:extLst>
        </c:ser>
        <c:ser>
          <c:idx val="4"/>
          <c:order val="1"/>
          <c:tx>
            <c:strRef>
              <c:f>'2) Scenario high'!$A$101</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high'!$B$99:$AJ$99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high'!$B$101:$AJ$101</c:f>
              <c:numCache>
                <c:formatCode>0</c:formatCode>
                <c:ptCount val="35"/>
                <c:pt idx="0">
                  <c:v>12.885899999999999</c:v>
                </c:pt>
                <c:pt idx="1">
                  <c:v>12.906499999999999</c:v>
                </c:pt>
                <c:pt idx="2">
                  <c:v>13.020799999999999</c:v>
                </c:pt>
                <c:pt idx="3">
                  <c:v>13.116199999999999</c:v>
                </c:pt>
                <c:pt idx="4">
                  <c:v>13.1226</c:v>
                </c:pt>
                <c:pt idx="5">
                  <c:v>13.0456</c:v>
                </c:pt>
                <c:pt idx="6">
                  <c:v>12.9091</c:v>
                </c:pt>
                <c:pt idx="7">
                  <c:v>12.7376</c:v>
                </c:pt>
                <c:pt idx="8">
                  <c:v>12.570399999999999</c:v>
                </c:pt>
                <c:pt idx="9">
                  <c:v>12.432499999999999</c:v>
                </c:pt>
                <c:pt idx="10">
                  <c:v>12.321999999999999</c:v>
                </c:pt>
                <c:pt idx="11">
                  <c:v>12.2254</c:v>
                </c:pt>
                <c:pt idx="12">
                  <c:v>12.164400000000001</c:v>
                </c:pt>
                <c:pt idx="13">
                  <c:v>12.1881</c:v>
                </c:pt>
                <c:pt idx="14">
                  <c:v>12.254899999999999</c:v>
                </c:pt>
                <c:pt idx="15">
                  <c:v>12.3094</c:v>
                </c:pt>
                <c:pt idx="16">
                  <c:v>12.346399999999999</c:v>
                </c:pt>
                <c:pt idx="17">
                  <c:v>12.3508</c:v>
                </c:pt>
                <c:pt idx="18">
                  <c:v>12.325100000000001</c:v>
                </c:pt>
                <c:pt idx="19">
                  <c:v>12.2866</c:v>
                </c:pt>
                <c:pt idx="20">
                  <c:v>12.2241</c:v>
                </c:pt>
                <c:pt idx="21">
                  <c:v>12.1455</c:v>
                </c:pt>
                <c:pt idx="22">
                  <c:v>12.0558</c:v>
                </c:pt>
                <c:pt idx="23">
                  <c:v>11.968</c:v>
                </c:pt>
                <c:pt idx="24">
                  <c:v>11.8736</c:v>
                </c:pt>
                <c:pt idx="25">
                  <c:v>11.747400000000001</c:v>
                </c:pt>
                <c:pt idx="26">
                  <c:v>11.5967</c:v>
                </c:pt>
                <c:pt idx="27">
                  <c:v>11.453900000000001</c:v>
                </c:pt>
                <c:pt idx="28">
                  <c:v>11.331899999999999</c:v>
                </c:pt>
                <c:pt idx="29">
                  <c:v>11.223800000000001</c:v>
                </c:pt>
                <c:pt idx="30">
                  <c:v>11.1227</c:v>
                </c:pt>
                <c:pt idx="31">
                  <c:v>11.0261</c:v>
                </c:pt>
                <c:pt idx="32">
                  <c:v>10.932600000000001</c:v>
                </c:pt>
                <c:pt idx="33">
                  <c:v>10.840999999999999</c:v>
                </c:pt>
                <c:pt idx="34">
                  <c:v>10.746</c:v>
                </c:pt>
              </c:numCache>
            </c:numRef>
          </c:val>
          <c:smooth val="0"/>
          <c:extLst>
            <c:ext xmlns:c16="http://schemas.microsoft.com/office/drawing/2014/chart" uri="{C3380CC4-5D6E-409C-BE32-E72D297353CC}">
              <c16:uniqueId val="{00000001-42B0-455F-8056-A7D3A30FC482}"/>
            </c:ext>
          </c:extLst>
        </c:ser>
        <c:ser>
          <c:idx val="0"/>
          <c:order val="2"/>
          <c:tx>
            <c:strRef>
              <c:f>'2) Scenario high'!$A$102</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high'!$B$99:$AJ$99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high'!$B$102:$AJ$102</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2-42B0-455F-8056-A7D3A30FC482}"/>
            </c:ext>
          </c:extLst>
        </c:ser>
        <c:ser>
          <c:idx val="2"/>
          <c:order val="3"/>
          <c:tx>
            <c:strRef>
              <c:f>'2) Scenario high'!$A$103</c:f>
              <c:strCache>
                <c:ptCount val="1"/>
                <c:pt idx="0">
                  <c:v>FSP and LETS combined SH</c:v>
                </c:pt>
              </c:strCache>
            </c:strRef>
          </c:tx>
          <c:spPr>
            <a:ln w="12700" cap="rnd">
              <a:solidFill>
                <a:srgbClr val="7030A0"/>
              </a:solidFill>
              <a:prstDash val="lgDashDot"/>
              <a:round/>
            </a:ln>
            <a:effectLst/>
          </c:spPr>
          <c:marker>
            <c:symbol val="none"/>
          </c:marker>
          <c:cat>
            <c:numRef>
              <c:f>'2) Scenario high'!$B$99:$AJ$99</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high'!$B$103:$AJ$103</c:f>
              <c:numCache>
                <c:formatCode>0</c:formatCode>
                <c:ptCount val="35"/>
                <c:pt idx="0">
                  <c:v>12.885899999999999</c:v>
                </c:pt>
                <c:pt idx="1">
                  <c:v>12.906499999999999</c:v>
                </c:pt>
                <c:pt idx="2">
                  <c:v>13.020799999999999</c:v>
                </c:pt>
                <c:pt idx="3">
                  <c:v>13.116199999999999</c:v>
                </c:pt>
                <c:pt idx="4">
                  <c:v>13.1226</c:v>
                </c:pt>
                <c:pt idx="5">
                  <c:v>11.611000000000001</c:v>
                </c:pt>
                <c:pt idx="6">
                  <c:v>11.5101</c:v>
                </c:pt>
                <c:pt idx="7">
                  <c:v>11.3674</c:v>
                </c:pt>
                <c:pt idx="8">
                  <c:v>11.195499999999999</c:v>
                </c:pt>
                <c:pt idx="9">
                  <c:v>11.0031</c:v>
                </c:pt>
                <c:pt idx="10">
                  <c:v>9.4240200000000005</c:v>
                </c:pt>
                <c:pt idx="11">
                  <c:v>9.2415299999999991</c:v>
                </c:pt>
                <c:pt idx="12">
                  <c:v>9.0520700000000005</c:v>
                </c:pt>
                <c:pt idx="13">
                  <c:v>8.8583800000000004</c:v>
                </c:pt>
                <c:pt idx="14">
                  <c:v>8.6625800000000002</c:v>
                </c:pt>
                <c:pt idx="15">
                  <c:v>7.2115299999999998</c:v>
                </c:pt>
                <c:pt idx="16">
                  <c:v>7.0470199999999998</c:v>
                </c:pt>
                <c:pt idx="17">
                  <c:v>6.8833799999999998</c:v>
                </c:pt>
                <c:pt idx="18">
                  <c:v>6.7213200000000004</c:v>
                </c:pt>
                <c:pt idx="19">
                  <c:v>6.5613599999999996</c:v>
                </c:pt>
                <c:pt idx="20">
                  <c:v>5.2733800000000004</c:v>
                </c:pt>
                <c:pt idx="21">
                  <c:v>5.1466500000000002</c:v>
                </c:pt>
                <c:pt idx="22">
                  <c:v>5.0221900000000002</c:v>
                </c:pt>
                <c:pt idx="23">
                  <c:v>4.9001200000000003</c:v>
                </c:pt>
                <c:pt idx="24">
                  <c:v>4.7805499999999999</c:v>
                </c:pt>
                <c:pt idx="25">
                  <c:v>3.6503000000000001</c:v>
                </c:pt>
                <c:pt idx="26">
                  <c:v>3.5609700000000002</c:v>
                </c:pt>
                <c:pt idx="27">
                  <c:v>3.4735999999999998</c:v>
                </c:pt>
                <c:pt idx="28">
                  <c:v>3.3882099999999999</c:v>
                </c:pt>
                <c:pt idx="29">
                  <c:v>3.3047800000000001</c:v>
                </c:pt>
                <c:pt idx="30">
                  <c:v>2.3169499999999998</c:v>
                </c:pt>
                <c:pt idx="31">
                  <c:v>2.2598699999999998</c:v>
                </c:pt>
                <c:pt idx="32">
                  <c:v>2.2041200000000001</c:v>
                </c:pt>
                <c:pt idx="33">
                  <c:v>2.1497099999999998</c:v>
                </c:pt>
                <c:pt idx="34">
                  <c:v>1.35353E-4</c:v>
                </c:pt>
              </c:numCache>
            </c:numRef>
          </c:val>
          <c:smooth val="0"/>
          <c:extLst>
            <c:ext xmlns:c16="http://schemas.microsoft.com/office/drawing/2014/chart" uri="{C3380CC4-5D6E-409C-BE32-E72D297353CC}">
              <c16:uniqueId val="{00000003-42B0-455F-8056-A7D3A30FC482}"/>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Mio tonnes</a:t>
                </a:r>
              </a:p>
            </c:rich>
          </c:tx>
          <c:layout>
            <c:manualLayout>
              <c:xMode val="edge"/>
              <c:yMode val="edge"/>
              <c:x val="3.7464298239032995E-2"/>
              <c:y val="0.2494024307744700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807473074289E-2"/>
          <c:y val="0.87204103139942091"/>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297065139584"/>
          <c:y val="5.0925925925925923E-2"/>
          <c:w val="0.82947591614945893"/>
          <c:h val="0.66228163340047597"/>
        </c:manualLayout>
      </c:layout>
      <c:lineChart>
        <c:grouping val="standard"/>
        <c:varyColors val="0"/>
        <c:ser>
          <c:idx val="3"/>
          <c:order val="0"/>
          <c:tx>
            <c:strRef>
              <c:f>'2) Scenario high'!$A$149</c:f>
              <c:strCache>
                <c:ptCount val="1"/>
                <c:pt idx="0">
                  <c:v>Base-run SH</c:v>
                </c:pt>
              </c:strCache>
            </c:strRef>
          </c:tx>
          <c:spPr>
            <a:ln w="12700" cap="rnd">
              <a:solidFill>
                <a:sysClr val="windowText" lastClr="000000"/>
              </a:solidFill>
              <a:round/>
            </a:ln>
            <a:effectLst/>
          </c:spPr>
          <c:marker>
            <c:symbol val="none"/>
          </c:marker>
          <c:cat>
            <c:numRef>
              <c:f>'2) Scenario high'!$B$148:$AJ$148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high'!$B$149:$AJ$149</c:f>
              <c:numCache>
                <c:formatCode>0</c:formatCode>
                <c:ptCount val="35"/>
                <c:pt idx="0">
                  <c:v>0</c:v>
                </c:pt>
                <c:pt idx="1">
                  <c:v>0</c:v>
                </c:pt>
                <c:pt idx="2">
                  <c:v>8.4513599999999994E-2</c:v>
                </c:pt>
                <c:pt idx="3">
                  <c:v>0</c:v>
                </c:pt>
                <c:pt idx="4">
                  <c:v>0</c:v>
                </c:pt>
                <c:pt idx="5">
                  <c:v>0</c:v>
                </c:pt>
                <c:pt idx="6">
                  <c:v>0</c:v>
                </c:pt>
                <c:pt idx="7">
                  <c:v>1.30714</c:v>
                </c:pt>
                <c:pt idx="8">
                  <c:v>4.3753200000000003</c:v>
                </c:pt>
                <c:pt idx="9">
                  <c:v>4.0305400000000002</c:v>
                </c:pt>
                <c:pt idx="10">
                  <c:v>3.13428</c:v>
                </c:pt>
                <c:pt idx="11">
                  <c:v>6.3281000000000001</c:v>
                </c:pt>
                <c:pt idx="12">
                  <c:v>14.6122</c:v>
                </c:pt>
                <c:pt idx="13">
                  <c:v>8.9918899999999997</c:v>
                </c:pt>
                <c:pt idx="14">
                  <c:v>11.618</c:v>
                </c:pt>
                <c:pt idx="15">
                  <c:v>11.336600000000001</c:v>
                </c:pt>
                <c:pt idx="16">
                  <c:v>7.4306000000000001</c:v>
                </c:pt>
                <c:pt idx="17">
                  <c:v>10.051399999999999</c:v>
                </c:pt>
                <c:pt idx="18">
                  <c:v>5.1399400000000002</c:v>
                </c:pt>
                <c:pt idx="19">
                  <c:v>5.0299800000000001</c:v>
                </c:pt>
                <c:pt idx="20">
                  <c:v>3.0323899999999999</c:v>
                </c:pt>
                <c:pt idx="21">
                  <c:v>2.69916</c:v>
                </c:pt>
                <c:pt idx="22">
                  <c:v>3.9954200000000002</c:v>
                </c:pt>
                <c:pt idx="23">
                  <c:v>0.64839100000000005</c:v>
                </c:pt>
                <c:pt idx="24">
                  <c:v>0</c:v>
                </c:pt>
                <c:pt idx="25">
                  <c:v>4.2646299999999998E-2</c:v>
                </c:pt>
                <c:pt idx="26">
                  <c:v>2.8350499999999998</c:v>
                </c:pt>
                <c:pt idx="27">
                  <c:v>3.9240499999999998</c:v>
                </c:pt>
                <c:pt idx="28">
                  <c:v>4.0657500000000004</c:v>
                </c:pt>
                <c:pt idx="29">
                  <c:v>5.8046100000000003</c:v>
                </c:pt>
                <c:pt idx="30">
                  <c:v>6.3721899999999998</c:v>
                </c:pt>
                <c:pt idx="31">
                  <c:v>6.8537100000000004</c:v>
                </c:pt>
                <c:pt idx="32">
                  <c:v>6.1253799999999998</c:v>
                </c:pt>
                <c:pt idx="33">
                  <c:v>4.9502199999999998</c:v>
                </c:pt>
                <c:pt idx="34">
                  <c:v>4.1357400000000002</c:v>
                </c:pt>
              </c:numCache>
            </c:numRef>
          </c:val>
          <c:smooth val="0"/>
          <c:extLst>
            <c:ext xmlns:c16="http://schemas.microsoft.com/office/drawing/2014/chart" uri="{C3380CC4-5D6E-409C-BE32-E72D297353CC}">
              <c16:uniqueId val="{00000000-4EF1-445E-B6CB-AF40F06D153E}"/>
            </c:ext>
          </c:extLst>
        </c:ser>
        <c:ser>
          <c:idx val="4"/>
          <c:order val="1"/>
          <c:tx>
            <c:strRef>
              <c:f>'2) Scenario high'!$A$150</c:f>
              <c:strCache>
                <c:ptCount val="1"/>
                <c:pt idx="0">
                  <c:v>Finance system’s policy (FSP) SH</c:v>
                </c:pt>
              </c:strCache>
            </c:strRef>
          </c:tx>
          <c:spPr>
            <a:ln w="12700" cap="rnd">
              <a:solidFill>
                <a:srgbClr val="70AD47">
                  <a:lumMod val="75000"/>
                </a:srgbClr>
              </a:solidFill>
              <a:prstDash val="dash"/>
              <a:round/>
            </a:ln>
            <a:effectLst/>
          </c:spPr>
          <c:marker>
            <c:symbol val="none"/>
          </c:marker>
          <c:cat>
            <c:numRef>
              <c:f>'2) Scenario high'!$B$148:$AJ$148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high'!$B$150:$AJ$150</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1-4EF1-445E-B6CB-AF40F06D153E}"/>
            </c:ext>
          </c:extLst>
        </c:ser>
        <c:ser>
          <c:idx val="0"/>
          <c:order val="2"/>
          <c:tx>
            <c:strRef>
              <c:f>'2) Scenario high'!$A$151</c:f>
              <c:strCache>
                <c:ptCount val="1"/>
                <c:pt idx="0">
                  <c:v>Low-carbon energy transition scenario (LETS) SH</c:v>
                </c:pt>
              </c:strCache>
            </c:strRef>
          </c:tx>
          <c:spPr>
            <a:ln w="12700" cap="rnd">
              <a:solidFill>
                <a:srgbClr val="5B9BD5">
                  <a:lumMod val="60000"/>
                  <a:lumOff val="40000"/>
                </a:srgbClr>
              </a:solidFill>
              <a:prstDash val="sysDash"/>
              <a:round/>
            </a:ln>
            <a:effectLst/>
          </c:spPr>
          <c:marker>
            <c:symbol val="none"/>
          </c:marker>
          <c:cat>
            <c:numRef>
              <c:f>'2) Scenario high'!$B$148:$AJ$148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high'!$B$151:$AJ$151</c:f>
              <c:numCache>
                <c:formatCode>0</c:formatCode>
                <c:ptCount val="35"/>
                <c:pt idx="0">
                  <c:v>0</c:v>
                </c:pt>
                <c:pt idx="1">
                  <c:v>0</c:v>
                </c:pt>
                <c:pt idx="2">
                  <c:v>8.4513599999999994E-2</c:v>
                </c:pt>
                <c:pt idx="3">
                  <c:v>0</c:v>
                </c:pt>
                <c:pt idx="4">
                  <c:v>0</c:v>
                </c:pt>
                <c:pt idx="5">
                  <c:v>17.3627</c:v>
                </c:pt>
                <c:pt idx="6">
                  <c:v>18.7102</c:v>
                </c:pt>
                <c:pt idx="7">
                  <c:v>22.541599999999999</c:v>
                </c:pt>
                <c:pt idx="8">
                  <c:v>23.794899999999998</c:v>
                </c:pt>
                <c:pt idx="9">
                  <c:v>22.603000000000002</c:v>
                </c:pt>
                <c:pt idx="10">
                  <c:v>55.146599999999999</c:v>
                </c:pt>
                <c:pt idx="11">
                  <c:v>56.846800000000002</c:v>
                </c:pt>
                <c:pt idx="12">
                  <c:v>64.6631</c:v>
                </c:pt>
                <c:pt idx="13">
                  <c:v>63.093000000000004</c:v>
                </c:pt>
                <c:pt idx="14">
                  <c:v>75.389399999999995</c:v>
                </c:pt>
                <c:pt idx="15">
                  <c:v>115.965</c:v>
                </c:pt>
                <c:pt idx="16">
                  <c:v>128.69200000000001</c:v>
                </c:pt>
                <c:pt idx="17">
                  <c:v>140.738</c:v>
                </c:pt>
                <c:pt idx="18">
                  <c:v>149.428</c:v>
                </c:pt>
                <c:pt idx="19">
                  <c:v>161.55099999999999</c:v>
                </c:pt>
                <c:pt idx="20">
                  <c:v>197.52600000000001</c:v>
                </c:pt>
                <c:pt idx="21">
                  <c:v>205.52</c:v>
                </c:pt>
                <c:pt idx="22">
                  <c:v>211.68799999999999</c:v>
                </c:pt>
                <c:pt idx="23">
                  <c:v>219.22499999999999</c:v>
                </c:pt>
                <c:pt idx="24">
                  <c:v>225.72900000000001</c:v>
                </c:pt>
                <c:pt idx="25">
                  <c:v>255.51499999999999</c:v>
                </c:pt>
                <c:pt idx="26">
                  <c:v>256.63</c:v>
                </c:pt>
                <c:pt idx="27">
                  <c:v>257.69499999999999</c:v>
                </c:pt>
                <c:pt idx="28">
                  <c:v>260.68299999999999</c:v>
                </c:pt>
                <c:pt idx="29">
                  <c:v>265.54399999999998</c:v>
                </c:pt>
                <c:pt idx="30">
                  <c:v>292.13099999999997</c:v>
                </c:pt>
                <c:pt idx="31">
                  <c:v>296.58300000000003</c:v>
                </c:pt>
                <c:pt idx="32">
                  <c:v>300.92099999999999</c:v>
                </c:pt>
                <c:pt idx="33">
                  <c:v>306.024</c:v>
                </c:pt>
                <c:pt idx="34">
                  <c:v>361.25099999999998</c:v>
                </c:pt>
              </c:numCache>
            </c:numRef>
          </c:val>
          <c:smooth val="0"/>
          <c:extLst>
            <c:ext xmlns:c16="http://schemas.microsoft.com/office/drawing/2014/chart" uri="{C3380CC4-5D6E-409C-BE32-E72D297353CC}">
              <c16:uniqueId val="{00000002-4EF1-445E-B6CB-AF40F06D153E}"/>
            </c:ext>
          </c:extLst>
        </c:ser>
        <c:ser>
          <c:idx val="2"/>
          <c:order val="3"/>
          <c:tx>
            <c:strRef>
              <c:f>'2) Scenario high'!$A$152</c:f>
              <c:strCache>
                <c:ptCount val="1"/>
                <c:pt idx="0">
                  <c:v>FSP and LETS combined SH</c:v>
                </c:pt>
              </c:strCache>
            </c:strRef>
          </c:tx>
          <c:spPr>
            <a:ln w="12700" cap="rnd">
              <a:solidFill>
                <a:srgbClr val="7030A0"/>
              </a:solidFill>
              <a:prstDash val="lgDashDot"/>
              <a:round/>
            </a:ln>
            <a:effectLst/>
          </c:spPr>
          <c:marker>
            <c:symbol val="none"/>
          </c:marker>
          <c:cat>
            <c:numRef>
              <c:f>'2) Scenario high'!$B$148:$AJ$148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'2) Scenario high'!$B$152:$AJ$152</c:f>
              <c:numCache>
                <c:formatCode>0</c:formatCode>
                <c:ptCount val="35"/>
                <c:pt idx="0">
                  <c:v>0</c:v>
                </c:pt>
                <c:pt idx="1">
                  <c:v>0</c:v>
                </c:pt>
                <c:pt idx="2">
                  <c:v>8.4513599999999994E-2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numCache>
            </c:numRef>
          </c:val>
          <c:smooth val="0"/>
          <c:extLst>
            <c:ext xmlns:c16="http://schemas.microsoft.com/office/drawing/2014/chart" uri="{C3380CC4-5D6E-409C-BE32-E72D297353CC}">
              <c16:uniqueId val="{00000003-4EF1-445E-B6CB-AF40F06D153E}"/>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CH"/>
                  <a:t>thw/year</a:t>
                </a:r>
              </a:p>
            </c:rich>
          </c:tx>
          <c:layout>
            <c:manualLayout>
              <c:xMode val="edge"/>
              <c:yMode val="edge"/>
              <c:x val="3.2405945379140932E-2"/>
              <c:y val="0.2580223330071906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9.6517846082445985E-2"/>
          <c:y val="0.87204100981252441"/>
          <c:w val="0.86213161976512298"/>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56671-8DF3-BF4E-BB74-4984D23C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14272</Words>
  <Characters>81356</Characters>
  <Application>Microsoft Office Word</Application>
  <DocSecurity>0</DocSecurity>
  <Lines>677</Lines>
  <Paragraphs>190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Anglia Ruskin University</Company>
  <LinksUpToDate>false</LinksUpToDate>
  <CharactersWithSpaces>95438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Hafner, Sarah</dc:creator>
  <cp:keywords/>
  <dc:description/>
  <cp:lastModifiedBy>Blanshard, Lisa</cp:lastModifiedBy>
  <cp:revision>104</cp:revision>
  <dcterms:created xsi:type="dcterms:W3CDTF">2021-08-20T11:31:00Z</dcterms:created>
  <dcterms:modified xsi:type="dcterms:W3CDTF">2021-10-18T10:03:00Z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2021-05-09T14:14:08Z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74f5b211-8367-458a-9044-c55332f55858</vt:lpwstr>
  </property>
  <property fmtid="{D5CDD505-2E9C-101B-9397-08002B2CF9AE}" pid="8" name="MSIP_Label_10d9bad3-6dac-4e9a-89a3-89f3b8d247b2_ContentBits">
    <vt:lpwstr>0</vt:lpwstr>
  </property>
</Properties>
</file>