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935EA" w14:textId="69FC06D2" w:rsidR="00FF4595" w:rsidRPr="00D75843" w:rsidRDefault="00851210" w:rsidP="00D75843">
      <w:pPr>
        <w:pStyle w:val="Title"/>
      </w:pPr>
      <w:r w:rsidRPr="00D75843">
        <w:t>FILIPINO NURSES’ PERSPECTIVE</w:t>
      </w:r>
      <w:r w:rsidR="00040D24" w:rsidRPr="00D75843">
        <w:t>S</w:t>
      </w:r>
      <w:r w:rsidRPr="00D75843">
        <w:t xml:space="preserve"> OF THE CLINICAL AND LANGUAGE COMPETENCY REQUIREMENTS FOR NURSING REGISTRATION IN ENGLAND: A QUALITATIVE EXPLORATION</w:t>
      </w:r>
    </w:p>
    <w:p w14:paraId="285D718B" w14:textId="77777777" w:rsidR="00851210" w:rsidRDefault="00851210" w:rsidP="008A4996">
      <w:pPr>
        <w:spacing w:line="480" w:lineRule="auto"/>
        <w:rPr>
          <w:b/>
          <w:u w:val="single"/>
        </w:rPr>
      </w:pPr>
    </w:p>
    <w:p w14:paraId="5EC600E9" w14:textId="20BDE6A9" w:rsidR="00FF4595" w:rsidRPr="00D75843" w:rsidRDefault="00851210" w:rsidP="00DA0222">
      <w:pPr>
        <w:pStyle w:val="Heading1"/>
      </w:pPr>
      <w:r w:rsidRPr="00D75843">
        <w:t>ABSTRACT</w:t>
      </w:r>
    </w:p>
    <w:p w14:paraId="49EE2AA2" w14:textId="739CDBEB" w:rsidR="00F7170A" w:rsidRDefault="00F7170A" w:rsidP="008A4996">
      <w:pPr>
        <w:spacing w:line="480" w:lineRule="auto"/>
      </w:pPr>
      <w:r w:rsidRPr="005C6B66">
        <w:rPr>
          <w:b/>
        </w:rPr>
        <w:t>Aim</w:t>
      </w:r>
      <w:r>
        <w:t>: To understand Filipino nurses’ experiences of the ‘Test of Competence’ process, alongside the additional compe</w:t>
      </w:r>
      <w:r w:rsidR="00610416">
        <w:t xml:space="preserve">tency requirements of their </w:t>
      </w:r>
      <w:r>
        <w:t xml:space="preserve">sponsor Trust.  </w:t>
      </w:r>
    </w:p>
    <w:p w14:paraId="5DD29A9C" w14:textId="19B80A26" w:rsidR="00A33AE0" w:rsidRDefault="00A33AE0" w:rsidP="008A4996">
      <w:pPr>
        <w:spacing w:line="480" w:lineRule="auto"/>
      </w:pPr>
      <w:r w:rsidRPr="005C6B66">
        <w:rPr>
          <w:b/>
        </w:rPr>
        <w:t>Background:</w:t>
      </w:r>
      <w:r>
        <w:t xml:space="preserve"> </w:t>
      </w:r>
      <w:r w:rsidR="00E5422D" w:rsidRPr="00E5422D">
        <w:t xml:space="preserve">The Philippines has been a significant and sustained source of foreign trained nurses to the UK </w:t>
      </w:r>
      <w:r w:rsidR="00E5422D">
        <w:t xml:space="preserve">over the past twenty years.  </w:t>
      </w:r>
      <w:r w:rsidRPr="00A33AE0">
        <w:t>Since October 2014, the Nurs</w:t>
      </w:r>
      <w:r w:rsidR="00B52AE2">
        <w:t xml:space="preserve">ing and Midwifery Council </w:t>
      </w:r>
      <w:r w:rsidRPr="00A33AE0">
        <w:t xml:space="preserve">has required </w:t>
      </w:r>
      <w:r w:rsidR="00B2731A" w:rsidRPr="007E5435">
        <w:t>that</w:t>
      </w:r>
      <w:r w:rsidR="00B2731A">
        <w:t xml:space="preserve"> </w:t>
      </w:r>
      <w:r w:rsidR="00A860D8">
        <w:t xml:space="preserve">all </w:t>
      </w:r>
      <w:r w:rsidRPr="00A33AE0">
        <w:t>non-</w:t>
      </w:r>
      <w:r>
        <w:t>UK nurses</w:t>
      </w:r>
      <w:r w:rsidR="00322715">
        <w:t xml:space="preserve"> </w:t>
      </w:r>
      <w:r>
        <w:t>pass a ‘Test of Competence’ prior to acquiring</w:t>
      </w:r>
      <w:r w:rsidR="00322715">
        <w:t xml:space="preserve"> registration. However,</w:t>
      </w:r>
      <w:r w:rsidR="00B52AE2">
        <w:t xml:space="preserve"> there is limited evidence exploring how</w:t>
      </w:r>
      <w:r w:rsidR="000B27E8">
        <w:t xml:space="preserve"> </w:t>
      </w:r>
      <w:r w:rsidR="006A5A2D">
        <w:t xml:space="preserve">overseas </w:t>
      </w:r>
      <w:r w:rsidR="000B27E8">
        <w:t>nurses experience this process, and the tests</w:t>
      </w:r>
      <w:r w:rsidR="00B52AE2">
        <w:t xml:space="preserve"> which</w:t>
      </w:r>
      <w:r w:rsidR="006A5A2D">
        <w:t xml:space="preserve"> comprise</w:t>
      </w:r>
      <w:r w:rsidR="00B52AE2">
        <w:t xml:space="preserve"> it.   </w:t>
      </w:r>
    </w:p>
    <w:p w14:paraId="3D91C040" w14:textId="42166868" w:rsidR="00B52AE2" w:rsidRDefault="00E5422D" w:rsidP="008A4996">
      <w:pPr>
        <w:spacing w:line="480" w:lineRule="auto"/>
      </w:pPr>
      <w:r w:rsidRPr="005C6B66">
        <w:rPr>
          <w:b/>
        </w:rPr>
        <w:t>Design</w:t>
      </w:r>
      <w:r>
        <w:t xml:space="preserve">: A qualitative study </w:t>
      </w:r>
      <w:r w:rsidR="00EB29D9">
        <w:t>inf</w:t>
      </w:r>
      <w:r w:rsidR="00193348">
        <w:t>ormed by pragmatism, using</w:t>
      </w:r>
      <w:r w:rsidR="00B52AE2">
        <w:t xml:space="preserve"> focus group discussions.  </w:t>
      </w:r>
    </w:p>
    <w:p w14:paraId="53E18E21" w14:textId="0C48709D" w:rsidR="00F7170A" w:rsidRDefault="00F7170A" w:rsidP="008A4996">
      <w:pPr>
        <w:spacing w:line="480" w:lineRule="auto"/>
      </w:pPr>
      <w:r w:rsidRPr="005C6B66">
        <w:rPr>
          <w:b/>
        </w:rPr>
        <w:t xml:space="preserve">Methods: </w:t>
      </w:r>
      <w:r w:rsidR="005C6B66">
        <w:t>F</w:t>
      </w:r>
      <w:r>
        <w:t>ocus groups</w:t>
      </w:r>
      <w:r w:rsidR="005C6B66">
        <w:t xml:space="preserve"> were held</w:t>
      </w:r>
      <w:r>
        <w:t xml:space="preserve"> with</w:t>
      </w:r>
      <w:r w:rsidR="00B2731A">
        <w:t xml:space="preserve"> pre-departure nurses in Manila,</w:t>
      </w:r>
      <w:r>
        <w:t xml:space="preserve"> </w:t>
      </w:r>
      <w:r w:rsidR="00B2731A">
        <w:t xml:space="preserve">the </w:t>
      </w:r>
      <w:r>
        <w:t xml:space="preserve">Philippines and </w:t>
      </w:r>
      <w:r w:rsidR="00B2731A">
        <w:t xml:space="preserve">with </w:t>
      </w:r>
      <w:r>
        <w:t xml:space="preserve">post-arrival Filipino nurses in the </w:t>
      </w:r>
      <w:proofErr w:type="gramStart"/>
      <w:r>
        <w:t>South East</w:t>
      </w:r>
      <w:proofErr w:type="gramEnd"/>
      <w:r>
        <w:t xml:space="preserve"> of England. </w:t>
      </w:r>
      <w:r w:rsidR="005C6B66">
        <w:t>A total of 21 male and female Filipino nurses participated.  Qualitative d</w:t>
      </w:r>
      <w:r>
        <w:t xml:space="preserve">ata were </w:t>
      </w:r>
      <w:r w:rsidR="005C6B66">
        <w:t>a</w:t>
      </w:r>
      <w:r>
        <w:t>nalysed using Reflexive Thematic A</w:t>
      </w:r>
      <w:r w:rsidR="005C6B66">
        <w:t xml:space="preserve">nalysis. </w:t>
      </w:r>
    </w:p>
    <w:p w14:paraId="25605B6D" w14:textId="58A2A8ED" w:rsidR="00FF4595" w:rsidRDefault="00EB29D9" w:rsidP="008A4996">
      <w:pPr>
        <w:spacing w:line="480" w:lineRule="auto"/>
      </w:pPr>
      <w:r w:rsidRPr="005C6B66">
        <w:rPr>
          <w:b/>
        </w:rPr>
        <w:t xml:space="preserve">Results: </w:t>
      </w:r>
      <w:r>
        <w:t>Three themes were generated in relation to the competency process</w:t>
      </w:r>
      <w:r w:rsidR="007243B9">
        <w:t>.  Firstly, inappropriate p</w:t>
      </w:r>
      <w:r w:rsidR="00B2731A">
        <w:t>reparation, Second, a competency/practice disparity and finally intergenerational and intra-professional s</w:t>
      </w:r>
      <w:r>
        <w:t xml:space="preserve">upport.  </w:t>
      </w:r>
    </w:p>
    <w:p w14:paraId="2DBA88E1" w14:textId="3B16A5F9" w:rsidR="00851210" w:rsidRDefault="00EB29D9" w:rsidP="008A4996">
      <w:pPr>
        <w:spacing w:line="480" w:lineRule="auto"/>
      </w:pPr>
      <w:r w:rsidRPr="005C6B66">
        <w:rPr>
          <w:b/>
        </w:rPr>
        <w:t>Conclusion:</w:t>
      </w:r>
      <w:r>
        <w:t xml:space="preserve">  Some aspects of </w:t>
      </w:r>
      <w:r w:rsidR="006A5A2D">
        <w:t xml:space="preserve">the </w:t>
      </w:r>
      <w:r w:rsidR="00C67C58">
        <w:t>‘</w:t>
      </w:r>
      <w:r w:rsidR="006A5A2D">
        <w:t>Test of Competence</w:t>
      </w:r>
      <w:r w:rsidR="00C67C58">
        <w:t>’</w:t>
      </w:r>
      <w:r w:rsidR="006A5A2D">
        <w:t xml:space="preserve"> process </w:t>
      </w:r>
      <w:r>
        <w:t>were seen as unnecessarily difficult, contradictory, repetitious and/or of little relevance to practic</w:t>
      </w:r>
      <w:r w:rsidR="00B2731A">
        <w:t>e.  L</w:t>
      </w:r>
      <w:r>
        <w:t>ack of support and</w:t>
      </w:r>
      <w:r w:rsidR="00B2731A">
        <w:t xml:space="preserve"> insufficient information relating to </w:t>
      </w:r>
      <w:proofErr w:type="gramStart"/>
      <w:r w:rsidR="00B2731A">
        <w:t xml:space="preserve">how </w:t>
      </w:r>
      <w:r>
        <w:t xml:space="preserve">best prepare </w:t>
      </w:r>
      <w:r w:rsidR="00B2731A">
        <w:t>for the tests</w:t>
      </w:r>
      <w:proofErr w:type="gramEnd"/>
      <w:r w:rsidR="00B2731A">
        <w:t xml:space="preserve"> were</w:t>
      </w:r>
      <w:r>
        <w:t xml:space="preserve"> mitigated to some extent by individual </w:t>
      </w:r>
      <w:r w:rsidR="006A5A2D">
        <w:t xml:space="preserve">learning and informal support mechanisms. </w:t>
      </w:r>
      <w:r w:rsidR="00E5422D">
        <w:t>An evaluation of the impact that</w:t>
      </w:r>
      <w:r w:rsidR="00EA7644">
        <w:t xml:space="preserve"> repeated changes to the</w:t>
      </w:r>
      <w:r w:rsidR="00C67C58" w:rsidRPr="00C67C58">
        <w:t xml:space="preserve"> Test of Competence process</w:t>
      </w:r>
      <w:r w:rsidR="00E5422D">
        <w:t xml:space="preserve"> may have</w:t>
      </w:r>
      <w:r w:rsidR="00C67C58" w:rsidRPr="00C67C58">
        <w:t xml:space="preserve"> on the qu</w:t>
      </w:r>
      <w:r w:rsidR="00C67C58">
        <w:t xml:space="preserve">ality of </w:t>
      </w:r>
      <w:r w:rsidR="00E5422D">
        <w:t xml:space="preserve">support offered by NHS </w:t>
      </w:r>
      <w:r w:rsidR="00C67C58">
        <w:t>Trust</w:t>
      </w:r>
      <w:r w:rsidR="00E5422D">
        <w:t xml:space="preserve">s </w:t>
      </w:r>
      <w:r w:rsidR="00C67C58">
        <w:t>to oversea</w:t>
      </w:r>
      <w:r w:rsidR="00C67C58" w:rsidRPr="00C67C58">
        <w:t xml:space="preserve">s </w:t>
      </w:r>
      <w:r w:rsidR="00C67C58">
        <w:t xml:space="preserve">nurses </w:t>
      </w:r>
      <w:r w:rsidR="00E5422D">
        <w:t xml:space="preserve">is </w:t>
      </w:r>
      <w:r w:rsidR="00C67C58" w:rsidRPr="00C67C58">
        <w:t>recommended.</w:t>
      </w:r>
    </w:p>
    <w:p w14:paraId="15AB9A43" w14:textId="53F30959" w:rsidR="00E81860" w:rsidRPr="00851210" w:rsidRDefault="00E81860" w:rsidP="00DA0222">
      <w:pPr>
        <w:pStyle w:val="Heading1"/>
      </w:pPr>
      <w:r w:rsidRPr="00851210">
        <w:lastRenderedPageBreak/>
        <w:t>KEYWORDS</w:t>
      </w:r>
    </w:p>
    <w:p w14:paraId="68C9DF29" w14:textId="77837539" w:rsidR="00E81860" w:rsidRDefault="00441AD4" w:rsidP="008A4996">
      <w:pPr>
        <w:spacing w:line="480" w:lineRule="auto"/>
      </w:pPr>
      <w:r>
        <w:t xml:space="preserve">Competencies; </w:t>
      </w:r>
      <w:r w:rsidRPr="00441AD4">
        <w:t>Educational Measurement [I02.399]</w:t>
      </w:r>
      <w:r>
        <w:t xml:space="preserve">; </w:t>
      </w:r>
      <w:r w:rsidR="00804BE8" w:rsidRPr="00441AD4">
        <w:t>Emigration and Immigration [N01.224.625.525.500]</w:t>
      </w:r>
      <w:r w:rsidR="00804BE8">
        <w:t xml:space="preserve">; </w:t>
      </w:r>
      <w:r>
        <w:t>IETLS</w:t>
      </w:r>
      <w:r w:rsidR="005B3FCD">
        <w:t>;</w:t>
      </w:r>
      <w:r>
        <w:t xml:space="preserve"> </w:t>
      </w:r>
      <w:r w:rsidR="005B3FCD">
        <w:t>Nursing and Midwifery Council;</w:t>
      </w:r>
      <w:r w:rsidR="005B3FCD" w:rsidRPr="00441AD4">
        <w:t xml:space="preserve"> Nurses, International [M01.526.485.650.662]</w:t>
      </w:r>
      <w:r w:rsidR="005B3FCD">
        <w:t>; Nurse migration;</w:t>
      </w:r>
      <w:r w:rsidR="00851210">
        <w:t xml:space="preserve"> </w:t>
      </w:r>
      <w:r>
        <w:t>OSCE</w:t>
      </w:r>
      <w:r w:rsidR="005B3FCD">
        <w:t>;</w:t>
      </w:r>
      <w:r>
        <w:t xml:space="preserve"> </w:t>
      </w:r>
      <w:r w:rsidR="00851210">
        <w:t>Philippines</w:t>
      </w:r>
      <w:r w:rsidR="005B3FCD">
        <w:t>;</w:t>
      </w:r>
      <w:r w:rsidR="00851210">
        <w:t xml:space="preserve"> </w:t>
      </w:r>
      <w:r w:rsidRPr="00441AD4">
        <w:t xml:space="preserve">Professional Competence [I02.399.630]  </w:t>
      </w:r>
    </w:p>
    <w:p w14:paraId="4FB08433" w14:textId="41043740" w:rsidR="00FF4595" w:rsidRDefault="00FF4595" w:rsidP="008A4996">
      <w:pPr>
        <w:spacing w:line="480" w:lineRule="auto"/>
      </w:pPr>
    </w:p>
    <w:p w14:paraId="1F01A0F8" w14:textId="58E1ACDA" w:rsidR="00FF4595" w:rsidRDefault="009131C8" w:rsidP="00DA0222">
      <w:pPr>
        <w:pStyle w:val="Heading1"/>
      </w:pPr>
      <w:r>
        <w:t xml:space="preserve">INTRODUCTION </w:t>
      </w:r>
    </w:p>
    <w:p w14:paraId="504926A1" w14:textId="13A96130" w:rsidR="00FF4595" w:rsidRDefault="00F02BE9" w:rsidP="008A4996">
      <w:pPr>
        <w:spacing w:line="480" w:lineRule="auto"/>
      </w:pPr>
      <w:r w:rsidRPr="00F02BE9">
        <w:t xml:space="preserve">The Philippines has been a significant and sustained source of </w:t>
      </w:r>
      <w:r w:rsidR="00F018E3">
        <w:t>overseas</w:t>
      </w:r>
      <w:r w:rsidRPr="00F02BE9">
        <w:t xml:space="preserve"> trained nurses since the late 1990s and early 2000s when the first major intake</w:t>
      </w:r>
      <w:r w:rsidR="003109F0">
        <w:t>s</w:t>
      </w:r>
      <w:r w:rsidRPr="00F02BE9">
        <w:t xml:space="preserve"> of nurses from the Philippines to the UK began</w:t>
      </w:r>
      <w:r w:rsidR="000F68F2">
        <w:t xml:space="preserve"> (</w:t>
      </w:r>
      <w:proofErr w:type="spellStart"/>
      <w:r w:rsidR="000F68F2">
        <w:t>Gillin</w:t>
      </w:r>
      <w:proofErr w:type="spellEnd"/>
      <w:r w:rsidR="000F68F2">
        <w:t xml:space="preserve"> and Smith 2020)</w:t>
      </w:r>
      <w:r w:rsidRPr="00F02BE9">
        <w:t>.</w:t>
      </w:r>
      <w:r>
        <w:t xml:space="preserve"> </w:t>
      </w:r>
      <w:r w:rsidR="00D7205C">
        <w:t>However, t</w:t>
      </w:r>
      <w:r w:rsidR="00EB29D9">
        <w:t>he standards and requirements that overseas nurses need to achieve before obtaining registration with the</w:t>
      </w:r>
      <w:r w:rsidR="000F68F2">
        <w:t xml:space="preserve"> UK’s</w:t>
      </w:r>
      <w:r w:rsidR="00EA7644">
        <w:t xml:space="preserve"> </w:t>
      </w:r>
      <w:r w:rsidR="00EA7644" w:rsidRPr="00EA7644">
        <w:t xml:space="preserve">Nursing and Midwifery Council </w:t>
      </w:r>
      <w:r w:rsidR="00EA7644">
        <w:t>(</w:t>
      </w:r>
      <w:r w:rsidR="00EB29D9">
        <w:t>NMC</w:t>
      </w:r>
      <w:r w:rsidR="00EA7644">
        <w:t>)</w:t>
      </w:r>
      <w:r w:rsidR="00EB29D9">
        <w:t xml:space="preserve"> in the UK are markedly different, and arguably more extensive for current overseas nurses than they were 20 years ago.  Since October 2014, the </w:t>
      </w:r>
      <w:r w:rsidR="00EA7644">
        <w:t xml:space="preserve">NMC </w:t>
      </w:r>
      <w:r w:rsidR="00EB29D9">
        <w:t>has required non-European Economic Area (EEA) nurses to not only provide evidence of their Engl</w:t>
      </w:r>
      <w:r w:rsidR="000F68F2">
        <w:t xml:space="preserve">ish Language proficiency, but to pass </w:t>
      </w:r>
      <w:r w:rsidR="00193348">
        <w:t>the NMC’s ‘</w:t>
      </w:r>
      <w:r w:rsidR="00EB29D9">
        <w:t xml:space="preserve">Test of Competence’, </w:t>
      </w:r>
      <w:r w:rsidR="000F68F2">
        <w:t xml:space="preserve">which is </w:t>
      </w:r>
      <w:r w:rsidR="00EB29D9">
        <w:t>administered in two parts. Part 1 involves a computer-based test (CBT) and can be completed and passed in the nurses’ home country, alongside an English language test, prior to arriving in the UK.   Part 2 involves passing an Objective Structured Clinical Examination (OSCE) with one of three UK University providers, which can only be completed in the UK once a contract of employment in the UK has begun.  Currently, candidates are allowed a maximum of three attempts at each part of the test, although this wa</w:t>
      </w:r>
      <w:r w:rsidR="000F68F2">
        <w:t xml:space="preserve">s not always the case. When the </w:t>
      </w:r>
      <w:r w:rsidR="00EB29D9">
        <w:t xml:space="preserve">OSCEs were first introduced, </w:t>
      </w:r>
      <w:r w:rsidR="000F68F2">
        <w:t xml:space="preserve">only </w:t>
      </w:r>
      <w:r w:rsidR="00EB29D9">
        <w:t xml:space="preserve">two attempts were </w:t>
      </w:r>
      <w:proofErr w:type="gramStart"/>
      <w:r w:rsidR="00EB29D9">
        <w:t>per</w:t>
      </w:r>
      <w:r w:rsidR="000F68F2">
        <w:t>mitted</w:t>
      </w:r>
      <w:proofErr w:type="gramEnd"/>
      <w:r w:rsidR="000F68F2">
        <w:t xml:space="preserve"> and pass rates were low with</w:t>
      </w:r>
      <w:r w:rsidR="00EB29D9">
        <w:t xml:space="preserve"> </w:t>
      </w:r>
      <w:r w:rsidR="000F68F2">
        <w:t>only 56% of candida</w:t>
      </w:r>
      <w:r w:rsidR="00ED1DFF">
        <w:t>tes passing</w:t>
      </w:r>
      <w:r w:rsidR="000F68F2">
        <w:t xml:space="preserve"> the OSCE </w:t>
      </w:r>
      <w:r w:rsidR="00ED1DFF">
        <w:t>b</w:t>
      </w:r>
      <w:r w:rsidR="00EB29D9">
        <w:t>etwe</w:t>
      </w:r>
      <w:r w:rsidR="00ED1DFF">
        <w:t xml:space="preserve">en April 2015 and January 2017 </w:t>
      </w:r>
      <w:r w:rsidR="00EB29D9">
        <w:t>(Unison</w:t>
      </w:r>
      <w:r w:rsidR="0088788A">
        <w:t>,</w:t>
      </w:r>
      <w:r w:rsidR="00EB29D9">
        <w:t xml:space="preserve"> 2018).  April 2017 saw the OSCE competency r</w:t>
      </w:r>
      <w:r w:rsidR="00ED1DFF">
        <w:t>ules changed to allow candidate</w:t>
      </w:r>
      <w:r w:rsidR="00EB29D9">
        <w:t xml:space="preserve">s a third attempt, </w:t>
      </w:r>
      <w:r w:rsidR="00D7205C">
        <w:t xml:space="preserve">following </w:t>
      </w:r>
      <w:r w:rsidR="00EB29D9">
        <w:t>concerns over poor pass rates</w:t>
      </w:r>
      <w:r w:rsidR="002D796A">
        <w:t xml:space="preserve"> (Unison 2017, 2018)</w:t>
      </w:r>
      <w:r w:rsidR="00EB29D9">
        <w:t xml:space="preserve">. </w:t>
      </w:r>
      <w:r w:rsidR="00ED1DFF">
        <w:t>Since then,</w:t>
      </w:r>
      <w:r w:rsidR="00EB29D9">
        <w:t xml:space="preserve"> OSCE pass rates have continued to improve, although there have been discrepancies in pass rates between each of th</w:t>
      </w:r>
      <w:r w:rsidR="001E2D5A">
        <w:t>e three UK University providers</w:t>
      </w:r>
      <w:r w:rsidR="00EB29D9">
        <w:t xml:space="preserve"> which have narrowed over time.  OSCE pass rates across all three OSCE centres can be found in Table 1.</w:t>
      </w:r>
    </w:p>
    <w:p w14:paraId="0A648CFC" w14:textId="77777777" w:rsidR="00F018E3" w:rsidRPr="006861DD" w:rsidRDefault="00F018E3" w:rsidP="008A4996">
      <w:pPr>
        <w:spacing w:line="480" w:lineRule="auto"/>
        <w:jc w:val="center"/>
        <w:rPr>
          <w:b/>
        </w:rPr>
      </w:pPr>
      <w:r>
        <w:rPr>
          <w:b/>
        </w:rPr>
        <w:lastRenderedPageBreak/>
        <w:t>[</w:t>
      </w:r>
      <w:r w:rsidRPr="00471641">
        <w:rPr>
          <w:b/>
        </w:rPr>
        <w:t>INSERT TABLE 1 HERE</w:t>
      </w:r>
      <w:r>
        <w:rPr>
          <w:b/>
        </w:rPr>
        <w:t>]</w:t>
      </w:r>
    </w:p>
    <w:p w14:paraId="215BDAB0" w14:textId="4923F975" w:rsidR="00FF4595" w:rsidRDefault="00EB29D9" w:rsidP="008A4996">
      <w:pPr>
        <w:spacing w:line="480" w:lineRule="auto"/>
      </w:pPr>
      <w:r>
        <w:t>The consequences of failing the OSCEs</w:t>
      </w:r>
      <w:r w:rsidR="00D7205C">
        <w:t xml:space="preserve"> for overseas nurses</w:t>
      </w:r>
      <w:r>
        <w:t xml:space="preserve"> can be severe. </w:t>
      </w:r>
      <w:r w:rsidR="00CE35A3">
        <w:t>Failing to obtain</w:t>
      </w:r>
      <w:r>
        <w:t xml:space="preserve"> </w:t>
      </w:r>
      <w:r w:rsidR="00CE35A3">
        <w:t xml:space="preserve">an OSCE pass, and hence join </w:t>
      </w:r>
      <w:r>
        <w:t>the NMC register within the maximum allotted time of eight months after ent</w:t>
      </w:r>
      <w:r w:rsidR="006C52E4">
        <w:t>ering the UK (NHS Employers</w:t>
      </w:r>
      <w:r w:rsidR="004222AC">
        <w:t>,</w:t>
      </w:r>
      <w:r w:rsidR="006C52E4">
        <w:t xml:space="preserve"> 2020</w:t>
      </w:r>
      <w:r>
        <w:t>) can lead to a cascade of events, including a cancelled NMC application</w:t>
      </w:r>
      <w:r w:rsidR="00CE35A3">
        <w:t>,</w:t>
      </w:r>
      <w:r>
        <w:t xml:space="preserve"> </w:t>
      </w:r>
      <w:r w:rsidR="00A33AE0">
        <w:t>a</w:t>
      </w:r>
      <w:r w:rsidR="00D7205C">
        <w:t xml:space="preserve"> subsequent termination</w:t>
      </w:r>
      <w:r>
        <w:t xml:space="preserve"> of </w:t>
      </w:r>
      <w:r w:rsidR="00D7205C">
        <w:t>sponsorship</w:t>
      </w:r>
      <w:r>
        <w:t xml:space="preserve"> of employment</w:t>
      </w:r>
      <w:r w:rsidR="00A33AE0">
        <w:t xml:space="preserve"> </w:t>
      </w:r>
      <w:r w:rsidR="002D796A">
        <w:t>(</w:t>
      </w:r>
      <w:r w:rsidR="002D796A" w:rsidRPr="002D796A">
        <w:t>Unison 2017</w:t>
      </w:r>
      <w:r w:rsidR="002D796A">
        <w:t xml:space="preserve">, </w:t>
      </w:r>
      <w:r w:rsidR="002D796A" w:rsidRPr="002D796A">
        <w:t>2018</w:t>
      </w:r>
      <w:r w:rsidR="002D796A">
        <w:t xml:space="preserve">) </w:t>
      </w:r>
      <w:r w:rsidR="00CE35A3">
        <w:t>and the curtailment of their Tier 2 visa</w:t>
      </w:r>
      <w:r w:rsidR="00A045A5">
        <w:t xml:space="preserve"> and hence right to remain in the UK</w:t>
      </w:r>
      <w:r w:rsidR="00CE35A3">
        <w:t xml:space="preserve"> </w:t>
      </w:r>
      <w:r>
        <w:t>(UKV&amp;I</w:t>
      </w:r>
      <w:r w:rsidR="004222AC">
        <w:t>,</w:t>
      </w:r>
      <w:r w:rsidR="00CE35A3">
        <w:t xml:space="preserve"> 2020).</w:t>
      </w:r>
      <w:r w:rsidR="002D796A">
        <w:t xml:space="preserve"> </w:t>
      </w:r>
      <w:r w:rsidR="00CE35A3">
        <w:t xml:space="preserve"> </w:t>
      </w:r>
      <w:r w:rsidR="002D796A">
        <w:t xml:space="preserve">As a reapplication to the NMC is </w:t>
      </w:r>
      <w:r w:rsidR="00582E7E">
        <w:t xml:space="preserve">not </w:t>
      </w:r>
      <w:r w:rsidR="00193348">
        <w:t>allowed</w:t>
      </w:r>
      <w:r w:rsidR="002D796A">
        <w:t xml:space="preserve"> for six months following a failed application, returning</w:t>
      </w:r>
      <w:r>
        <w:t xml:space="preserve"> to </w:t>
      </w:r>
      <w:r w:rsidR="002D796A">
        <w:t xml:space="preserve">the Philippines is </w:t>
      </w:r>
      <w:r>
        <w:t xml:space="preserve">a likely outcome for those who do not obtain an OSCE pass within the allotted time frame. </w:t>
      </w:r>
    </w:p>
    <w:p w14:paraId="532B3DCC" w14:textId="789FB6BE" w:rsidR="003109F0" w:rsidRDefault="00EC1343" w:rsidP="008A4996">
      <w:pPr>
        <w:spacing w:line="480" w:lineRule="auto"/>
      </w:pPr>
      <w:r>
        <w:t>In addition to the Test of Competence, overseas nurses are required to provide evidence of English language ability</w:t>
      </w:r>
      <w:r w:rsidR="00C279D6">
        <w:t xml:space="preserve">, </w:t>
      </w:r>
      <w:r w:rsidR="00D250C6">
        <w:t xml:space="preserve">either </w:t>
      </w:r>
      <w:r w:rsidR="00C279D6">
        <w:t>through passing the</w:t>
      </w:r>
      <w:r w:rsidR="00D250C6">
        <w:t xml:space="preserve"> </w:t>
      </w:r>
      <w:r w:rsidR="00D250C6" w:rsidRPr="0052790E">
        <w:t>International English Language Testing System</w:t>
      </w:r>
      <w:r w:rsidR="00D250C6">
        <w:t xml:space="preserve"> (IELTS)</w:t>
      </w:r>
      <w:r w:rsidR="00C279D6">
        <w:t xml:space="preserve"> exam</w:t>
      </w:r>
      <w:r w:rsidR="00D250C6">
        <w:t xml:space="preserve">, or the more recently accepted </w:t>
      </w:r>
      <w:r w:rsidR="00D250C6" w:rsidRPr="00FB7B1E">
        <w:t>Occupational English Test</w:t>
      </w:r>
      <w:r w:rsidR="00D250C6">
        <w:t xml:space="preserve"> (OET).   Controversy</w:t>
      </w:r>
      <w:r>
        <w:t xml:space="preserve"> exists surrounding </w:t>
      </w:r>
      <w:r w:rsidR="00EB29D9" w:rsidRPr="00EC1343">
        <w:t>the difficulty of these tests</w:t>
      </w:r>
      <w:r w:rsidR="004B216A">
        <w:t xml:space="preserve"> </w:t>
      </w:r>
      <w:r w:rsidR="00F34A18">
        <w:t>and the additional barriers these</w:t>
      </w:r>
      <w:r w:rsidR="00EB29D9" w:rsidRPr="00EC1343">
        <w:t xml:space="preserve"> may create for overseas nurses (Allan and Westwood</w:t>
      </w:r>
      <w:r w:rsidR="004222AC" w:rsidRPr="00EC1343">
        <w:t>,</w:t>
      </w:r>
      <w:r w:rsidR="00EB29D9" w:rsidRPr="00EC1343">
        <w:t xml:space="preserve"> 2015).</w:t>
      </w:r>
      <w:r w:rsidR="00D250C6" w:rsidRPr="00D250C6">
        <w:t xml:space="preserve">  </w:t>
      </w:r>
      <w:r w:rsidR="00F018E3">
        <w:t>O</w:t>
      </w:r>
      <w:r w:rsidR="00EB29D9">
        <w:t>ne of the major int</w:t>
      </w:r>
      <w:r w:rsidR="00F018E3">
        <w:t>e</w:t>
      </w:r>
      <w:r w:rsidR="00582E7E">
        <w:t>rnational recruitment agencies HCL</w:t>
      </w:r>
      <w:r w:rsidR="00EB29D9">
        <w:t xml:space="preserve"> found that 63% of overseas nurses </w:t>
      </w:r>
      <w:r w:rsidR="00193348">
        <w:t>passed</w:t>
      </w:r>
      <w:r w:rsidR="00EB29D9">
        <w:t xml:space="preserve"> </w:t>
      </w:r>
      <w:r w:rsidR="00582E7E">
        <w:t>the</w:t>
      </w:r>
      <w:r w:rsidR="00582E7E" w:rsidRPr="0052790E">
        <w:t xml:space="preserve"> </w:t>
      </w:r>
      <w:r w:rsidR="00582E7E">
        <w:t>IELTS exam after two or more attempts,</w:t>
      </w:r>
      <w:r w:rsidR="00EB29D9">
        <w:t xml:space="preserve"> delaying the speed with </w:t>
      </w:r>
      <w:r w:rsidR="00AE6857">
        <w:t>which nurses could take up</w:t>
      </w:r>
      <w:r w:rsidR="00F018E3">
        <w:t xml:space="preserve"> offers of employment (HCL, </w:t>
      </w:r>
      <w:r w:rsidR="00EB29D9">
        <w:t>2017).  Th</w:t>
      </w:r>
      <w:r w:rsidR="0052790E">
        <w:t>e NMC’s decision to choose the A</w:t>
      </w:r>
      <w:r w:rsidR="00EB29D9">
        <w:t xml:space="preserve">cademic </w:t>
      </w:r>
      <w:r w:rsidR="0052790E">
        <w:t>IELTS</w:t>
      </w:r>
      <w:r w:rsidR="00EB29D9">
        <w:t xml:space="preserve"> </w:t>
      </w:r>
      <w:r w:rsidR="00AE6857">
        <w:t xml:space="preserve">as its preferred test </w:t>
      </w:r>
      <w:r w:rsidR="00EB29D9">
        <w:t xml:space="preserve">over the general training </w:t>
      </w:r>
      <w:r w:rsidR="0052790E">
        <w:t>IELTS</w:t>
      </w:r>
      <w:r w:rsidR="00EB29D9">
        <w:t xml:space="preserve"> </w:t>
      </w:r>
      <w:r w:rsidR="00AE6857">
        <w:t>has</w:t>
      </w:r>
      <w:r w:rsidR="00F018E3">
        <w:t xml:space="preserve"> also</w:t>
      </w:r>
      <w:r w:rsidR="00EB29D9">
        <w:t xml:space="preserve"> been questioned (Moore</w:t>
      </w:r>
      <w:r w:rsidR="0054388D">
        <w:t>,</w:t>
      </w:r>
      <w:r w:rsidR="00EB29D9">
        <w:t xml:space="preserve"> 2015), with a ‘weak’ rationale given by </w:t>
      </w:r>
      <w:r w:rsidR="00D33745">
        <w:t>the NMC for why this ‘extremely</w:t>
      </w:r>
      <w:r w:rsidR="00EB29D9">
        <w:t xml:space="preserve"> tough’ s</w:t>
      </w:r>
      <w:r w:rsidR="00D33745">
        <w:t>tandard was preferred (HCL</w:t>
      </w:r>
      <w:r w:rsidR="0054388D">
        <w:t>, 2017 p.</w:t>
      </w:r>
      <w:r w:rsidR="00D33745">
        <w:t>4</w:t>
      </w:r>
      <w:r w:rsidR="00EB29D9">
        <w:t xml:space="preserve">).  Although the OET was introduced in 2017 as an alternative option to the </w:t>
      </w:r>
      <w:r w:rsidR="0052790E">
        <w:t>IELTS</w:t>
      </w:r>
      <w:r w:rsidR="00EB29D9">
        <w:t xml:space="preserve"> in demonstrating English language competency, limited research exists which explore </w:t>
      </w:r>
      <w:r w:rsidR="00BA5247">
        <w:t xml:space="preserve">the </w:t>
      </w:r>
      <w:r w:rsidR="00EB29D9">
        <w:t xml:space="preserve">experiences of either of these tests amongst overseas nurses in the UK.  </w:t>
      </w:r>
    </w:p>
    <w:p w14:paraId="5CC6AED4" w14:textId="415618C7" w:rsidR="003109F0" w:rsidRDefault="00BA5247" w:rsidP="008A4996">
      <w:pPr>
        <w:spacing w:line="480" w:lineRule="auto"/>
      </w:pPr>
      <w:r>
        <w:t>In January 2018 the NMC instigated an</w:t>
      </w:r>
      <w:r w:rsidR="003109F0">
        <w:t xml:space="preserve"> extensive review of the standards requir</w:t>
      </w:r>
      <w:r>
        <w:t>ed of international nurses</w:t>
      </w:r>
      <w:r w:rsidR="003109F0">
        <w:t xml:space="preserve"> (NMC, 2018), intending to ‘streamline’ and improve the</w:t>
      </w:r>
      <w:r w:rsidR="00F44623">
        <w:t xml:space="preserve"> registration process.</w:t>
      </w:r>
      <w:r w:rsidR="003109F0">
        <w:t xml:space="preserve"> These changes have typically lessened the requirements for registration, </w:t>
      </w:r>
      <w:r>
        <w:t xml:space="preserve">and </w:t>
      </w:r>
      <w:r w:rsidR="00BE60C7">
        <w:t>consequently</w:t>
      </w:r>
      <w:r w:rsidR="00F34A18">
        <w:t xml:space="preserve"> </w:t>
      </w:r>
      <w:r>
        <w:t xml:space="preserve">increased </w:t>
      </w:r>
      <w:r w:rsidR="00BE60C7">
        <w:t>t</w:t>
      </w:r>
      <w:r w:rsidR="003109F0">
        <w:t xml:space="preserve">he number of overseas </w:t>
      </w:r>
      <w:r w:rsidR="00F44623">
        <w:t>nurse applications</w:t>
      </w:r>
      <w:r w:rsidR="003109F0">
        <w:t>, to an average of 2,150 per month (NMC, 2020c).  The easin</w:t>
      </w:r>
      <w:r>
        <w:t xml:space="preserve">g of registration requirements </w:t>
      </w:r>
      <w:r w:rsidR="003109F0">
        <w:t>and the</w:t>
      </w:r>
      <w:r>
        <w:t xml:space="preserve"> subsequent increase in applications from</w:t>
      </w:r>
      <w:r w:rsidR="003109F0">
        <w:t xml:space="preserve"> overseas nurse </w:t>
      </w:r>
      <w:r w:rsidR="003109F0">
        <w:lastRenderedPageBreak/>
        <w:t xml:space="preserve">applicants </w:t>
      </w:r>
      <w:r w:rsidR="00994441">
        <w:t>appear</w:t>
      </w:r>
      <w:r>
        <w:t>s</w:t>
      </w:r>
      <w:r w:rsidR="00994441">
        <w:t xml:space="preserve"> to have achieved </w:t>
      </w:r>
      <w:r w:rsidR="003109F0">
        <w:t xml:space="preserve">the objectives set out in the NHS Interim People Plan (NHS, 2019a) which </w:t>
      </w:r>
      <w:r w:rsidR="00193348">
        <w:t xml:space="preserve">sought to </w:t>
      </w:r>
      <w:r w:rsidR="003109F0">
        <w:t xml:space="preserve">address the chronic nursing shortages in the UK by rapidly increasing the </w:t>
      </w:r>
      <w:r w:rsidR="003109F0" w:rsidRPr="00614592">
        <w:t>number of overseas nurses in the UK</w:t>
      </w:r>
      <w:r w:rsidR="00193348" w:rsidRPr="00614592">
        <w:t xml:space="preserve"> </w:t>
      </w:r>
      <w:r w:rsidRPr="00614592">
        <w:t>using</w:t>
      </w:r>
      <w:r w:rsidR="00193348" w:rsidRPr="00614592">
        <w:t xml:space="preserve"> regulatory changes</w:t>
      </w:r>
      <w:r w:rsidR="003109F0" w:rsidRPr="00614592">
        <w:t xml:space="preserve">. </w:t>
      </w:r>
      <w:r w:rsidR="002C1D62" w:rsidRPr="00614592">
        <w:t xml:space="preserve">In August 2021, further changes to the Test of Competence process were </w:t>
      </w:r>
      <w:r w:rsidR="0016514E" w:rsidRPr="00614592">
        <w:t>introduced, involving the addition of</w:t>
      </w:r>
      <w:r w:rsidR="002C1D62" w:rsidRPr="00614592">
        <w:t xml:space="preserve"> four skills </w:t>
      </w:r>
      <w:r w:rsidR="0016514E" w:rsidRPr="00614592">
        <w:t>stations to</w:t>
      </w:r>
      <w:r w:rsidR="002C1D62" w:rsidRPr="00614592">
        <w:t xml:space="preserve"> the OSCEs</w:t>
      </w:r>
      <w:r w:rsidR="0016514E" w:rsidRPr="00614592">
        <w:t>,</w:t>
      </w:r>
      <w:r w:rsidR="002C1D62" w:rsidRPr="00614592">
        <w:t xml:space="preserve"> the </w:t>
      </w:r>
      <w:r w:rsidR="0016514E" w:rsidRPr="00614592">
        <w:t xml:space="preserve">division of the </w:t>
      </w:r>
      <w:r w:rsidR="002C1D62" w:rsidRPr="00614592">
        <w:t>CB</w:t>
      </w:r>
      <w:r w:rsidR="0016514E" w:rsidRPr="00614592">
        <w:t xml:space="preserve">T into two parts (numeracy and clinical) and the improvement of candidate support materials. </w:t>
      </w:r>
      <w:r w:rsidR="003109F0" w:rsidRPr="00614592">
        <w:t>A table det</w:t>
      </w:r>
      <w:r w:rsidRPr="00614592">
        <w:t>ailing</w:t>
      </w:r>
      <w:r>
        <w:t xml:space="preserve"> </w:t>
      </w:r>
      <w:r w:rsidR="002948A6">
        <w:t xml:space="preserve">the </w:t>
      </w:r>
      <w:r>
        <w:t xml:space="preserve">key </w:t>
      </w:r>
      <w:r w:rsidR="002948A6">
        <w:t xml:space="preserve">changes </w:t>
      </w:r>
      <w:r w:rsidR="003109F0">
        <w:t xml:space="preserve">made to the </w:t>
      </w:r>
      <w:r w:rsidR="00994441">
        <w:t xml:space="preserve">Test of Competence and English language requirements, </w:t>
      </w:r>
      <w:r w:rsidR="003109F0">
        <w:t xml:space="preserve">prior to, and </w:t>
      </w:r>
      <w:proofErr w:type="gramStart"/>
      <w:r w:rsidR="003109F0">
        <w:t>as a consequence of</w:t>
      </w:r>
      <w:proofErr w:type="gramEnd"/>
      <w:r w:rsidR="003109F0">
        <w:t>, the NMC’s review pr</w:t>
      </w:r>
      <w:r w:rsidR="001D46DA">
        <w:t>ocess can be found in the supplementary materials</w:t>
      </w:r>
      <w:r w:rsidR="003109F0">
        <w:t xml:space="preserve">.  </w:t>
      </w:r>
    </w:p>
    <w:p w14:paraId="56F62DEF" w14:textId="185C2DF8" w:rsidR="008A4996" w:rsidRPr="00F02BE9" w:rsidRDefault="003109F0" w:rsidP="008A4996">
      <w:pPr>
        <w:spacing w:line="480" w:lineRule="auto"/>
      </w:pPr>
      <w:r>
        <w:t>Although the NMC’s Test of Competence, in</w:t>
      </w:r>
      <w:r w:rsidR="00994441">
        <w:t>cluding the OSCEs, have been required of overseas nurses</w:t>
      </w:r>
      <w:r>
        <w:t xml:space="preserve"> since 2014</w:t>
      </w:r>
      <w:r w:rsidR="00994441">
        <w:t xml:space="preserve">, </w:t>
      </w:r>
      <w:r>
        <w:t>there is a dearth of research on this topic. This is despite the</w:t>
      </w:r>
      <w:r w:rsidR="00994441">
        <w:t xml:space="preserve"> frequent changes </w:t>
      </w:r>
      <w:r w:rsidR="00BA5247">
        <w:t xml:space="preserve">to the </w:t>
      </w:r>
      <w:r w:rsidR="00994441">
        <w:t>process since its inception, and the</w:t>
      </w:r>
      <w:r>
        <w:t xml:space="preserve"> major implications for the nurses’ lives and careers </w:t>
      </w:r>
      <w:r w:rsidR="00BA5247">
        <w:t xml:space="preserve">should they fail to </w:t>
      </w:r>
      <w:r>
        <w:t xml:space="preserve">achieve a pass within the given time frame. </w:t>
      </w:r>
      <w:r w:rsidR="00BA5247">
        <w:t xml:space="preserve">Limited </w:t>
      </w:r>
      <w:r w:rsidR="00994441">
        <w:t>a</w:t>
      </w:r>
      <w:r>
        <w:t>necdotal data from education leads at NHS Trusts (Foster, 2018)</w:t>
      </w:r>
      <w:r w:rsidR="00F018E3">
        <w:t xml:space="preserve"> found </w:t>
      </w:r>
      <w:r>
        <w:t>concerns that Trusts were unable to provide adequate support to overseas nurses due to inadequate resources and unhelpful trainin</w:t>
      </w:r>
      <w:r w:rsidR="00BA5247">
        <w:t>g and advice offered by the NMC. Other issues included OSCEs that</w:t>
      </w:r>
      <w:r>
        <w:t xml:space="preserve"> did not reflect curre</w:t>
      </w:r>
      <w:r w:rsidR="00BA5247">
        <w:t xml:space="preserve">nt clinical practice standards, </w:t>
      </w:r>
      <w:r>
        <w:t>exam failures based on arbitrary issues, and concerns at the excessive costs of the exams.  However, there are currently no studies which have specifically examined overseas nurses’ experience of the OSCE</w:t>
      </w:r>
      <w:r w:rsidR="00994441">
        <w:t>s in the UK (Bond et al., 2020), or the Test of Competency process more broadly.</w:t>
      </w:r>
      <w:r w:rsidR="00843C2F">
        <w:t xml:space="preserve"> </w:t>
      </w:r>
    </w:p>
    <w:p w14:paraId="4A9B2CBA" w14:textId="0AB2802B" w:rsidR="00FF4595" w:rsidRDefault="004B216A" w:rsidP="00DA0222">
      <w:pPr>
        <w:pStyle w:val="Heading1"/>
      </w:pPr>
      <w:r>
        <w:t>M</w:t>
      </w:r>
      <w:r w:rsidR="00A06054">
        <w:t>ETHODS</w:t>
      </w:r>
    </w:p>
    <w:p w14:paraId="1A244474" w14:textId="1821F11C" w:rsidR="00C21441" w:rsidRDefault="009131C8" w:rsidP="008A4996">
      <w:pPr>
        <w:spacing w:line="480" w:lineRule="auto"/>
      </w:pPr>
      <w:r>
        <w:t>A pragmatic, qualitative approach was taken to explore Filipino nurses’ experience of English language exams, the NMC’s ‘Test of Competence’ process, and their sponsor Trust’s internal Trust-specific competency process.  Qualitative data were gathered as part of a larger project examining the pre-departure and post-arrival experiences of registered nurses in the Philippines choosing to migrate to the UK.  One focu</w:t>
      </w:r>
      <w:r w:rsidR="00853EA7">
        <w:t>s group was conducted in Manila, the</w:t>
      </w:r>
      <w:r>
        <w:t xml:space="preserve"> Philippines, and five </w:t>
      </w:r>
      <w:r w:rsidR="00853EA7">
        <w:t xml:space="preserve">focus groups </w:t>
      </w:r>
      <w:r>
        <w:t xml:space="preserve">were conducted in multiple locations in the </w:t>
      </w:r>
      <w:proofErr w:type="gramStart"/>
      <w:r>
        <w:t>South East</w:t>
      </w:r>
      <w:proofErr w:type="gramEnd"/>
      <w:r>
        <w:t xml:space="preserve"> of England.  Given the changing nature of the </w:t>
      </w:r>
      <w:r>
        <w:lastRenderedPageBreak/>
        <w:t xml:space="preserve">competency requirements and OSCE pass rates, particularly from 2017 onwards, it is important to situate the findings within the </w:t>
      </w:r>
      <w:proofErr w:type="gramStart"/>
      <w:r>
        <w:t>time period</w:t>
      </w:r>
      <w:proofErr w:type="gramEnd"/>
      <w:r>
        <w:t xml:space="preserve"> in which data collection occurred.   All data were collected between September 2018 and August </w:t>
      </w:r>
      <w:r w:rsidR="00853EA7">
        <w:t>2019 and n</w:t>
      </w:r>
      <w:r>
        <w:t xml:space="preserve">urse participants varied in the </w:t>
      </w:r>
      <w:r w:rsidRPr="009131C8">
        <w:t>length of time they had worked in the UK and the stage they had reached at the NMC’s Test of Competence process.</w:t>
      </w:r>
      <w:r>
        <w:t xml:space="preserve">  Pre-departure nurses had passed IELTS and the CBT (i.e.</w:t>
      </w:r>
      <w:r w:rsidR="006E6CC3">
        <w:t>,</w:t>
      </w:r>
      <w:r>
        <w:t xml:space="preserve"> Part 1) but were yet to take their OSCEs (Part 2).  </w:t>
      </w:r>
      <w:proofErr w:type="gramStart"/>
      <w:r>
        <w:t>The majority of</w:t>
      </w:r>
      <w:proofErr w:type="gramEnd"/>
      <w:r>
        <w:t xml:space="preserve"> post-arrival nurses had passed their OSCE (Part 2) at the time of participation.  None of the nurses had taken the OET instead of the IELTS, and all participants had passed </w:t>
      </w:r>
      <w:r w:rsidR="002C4F7E">
        <w:t xml:space="preserve">each element of </w:t>
      </w:r>
      <w:r>
        <w:t>the Academic IELTS at</w:t>
      </w:r>
      <w:r w:rsidR="00853EA7">
        <w:t xml:space="preserve"> the required</w:t>
      </w:r>
      <w:r>
        <w:t xml:space="preserve"> Level 7. Length of time working in the UK ranged from a few </w:t>
      </w:r>
      <w:r w:rsidR="00853EA7">
        <w:t xml:space="preserve">weeks to almost two years, and in total </w:t>
      </w:r>
      <w:r w:rsidR="00292A8A">
        <w:t xml:space="preserve">the responses </w:t>
      </w:r>
      <w:r>
        <w:t xml:space="preserve">of 21 </w:t>
      </w:r>
      <w:r w:rsidR="00292A8A">
        <w:t>male and female Filipino nurses</w:t>
      </w:r>
      <w:r>
        <w:t xml:space="preserve"> from three different NHS Trusts contributed to this paper.  </w:t>
      </w:r>
      <w:r w:rsidR="00C21441">
        <w:t xml:space="preserve"> </w:t>
      </w:r>
      <w:r w:rsidR="00EB29D9">
        <w:t>Focus groups were audio-recorded and transcribed verbatim.   Qualitative data wer</w:t>
      </w:r>
      <w:r w:rsidR="00D77842">
        <w:t>e analysed by one researcher (NG</w:t>
      </w:r>
      <w:r w:rsidR="00EB29D9">
        <w:t xml:space="preserve">) in an inductive, </w:t>
      </w:r>
      <w:proofErr w:type="gramStart"/>
      <w:r w:rsidR="00EB29D9">
        <w:t>it</w:t>
      </w:r>
      <w:r w:rsidR="00B4124A">
        <w:t>erative</w:t>
      </w:r>
      <w:proofErr w:type="gramEnd"/>
      <w:r w:rsidR="00B4124A">
        <w:t xml:space="preserve"> and reflexive manner and themes of ‘shared meaning’ </w:t>
      </w:r>
      <w:r w:rsidR="00EB29D9">
        <w:t>developed in alignment with Reflexive Thematic Analysis (Braun and Clarke</w:t>
      </w:r>
      <w:r w:rsidR="0054388D">
        <w:t>,</w:t>
      </w:r>
      <w:r w:rsidR="00EB29D9">
        <w:t xml:space="preserve"> 2019).  </w:t>
      </w:r>
    </w:p>
    <w:p w14:paraId="5C62F1BF" w14:textId="73824C30" w:rsidR="00C21441" w:rsidRPr="00D75843" w:rsidRDefault="00C21441" w:rsidP="00D75843">
      <w:pPr>
        <w:pStyle w:val="Heading2"/>
      </w:pPr>
      <w:r w:rsidRPr="00D75843">
        <w:t>Rigour</w:t>
      </w:r>
    </w:p>
    <w:p w14:paraId="67162361" w14:textId="5E0331C0" w:rsidR="00C90D71" w:rsidRPr="00552C8F" w:rsidRDefault="00503D70" w:rsidP="008A4996">
      <w:pPr>
        <w:spacing w:line="480" w:lineRule="auto"/>
      </w:pPr>
      <w:r w:rsidRPr="00614592">
        <w:t xml:space="preserve">In </w:t>
      </w:r>
      <w:r w:rsidR="00552C8F" w:rsidRPr="00614592">
        <w:t xml:space="preserve">keeping </w:t>
      </w:r>
      <w:r w:rsidR="007A66C5" w:rsidRPr="00614592">
        <w:t>with</w:t>
      </w:r>
      <w:r w:rsidRPr="00614592">
        <w:t xml:space="preserve"> Pragmatism and Reflexive Thematic Analysis, rigour in this study was less about </w:t>
      </w:r>
      <w:r w:rsidR="003C3966" w:rsidRPr="00614592">
        <w:t>“</w:t>
      </w:r>
      <w:r w:rsidRPr="00614592">
        <w:t>absolute adherence to methodological standards</w:t>
      </w:r>
      <w:r w:rsidR="003C3966" w:rsidRPr="00614592">
        <w:t>”</w:t>
      </w:r>
      <w:r w:rsidRPr="00614592">
        <w:t xml:space="preserve"> (Parry et al 2020</w:t>
      </w:r>
      <w:r w:rsidR="003C3966" w:rsidRPr="00614592">
        <w:t xml:space="preserve"> p.280</w:t>
      </w:r>
      <w:r w:rsidRPr="00614592">
        <w:t>) or “following procedures ‘correctly’ (or about ‘accurate’ and ‘reliable’ coding, or ach</w:t>
      </w:r>
      <w:r w:rsidR="00972A84" w:rsidRPr="00614592">
        <w:t>ieving consensus between coders</w:t>
      </w:r>
      <w:r w:rsidRPr="00614592">
        <w:t>)”</w:t>
      </w:r>
      <w:r w:rsidR="007A66C5" w:rsidRPr="00614592">
        <w:t xml:space="preserve"> (Braun and Clarke, 2019 p.594)</w:t>
      </w:r>
      <w:r w:rsidRPr="00614592">
        <w:t xml:space="preserve"> and was instead more concerned with “the researcher’s reflective and thoughtful engagement with their data and their reflexive and thoughtful engagement with the analytic process” (Braun and Clarke, 2019 p.594), whereby a balance between scientific rigour and relevance was acknowledged (</w:t>
      </w:r>
      <w:r w:rsidR="00310EEC" w:rsidRPr="00614592">
        <w:t>S</w:t>
      </w:r>
      <w:r w:rsidRPr="00614592">
        <w:t>ilva et al 2018</w:t>
      </w:r>
      <w:r w:rsidR="008C5CF2" w:rsidRPr="00614592">
        <w:t xml:space="preserve">).  </w:t>
      </w:r>
      <w:r w:rsidR="000D4E6C" w:rsidRPr="00614592">
        <w:t xml:space="preserve">Themes </w:t>
      </w:r>
      <w:r w:rsidR="00552C8F" w:rsidRPr="00614592">
        <w:t xml:space="preserve">therefore </w:t>
      </w:r>
      <w:r w:rsidR="000D4E6C" w:rsidRPr="00614592">
        <w:t xml:space="preserve">were </w:t>
      </w:r>
      <w:r w:rsidR="0015555D" w:rsidRPr="00614592">
        <w:t>actively c</w:t>
      </w:r>
      <w:r w:rsidR="008C5CF2" w:rsidRPr="00614592">
        <w:t xml:space="preserve">onstructed </w:t>
      </w:r>
      <w:proofErr w:type="gramStart"/>
      <w:r w:rsidR="008C5CF2" w:rsidRPr="00614592">
        <w:t>as a result of</w:t>
      </w:r>
      <w:proofErr w:type="gramEnd"/>
      <w:r w:rsidR="008C5CF2" w:rsidRPr="00614592">
        <w:t xml:space="preserve"> the</w:t>
      </w:r>
      <w:r w:rsidR="0015555D" w:rsidRPr="00614592">
        <w:t xml:space="preserve"> researchers</w:t>
      </w:r>
      <w:r w:rsidR="008C5CF2" w:rsidRPr="00614592">
        <w:t>’</w:t>
      </w:r>
      <w:r w:rsidR="0015555D" w:rsidRPr="00614592">
        <w:t xml:space="preserve"> reflexive engagement with the data,</w:t>
      </w:r>
      <w:r w:rsidR="000D4E6C" w:rsidRPr="00614592">
        <w:t xml:space="preserve"> </w:t>
      </w:r>
      <w:r w:rsidR="008C5CF2" w:rsidRPr="00614592">
        <w:t xml:space="preserve">guided by the six phases of thematic analysis (Braun and Clarke 2006), </w:t>
      </w:r>
      <w:r w:rsidR="00552C8F" w:rsidRPr="00614592">
        <w:t>using an</w:t>
      </w:r>
      <w:r w:rsidR="008C5CF2" w:rsidRPr="00614592">
        <w:t xml:space="preserve"> inductive orientation. In addition, theme generation</w:t>
      </w:r>
      <w:r w:rsidR="008C5CF2">
        <w:t xml:space="preserve"> occurred </w:t>
      </w:r>
      <w:r w:rsidR="00EB29D9">
        <w:t>alongside a parallel checking a</w:t>
      </w:r>
      <w:r w:rsidR="00655587">
        <w:t>nd reformulation process where</w:t>
      </w:r>
      <w:r w:rsidR="00EB29D9">
        <w:t xml:space="preserve"> the themes </w:t>
      </w:r>
      <w:r w:rsidR="00A15D04">
        <w:t>were compared to each other</w:t>
      </w:r>
      <w:r w:rsidR="000D4E6C">
        <w:t>,</w:t>
      </w:r>
      <w:r w:rsidR="00A15D04">
        <w:t xml:space="preserve"> </w:t>
      </w:r>
      <w:r w:rsidR="00EB29D9">
        <w:t>t</w:t>
      </w:r>
      <w:r w:rsidR="00D24F57">
        <w:t xml:space="preserve">he author’s assumptions and any critical and hypothetical </w:t>
      </w:r>
      <w:proofErr w:type="gramStart"/>
      <w:r w:rsidR="00D24F57">
        <w:t>counter-arguments</w:t>
      </w:r>
      <w:proofErr w:type="gramEnd"/>
      <w:r w:rsidR="00D24F57">
        <w:t xml:space="preserve"> ag</w:t>
      </w:r>
      <w:r w:rsidR="00107163">
        <w:t xml:space="preserve">ainst </w:t>
      </w:r>
      <w:r w:rsidR="00107163" w:rsidRPr="00614592">
        <w:lastRenderedPageBreak/>
        <w:t xml:space="preserve">which any final claims </w:t>
      </w:r>
      <w:r w:rsidR="00D24F57" w:rsidRPr="00614592">
        <w:t xml:space="preserve">about the data may not withstand.  </w:t>
      </w:r>
      <w:r w:rsidR="001E476F" w:rsidRPr="00614592">
        <w:t>‘Traditional tools’ of paper transcripts, pens, handwritten note</w:t>
      </w:r>
      <w:r w:rsidR="00552C8F" w:rsidRPr="00614592">
        <w:t>s and highlighters were used during the data analysis process due</w:t>
      </w:r>
      <w:r w:rsidR="001E476F" w:rsidRPr="00614592">
        <w:t xml:space="preserve"> to researcher preference (</w:t>
      </w:r>
      <w:r w:rsidR="00310EEC" w:rsidRPr="00614592">
        <w:t>Xu and Zammit 2020)</w:t>
      </w:r>
      <w:r w:rsidR="006E6CC3" w:rsidRPr="00614592">
        <w:t>.</w:t>
      </w:r>
      <w:r w:rsidR="00310EEC">
        <w:t xml:space="preserve"> </w:t>
      </w:r>
    </w:p>
    <w:p w14:paraId="580120E3" w14:textId="153C92FB" w:rsidR="000E29F2" w:rsidRPr="00D31B2F" w:rsidRDefault="00D31B2F" w:rsidP="00D75843">
      <w:pPr>
        <w:pStyle w:val="Heading2"/>
      </w:pPr>
      <w:r w:rsidRPr="00D31B2F">
        <w:t xml:space="preserve">Ethics </w:t>
      </w:r>
    </w:p>
    <w:p w14:paraId="3E5779F5" w14:textId="41818D6E" w:rsidR="000E29F2" w:rsidRDefault="000E29F2" w:rsidP="008A4996">
      <w:pPr>
        <w:spacing w:line="480" w:lineRule="auto"/>
      </w:pPr>
      <w:r>
        <w:t>Eth</w:t>
      </w:r>
      <w:r w:rsidR="00D77842">
        <w:t xml:space="preserve">ical approval was gained from the </w:t>
      </w:r>
      <w:r w:rsidR="00D77842" w:rsidRPr="00D77842">
        <w:t xml:space="preserve">School </w:t>
      </w:r>
      <w:r w:rsidR="00D77842">
        <w:t xml:space="preserve">of Nursing and Midwifery’s Research Ethics Panel, Anglia Ruskin University </w:t>
      </w:r>
      <w:r>
        <w:t>and research was conducted in accorda</w:t>
      </w:r>
      <w:r w:rsidR="00D77842">
        <w:t xml:space="preserve">nce with their accompanying </w:t>
      </w:r>
      <w:r>
        <w:t xml:space="preserve">research ethics guidelines.  Participant anonymity was afforded to participants by avoiding the use of real names.  Attributing any responses to the focus group in which they occurred also provided another layer of anonymity to the participants.  </w:t>
      </w:r>
    </w:p>
    <w:p w14:paraId="3A7E3DCA" w14:textId="61D23541" w:rsidR="00FF4595" w:rsidRDefault="00FF4595" w:rsidP="008A4996">
      <w:pPr>
        <w:spacing w:line="480" w:lineRule="auto"/>
      </w:pPr>
    </w:p>
    <w:p w14:paraId="18154B85" w14:textId="77E22B31" w:rsidR="00FF4595" w:rsidRDefault="00D31B2F" w:rsidP="00DA0222">
      <w:pPr>
        <w:pStyle w:val="Heading1"/>
      </w:pPr>
      <w:r>
        <w:t>RESULTS</w:t>
      </w:r>
    </w:p>
    <w:p w14:paraId="10236347" w14:textId="582F9FFC" w:rsidR="0010502E" w:rsidRPr="00614592" w:rsidRDefault="0010502E" w:rsidP="0010502E">
      <w:pPr>
        <w:spacing w:line="480" w:lineRule="auto"/>
      </w:pPr>
      <w:r w:rsidRPr="00614592">
        <w:t>Three themes</w:t>
      </w:r>
      <w:r w:rsidR="00BF0D21" w:rsidRPr="00614592">
        <w:t>, each with three sub-themes, were generated from the data</w:t>
      </w:r>
      <w:r w:rsidRPr="00614592">
        <w:t>: 1. Inappropriate Preparation 2. Competency/Practice Disparity and 3. Intergenerational and Intra-professional Su</w:t>
      </w:r>
      <w:r w:rsidR="00BF0D21" w:rsidRPr="00614592">
        <w:t xml:space="preserve">pport.  </w:t>
      </w:r>
      <w:r w:rsidRPr="00614592">
        <w:t xml:space="preserve">The first two themes </w:t>
      </w:r>
      <w:r w:rsidR="00BF0D21" w:rsidRPr="00614592">
        <w:t xml:space="preserve">capture </w:t>
      </w:r>
      <w:r w:rsidRPr="00614592">
        <w:t xml:space="preserve">issues </w:t>
      </w:r>
      <w:r w:rsidR="00BF0D21" w:rsidRPr="00614592">
        <w:t xml:space="preserve">found with </w:t>
      </w:r>
      <w:r w:rsidRPr="00614592">
        <w:t>the competency process</w:t>
      </w:r>
      <w:r w:rsidR="00BF0D21" w:rsidRPr="00614592">
        <w:t xml:space="preserve"> -</w:t>
      </w:r>
      <w:r w:rsidRPr="00614592">
        <w:t xml:space="preserve"> pre and post arrival, with the </w:t>
      </w:r>
      <w:r w:rsidR="00BF0D21" w:rsidRPr="00614592">
        <w:t xml:space="preserve">third </w:t>
      </w:r>
      <w:r w:rsidRPr="00614592">
        <w:t xml:space="preserve">theme </w:t>
      </w:r>
      <w:r w:rsidR="00DB07B4" w:rsidRPr="00614592">
        <w:t>containing</w:t>
      </w:r>
      <w:r w:rsidR="00D53EB9" w:rsidRPr="00614592">
        <w:t xml:space="preserve"> strategies</w:t>
      </w:r>
      <w:r w:rsidR="009E4A80" w:rsidRPr="00614592">
        <w:t xml:space="preserve"> used to alleviate</w:t>
      </w:r>
      <w:r w:rsidRPr="00614592">
        <w:t xml:space="preserve"> </w:t>
      </w:r>
      <w:r w:rsidR="00BF0D21" w:rsidRPr="00614592">
        <w:t xml:space="preserve">these issues to </w:t>
      </w:r>
      <w:r w:rsidRPr="00614592">
        <w:t xml:space="preserve">some extent.  </w:t>
      </w:r>
    </w:p>
    <w:p w14:paraId="03FEFEB1" w14:textId="04ADD009" w:rsidR="00FF4595" w:rsidRPr="00614592" w:rsidRDefault="00EB29D9" w:rsidP="00D75843">
      <w:pPr>
        <w:pStyle w:val="Heading2"/>
      </w:pPr>
      <w:r w:rsidRPr="00614592">
        <w:t>1 Inappropriate Preparation</w:t>
      </w:r>
    </w:p>
    <w:p w14:paraId="1B129AF3" w14:textId="2DE2DC91" w:rsidR="00B4124A" w:rsidRPr="00B4124A" w:rsidRDefault="00B4124A" w:rsidP="008A4996">
      <w:pPr>
        <w:spacing w:line="480" w:lineRule="auto"/>
      </w:pPr>
      <w:r w:rsidRPr="00614592">
        <w:t>Inappropriate preparation for the exams consisted of three sub-themes, two of which concerned Trust level issues and the third was related to external factors such as choice of OSCE test centre.</w:t>
      </w:r>
    </w:p>
    <w:p w14:paraId="687D89D1" w14:textId="77777777" w:rsidR="00FF4595" w:rsidRPr="00D75843" w:rsidRDefault="00EB29D9" w:rsidP="00D75843">
      <w:pPr>
        <w:pStyle w:val="Heading3"/>
      </w:pPr>
      <w:proofErr w:type="spellStart"/>
      <w:r w:rsidRPr="00D75843">
        <w:t>i</w:t>
      </w:r>
      <w:proofErr w:type="spellEnd"/>
      <w:r w:rsidRPr="00D75843">
        <w:t xml:space="preserve">) Trust inexperience </w:t>
      </w:r>
    </w:p>
    <w:p w14:paraId="331CF5A3" w14:textId="051FA378" w:rsidR="00FF4595" w:rsidRDefault="00EB29D9" w:rsidP="008A4996">
      <w:pPr>
        <w:spacing w:line="480" w:lineRule="auto"/>
      </w:pPr>
      <w:r>
        <w:t>Difficulties in accessing the correct preparatory information, materials and experience</w:t>
      </w:r>
      <w:r w:rsidR="00F92E41">
        <w:t xml:space="preserve"> needed</w:t>
      </w:r>
      <w:r w:rsidR="00B4124A">
        <w:t xml:space="preserve"> to prepare</w:t>
      </w:r>
      <w:r w:rsidR="00F92E41">
        <w:t xml:space="preserve"> for their OSCEs and Trust-specific</w:t>
      </w:r>
      <w:r>
        <w:t xml:space="preserve"> competencies were noted amongst </w:t>
      </w:r>
      <w:r w:rsidR="00B4124A">
        <w:t>focus group participants</w:t>
      </w:r>
      <w:r>
        <w:t xml:space="preserve">.  Some considered themselves ‘guinea pigs’ due to them being amongst the first overseas nurses in their Trust to experience the OSCEs.  One Trust, having never supported any </w:t>
      </w:r>
      <w:r>
        <w:lastRenderedPageBreak/>
        <w:t>previous cohorts through the OSCE process before was equally as new to the OSCEs as the nurses themselves.  This was viewed by the nurses to be an impediment to the Trust’s ability to provide accurate and appropriate support and preparation to the nurses prior to them taking their first OSC</w:t>
      </w:r>
      <w:r w:rsidR="00B4124A">
        <w:t xml:space="preserve">E test.   Many of the nurses </w:t>
      </w:r>
      <w:r>
        <w:t>who were amongst the first t</w:t>
      </w:r>
      <w:r w:rsidR="00B4124A">
        <w:t>o sit the OSCEs at their Trusts failed on their first attempt with one participant recalling</w:t>
      </w:r>
      <w:r>
        <w:t xml:space="preserve"> </w:t>
      </w:r>
      <w:r w:rsidR="00B4124A">
        <w:t>being part of a cohort of eight</w:t>
      </w:r>
      <w:r w:rsidR="00BF7D61">
        <w:t>,</w:t>
      </w:r>
      <w:r>
        <w:t xml:space="preserve"> all of whom failed.   OSCE failures on the second attempt were also reported. </w:t>
      </w:r>
    </w:p>
    <w:p w14:paraId="79083877" w14:textId="0A34BB41" w:rsidR="00FF4595" w:rsidRDefault="00EB29D9" w:rsidP="008A4996">
      <w:pPr>
        <w:spacing w:line="480" w:lineRule="auto"/>
        <w:jc w:val="center"/>
        <w:rPr>
          <w:i/>
        </w:rPr>
      </w:pPr>
      <w:r>
        <w:rPr>
          <w:i/>
        </w:rPr>
        <w:t>“</w:t>
      </w:r>
      <w:proofErr w:type="gramStart"/>
      <w:r>
        <w:rPr>
          <w:i/>
        </w:rPr>
        <w:t>the</w:t>
      </w:r>
      <w:proofErr w:type="gramEnd"/>
      <w:r>
        <w:rPr>
          <w:i/>
        </w:rPr>
        <w:t xml:space="preserve"> first and second take we failed and failed, it was so frustrating!”</w:t>
      </w:r>
      <w:r w:rsidR="00385FB4">
        <w:rPr>
          <w:i/>
        </w:rPr>
        <w:t xml:space="preserve"> (FG1)</w:t>
      </w:r>
    </w:p>
    <w:p w14:paraId="4B6B2DA8" w14:textId="77777777" w:rsidR="00FF4595" w:rsidRPr="00D31B2F" w:rsidRDefault="00EB29D9" w:rsidP="00D75843">
      <w:pPr>
        <w:pStyle w:val="Heading3"/>
      </w:pPr>
      <w:r w:rsidRPr="00D31B2F">
        <w:t xml:space="preserve">ii) Inappropriate OSCE preparatory materials and clinical exposure </w:t>
      </w:r>
    </w:p>
    <w:p w14:paraId="69C36CC1" w14:textId="7C577F1E" w:rsidR="00FF4595" w:rsidRDefault="00B4124A" w:rsidP="008A4996">
      <w:pPr>
        <w:spacing w:line="480" w:lineRule="auto"/>
      </w:pPr>
      <w:r>
        <w:t>Participants attributed f</w:t>
      </w:r>
      <w:r w:rsidR="00EB29D9">
        <w:t>ailing the OSCEs not just to the Tr</w:t>
      </w:r>
      <w:r>
        <w:t xml:space="preserve">usts being unfamiliar with the </w:t>
      </w:r>
      <w:r w:rsidR="00EB29D9">
        <w:t>requirements</w:t>
      </w:r>
      <w:r>
        <w:t xml:space="preserve"> and providing inadequate support and </w:t>
      </w:r>
      <w:r w:rsidR="00EB29D9">
        <w:t>preparation, but also due to the preparation that was given being inappropria</w:t>
      </w:r>
      <w:r>
        <w:t xml:space="preserve">te.  Instances where Trusts had provided </w:t>
      </w:r>
      <w:r w:rsidR="00EB29D9">
        <w:t>the overseas nur</w:t>
      </w:r>
      <w:r w:rsidR="00BF7D61">
        <w:t>ses with Trust or ward-specific</w:t>
      </w:r>
      <w:r w:rsidR="00EB29D9">
        <w:t xml:space="preserve"> rather than exam-specific informa</w:t>
      </w:r>
      <w:r>
        <w:t xml:space="preserve">tion were given and blamed </w:t>
      </w:r>
      <w:r w:rsidR="00EB29D9">
        <w:t>as a partial cause of the fai</w:t>
      </w:r>
      <w:r w:rsidR="0015766D">
        <w:t xml:space="preserve">lure for the cohort of eight simultaneously failing </w:t>
      </w:r>
      <w:r w:rsidR="00EB29D9">
        <w:t xml:space="preserve">on their first attempt.  </w:t>
      </w:r>
    </w:p>
    <w:p w14:paraId="09302971" w14:textId="2B638FA0" w:rsidR="00FF4595" w:rsidRDefault="00EB29D9" w:rsidP="008A4996">
      <w:pPr>
        <w:spacing w:line="480" w:lineRule="auto"/>
        <w:jc w:val="center"/>
        <w:rPr>
          <w:i/>
        </w:rPr>
      </w:pPr>
      <w:r>
        <w:rPr>
          <w:i/>
        </w:rPr>
        <w:t xml:space="preserve">“The </w:t>
      </w:r>
      <w:proofErr w:type="spellStart"/>
      <w:r>
        <w:rPr>
          <w:i/>
        </w:rPr>
        <w:t>eight</w:t>
      </w:r>
      <w:proofErr w:type="spellEnd"/>
      <w:r>
        <w:rPr>
          <w:i/>
        </w:rPr>
        <w:t xml:space="preserve"> of us failed the exam, because we were really confused, because they're teaching us the clinical skills or the information that’s </w:t>
      </w:r>
      <w:proofErr w:type="gramStart"/>
      <w:r>
        <w:rPr>
          <w:i/>
        </w:rPr>
        <w:t>more good</w:t>
      </w:r>
      <w:proofErr w:type="gramEnd"/>
      <w:r>
        <w:rPr>
          <w:i/>
        </w:rPr>
        <w:t xml:space="preserve"> that we could use in the hospital than the exam.”</w:t>
      </w:r>
      <w:r w:rsidR="00385FB4">
        <w:rPr>
          <w:i/>
        </w:rPr>
        <w:t xml:space="preserve"> (FG4)</w:t>
      </w:r>
    </w:p>
    <w:p w14:paraId="17B29B29" w14:textId="0CB70497" w:rsidR="00FF4595" w:rsidRDefault="0015766D" w:rsidP="008A4996">
      <w:pPr>
        <w:spacing w:line="480" w:lineRule="auto"/>
      </w:pPr>
      <w:r>
        <w:t>The nurses also considered a lack of exposure to,</w:t>
      </w:r>
      <w:r w:rsidR="00EB29D9">
        <w:t xml:space="preserve"> and experience within</w:t>
      </w:r>
      <w:r>
        <w:t>,</w:t>
      </w:r>
      <w:r w:rsidR="00721EF0">
        <w:t xml:space="preserve"> the clinical setting they had been assigned to </w:t>
      </w:r>
      <w:r w:rsidR="00EB29D9">
        <w:t>pr</w:t>
      </w:r>
      <w:r>
        <w:t>ior to taking the OSCE exam as detrimental to their</w:t>
      </w:r>
      <w:r w:rsidR="00EB29D9">
        <w:t xml:space="preserve"> preparedness and likelihood of success.   One focus group reported </w:t>
      </w:r>
      <w:r>
        <w:t xml:space="preserve">having </w:t>
      </w:r>
      <w:r w:rsidR="00EB29D9">
        <w:t xml:space="preserve">three months of OSCE training followed by two weeks of exposure to their clinical setting and considered this insufficient preparation for their OSCEs.  This limited degree of exposure to a UK clinical practice setting was cited as a </w:t>
      </w:r>
      <w:r>
        <w:t xml:space="preserve">further </w:t>
      </w:r>
      <w:r w:rsidR="00EB29D9">
        <w:t xml:space="preserve">contributing factor to their failing the exam.  </w:t>
      </w:r>
    </w:p>
    <w:p w14:paraId="6437CC27" w14:textId="4B9FCFF4" w:rsidR="00D75843" w:rsidRDefault="00D75843" w:rsidP="008A4996">
      <w:pPr>
        <w:spacing w:line="480" w:lineRule="auto"/>
      </w:pPr>
    </w:p>
    <w:p w14:paraId="4CF9B109" w14:textId="77777777" w:rsidR="00D75843" w:rsidRDefault="00D75843" w:rsidP="008A4996">
      <w:pPr>
        <w:spacing w:line="480" w:lineRule="auto"/>
      </w:pPr>
    </w:p>
    <w:p w14:paraId="39F735D5" w14:textId="77777777" w:rsidR="00FF4595" w:rsidRPr="00D31B2F" w:rsidRDefault="00EB29D9" w:rsidP="00D75843">
      <w:pPr>
        <w:pStyle w:val="Heading3"/>
      </w:pPr>
      <w:r w:rsidRPr="00D31B2F">
        <w:lastRenderedPageBreak/>
        <w:t>iii) External causes and consequences of failing to pass the OSCE</w:t>
      </w:r>
    </w:p>
    <w:p w14:paraId="5BD90039" w14:textId="5A416749" w:rsidR="00FF4595" w:rsidRDefault="00EB29D9" w:rsidP="008A4996">
      <w:pPr>
        <w:spacing w:line="480" w:lineRule="auto"/>
      </w:pPr>
      <w:r>
        <w:t xml:space="preserve">The </w:t>
      </w:r>
      <w:r w:rsidR="000F6FEB">
        <w:t>nurses also considered the OCSE test centre itself as influencing the likelihood of passing the exam,</w:t>
      </w:r>
      <w:r>
        <w:t xml:space="preserve"> with one test centre viewed more favourably than the others in terms of its leniency and friendliness of its staff. These</w:t>
      </w:r>
      <w:r w:rsidR="000F6FEB">
        <w:t xml:space="preserve"> perceptions</w:t>
      </w:r>
      <w:r>
        <w:t xml:space="preserve"> aligned with the pass rate data in Table 1.  In addition to the considerable frustration and additional work</w:t>
      </w:r>
      <w:r w:rsidR="000F6FEB">
        <w:t xml:space="preserve"> associated with exam failure</w:t>
      </w:r>
      <w:r>
        <w:t xml:space="preserve">, </w:t>
      </w:r>
      <w:r w:rsidR="000F6FEB">
        <w:t xml:space="preserve">this also meant that </w:t>
      </w:r>
      <w:r>
        <w:t xml:space="preserve">the nurses were </w:t>
      </w:r>
      <w:r w:rsidR="00FE4460">
        <w:t>delayed in</w:t>
      </w:r>
      <w:r>
        <w:t xml:space="preserve"> acquiring Ba</w:t>
      </w:r>
      <w:r w:rsidR="000F6FEB">
        <w:t xml:space="preserve">nd 5 Registered Nurse status and </w:t>
      </w:r>
      <w:r>
        <w:t>remained on a lower p</w:t>
      </w:r>
      <w:r w:rsidR="000F6FEB">
        <w:t>ay scale until all NMC c</w:t>
      </w:r>
      <w:r w:rsidR="00FE4460">
        <w:t xml:space="preserve">ompetencies </w:t>
      </w:r>
      <w:r>
        <w:t>were achieved.  Even though they remaine</w:t>
      </w:r>
      <w:r w:rsidR="00924597">
        <w:t>d employed during this time, participants</w:t>
      </w:r>
      <w:r>
        <w:t xml:space="preserve"> </w:t>
      </w:r>
      <w:r w:rsidR="00FE4460">
        <w:t>were alert to the</w:t>
      </w:r>
      <w:r>
        <w:t xml:space="preserve"> potentially se</w:t>
      </w:r>
      <w:r w:rsidR="00924597">
        <w:t>vere consequences in failing their OSCE exam again and having to return</w:t>
      </w:r>
      <w:r w:rsidR="00FE4460">
        <w:t xml:space="preserve"> to the</w:t>
      </w:r>
      <w:r>
        <w:t xml:space="preserve"> Philippines</w:t>
      </w:r>
      <w:r w:rsidR="00924597">
        <w:t>,</w:t>
      </w:r>
      <w:r>
        <w:t xml:space="preserve"> w</w:t>
      </w:r>
      <w:r w:rsidR="00FE4460">
        <w:t>here</w:t>
      </w:r>
      <w:r>
        <w:t xml:space="preserve"> </w:t>
      </w:r>
      <w:r>
        <w:rPr>
          <w:i/>
          <w:iCs/>
        </w:rPr>
        <w:t>‘everything you work hard [for] is just going to go to waste’</w:t>
      </w:r>
      <w:r w:rsidR="006E621E">
        <w:t>.  Indeed, one participant’s partner</w:t>
      </w:r>
      <w:r>
        <w:t xml:space="preserve"> had to return hom</w:t>
      </w:r>
      <w:r w:rsidR="00924597">
        <w:t>e after failing his</w:t>
      </w:r>
      <w:r>
        <w:t xml:space="preserve"> OSCE exam. </w:t>
      </w:r>
    </w:p>
    <w:p w14:paraId="24FE968D" w14:textId="33C7CDBC" w:rsidR="00FF4595" w:rsidRPr="008A4996" w:rsidRDefault="00EB29D9" w:rsidP="008A4996">
      <w:pPr>
        <w:spacing w:line="480" w:lineRule="auto"/>
        <w:jc w:val="center"/>
        <w:rPr>
          <w:i/>
        </w:rPr>
      </w:pPr>
      <w:r>
        <w:rPr>
          <w:i/>
        </w:rPr>
        <w:t>“He went here last year but because he failed OSCE, he needs to go back to the Philippines, but I hope he’ll go back here soon.”</w:t>
      </w:r>
      <w:r w:rsidR="00385FB4">
        <w:rPr>
          <w:i/>
        </w:rPr>
        <w:t xml:space="preserve"> (FG2)</w:t>
      </w:r>
    </w:p>
    <w:p w14:paraId="55E26D12" w14:textId="0D9FD55C" w:rsidR="00FF4595" w:rsidRDefault="00EB29D9" w:rsidP="00D75843">
      <w:pPr>
        <w:pStyle w:val="Heading2"/>
      </w:pPr>
      <w:r w:rsidRPr="00A3457A">
        <w:t>2. Competency/Practice Disparity</w:t>
      </w:r>
    </w:p>
    <w:p w14:paraId="47C8E850" w14:textId="7287B403" w:rsidR="00924597" w:rsidRPr="00924597" w:rsidRDefault="00924597" w:rsidP="008A4996">
      <w:pPr>
        <w:spacing w:line="480" w:lineRule="auto"/>
      </w:pPr>
      <w:r w:rsidRPr="00614592">
        <w:t xml:space="preserve">A disparity between the reality of clinical practice and the standards and competency requirements of their Trust, the </w:t>
      </w:r>
      <w:r w:rsidR="00B23971" w:rsidRPr="00614592">
        <w:t>English language exams</w:t>
      </w:r>
      <w:r w:rsidRPr="00614592">
        <w:t xml:space="preserve"> and the OSCEs was also highlighted by participants.</w:t>
      </w:r>
      <w:r>
        <w:t xml:space="preserve"> </w:t>
      </w:r>
    </w:p>
    <w:p w14:paraId="1D531E0C" w14:textId="297E5A6D" w:rsidR="00B23971" w:rsidRDefault="00D75843" w:rsidP="00D75843">
      <w:pPr>
        <w:pStyle w:val="Heading3"/>
      </w:pPr>
      <w:proofErr w:type="spellStart"/>
      <w:r>
        <w:t>i</w:t>
      </w:r>
      <w:proofErr w:type="spellEnd"/>
      <w:r>
        <w:t xml:space="preserve">) </w:t>
      </w:r>
      <w:r w:rsidR="002B43D3" w:rsidRPr="00D31B2F">
        <w:t>English Language Exams</w:t>
      </w:r>
    </w:p>
    <w:p w14:paraId="2EF43BEE" w14:textId="44DC142C" w:rsidR="00FF4595" w:rsidRPr="00B23971" w:rsidRDefault="00B23971" w:rsidP="00B23971">
      <w:pPr>
        <w:spacing w:line="480" w:lineRule="auto"/>
        <w:rPr>
          <w:u w:val="single"/>
        </w:rPr>
      </w:pPr>
      <w:r>
        <w:t>D</w:t>
      </w:r>
      <w:r w:rsidR="00EB29D9">
        <w:t>oubts</w:t>
      </w:r>
      <w:r>
        <w:t xml:space="preserve"> were</w:t>
      </w:r>
      <w:r w:rsidR="00EB29D9">
        <w:t xml:space="preserve"> raised by the nurses </w:t>
      </w:r>
      <w:r w:rsidR="00F92E41">
        <w:t xml:space="preserve">regarding how relevant the English language exams were to the standards of English required in </w:t>
      </w:r>
      <w:r w:rsidR="00EB29D9">
        <w:t xml:space="preserve">practice.  With respect to the </w:t>
      </w:r>
      <w:r w:rsidR="0052790E">
        <w:t>IELTS</w:t>
      </w:r>
      <w:r>
        <w:t xml:space="preserve"> exam, </w:t>
      </w:r>
      <w:r w:rsidR="00EB29D9">
        <w:t>achieving a pass at the required standard was generally seen as</w:t>
      </w:r>
      <w:r>
        <w:t xml:space="preserve"> extremely</w:t>
      </w:r>
      <w:r w:rsidR="00EB29D9">
        <w:t xml:space="preserve"> difficult with some</w:t>
      </w:r>
      <w:r>
        <w:t xml:space="preserve"> participants</w:t>
      </w:r>
      <w:r w:rsidR="00EB29D9">
        <w:t xml:space="preserve"> </w:t>
      </w:r>
      <w:r>
        <w:t xml:space="preserve">taking multiple attempts before </w:t>
      </w:r>
      <w:r w:rsidR="00EB29D9">
        <w:t>pass</w:t>
      </w:r>
      <w:r>
        <w:t>ing</w:t>
      </w:r>
      <w:r w:rsidR="00EB29D9">
        <w:t xml:space="preserve">.  </w:t>
      </w:r>
      <w:r>
        <w:t>For some nurses, d</w:t>
      </w:r>
      <w:r w:rsidR="00EB29D9">
        <w:t xml:space="preserve">elays in passing IELTS </w:t>
      </w:r>
      <w:r>
        <w:t xml:space="preserve">had held up their migration to the UK </w:t>
      </w:r>
      <w:r w:rsidR="00EB29D9">
        <w:t xml:space="preserve">and was perceived as the </w:t>
      </w:r>
      <w:r>
        <w:t xml:space="preserve">largest </w:t>
      </w:r>
      <w:r w:rsidR="00EB29D9">
        <w:t>obstacle in the</w:t>
      </w:r>
      <w:r w:rsidR="00081F6D">
        <w:t>ir migration journey. T</w:t>
      </w:r>
      <w:r w:rsidR="00EB29D9">
        <w:t xml:space="preserve">here was also </w:t>
      </w:r>
      <w:r w:rsidR="00081F6D">
        <w:t xml:space="preserve">consensus </w:t>
      </w:r>
      <w:r w:rsidR="00EB29D9">
        <w:t xml:space="preserve">amongst participants that the </w:t>
      </w:r>
      <w:r w:rsidR="0052790E">
        <w:t>IELTS</w:t>
      </w:r>
      <w:r w:rsidR="00EB29D9">
        <w:t xml:space="preserve"> was unnecessarily difficult when compared to what was expected and required of them in practice, espec</w:t>
      </w:r>
      <w:r w:rsidR="00F92E41">
        <w:t>ially in terms of writing.  An A</w:t>
      </w:r>
      <w:r w:rsidR="00EB29D9">
        <w:t xml:space="preserve">cademic </w:t>
      </w:r>
      <w:r w:rsidR="0052790E">
        <w:t>IELTS</w:t>
      </w:r>
      <w:r w:rsidR="00EB29D9">
        <w:t xml:space="preserve"> level 7 </w:t>
      </w:r>
      <w:r w:rsidR="00EB29D9">
        <w:lastRenderedPageBreak/>
        <w:t>pass in writing was considered a disproportionate requirement for what sufficed in</w:t>
      </w:r>
      <w:r w:rsidR="0001518F">
        <w:t xml:space="preserve"> reality</w:t>
      </w:r>
      <w:r w:rsidR="00EB29D9">
        <w:t xml:space="preserve"> - a much more simplified writing style. </w:t>
      </w:r>
    </w:p>
    <w:p w14:paraId="6AABF878" w14:textId="5E6C311B" w:rsidR="00FF4595" w:rsidRDefault="00EB29D9" w:rsidP="008A4996">
      <w:pPr>
        <w:spacing w:line="480" w:lineRule="auto"/>
        <w:jc w:val="center"/>
        <w:rPr>
          <w:i/>
        </w:rPr>
      </w:pPr>
      <w:r>
        <w:rPr>
          <w:i/>
        </w:rPr>
        <w:t>“In the hospital, they're not going to let you write in a way where it’s so complex, they let us write in bullet form, “We did this, we did that”, it’s kind of funny why they set the bar so high.”</w:t>
      </w:r>
      <w:r w:rsidR="00A213EE">
        <w:rPr>
          <w:i/>
        </w:rPr>
        <w:t xml:space="preserve"> (FG5)</w:t>
      </w:r>
    </w:p>
    <w:p w14:paraId="6267F9B8" w14:textId="06DB6EF5" w:rsidR="00FF4595" w:rsidRDefault="00C04FE8" w:rsidP="008A4996">
      <w:pPr>
        <w:spacing w:line="480" w:lineRule="auto"/>
      </w:pPr>
      <w:r>
        <w:t>During the</w:t>
      </w:r>
      <w:r w:rsidR="00EB29D9">
        <w:t xml:space="preserve"> data collect</w:t>
      </w:r>
      <w:r>
        <w:t>ion period,</w:t>
      </w:r>
      <w:r w:rsidR="00EB29D9">
        <w:t xml:space="preserve"> the alternative English test (the OET) had recently been introduced. However, with the pre-departure nurses having studied already for the </w:t>
      </w:r>
      <w:r w:rsidR="0052790E">
        <w:t>IELTS</w:t>
      </w:r>
      <w:r w:rsidR="00EB29D9">
        <w:t xml:space="preserve"> it was this test which was persevered with and succeeded at. The OET test was also more expensive than the</w:t>
      </w:r>
      <w:r>
        <w:t xml:space="preserve"> IELTS, though it was suggested during</w:t>
      </w:r>
      <w:r w:rsidR="00EB29D9">
        <w:t xml:space="preserve"> the pre-departu</w:t>
      </w:r>
      <w:r>
        <w:t>re focus group that others who had opted for</w:t>
      </w:r>
      <w:r w:rsidR="00EB29D9">
        <w:t xml:space="preserve"> the OET were passing sooner, and with fewer retakes,</w:t>
      </w:r>
      <w:r>
        <w:t xml:space="preserve"> compared to those sitting the IELTS exam.</w:t>
      </w:r>
      <w:r w:rsidR="00EB29D9">
        <w:t xml:space="preserve">  The cost of the English </w:t>
      </w:r>
      <w:r w:rsidR="000365BF">
        <w:t xml:space="preserve">language tests, coupled with a </w:t>
      </w:r>
      <w:r w:rsidR="00EB29D9">
        <w:t xml:space="preserve">failure rate which </w:t>
      </w:r>
      <w:r>
        <w:t xml:space="preserve">often </w:t>
      </w:r>
      <w:r w:rsidR="00EB29D9">
        <w:t>required repeated re-takes, led to some</w:t>
      </w:r>
      <w:r>
        <w:t xml:space="preserve"> participants</w:t>
      </w:r>
      <w:r w:rsidR="00EB29D9">
        <w:t xml:space="preserve"> questioning if the current status quo for English language compete</w:t>
      </w:r>
      <w:r>
        <w:t xml:space="preserve">ncies was driven instead by financial motives. </w:t>
      </w:r>
      <w:r w:rsidR="00EB29D9">
        <w:t xml:space="preserve"> </w:t>
      </w:r>
    </w:p>
    <w:p w14:paraId="49E3F7C9" w14:textId="767027AA" w:rsidR="00FF4595" w:rsidRDefault="00EB29D9" w:rsidP="008A4996">
      <w:pPr>
        <w:spacing w:line="480" w:lineRule="auto"/>
        <w:jc w:val="center"/>
        <w:rPr>
          <w:i/>
        </w:rPr>
      </w:pPr>
      <w:r>
        <w:rPr>
          <w:i/>
        </w:rPr>
        <w:t>“It’s even come to most of our thoughts that they make it like a monopoly, making money out of it, because they make it so difficult.”</w:t>
      </w:r>
      <w:r w:rsidR="00A213EE">
        <w:rPr>
          <w:i/>
        </w:rPr>
        <w:t xml:space="preserve"> (FG5)</w:t>
      </w:r>
    </w:p>
    <w:p w14:paraId="49A5C218" w14:textId="308342AC" w:rsidR="00FF4595" w:rsidRPr="00D31B2F" w:rsidRDefault="00D75843" w:rsidP="00D75843">
      <w:pPr>
        <w:pStyle w:val="Heading3"/>
      </w:pPr>
      <w:r>
        <w:t xml:space="preserve">ii) </w:t>
      </w:r>
      <w:r w:rsidR="00EB29D9" w:rsidRPr="00D31B2F">
        <w:t>OSCEs</w:t>
      </w:r>
    </w:p>
    <w:p w14:paraId="7713F805" w14:textId="249CA08E" w:rsidR="00FF4595" w:rsidRDefault="00EB29D9" w:rsidP="008A4996">
      <w:pPr>
        <w:spacing w:line="480" w:lineRule="auto"/>
        <w:rPr>
          <w:i/>
        </w:rPr>
      </w:pPr>
      <w:r>
        <w:t xml:space="preserve">In addition to the disconnect between the English language </w:t>
      </w:r>
      <w:r w:rsidR="000365BF">
        <w:t xml:space="preserve">exams </w:t>
      </w:r>
      <w:r>
        <w:t xml:space="preserve">and the standards of English required in practice, </w:t>
      </w:r>
      <w:r w:rsidR="00AE6A08">
        <w:t>many participants also believed</w:t>
      </w:r>
      <w:r>
        <w:t xml:space="preserve"> that the </w:t>
      </w:r>
      <w:r w:rsidR="00AE6A08">
        <w:t xml:space="preserve">OSCE </w:t>
      </w:r>
      <w:r>
        <w:t xml:space="preserve">competencies did not correspond with those required in their clinical areas.  Just as Trust competency preparation was perceived to be of little relevance to an OSCE pass, an OSCE pass was not considered adequate preparation for work in their clinical areas.  What they had learnt for the OSCEs was considered different, and </w:t>
      </w:r>
      <w:r w:rsidR="00AE6A08">
        <w:t xml:space="preserve">sometimes </w:t>
      </w:r>
      <w:r w:rsidR="003D3EC2">
        <w:t xml:space="preserve">contradictory </w:t>
      </w:r>
      <w:r>
        <w:t xml:space="preserve">to the standards required of them in practice. </w:t>
      </w:r>
    </w:p>
    <w:p w14:paraId="541EC7D5" w14:textId="3B988BD6" w:rsidR="00FF4595" w:rsidRDefault="00EB29D9" w:rsidP="008A4996">
      <w:pPr>
        <w:spacing w:line="480" w:lineRule="auto"/>
        <w:jc w:val="center"/>
        <w:rPr>
          <w:i/>
        </w:rPr>
      </w:pPr>
      <w:r>
        <w:rPr>
          <w:i/>
        </w:rPr>
        <w:t>“The training that we had is basically because of the OSCE programme, it’s because of the exam.  It’s not really the way the world will run, not that, it’s different… it focuses on the exam itself, for us to pass the exam together but it’s the other way around in the ward.”</w:t>
      </w:r>
      <w:r w:rsidR="006E6CC3">
        <w:rPr>
          <w:i/>
        </w:rPr>
        <w:t xml:space="preserve"> </w:t>
      </w:r>
      <w:r w:rsidR="00A213EE">
        <w:rPr>
          <w:i/>
        </w:rPr>
        <w:t>(FG2)</w:t>
      </w:r>
    </w:p>
    <w:p w14:paraId="58AB03E5" w14:textId="4145CA98" w:rsidR="00517554" w:rsidRPr="00D31B2F" w:rsidRDefault="00D75843" w:rsidP="00D75843">
      <w:pPr>
        <w:pStyle w:val="Heading3"/>
      </w:pPr>
      <w:r>
        <w:lastRenderedPageBreak/>
        <w:t xml:space="preserve">iii) </w:t>
      </w:r>
      <w:r w:rsidR="00EB29D9" w:rsidRPr="00D31B2F">
        <w:t>Trust</w:t>
      </w:r>
      <w:r w:rsidR="000365BF" w:rsidRPr="00D31B2F">
        <w:t>-specific</w:t>
      </w:r>
      <w:r w:rsidR="00EB29D9" w:rsidRPr="00D31B2F">
        <w:t xml:space="preserve"> competencies</w:t>
      </w:r>
    </w:p>
    <w:p w14:paraId="60DC6149" w14:textId="1F298F68" w:rsidR="00FF4595" w:rsidRPr="00517554" w:rsidRDefault="00517554" w:rsidP="008A4996">
      <w:pPr>
        <w:spacing w:line="480" w:lineRule="auto"/>
        <w:rPr>
          <w:b/>
          <w:bCs/>
          <w:u w:val="single"/>
        </w:rPr>
      </w:pPr>
      <w:r>
        <w:t>S</w:t>
      </w:r>
      <w:r w:rsidR="00EB29D9">
        <w:t xml:space="preserve">ome </w:t>
      </w:r>
      <w:r w:rsidR="000365BF">
        <w:t xml:space="preserve">of the nurses </w:t>
      </w:r>
      <w:r w:rsidR="00EB29D9">
        <w:t>viewed the practical skills and clinical competency requirements of their workplaces as repetitious and unnecessary, or contrary to the competencies they had acquired in the Philippines.  In the Philippines, being a registered nurse and pass</w:t>
      </w:r>
      <w:r w:rsidR="000365BF">
        <w:t>ing the final exam was taken</w:t>
      </w:r>
      <w:r w:rsidR="00EB29D9">
        <w:t xml:space="preserve"> as evidence of competency to practice, yet this qualification alone was not </w:t>
      </w:r>
      <w:r w:rsidR="000365BF">
        <w:t xml:space="preserve">recognised as </w:t>
      </w:r>
      <w:r w:rsidR="00EB29D9">
        <w:t xml:space="preserve">adequate </w:t>
      </w:r>
      <w:r w:rsidR="000365BF">
        <w:t xml:space="preserve">for practice in the </w:t>
      </w:r>
      <w:r w:rsidR="00EB29D9">
        <w:t xml:space="preserve">UK. Instead, </w:t>
      </w:r>
      <w:r w:rsidR="000365BF">
        <w:t xml:space="preserve">Trust-specific </w:t>
      </w:r>
      <w:r w:rsidR="00EB29D9">
        <w:t>competencies and requirements (including additional study days) needed to be achieved to the Trust’s own specific requirements before they were deemed fully competent and hence able to practice their skills independently of supervision. Deskilling, i.e.</w:t>
      </w:r>
      <w:r w:rsidR="006E6CC3">
        <w:t>,</w:t>
      </w:r>
      <w:r w:rsidR="00EB29D9">
        <w:t xml:space="preserve"> practising at a level which was below their capabilities, occurred as nurses were restricted from using skills which had been acquired over many ye</w:t>
      </w:r>
      <w:r w:rsidR="00666BB9">
        <w:t>ars until they had first receiv</w:t>
      </w:r>
      <w:r w:rsidR="006E6CC3">
        <w:t>ed</w:t>
      </w:r>
      <w:r w:rsidR="00EB29D9">
        <w:t xml:space="preserve"> traini</w:t>
      </w:r>
      <w:r w:rsidR="000365BF">
        <w:t xml:space="preserve">ng by the Trust and proven </w:t>
      </w:r>
      <w:r w:rsidR="003F3792">
        <w:t xml:space="preserve">themselves </w:t>
      </w:r>
      <w:r w:rsidR="000365BF">
        <w:t>competent</w:t>
      </w:r>
      <w:r w:rsidR="00EB29D9">
        <w:t xml:space="preserve">.  Being in their clinical areas, knowing they can perform much needed skills such as cannulation, yet </w:t>
      </w:r>
      <w:r w:rsidR="003F3792">
        <w:t xml:space="preserve">being prevented from </w:t>
      </w:r>
      <w:r w:rsidR="00EB29D9">
        <w:t>do</w:t>
      </w:r>
      <w:r w:rsidR="003F3792">
        <w:t>ing</w:t>
      </w:r>
      <w:r w:rsidR="00EB29D9">
        <w:t xml:space="preserve"> so was also a frustrating and disheartening experience for the nurses.  </w:t>
      </w:r>
    </w:p>
    <w:p w14:paraId="018D19CC" w14:textId="65751B7C" w:rsidR="00FF4595" w:rsidRDefault="00EB29D9" w:rsidP="008A4996">
      <w:pPr>
        <w:spacing w:line="480" w:lineRule="auto"/>
        <w:jc w:val="center"/>
        <w:rPr>
          <w:i/>
        </w:rPr>
      </w:pPr>
      <w:r>
        <w:rPr>
          <w:i/>
        </w:rPr>
        <w:t>“You just feel like a burden and you're not being helpful at all, “I'm just a burden here”, it knocks our spirits.”</w:t>
      </w:r>
      <w:r w:rsidR="00B277F8">
        <w:rPr>
          <w:i/>
        </w:rPr>
        <w:t xml:space="preserve"> (FG6)</w:t>
      </w:r>
    </w:p>
    <w:p w14:paraId="1D234648" w14:textId="62F08921" w:rsidR="00FF4595" w:rsidRDefault="003F3792" w:rsidP="008A4996">
      <w:pPr>
        <w:spacing w:line="480" w:lineRule="auto"/>
      </w:pPr>
      <w:r>
        <w:t>To avoid this situation</w:t>
      </w:r>
      <w:r w:rsidR="00EB29D9">
        <w:t xml:space="preserve">, it was suggested by the nurses that there should have been a mechanism in place that allowed them to have these </w:t>
      </w:r>
      <w:r w:rsidR="000365BF">
        <w:t xml:space="preserve">Trust-specific </w:t>
      </w:r>
      <w:r w:rsidR="00EB29D9">
        <w:t xml:space="preserve">competencies signed off before they were placed in their clinical areas with responsibility for the care of patients. </w:t>
      </w:r>
    </w:p>
    <w:p w14:paraId="6D4C0136" w14:textId="1D41FD6A" w:rsidR="00FF4595" w:rsidRDefault="00EB29D9" w:rsidP="008A4996">
      <w:pPr>
        <w:spacing w:line="480" w:lineRule="auto"/>
        <w:jc w:val="center"/>
        <w:rPr>
          <w:i/>
        </w:rPr>
      </w:pPr>
      <w:r>
        <w:rPr>
          <w:i/>
        </w:rPr>
        <w:t xml:space="preserve">“they are assigning me to this number of patients in bays and you can’t do anything, it’s really frustrating for our shift, I think that before you send out a nurse, all these competencies should be </w:t>
      </w:r>
      <w:proofErr w:type="gramStart"/>
      <w:r>
        <w:rPr>
          <w:i/>
        </w:rPr>
        <w:t>done”</w:t>
      </w:r>
      <w:r w:rsidR="00B277F8">
        <w:rPr>
          <w:i/>
        </w:rPr>
        <w:t>(</w:t>
      </w:r>
      <w:proofErr w:type="gramEnd"/>
      <w:r w:rsidR="00B277F8">
        <w:rPr>
          <w:i/>
        </w:rPr>
        <w:t>FG1)</w:t>
      </w:r>
    </w:p>
    <w:p w14:paraId="42B5724C" w14:textId="77777777" w:rsidR="00FF4595" w:rsidRDefault="00FF4595" w:rsidP="00D75843"/>
    <w:p w14:paraId="1DE77920" w14:textId="77777777" w:rsidR="00D75843" w:rsidRDefault="00D75843" w:rsidP="00D75843"/>
    <w:p w14:paraId="327DB6E8" w14:textId="77777777" w:rsidR="00D75843" w:rsidRDefault="00D75843" w:rsidP="00D75843"/>
    <w:p w14:paraId="2ED4B301" w14:textId="77777777" w:rsidR="00D75843" w:rsidRDefault="00D75843" w:rsidP="00D75843"/>
    <w:p w14:paraId="45EEA25A" w14:textId="4982827C" w:rsidR="00FF4595" w:rsidRDefault="00EB29D9" w:rsidP="00D75843">
      <w:pPr>
        <w:pStyle w:val="Heading2"/>
      </w:pPr>
      <w:r w:rsidRPr="00A3457A">
        <w:lastRenderedPageBreak/>
        <w:t>3. Intergenerational and Intra-professional support</w:t>
      </w:r>
      <w:r>
        <w:t xml:space="preserve"> </w:t>
      </w:r>
    </w:p>
    <w:p w14:paraId="59327CAA" w14:textId="33C7838C" w:rsidR="003F3792" w:rsidRPr="003F3792" w:rsidRDefault="003F3792" w:rsidP="008A4996">
      <w:pPr>
        <w:spacing w:line="480" w:lineRule="auto"/>
      </w:pPr>
      <w:r w:rsidRPr="00614592">
        <w:t>Due to the issues discussed above, many nurses felt compelled to seek support and guidance either independently of the Trust, from nurses who had previously taken the tests</w:t>
      </w:r>
      <w:r w:rsidR="0029689E" w:rsidRPr="00614592">
        <w:t xml:space="preserve"> and</w:t>
      </w:r>
      <w:r w:rsidRPr="00614592">
        <w:t xml:space="preserve"> from more established co-nationals employed by the Trusts.</w:t>
      </w:r>
    </w:p>
    <w:p w14:paraId="2E2C0B22" w14:textId="60CE3C7A" w:rsidR="00FF4595" w:rsidRPr="00D31B2F" w:rsidRDefault="005B4083" w:rsidP="00D75843">
      <w:pPr>
        <w:pStyle w:val="Heading3"/>
      </w:pPr>
      <w:proofErr w:type="spellStart"/>
      <w:r w:rsidRPr="00D31B2F">
        <w:t>i</w:t>
      </w:r>
      <w:proofErr w:type="spellEnd"/>
      <w:r w:rsidRPr="00D31B2F">
        <w:t xml:space="preserve">) </w:t>
      </w:r>
      <w:r w:rsidR="00EB29D9" w:rsidRPr="00D31B2F">
        <w:t xml:space="preserve">Intra-professional and organisational support </w:t>
      </w:r>
    </w:p>
    <w:p w14:paraId="6AB3F35C" w14:textId="39B9FB49" w:rsidR="00FF4595" w:rsidRDefault="00EB29D9" w:rsidP="008A4996">
      <w:pPr>
        <w:spacing w:line="480" w:lineRule="auto"/>
      </w:pPr>
      <w:r>
        <w:t>While in their clinical areas, participants generally found senior nurse educators and colleagues to be supportive.  Practice development nurses were not only supportive to the nurse participants throughout their preceptorship periods, but were open to, and actively pursuing the</w:t>
      </w:r>
      <w:r w:rsidR="003F3792">
        <w:t xml:space="preserve"> overseas nurses’ insights. Many participants </w:t>
      </w:r>
      <w:r>
        <w:t>reported positive action being taken by their more senior practice development colleagues, with adjustments</w:t>
      </w:r>
      <w:r w:rsidR="008F4CEF">
        <w:t xml:space="preserve"> to training and support</w:t>
      </w:r>
      <w:r>
        <w:t xml:space="preserve"> being made for subsequent cohorts of overseas nurses who arrived after them, based on</w:t>
      </w:r>
      <w:r w:rsidR="008F4CEF">
        <w:t xml:space="preserve"> earlier cohorts’ </w:t>
      </w:r>
      <w:r>
        <w:t>experiences and feedback. This feedback was translated into formal improvements</w:t>
      </w:r>
      <w:r w:rsidR="0029689E">
        <w:t xml:space="preserve"> in future </w:t>
      </w:r>
      <w:r w:rsidR="008F4CEF">
        <w:t>cohort support by one of the</w:t>
      </w:r>
      <w:r>
        <w:t xml:space="preserve"> Trust</w:t>
      </w:r>
      <w:r w:rsidR="008F4CEF">
        <w:t>s.</w:t>
      </w:r>
    </w:p>
    <w:p w14:paraId="148C12BA" w14:textId="7E14B3B2" w:rsidR="00FF4595" w:rsidRDefault="00EB29D9" w:rsidP="008A4996">
      <w:pPr>
        <w:spacing w:line="480" w:lineRule="auto"/>
        <w:jc w:val="center"/>
        <w:rPr>
          <w:i/>
        </w:rPr>
      </w:pPr>
      <w:r>
        <w:rPr>
          <w:i/>
        </w:rPr>
        <w:t>“They keep improving it, so they always get feedback from every cohort on things that need to be improved and that’s implemented on the next incoming cohort”.</w:t>
      </w:r>
      <w:r w:rsidR="00B277F8">
        <w:rPr>
          <w:i/>
        </w:rPr>
        <w:t xml:space="preserve"> (FG1)</w:t>
      </w:r>
    </w:p>
    <w:p w14:paraId="5CB7182D" w14:textId="192F7CE2" w:rsidR="00FF4595" w:rsidRDefault="00EB29D9" w:rsidP="008A4996">
      <w:pPr>
        <w:spacing w:line="480" w:lineRule="auto"/>
      </w:pPr>
      <w:r>
        <w:t xml:space="preserve"> Feedback-based adjustments relating to the OSCE test centre choices and extending the degree of practice exposure during OSCE preparation were also made.  Consequently, participants believed that future cohorts of overseas</w:t>
      </w:r>
      <w:r w:rsidR="0029689E">
        <w:t xml:space="preserve"> nurses were passing their OSCEs</w:t>
      </w:r>
      <w:r>
        <w:t xml:space="preserve"> on the first occasion at a greater rate than earlier cohorts had </w:t>
      </w:r>
      <w:proofErr w:type="gramStart"/>
      <w:r>
        <w:t>as a result of</w:t>
      </w:r>
      <w:proofErr w:type="gramEnd"/>
      <w:r>
        <w:t xml:space="preserve"> these changes. </w:t>
      </w:r>
    </w:p>
    <w:p w14:paraId="77274F6F" w14:textId="7668DC01" w:rsidR="00FF4595" w:rsidRPr="00D31B2F" w:rsidRDefault="00D75843" w:rsidP="00D75843">
      <w:pPr>
        <w:pStyle w:val="Heading3"/>
      </w:pPr>
      <w:r>
        <w:t xml:space="preserve">ii) </w:t>
      </w:r>
      <w:proofErr w:type="gramStart"/>
      <w:r w:rsidR="00EB29D9" w:rsidRPr="00D31B2F">
        <w:t>Independent</w:t>
      </w:r>
      <w:proofErr w:type="gramEnd"/>
      <w:r w:rsidR="00EB29D9" w:rsidRPr="00D31B2F">
        <w:t xml:space="preserve"> information seeking strategies</w:t>
      </w:r>
    </w:p>
    <w:p w14:paraId="3A1F5467" w14:textId="1931D875" w:rsidR="00FF4595" w:rsidRPr="00C36F9C" w:rsidRDefault="005B4083" w:rsidP="008A4996">
      <w:pPr>
        <w:spacing w:line="480" w:lineRule="auto"/>
      </w:pPr>
      <w:r>
        <w:t>In additional to the formal support</w:t>
      </w:r>
      <w:r w:rsidR="0060647A">
        <w:t xml:space="preserve"> offered by the Trust, information seeking strategies were also initiated by the individual nurses themselves.  </w:t>
      </w:r>
      <w:r w:rsidR="008F4CEF">
        <w:t>Participants partially attributed their</w:t>
      </w:r>
      <w:r w:rsidR="00EB29D9" w:rsidRPr="00C36F9C">
        <w:t xml:space="preserve"> OSCE passes </w:t>
      </w:r>
      <w:r w:rsidR="0060647A">
        <w:t xml:space="preserve">to </w:t>
      </w:r>
      <w:r w:rsidR="00EB29D9" w:rsidRPr="00C36F9C">
        <w:t>using their own initiative</w:t>
      </w:r>
      <w:r w:rsidR="008F4CEF">
        <w:t xml:space="preserve"> and</w:t>
      </w:r>
      <w:r w:rsidR="00EB29D9" w:rsidRPr="00C36F9C">
        <w:t xml:space="preserve"> seeking the information they felt was necessary and relevant –</w:t>
      </w:r>
      <w:r w:rsidR="008F4CEF">
        <w:t xml:space="preserve">sometimes in divergence with </w:t>
      </w:r>
      <w:r w:rsidR="00EB29D9" w:rsidRPr="00C36F9C">
        <w:t xml:space="preserve">what </w:t>
      </w:r>
      <w:r w:rsidR="008F4CEF">
        <w:t xml:space="preserve">the Trust provided. </w:t>
      </w:r>
    </w:p>
    <w:p w14:paraId="5EF5CFA7" w14:textId="48139029" w:rsidR="00FF4595" w:rsidRPr="00C36F9C" w:rsidRDefault="00EB29D9" w:rsidP="008A4996">
      <w:pPr>
        <w:spacing w:line="480" w:lineRule="auto"/>
        <w:jc w:val="center"/>
      </w:pPr>
      <w:r w:rsidRPr="00C36F9C">
        <w:rPr>
          <w:i/>
        </w:rPr>
        <w:lastRenderedPageBreak/>
        <w:t>“We felt that if you follow what they're teaching us, we could fail.  So, we just follow what we've been practising and just practised with our own I think that’s the one that helped us, that worked.”</w:t>
      </w:r>
      <w:r w:rsidR="00B277F8">
        <w:rPr>
          <w:i/>
        </w:rPr>
        <w:t xml:space="preserve"> (FG4)</w:t>
      </w:r>
    </w:p>
    <w:p w14:paraId="172C2A83" w14:textId="6BDB1A6C" w:rsidR="00FF4595" w:rsidRDefault="00EB29D9" w:rsidP="008A4996">
      <w:pPr>
        <w:spacing w:line="480" w:lineRule="auto"/>
      </w:pPr>
      <w:r w:rsidRPr="00C36F9C">
        <w:t xml:space="preserve">Seeking OSCE relevant information </w:t>
      </w:r>
      <w:r w:rsidR="00FD757D">
        <w:t xml:space="preserve">independent </w:t>
      </w:r>
      <w:r w:rsidRPr="00C36F9C">
        <w:t xml:space="preserve">of the Trust’s own provisions was not </w:t>
      </w:r>
      <w:r w:rsidR="00FD757D">
        <w:t xml:space="preserve">restricted </w:t>
      </w:r>
      <w:r w:rsidRPr="00C36F9C">
        <w:t>to OS</w:t>
      </w:r>
      <w:r w:rsidR="0029689E">
        <w:t>CE exam preparatory material</w:t>
      </w:r>
      <w:r w:rsidR="00FD757D">
        <w:t>.</w:t>
      </w:r>
      <w:r w:rsidR="00FD757D" w:rsidRPr="00FD757D">
        <w:t xml:space="preserve"> </w:t>
      </w:r>
      <w:r w:rsidR="00FD757D">
        <w:t>S</w:t>
      </w:r>
      <w:r w:rsidR="00FD757D" w:rsidRPr="00C36F9C">
        <w:t xml:space="preserve">eeking informal sources of information from friends </w:t>
      </w:r>
      <w:r w:rsidR="00FD757D">
        <w:t xml:space="preserve">and colleagues </w:t>
      </w:r>
      <w:r w:rsidR="00FD757D" w:rsidRPr="00C36F9C">
        <w:t>who had already passed their OSCE</w:t>
      </w:r>
      <w:r w:rsidR="00FD757D">
        <w:t xml:space="preserve">s </w:t>
      </w:r>
      <w:r w:rsidR="00FD757D" w:rsidRPr="00C36F9C">
        <w:t>was also considered to be a successful preparatory strategy</w:t>
      </w:r>
      <w:r w:rsidRPr="00C36F9C">
        <w:t xml:space="preserve">.  This was used not just by the overseas nurses themselves, but by the Trust’s education team who also specifically sought to learn from previous cohorts </w:t>
      </w:r>
      <w:proofErr w:type="gramStart"/>
      <w:r w:rsidRPr="00C36F9C">
        <w:t>in order to</w:t>
      </w:r>
      <w:proofErr w:type="gramEnd"/>
      <w:r w:rsidRPr="00C36F9C">
        <w:t xml:space="preserve"> improve their future success rates.  </w:t>
      </w:r>
    </w:p>
    <w:p w14:paraId="1467AC33" w14:textId="452F7AB0" w:rsidR="00FF4595" w:rsidRPr="00D31B2F" w:rsidRDefault="00D75843" w:rsidP="00D75843">
      <w:pPr>
        <w:pStyle w:val="Heading3"/>
      </w:pPr>
      <w:r>
        <w:t xml:space="preserve">iii) </w:t>
      </w:r>
      <w:r w:rsidR="00EB29D9" w:rsidRPr="00D31B2F">
        <w:t>Intra-cultural and Intergenerational support</w:t>
      </w:r>
    </w:p>
    <w:p w14:paraId="6845D460" w14:textId="254092DB" w:rsidR="00FF4595" w:rsidRDefault="00EB29D9" w:rsidP="008A4996">
      <w:pPr>
        <w:spacing w:line="480" w:lineRule="auto"/>
      </w:pPr>
      <w:r>
        <w:t xml:space="preserve">Entering clinical areas where there was </w:t>
      </w:r>
      <w:proofErr w:type="gramStart"/>
      <w:r>
        <w:t>a majority of</w:t>
      </w:r>
      <w:proofErr w:type="gramEnd"/>
      <w:r>
        <w:t xml:space="preserve"> Filipino nurses already established was reassuring for the nurses, professionally and personally.  Newly arrived Filipinos fe</w:t>
      </w:r>
      <w:r w:rsidR="0060647A">
        <w:t xml:space="preserve">lt </w:t>
      </w:r>
      <w:r w:rsidR="007A3912">
        <w:t xml:space="preserve">more comfortable asking </w:t>
      </w:r>
      <w:r w:rsidR="0060647A">
        <w:t>Filipino</w:t>
      </w:r>
      <w:r w:rsidR="007A3912">
        <w:t xml:space="preserve"> colleagues </w:t>
      </w:r>
      <w:proofErr w:type="gramStart"/>
      <w:r w:rsidR="007A3912">
        <w:t>questions, and</w:t>
      </w:r>
      <w:proofErr w:type="gramEnd"/>
      <w:r w:rsidR="007A3912">
        <w:t xml:space="preserve"> reported feeling more</w:t>
      </w:r>
      <w:r w:rsidR="0060647A">
        <w:t xml:space="preserve"> able to </w:t>
      </w:r>
      <w:r>
        <w:t xml:space="preserve">manage on a shift as </w:t>
      </w:r>
      <w:r w:rsidR="0060647A">
        <w:t xml:space="preserve">result.  </w:t>
      </w:r>
    </w:p>
    <w:p w14:paraId="59F15B63" w14:textId="3BAE9BBD" w:rsidR="00FF4595" w:rsidRDefault="00EB29D9" w:rsidP="008A4996">
      <w:pPr>
        <w:spacing w:line="480" w:lineRule="auto"/>
        <w:jc w:val="center"/>
        <w:rPr>
          <w:i/>
        </w:rPr>
      </w:pPr>
      <w:r>
        <w:rPr>
          <w:i/>
        </w:rPr>
        <w:t xml:space="preserve">“If I have a Filipino colleague who has the same shift, it’s easier for us to cope because we can ask questions, it’s like we’re coming from the same </w:t>
      </w:r>
      <w:proofErr w:type="gramStart"/>
      <w:r>
        <w:rPr>
          <w:i/>
        </w:rPr>
        <w:t>place</w:t>
      </w:r>
      <w:proofErr w:type="gramEnd"/>
      <w:r>
        <w:rPr>
          <w:i/>
        </w:rPr>
        <w:t xml:space="preserve"> so we have the same practices”</w:t>
      </w:r>
      <w:r w:rsidR="00B277F8">
        <w:rPr>
          <w:i/>
        </w:rPr>
        <w:t xml:space="preserve"> (FG1)</w:t>
      </w:r>
    </w:p>
    <w:p w14:paraId="1B4BD01D" w14:textId="60300479" w:rsidR="00FF4595" w:rsidRDefault="00EB29D9" w:rsidP="008A4996">
      <w:pPr>
        <w:spacing w:line="480" w:lineRule="auto"/>
      </w:pPr>
      <w:r>
        <w:t>Informal, intergenerational learning occurred between longer-established Filipino nurses and recent arrivals, with the latter s</w:t>
      </w:r>
      <w:r w:rsidR="0060647A">
        <w:t>pecifically seeking the former’s knowledge in some instances</w:t>
      </w:r>
      <w:r>
        <w:t xml:space="preserve">.   </w:t>
      </w:r>
      <w:r w:rsidR="007A3912">
        <w:t>The m</w:t>
      </w:r>
      <w:r>
        <w:t xml:space="preserve">ore established Filipino nurses were encouraging </w:t>
      </w:r>
      <w:r w:rsidR="007A3912">
        <w:t xml:space="preserve">to their less experienced peers </w:t>
      </w:r>
      <w:r>
        <w:t xml:space="preserve">and advised the nurses on their future career development. </w:t>
      </w:r>
      <w:r w:rsidR="007A3912">
        <w:t xml:space="preserve"> Similarly, t</w:t>
      </w:r>
      <w:r>
        <w:t xml:space="preserve">he cultural aspects of working as a nurse in the UK, which were not covered or addressed within the </w:t>
      </w:r>
      <w:r w:rsidR="0060647A">
        <w:t>Trust’s training provisions</w:t>
      </w:r>
      <w:r>
        <w:t xml:space="preserve">, were acquired informally </w:t>
      </w:r>
      <w:r w:rsidR="007A3912">
        <w:t>from</w:t>
      </w:r>
      <w:r>
        <w:t xml:space="preserve"> the </w:t>
      </w:r>
      <w:r w:rsidR="007A3912">
        <w:t xml:space="preserve">longer </w:t>
      </w:r>
      <w:r>
        <w:t>established Filipino nurses:</w:t>
      </w:r>
    </w:p>
    <w:p w14:paraId="467BB8A2" w14:textId="20A24CCE" w:rsidR="00FF4595" w:rsidRDefault="00EB29D9" w:rsidP="008A4996">
      <w:pPr>
        <w:spacing w:line="480" w:lineRule="auto"/>
        <w:jc w:val="center"/>
        <w:rPr>
          <w:i/>
        </w:rPr>
      </w:pPr>
      <w:r>
        <w:rPr>
          <w:i/>
        </w:rPr>
        <w:t>“They already know how things are done because they’ve been here a long time, they tell you about the culture, so it’s nice to have that kind of support”</w:t>
      </w:r>
      <w:r w:rsidR="00B277F8">
        <w:rPr>
          <w:i/>
        </w:rPr>
        <w:t xml:space="preserve"> (FG6)</w:t>
      </w:r>
    </w:p>
    <w:p w14:paraId="1366FF5D" w14:textId="38AB4A3D" w:rsidR="00FF4595" w:rsidRDefault="00EB29D9" w:rsidP="008A4996">
      <w:pPr>
        <w:spacing w:line="480" w:lineRule="auto"/>
      </w:pPr>
      <w:r>
        <w:lastRenderedPageBreak/>
        <w:t xml:space="preserve">Despite the value placed on personal support and guidance from more experienced colleagues, this was not always available to the extent that it was desired.    Accounts were given of supernumerary periods not being protected, with limited exposure to mentors and preceptors during their preceptorship period.  </w:t>
      </w:r>
      <w:r w:rsidR="004F2FB7">
        <w:t>Some of the nurses felt that n</w:t>
      </w:r>
      <w:r>
        <w:t>eeding to get</w:t>
      </w:r>
      <w:r w:rsidR="00FC3096">
        <w:t xml:space="preserve"> Trust-specific</w:t>
      </w:r>
      <w:r>
        <w:t xml:space="preserve"> competencies signed off in practice led to </w:t>
      </w:r>
      <w:r w:rsidR="004F2FB7">
        <w:t>them feeling a</w:t>
      </w:r>
      <w:r>
        <w:t xml:space="preserve"> ‘burden’ on their colleagues, while having a mentor or ‘buddy’ who was also an overseas nurse, with recent experience of joining the Trust and who could offer guidance in this respect was preferred.  Indeed, a system of ‘buddying up</w:t>
      </w:r>
      <w:r w:rsidR="004F2FB7">
        <w:t>’ nurses in this manner was reported</w:t>
      </w:r>
      <w:r>
        <w:t xml:space="preserve"> to be in the process of being started at one of the Trusts for the benefit of future cohorts of overseas nurses, a scheme which the nurses viewed positively.  </w:t>
      </w:r>
    </w:p>
    <w:p w14:paraId="715F4476" w14:textId="77777777" w:rsidR="00FF4595" w:rsidRDefault="00EB29D9" w:rsidP="00DA0222">
      <w:pPr>
        <w:pStyle w:val="Heading1"/>
      </w:pPr>
      <w:r>
        <w:t>DISCUSSION</w:t>
      </w:r>
    </w:p>
    <w:p w14:paraId="6ED24D1D" w14:textId="1F2EE6B1" w:rsidR="00FF4595" w:rsidRDefault="00EB29D9" w:rsidP="008A4996">
      <w:pPr>
        <w:spacing w:line="480" w:lineRule="auto"/>
      </w:pPr>
      <w:r>
        <w:t xml:space="preserve">The findings revealed </w:t>
      </w:r>
      <w:proofErr w:type="gramStart"/>
      <w:r>
        <w:t>a number of</w:t>
      </w:r>
      <w:proofErr w:type="gramEnd"/>
      <w:r>
        <w:t xml:space="preserve"> issues in respect to the competency assessment process for overseas nurses in the UK</w:t>
      </w:r>
      <w:r w:rsidR="0053314B">
        <w:t xml:space="preserve">. Firstly, in relation to </w:t>
      </w:r>
      <w:r>
        <w:t xml:space="preserve">pass rates, </w:t>
      </w:r>
      <w:r w:rsidR="0053314B">
        <w:t xml:space="preserve">the </w:t>
      </w:r>
      <w:r>
        <w:t>content and appropriateness of the English tests</w:t>
      </w:r>
      <w:r w:rsidR="0053314B">
        <w:t xml:space="preserve"> and their relation to practice. Next,</w:t>
      </w:r>
      <w:r>
        <w:t xml:space="preserve"> the relevance and applicability of </w:t>
      </w:r>
      <w:r w:rsidR="0053314B">
        <w:t xml:space="preserve">the OSCEs to clinical practice and the </w:t>
      </w:r>
      <w:r>
        <w:t>in/adequacy of Trusts’ support in ach</w:t>
      </w:r>
      <w:r w:rsidR="0053314B">
        <w:t>ieving competency requirements. Finally,</w:t>
      </w:r>
      <w:r>
        <w:t xml:space="preserve"> the strategies and techniques utilised by the nurses to mitigate for competency support shortcomings. </w:t>
      </w:r>
    </w:p>
    <w:p w14:paraId="14E54142" w14:textId="49B17582" w:rsidR="00FF4595" w:rsidRDefault="00EB29D9" w:rsidP="008A4996">
      <w:pPr>
        <w:spacing w:line="480" w:lineRule="auto"/>
      </w:pPr>
      <w:r>
        <w:t xml:space="preserve">English language competency requirements for nurses not trained in the UK are </w:t>
      </w:r>
      <w:r w:rsidR="00480BCC">
        <w:t xml:space="preserve">currently </w:t>
      </w:r>
      <w:r>
        <w:t xml:space="preserve">situated between </w:t>
      </w:r>
      <w:proofErr w:type="gramStart"/>
      <w:r>
        <w:t>a number of</w:t>
      </w:r>
      <w:proofErr w:type="gramEnd"/>
      <w:r>
        <w:t xml:space="preserve"> competing priorities. The ‘right’ level of English language requirements are balanced between ensuring they are high enough to avoid posing an unacceptable risk to patient safety and satisfaction, yet robust enough to withstand pressures to ease language requirements to meet increasing demand for overseas nurses in the UK (NHS</w:t>
      </w:r>
      <w:r w:rsidR="0054388D">
        <w:t>,</w:t>
      </w:r>
      <w:r>
        <w:t xml:space="preserve"> </w:t>
      </w:r>
      <w:r w:rsidR="00F628B8">
        <w:t>2019b</w:t>
      </w:r>
      <w:r>
        <w:t>). They must also be justifiable in the face of increasing evidence and campaigns (</w:t>
      </w:r>
      <w:proofErr w:type="spellStart"/>
      <w:r>
        <w:t>Ceriac</w:t>
      </w:r>
      <w:proofErr w:type="spellEnd"/>
      <w:r w:rsidR="0054388D">
        <w:t>,</w:t>
      </w:r>
      <w:r>
        <w:t xml:space="preserve"> 2013) that they are </w:t>
      </w:r>
      <w:r w:rsidR="00FB0BA7">
        <w:t xml:space="preserve">unpopular, </w:t>
      </w:r>
      <w:r>
        <w:t>unnecessarily difficult (Allan and Westwood</w:t>
      </w:r>
      <w:r w:rsidR="0054388D">
        <w:t>,</w:t>
      </w:r>
      <w:r w:rsidR="00FB0BA7">
        <w:t xml:space="preserve"> 2016) and have</w:t>
      </w:r>
      <w:r>
        <w:t xml:space="preserve"> questionable validity, especially in terms of what is required in clinical practice (Moore</w:t>
      </w:r>
      <w:r w:rsidR="0054388D">
        <w:t>,</w:t>
      </w:r>
      <w:r>
        <w:t xml:space="preserve"> 2015).  </w:t>
      </w:r>
    </w:p>
    <w:p w14:paraId="31B02DB3" w14:textId="08860DCB" w:rsidR="0053314B" w:rsidRDefault="00EB29D9" w:rsidP="008A4996">
      <w:pPr>
        <w:spacing w:line="480" w:lineRule="auto"/>
      </w:pPr>
      <w:r>
        <w:lastRenderedPageBreak/>
        <w:t>Test validity, i.e.</w:t>
      </w:r>
      <w:r w:rsidR="009F04AC">
        <w:t>,</w:t>
      </w:r>
      <w:r>
        <w:t xml:space="preserve"> how well these tests assess English language relevant to nursing practice, needs to be the </w:t>
      </w:r>
      <w:proofErr w:type="gramStart"/>
      <w:r>
        <w:t>first priority</w:t>
      </w:r>
      <w:proofErr w:type="gramEnd"/>
      <w:r>
        <w:t xml:space="preserve"> when choosing an Eng</w:t>
      </w:r>
      <w:r w:rsidR="00AF7F05">
        <w:t>lish test for nurses (</w:t>
      </w:r>
      <w:r>
        <w:t>Sedgwick</w:t>
      </w:r>
      <w:r w:rsidR="00AF7F05">
        <w:t xml:space="preserve"> and Garner, </w:t>
      </w:r>
      <w:r>
        <w:t>2017). However</w:t>
      </w:r>
      <w:r w:rsidR="009F04AC">
        <w:t>,</w:t>
      </w:r>
      <w:r>
        <w:t xml:space="preserve"> there are indications that current</w:t>
      </w:r>
      <w:r w:rsidR="00FB0BA7">
        <w:t xml:space="preserve"> IELTS and OET</w:t>
      </w:r>
      <w:r>
        <w:t xml:space="preserve"> tests may not be the most valid method of prov</w:t>
      </w:r>
      <w:r w:rsidR="0053314B">
        <w:t xml:space="preserve">ing English language capability since </w:t>
      </w:r>
      <w:r w:rsidR="0053314B" w:rsidRPr="0053314B">
        <w:t xml:space="preserve">migrant nurses with prior experience of working in an English-speaking environment have been found to be at no greater advantage when it came to passing their IELTS or OET the first time compared to those without prior experience (Lynch, 2016).  </w:t>
      </w:r>
    </w:p>
    <w:p w14:paraId="3A052DDC" w14:textId="3B19210E" w:rsidR="00FF4595" w:rsidRDefault="00517554" w:rsidP="008A4996">
      <w:pPr>
        <w:spacing w:line="480" w:lineRule="auto"/>
      </w:pPr>
      <w:r>
        <w:t>Native English</w:t>
      </w:r>
      <w:r w:rsidR="009F04AC">
        <w:t>-</w:t>
      </w:r>
      <w:r>
        <w:t xml:space="preserve">speaking Australian nurses, who historically had to pass the IELTS to practice in other </w:t>
      </w:r>
      <w:proofErr w:type="gramStart"/>
      <w:r>
        <w:t>English speaking</w:t>
      </w:r>
      <w:proofErr w:type="gramEnd"/>
      <w:r>
        <w:t xml:space="preserve"> countries like the UK, have also been found to have difficulty in passing the IETLS to the required standard (McKew, 2017; Tapper, 2017; HCL, 2017), raising serious questions about the degree of difficulty and suitability of existing test mechanisms, and their ability to accurately reflect English language competency.  </w:t>
      </w:r>
      <w:r w:rsidR="00EB29D9">
        <w:t xml:space="preserve">The findings from the Filipino nurses in this study add further weight to the position that an IELTS Academic Level 7 is an </w:t>
      </w:r>
      <w:r w:rsidR="00FB0BA7">
        <w:t xml:space="preserve">unpopular, </w:t>
      </w:r>
      <w:r w:rsidR="00EB29D9">
        <w:t xml:space="preserve">unnecessarily </w:t>
      </w:r>
      <w:proofErr w:type="gramStart"/>
      <w:r w:rsidR="00EB29D9">
        <w:t>difficult</w:t>
      </w:r>
      <w:proofErr w:type="gramEnd"/>
      <w:r w:rsidR="00EB29D9">
        <w:t xml:space="preserve"> and inappropriate indicator of English language competency in relation to what is needed in practice.  </w:t>
      </w:r>
    </w:p>
    <w:p w14:paraId="73BD2331" w14:textId="2A7560F2" w:rsidR="00FF4595" w:rsidRDefault="00EB29D9" w:rsidP="008A4996">
      <w:pPr>
        <w:spacing w:line="480" w:lineRule="auto"/>
      </w:pPr>
      <w:r>
        <w:t>Unnecessarily difficult English competency tests, which are disconnected from what is required in practice, did not just lead to frustration and delays in acquiring employment in the UK amon</w:t>
      </w:r>
      <w:r w:rsidR="0053314B">
        <w:t>gst participants</w:t>
      </w:r>
      <w:r>
        <w:t xml:space="preserve"> in this study, but also led to a lack of trust in these exams and those who administer them. Over the last few years English language test requirements have been subject to frequent changes, and whilst concerns </w:t>
      </w:r>
      <w:r w:rsidR="00FB0BA7">
        <w:t xml:space="preserve">may </w:t>
      </w:r>
      <w:r>
        <w:t>potentially lessen with the lowering to 6.5 in one of the four IELTS areas</w:t>
      </w:r>
      <w:r w:rsidR="001D46DA">
        <w:t xml:space="preserve"> (see supplementary materials</w:t>
      </w:r>
      <w:r w:rsidR="00517554">
        <w:t>)</w:t>
      </w:r>
      <w:r>
        <w:t xml:space="preserve">, the relevance and validity questions </w:t>
      </w:r>
      <w:proofErr w:type="gramStart"/>
      <w:r>
        <w:t>still remain</w:t>
      </w:r>
      <w:proofErr w:type="gramEnd"/>
      <w:r>
        <w:t xml:space="preserve">. </w:t>
      </w:r>
      <w:r w:rsidR="00023FBC">
        <w:t>Rumsey et al</w:t>
      </w:r>
      <w:r w:rsidR="00212950">
        <w:t>.</w:t>
      </w:r>
      <w:r w:rsidR="00023FBC">
        <w:t xml:space="preserve"> (2016) found that nurses did not think that either the OET or the IELTS were adequate</w:t>
      </w:r>
      <w:r w:rsidR="009F04AC">
        <w:t xml:space="preserve"> </w:t>
      </w:r>
      <w:r w:rsidR="00023FBC">
        <w:t>measures of their communicative ability in a clinical context, however perceptions towards the OET remain unex</w:t>
      </w:r>
      <w:r w:rsidR="00374C74">
        <w:t xml:space="preserve">amined </w:t>
      </w:r>
      <w:r w:rsidR="00023FBC">
        <w:t xml:space="preserve">in a UK context. Nevertheless, </w:t>
      </w:r>
      <w:r>
        <w:t>this study’s findings</w:t>
      </w:r>
      <w:r w:rsidR="0053314B">
        <w:t xml:space="preserve"> indicated that the OET</w:t>
      </w:r>
      <w:r w:rsidR="008D412B">
        <w:t xml:space="preserve"> </w:t>
      </w:r>
      <w:r>
        <w:t>may be both easier and more relevant to nursing pra</w:t>
      </w:r>
      <w:r w:rsidR="008D412B">
        <w:t>ctice</w:t>
      </w:r>
      <w:r w:rsidR="00374C74">
        <w:t xml:space="preserve"> than the </w:t>
      </w:r>
      <w:r w:rsidR="0052790E">
        <w:t>IELTS</w:t>
      </w:r>
      <w:r w:rsidR="008D412B">
        <w:t xml:space="preserve">, </w:t>
      </w:r>
      <w:r>
        <w:t xml:space="preserve">albeit more expensive.  Negative perceptions of the IELTS exam can reflect poorly on migration experiences, yet frequent changes to overseas nursing competency requirements can also be frustrating for those who are trying to </w:t>
      </w:r>
      <w:r>
        <w:lastRenderedPageBreak/>
        <w:t>navigate the system (Rumsey et al</w:t>
      </w:r>
      <w:r w:rsidR="00E87977">
        <w:t>.,</w:t>
      </w:r>
      <w:r>
        <w:t xml:space="preserve"> 2016). The impact of the</w:t>
      </w:r>
      <w:r w:rsidR="0053314B">
        <w:t xml:space="preserve"> most recent changes to the Test of Competence process introduced by the </w:t>
      </w:r>
      <w:r>
        <w:t>NMC</w:t>
      </w:r>
      <w:r w:rsidR="0053314B">
        <w:t xml:space="preserve"> in August 2021</w:t>
      </w:r>
      <w:r>
        <w:t xml:space="preserve"> on the quality of suppor</w:t>
      </w:r>
      <w:r w:rsidR="0053314B">
        <w:t xml:space="preserve">t offered by Trusts </w:t>
      </w:r>
      <w:r w:rsidR="00806FE6">
        <w:t>requires scrutiny</w:t>
      </w:r>
      <w:r>
        <w:t>, given that significant</w:t>
      </w:r>
      <w:r w:rsidR="00BD187F">
        <w:t xml:space="preserve"> NHS situated change</w:t>
      </w:r>
      <w:r>
        <w:t xml:space="preserve"> can be disruptive to those subjected to them, and</w:t>
      </w:r>
      <w:r w:rsidR="00BD187F">
        <w:t xml:space="preserve"> ultimately</w:t>
      </w:r>
      <w:r>
        <w:t xml:space="preserve"> counter-intuitive to their initial aims (Allen et al</w:t>
      </w:r>
      <w:r w:rsidR="00E87977">
        <w:t>.,</w:t>
      </w:r>
      <w:r w:rsidR="00E018BD">
        <w:t xml:space="preserve"> 2013).  </w:t>
      </w:r>
    </w:p>
    <w:p w14:paraId="3ECD8CEE" w14:textId="7FD5017B" w:rsidR="00FF4595" w:rsidRDefault="00EB29D9" w:rsidP="008A4996">
      <w:pPr>
        <w:spacing w:line="480" w:lineRule="auto"/>
      </w:pPr>
      <w:r>
        <w:t xml:space="preserve">Concerns for the validity of competency tests were not just limited to the English Language competency </w:t>
      </w:r>
      <w:proofErr w:type="gramStart"/>
      <w:r>
        <w:t>tests, but</w:t>
      </w:r>
      <w:proofErr w:type="gramEnd"/>
      <w:r>
        <w:t xml:space="preserve"> were also found amongst the Filipino nurses in relation the OSCEs.</w:t>
      </w:r>
      <w:r w:rsidR="006861DD">
        <w:t xml:space="preserve"> The nurses in this study perceived the </w:t>
      </w:r>
      <w:r>
        <w:t xml:space="preserve">clinical skills and procedures required of </w:t>
      </w:r>
      <w:r w:rsidR="006861DD">
        <w:t xml:space="preserve">the OSCEs as </w:t>
      </w:r>
      <w:r w:rsidR="00E018BD">
        <w:t>markedly different to those required by their employer</w:t>
      </w:r>
      <w:r>
        <w:t xml:space="preserve"> Trusts, echoing </w:t>
      </w:r>
      <w:r w:rsidR="00FC3096">
        <w:t>Foster (2018)</w:t>
      </w:r>
      <w:r w:rsidR="000C3E7F">
        <w:t xml:space="preserve"> who found that </w:t>
      </w:r>
      <w:r w:rsidR="00806FE6">
        <w:t>education l</w:t>
      </w:r>
      <w:r>
        <w:t xml:space="preserve">eads </w:t>
      </w:r>
      <w:r w:rsidR="000C3E7F">
        <w:t>had also</w:t>
      </w:r>
      <w:r>
        <w:t xml:space="preserve"> noted a disconnect between practice and OSCE </w:t>
      </w:r>
      <w:r w:rsidR="00FC3096">
        <w:t xml:space="preserve">requirements.  </w:t>
      </w:r>
      <w:r>
        <w:t xml:space="preserve">Against the backdrop of perceived inadequacies of existing competency systems and processes for overseas nurses, information seeking strategies were demonstrated by the nurses themselves as a means of ameliorating these. The nurses were resourceful in seeking professional and informal support from other Filipino nurses, with the informal support used to mitigate the structural lack of support and information provisions by formal institutions.  </w:t>
      </w:r>
    </w:p>
    <w:p w14:paraId="07197748" w14:textId="35651C8D" w:rsidR="008A4996" w:rsidRDefault="00EB29D9" w:rsidP="008A4996">
      <w:pPr>
        <w:spacing w:line="480" w:lineRule="auto"/>
      </w:pPr>
      <w:r>
        <w:t>Nevertheless, despite some of the shortcomings identified of existing competencies (both NMC competency</w:t>
      </w:r>
      <w:r w:rsidR="00BD187F">
        <w:t xml:space="preserve"> and Trust/ward competency) there was evidence of good </w:t>
      </w:r>
      <w:r w:rsidR="00B5334E">
        <w:t>practice by nurse e</w:t>
      </w:r>
      <w:r>
        <w:t xml:space="preserve">ducation staff who were not just engaging overseas nurses in service </w:t>
      </w:r>
      <w:proofErr w:type="gramStart"/>
      <w:r>
        <w:t>improvements, but</w:t>
      </w:r>
      <w:proofErr w:type="gramEnd"/>
      <w:r>
        <w:t xml:space="preserve"> were also implementing this for the benefit of future overseas nurse cohorts.  In contradiction to the broader tendency among NHS organisations to be ‘institutionally deaf’ to points of concern (Pope</w:t>
      </w:r>
      <w:r w:rsidR="00E87977">
        <w:t>,</w:t>
      </w:r>
      <w:r>
        <w:t xml:space="preserve"> 2017), the education leads were engaged in active listen</w:t>
      </w:r>
      <w:r w:rsidR="00517554">
        <w:t xml:space="preserve">ing and programme improvements.  </w:t>
      </w:r>
      <w:r>
        <w:t>Nurses who report higher levels of engagement and involvement in decision</w:t>
      </w:r>
      <w:r w:rsidR="00806FE6">
        <w:t xml:space="preserve"> making have been found to </w:t>
      </w:r>
      <w:r>
        <w:t xml:space="preserve">report </w:t>
      </w:r>
      <w:r w:rsidR="005F0E89">
        <w:t>higher</w:t>
      </w:r>
      <w:r>
        <w:t xml:space="preserve"> levels of job satisfaction</w:t>
      </w:r>
      <w:r w:rsidR="00D00586">
        <w:t xml:space="preserve">, </w:t>
      </w:r>
      <w:r w:rsidR="005F0E89">
        <w:t xml:space="preserve">and lower </w:t>
      </w:r>
      <w:r w:rsidR="00D00586">
        <w:t>burnout</w:t>
      </w:r>
      <w:r>
        <w:t xml:space="preserve"> </w:t>
      </w:r>
      <w:r w:rsidR="00D00586">
        <w:t xml:space="preserve">and </w:t>
      </w:r>
      <w:r>
        <w:t>intent to leave (</w:t>
      </w:r>
      <w:proofErr w:type="spellStart"/>
      <w:r>
        <w:t>Kutney</w:t>
      </w:r>
      <w:proofErr w:type="spellEnd"/>
      <w:r>
        <w:t>-Lee</w:t>
      </w:r>
      <w:r w:rsidR="00E87977">
        <w:t>,</w:t>
      </w:r>
      <w:r w:rsidR="005F0E89">
        <w:t xml:space="preserve"> 2016). Feeling</w:t>
      </w:r>
      <w:r>
        <w:t xml:space="preserve"> </w:t>
      </w:r>
      <w:r w:rsidR="005F0E89">
        <w:t xml:space="preserve">that concerns are listened to, and responded to, </w:t>
      </w:r>
      <w:r w:rsidR="00AC6981" w:rsidRPr="00806FE6">
        <w:t>is</w:t>
      </w:r>
      <w:r w:rsidR="005F0E89">
        <w:t xml:space="preserve"> also</w:t>
      </w:r>
      <w:r w:rsidR="00AC6981">
        <w:t xml:space="preserve"> </w:t>
      </w:r>
      <w:r>
        <w:t xml:space="preserve">associated with less burnout </w:t>
      </w:r>
      <w:r w:rsidR="005F0E89">
        <w:t xml:space="preserve">amongst nurses </w:t>
      </w:r>
      <w:r>
        <w:t>(Holland et al</w:t>
      </w:r>
      <w:r w:rsidR="00E87977">
        <w:t>.,</w:t>
      </w:r>
      <w:r w:rsidR="00BD187F">
        <w:t xml:space="preserve"> 2013).</w:t>
      </w:r>
      <w:r>
        <w:t xml:space="preserve"> The involvement of overseas nurses in the improvement of Trust-situated educational and competency</w:t>
      </w:r>
      <w:r w:rsidR="00517554">
        <w:t xml:space="preserve"> programmes therefore </w:t>
      </w:r>
      <w:r>
        <w:t xml:space="preserve">may not just benefit future cohorts of overseas </w:t>
      </w:r>
      <w:proofErr w:type="gramStart"/>
      <w:r>
        <w:lastRenderedPageBreak/>
        <w:t>nurses, but</w:t>
      </w:r>
      <w:proofErr w:type="gramEnd"/>
      <w:r>
        <w:t xml:space="preserve"> may have</w:t>
      </w:r>
      <w:r w:rsidR="00BD187F">
        <w:t xml:space="preserve"> the potential to have</w:t>
      </w:r>
      <w:r>
        <w:t xml:space="preserve"> positive outcomes for the Tr</w:t>
      </w:r>
      <w:r w:rsidR="0032530D">
        <w:t>ust and the contributing nurses</w:t>
      </w:r>
      <w:r>
        <w:t xml:space="preserve"> themselves at a time when their confidence</w:t>
      </w:r>
      <w:r w:rsidR="00D00586">
        <w:t xml:space="preserve"> in their professional competencies</w:t>
      </w:r>
      <w:r>
        <w:t xml:space="preserve"> may be diminished. Improvements to existing competenc</w:t>
      </w:r>
      <w:r w:rsidR="00BB36F5">
        <w:t>y requirements and the support within NHS Trusts are required, which o</w:t>
      </w:r>
      <w:r>
        <w:t xml:space="preserve">verseas nurses </w:t>
      </w:r>
      <w:r w:rsidR="00BB36F5">
        <w:t xml:space="preserve">can </w:t>
      </w:r>
      <w:r>
        <w:t>make a unique contribution towards. This is not just through their experiences, but also through their vantage point of being cultural ‘outsiders’ with unique comparative perspectives that can reveal blind spots within the organisation</w:t>
      </w:r>
      <w:r w:rsidR="00BC20CA">
        <w:t xml:space="preserve"> that may</w:t>
      </w:r>
      <w:r>
        <w:t xml:space="preserve"> not </w:t>
      </w:r>
      <w:r w:rsidR="00BC20CA">
        <w:t xml:space="preserve">be </w:t>
      </w:r>
      <w:r>
        <w:t>obvious to those who are immersed within it (</w:t>
      </w:r>
      <w:proofErr w:type="spellStart"/>
      <w:r>
        <w:t>Gillin</w:t>
      </w:r>
      <w:proofErr w:type="spellEnd"/>
      <w:r w:rsidR="00E87977">
        <w:t>,</w:t>
      </w:r>
      <w:r w:rsidR="00BB36F5">
        <w:t xml:space="preserve"> 2020).  Though contributions of overseas nurses to service improvement</w:t>
      </w:r>
      <w:r w:rsidR="00D00586">
        <w:t xml:space="preserve"> and development</w:t>
      </w:r>
      <w:r>
        <w:t xml:space="preserve"> remains an under-explored aspect of nurs</w:t>
      </w:r>
      <w:r w:rsidR="00BB36F5">
        <w:t xml:space="preserve">ing research and practice, there is scope in exploring the </w:t>
      </w:r>
      <w:r>
        <w:t>pot</w:t>
      </w:r>
      <w:r w:rsidR="00BB36F5">
        <w:t xml:space="preserve">ential benefits for service, </w:t>
      </w:r>
      <w:r>
        <w:t>workforce</w:t>
      </w:r>
      <w:r w:rsidR="00BB36F5">
        <w:t xml:space="preserve"> and patient care</w:t>
      </w:r>
      <w:r>
        <w:t xml:space="preserve"> improvements</w:t>
      </w:r>
      <w:r w:rsidR="00651795">
        <w:t xml:space="preserve"> than can be generated</w:t>
      </w:r>
      <w:r w:rsidR="00BB36F5">
        <w:t xml:space="preserve"> should their unique perspectives be taken in account.  </w:t>
      </w:r>
    </w:p>
    <w:p w14:paraId="1F996EEB" w14:textId="548BCE03" w:rsidR="00923989" w:rsidRDefault="00923989" w:rsidP="008A4996">
      <w:pPr>
        <w:spacing w:line="480" w:lineRule="auto"/>
        <w:rPr>
          <w:u w:val="single"/>
        </w:rPr>
      </w:pPr>
      <w:r w:rsidRPr="00923989">
        <w:rPr>
          <w:u w:val="single"/>
        </w:rPr>
        <w:t xml:space="preserve">Limitations </w:t>
      </w:r>
    </w:p>
    <w:p w14:paraId="7BC6DC11" w14:textId="60E24E9E" w:rsidR="00923989" w:rsidRPr="00923989" w:rsidRDefault="00923989" w:rsidP="008A4996">
      <w:pPr>
        <w:spacing w:line="480" w:lineRule="auto"/>
      </w:pPr>
      <w:r w:rsidRPr="00923989">
        <w:t xml:space="preserve">Given the frequent changes to the competency requirements some of the findings from this paper may already have limited applicability.  For example, since </w:t>
      </w:r>
      <w:r w:rsidR="00BC20CA">
        <w:t>data collection</w:t>
      </w:r>
      <w:r w:rsidR="00112400">
        <w:t xml:space="preserve"> </w:t>
      </w:r>
      <w:r w:rsidRPr="00923989">
        <w:t xml:space="preserve">the participant’s conclusion that a Level 7 IELTS pass is excessive and inappropriate is not as </w:t>
      </w:r>
      <w:r w:rsidR="00BC20CA">
        <w:t xml:space="preserve">applicable </w:t>
      </w:r>
      <w:r w:rsidRPr="00923989">
        <w:t>given that IELTS requirements have since lessened slightly, and the OET is now an alternative option</w:t>
      </w:r>
      <w:r w:rsidR="00BC20CA">
        <w:t>. T</w:t>
      </w:r>
      <w:r w:rsidRPr="00923989">
        <w:t>he transferability of these findings to other groups</w:t>
      </w:r>
      <w:r w:rsidR="00BC20CA">
        <w:t xml:space="preserve"> of overseas nurses e.g.</w:t>
      </w:r>
      <w:r w:rsidR="009F04AC">
        <w:t>,</w:t>
      </w:r>
      <w:r w:rsidRPr="00923989">
        <w:t xml:space="preserve"> Indian nurses</w:t>
      </w:r>
      <w:r w:rsidR="00BC20CA">
        <w:t xml:space="preserve"> should also be considered</w:t>
      </w:r>
      <w:r w:rsidRPr="00923989">
        <w:t>.  Whilst some of the structural barriers found in the competency process (</w:t>
      </w:r>
      <w:r w:rsidR="00BC20CA">
        <w:t>e.g.</w:t>
      </w:r>
      <w:r w:rsidR="009F04AC">
        <w:t>,</w:t>
      </w:r>
      <w:r w:rsidR="00BC20CA">
        <w:t xml:space="preserve"> </w:t>
      </w:r>
      <w:r w:rsidRPr="00923989">
        <w:t>the</w:t>
      </w:r>
      <w:r w:rsidR="005E05E3">
        <w:t xml:space="preserve"> formal support offered by </w:t>
      </w:r>
      <w:r w:rsidR="005E05E3" w:rsidRPr="00614592">
        <w:t>the T</w:t>
      </w:r>
      <w:r w:rsidRPr="00614592">
        <w:t>rusts,</w:t>
      </w:r>
      <w:r w:rsidRPr="00923989">
        <w:t xml:space="preserve"> the frequent changes to the requirements and the consequences of failing the OSCEs within the given time frame) may apply to other overseas nurses, there may also be other aspects of the process which may not. This should be noted when interpreting these findings.  An expansion of this research to overseas nurses of other nationalities is therefore recommended.  </w:t>
      </w:r>
    </w:p>
    <w:p w14:paraId="443D04A4" w14:textId="30E3ECAE" w:rsidR="00FF4595" w:rsidRDefault="00FF4595" w:rsidP="008A4996">
      <w:pPr>
        <w:spacing w:line="480" w:lineRule="auto"/>
      </w:pPr>
    </w:p>
    <w:p w14:paraId="32FB9558" w14:textId="789D2B67" w:rsidR="00D75843" w:rsidRDefault="00D75843" w:rsidP="008A4996">
      <w:pPr>
        <w:spacing w:line="480" w:lineRule="auto"/>
      </w:pPr>
    </w:p>
    <w:p w14:paraId="409717D6" w14:textId="77777777" w:rsidR="00D75843" w:rsidRDefault="00D75843" w:rsidP="008A4996">
      <w:pPr>
        <w:spacing w:line="480" w:lineRule="auto"/>
      </w:pPr>
    </w:p>
    <w:p w14:paraId="73E7D4E7" w14:textId="2139C896" w:rsidR="00FF4595" w:rsidRDefault="00EB29D9" w:rsidP="00DA0222">
      <w:pPr>
        <w:pStyle w:val="Heading1"/>
      </w:pPr>
      <w:r>
        <w:lastRenderedPageBreak/>
        <w:t>CONCLUSION</w:t>
      </w:r>
    </w:p>
    <w:p w14:paraId="128F4F53" w14:textId="4064F7E1" w:rsidR="00FF4595" w:rsidRDefault="00EB29D9" w:rsidP="008A4996">
      <w:pPr>
        <w:spacing w:line="480" w:lineRule="auto"/>
      </w:pPr>
      <w:r>
        <w:t>This paper has contributed original findings in that it is the first paper, to the authors’ knowledge, that reports how migrant nurses in the UK experience the OSCE and the NMC’s Test of Competence process.  Test validity, a disparity between practice and theory</w:t>
      </w:r>
      <w:r w:rsidR="00112400">
        <w:t>,</w:t>
      </w:r>
      <w:r>
        <w:t xml:space="preserve"> and inappropriate support were raised as concerns regarding </w:t>
      </w:r>
      <w:r w:rsidR="00D00586">
        <w:t xml:space="preserve">both the OSCEs and the </w:t>
      </w:r>
      <w:r w:rsidR="0052790E">
        <w:t>IELTS</w:t>
      </w:r>
      <w:r>
        <w:t>.    Level 7 Academic IELTS was seen as a disproportionately difficult requirement compared to the standards of English that were needed in practice.  Knowledge and support gaps were mitigated to some degree through informal support, and independent information seeking</w:t>
      </w:r>
      <w:r w:rsidR="00AC6981" w:rsidRPr="00651795">
        <w:t>,</w:t>
      </w:r>
      <w:r>
        <w:t xml:space="preserve"> although the nurses’ enthusiasm and desire to learn exceeded the s</w:t>
      </w:r>
      <w:r w:rsidR="00651795">
        <w:t xml:space="preserve">upport available in some cases.  </w:t>
      </w:r>
      <w:r>
        <w:t xml:space="preserve">Having </w:t>
      </w:r>
      <w:r w:rsidR="00112400">
        <w:t xml:space="preserve">to meet NMC Test of Competence requirements concurrent to the competency requirement of their sponsor Trust was </w:t>
      </w:r>
      <w:r>
        <w:t>problematic for some of the nurses, especially if the competency requirements were viewed as contradictory to each other</w:t>
      </w:r>
      <w:r w:rsidR="00D00586">
        <w:t xml:space="preserve">.  </w:t>
      </w:r>
      <w:r w:rsidR="00E30A5D">
        <w:t>Nonetheless, g</w:t>
      </w:r>
      <w:r>
        <w:t>ood practice was evident amongst the education leads at the Trust</w:t>
      </w:r>
      <w:r w:rsidR="00BC20CA">
        <w:t>s</w:t>
      </w:r>
      <w:r>
        <w:t xml:space="preserve">. It remains </w:t>
      </w:r>
      <w:r w:rsidRPr="00614592">
        <w:t xml:space="preserve">to be seen if Trust support can continue to be maintained, </w:t>
      </w:r>
      <w:proofErr w:type="gramStart"/>
      <w:r w:rsidRPr="00614592">
        <w:t>improved</w:t>
      </w:r>
      <w:proofErr w:type="gramEnd"/>
      <w:r w:rsidRPr="00614592">
        <w:t xml:space="preserve"> or </w:t>
      </w:r>
      <w:r w:rsidR="00211489" w:rsidRPr="00614592">
        <w:t xml:space="preserve">jeopardised </w:t>
      </w:r>
      <w:r w:rsidR="002948A6" w:rsidRPr="00614592">
        <w:t xml:space="preserve">by the introduction of the further changes to the </w:t>
      </w:r>
      <w:r w:rsidRPr="00614592">
        <w:t>NMC competency process in</w:t>
      </w:r>
      <w:r w:rsidR="002948A6" w:rsidRPr="00614592">
        <w:t xml:space="preserve"> August</w:t>
      </w:r>
      <w:r w:rsidR="00674E62" w:rsidRPr="00614592">
        <w:t xml:space="preserve"> 2021.  Research whic</w:t>
      </w:r>
      <w:r w:rsidR="00417547" w:rsidRPr="00614592">
        <w:t xml:space="preserve">h revisits this topic </w:t>
      </w:r>
      <w:proofErr w:type="gramStart"/>
      <w:r w:rsidR="00417547" w:rsidRPr="00614592">
        <w:t>in light of</w:t>
      </w:r>
      <w:proofErr w:type="gramEnd"/>
      <w:r w:rsidR="00417547" w:rsidRPr="00614592">
        <w:t xml:space="preserve"> these changes, including an evaluation of</w:t>
      </w:r>
      <w:r w:rsidR="00674E62" w:rsidRPr="00614592">
        <w:t xml:space="preserve"> the</w:t>
      </w:r>
      <w:r w:rsidR="00651795" w:rsidRPr="00614592">
        <w:t xml:space="preserve"> NMC’s</w:t>
      </w:r>
      <w:r w:rsidR="00417547" w:rsidRPr="00614592">
        <w:t xml:space="preserve"> </w:t>
      </w:r>
      <w:r w:rsidR="00651795" w:rsidRPr="00614592">
        <w:t>recently introduced candidate support m</w:t>
      </w:r>
      <w:r w:rsidR="00674E62" w:rsidRPr="00614592">
        <w:t xml:space="preserve">aterials, is recommended.    </w:t>
      </w:r>
    </w:p>
    <w:p w14:paraId="6A7314D6" w14:textId="77777777" w:rsidR="00706E11" w:rsidRDefault="00706E11" w:rsidP="008A4996">
      <w:pPr>
        <w:spacing w:line="480" w:lineRule="auto"/>
      </w:pPr>
    </w:p>
    <w:p w14:paraId="48576F87" w14:textId="3994D217" w:rsidR="00D75843" w:rsidRDefault="002F0ED0" w:rsidP="008A4996">
      <w:pPr>
        <w:spacing w:line="480" w:lineRule="auto"/>
      </w:pPr>
      <w:r>
        <w:t>Declaration of Interest: This study was condu</w:t>
      </w:r>
      <w:r w:rsidR="00706E11">
        <w:t>cted using funding from</w:t>
      </w:r>
      <w:r>
        <w:t xml:space="preserve"> the Foundation for the Sociology of Health and Illness </w:t>
      </w:r>
      <w:r w:rsidR="00706E11">
        <w:t>Research Grant Development A</w:t>
      </w:r>
      <w:r w:rsidRPr="002F0ED0">
        <w:t>ward</w:t>
      </w:r>
      <w:r>
        <w:t xml:space="preserve">. </w:t>
      </w:r>
    </w:p>
    <w:p w14:paraId="7629B86B" w14:textId="52F2C29D" w:rsidR="0006795D" w:rsidRDefault="00D75843" w:rsidP="00D75843">
      <w:pPr>
        <w:spacing w:after="0" w:line="240" w:lineRule="auto"/>
      </w:pPr>
      <w:r>
        <w:br w:type="page"/>
      </w:r>
    </w:p>
    <w:p w14:paraId="02DFDACC" w14:textId="00324A05" w:rsidR="00FF4595" w:rsidRDefault="00E526D7" w:rsidP="00DA0222">
      <w:pPr>
        <w:pStyle w:val="Heading1"/>
        <w:rPr>
          <w:rStyle w:val="ListLabel1"/>
          <w:rFonts w:ascii="Calibri" w:hAnsi="Calibri" w:cs="Calibri"/>
        </w:rPr>
      </w:pPr>
      <w:r w:rsidRPr="007D25F1">
        <w:rPr>
          <w:rStyle w:val="ListLabel1"/>
          <w:rFonts w:ascii="Calibri" w:hAnsi="Calibri" w:cs="Calibri"/>
        </w:rPr>
        <w:lastRenderedPageBreak/>
        <w:t>R</w:t>
      </w:r>
      <w:r w:rsidR="001213FA">
        <w:rPr>
          <w:rStyle w:val="ListLabel1"/>
          <w:rFonts w:ascii="Calibri" w:hAnsi="Calibri" w:cs="Calibri"/>
        </w:rPr>
        <w:t>EFERENCES</w:t>
      </w:r>
    </w:p>
    <w:p w14:paraId="6B81BC2B" w14:textId="45AC308C" w:rsidR="009F52C0" w:rsidRDefault="009F52C0" w:rsidP="008A4996">
      <w:pPr>
        <w:spacing w:line="480" w:lineRule="auto"/>
      </w:pPr>
    </w:p>
    <w:p w14:paraId="5192F1E1" w14:textId="582F01A0" w:rsidR="00D33745" w:rsidRPr="0088788A" w:rsidRDefault="006117C2" w:rsidP="008A4996">
      <w:pPr>
        <w:spacing w:line="480" w:lineRule="auto"/>
        <w:rPr>
          <w:rFonts w:ascii="Calibri" w:hAnsi="Calibri" w:cs="Calibri"/>
        </w:rPr>
      </w:pPr>
      <w:r w:rsidRPr="0088788A">
        <w:rPr>
          <w:rFonts w:ascii="Calibri" w:hAnsi="Calibri" w:cs="Calibri"/>
        </w:rPr>
        <w:t xml:space="preserve">Allan, H., </w:t>
      </w:r>
      <w:r w:rsidR="00D33745" w:rsidRPr="0088788A">
        <w:rPr>
          <w:rFonts w:ascii="Calibri" w:hAnsi="Calibri" w:cs="Calibri"/>
        </w:rPr>
        <w:t xml:space="preserve">Westwood, S. (2015). English language skills requirements for internationally educated nurses working in the care industry: Barriers to UK registration or institutionalised discrimination? </w:t>
      </w:r>
      <w:r w:rsidR="00D33745" w:rsidRPr="0088788A">
        <w:rPr>
          <w:rFonts w:ascii="Calibri" w:hAnsi="Calibri" w:cs="Calibri"/>
          <w:i/>
        </w:rPr>
        <w:t>International Journal of Nursing Studies</w:t>
      </w:r>
      <w:r w:rsidRPr="0088788A">
        <w:rPr>
          <w:rFonts w:ascii="Calibri" w:hAnsi="Calibri" w:cs="Calibri"/>
          <w:i/>
        </w:rPr>
        <w:t>.</w:t>
      </w:r>
      <w:r w:rsidR="00D33745" w:rsidRPr="0088788A">
        <w:rPr>
          <w:rFonts w:ascii="Calibri" w:hAnsi="Calibri" w:cs="Calibri"/>
        </w:rPr>
        <w:t xml:space="preserve"> 54</w:t>
      </w:r>
      <w:r w:rsidRPr="0088788A">
        <w:rPr>
          <w:rFonts w:ascii="Calibri" w:hAnsi="Calibri" w:cs="Calibri"/>
        </w:rPr>
        <w:t xml:space="preserve">(2), </w:t>
      </w:r>
      <w:r w:rsidR="00D33745" w:rsidRPr="0088788A">
        <w:rPr>
          <w:rFonts w:ascii="Calibri" w:hAnsi="Calibri" w:cs="Calibri"/>
        </w:rPr>
        <w:t>1-4</w:t>
      </w:r>
      <w:r w:rsidRPr="0088788A">
        <w:rPr>
          <w:rFonts w:ascii="Calibri" w:hAnsi="Calibri" w:cs="Calibri"/>
        </w:rPr>
        <w:t>.</w:t>
      </w:r>
    </w:p>
    <w:p w14:paraId="379CC488" w14:textId="08032996" w:rsidR="008D412B" w:rsidRPr="0088788A" w:rsidRDefault="006117C2" w:rsidP="008A4996">
      <w:pPr>
        <w:spacing w:line="480" w:lineRule="auto"/>
        <w:rPr>
          <w:rFonts w:ascii="Calibri" w:hAnsi="Calibri" w:cs="Calibri"/>
        </w:rPr>
      </w:pPr>
      <w:r w:rsidRPr="0088788A">
        <w:rPr>
          <w:rFonts w:ascii="Calibri" w:hAnsi="Calibri" w:cs="Calibri"/>
        </w:rPr>
        <w:t>Allan H.T.,</w:t>
      </w:r>
      <w:r w:rsidR="008D412B" w:rsidRPr="0088788A">
        <w:rPr>
          <w:rFonts w:ascii="Calibri" w:hAnsi="Calibri" w:cs="Calibri"/>
        </w:rPr>
        <w:t xml:space="preserve"> Westwood</w:t>
      </w:r>
      <w:r w:rsidRPr="0088788A">
        <w:rPr>
          <w:rFonts w:ascii="Calibri" w:hAnsi="Calibri" w:cs="Calibri"/>
        </w:rPr>
        <w:t>,</w:t>
      </w:r>
      <w:r w:rsidR="008D412B" w:rsidRPr="0088788A">
        <w:rPr>
          <w:rFonts w:ascii="Calibri" w:hAnsi="Calibri" w:cs="Calibri"/>
        </w:rPr>
        <w:t xml:space="preserve"> S.</w:t>
      </w:r>
      <w:r w:rsidR="00212950" w:rsidRPr="0088788A">
        <w:rPr>
          <w:rFonts w:ascii="Calibri" w:hAnsi="Calibri" w:cs="Calibri"/>
        </w:rPr>
        <w:t xml:space="preserve"> (2016)</w:t>
      </w:r>
      <w:r w:rsidRPr="0088788A">
        <w:rPr>
          <w:rFonts w:ascii="Calibri" w:hAnsi="Calibri" w:cs="Calibri"/>
        </w:rPr>
        <w:t>.</w:t>
      </w:r>
      <w:r w:rsidR="008D412B" w:rsidRPr="0088788A">
        <w:rPr>
          <w:rFonts w:ascii="Calibri" w:hAnsi="Calibri" w:cs="Calibri"/>
        </w:rPr>
        <w:t xml:space="preserve"> English language skills requirements for internationally educated nurses working in the care industry: Barriers to UK registration or institutionalised discrimination? </w:t>
      </w:r>
      <w:r w:rsidRPr="0088788A">
        <w:rPr>
          <w:rFonts w:ascii="Calibri" w:hAnsi="Calibri" w:cs="Calibri"/>
          <w:i/>
        </w:rPr>
        <w:t>International Journal of Nursing Studies</w:t>
      </w:r>
      <w:r w:rsidRPr="0088788A">
        <w:rPr>
          <w:rFonts w:ascii="Calibri" w:hAnsi="Calibri" w:cs="Calibri"/>
        </w:rPr>
        <w:t xml:space="preserve">. </w:t>
      </w:r>
      <w:r w:rsidR="008D412B" w:rsidRPr="0088788A">
        <w:rPr>
          <w:rFonts w:ascii="Calibri" w:hAnsi="Calibri" w:cs="Calibri"/>
        </w:rPr>
        <w:t>54</w:t>
      </w:r>
      <w:r w:rsidRPr="0088788A">
        <w:rPr>
          <w:rFonts w:ascii="Calibri" w:hAnsi="Calibri" w:cs="Calibri"/>
        </w:rPr>
        <w:t xml:space="preserve">(Feb), </w:t>
      </w:r>
      <w:r w:rsidR="008D412B" w:rsidRPr="0088788A">
        <w:rPr>
          <w:rFonts w:ascii="Calibri" w:hAnsi="Calibri" w:cs="Calibri"/>
        </w:rPr>
        <w:t>1-4</w:t>
      </w:r>
      <w:r w:rsidRPr="0088788A">
        <w:rPr>
          <w:rFonts w:ascii="Calibri" w:hAnsi="Calibri" w:cs="Calibri"/>
        </w:rPr>
        <w:t xml:space="preserve">. </w:t>
      </w:r>
    </w:p>
    <w:p w14:paraId="119409C2" w14:textId="4C60243B" w:rsidR="00E526D7" w:rsidRPr="0088788A" w:rsidRDefault="006117C2" w:rsidP="008A4996">
      <w:pPr>
        <w:spacing w:line="480" w:lineRule="auto"/>
        <w:rPr>
          <w:rFonts w:ascii="Calibri" w:hAnsi="Calibri" w:cs="Calibri"/>
        </w:rPr>
      </w:pPr>
      <w:r w:rsidRPr="0088788A">
        <w:rPr>
          <w:rFonts w:ascii="Calibri" w:hAnsi="Calibri" w:cs="Calibri"/>
        </w:rPr>
        <w:t>Allen, P.,</w:t>
      </w:r>
      <w:r w:rsidR="00E526D7" w:rsidRPr="0088788A">
        <w:rPr>
          <w:rFonts w:ascii="Calibri" w:hAnsi="Calibri" w:cs="Calibri"/>
        </w:rPr>
        <w:t xml:space="preserve"> Cameron,</w:t>
      </w:r>
      <w:r w:rsidRPr="0088788A">
        <w:rPr>
          <w:rFonts w:ascii="Calibri" w:hAnsi="Calibri" w:cs="Calibri"/>
        </w:rPr>
        <w:t xml:space="preserve"> A., </w:t>
      </w:r>
      <w:r w:rsidR="00E526D7" w:rsidRPr="0088788A">
        <w:rPr>
          <w:rFonts w:ascii="Calibri" w:hAnsi="Calibri" w:cs="Calibri"/>
        </w:rPr>
        <w:t>Williams,</w:t>
      </w:r>
      <w:r w:rsidRPr="0088788A">
        <w:rPr>
          <w:rFonts w:ascii="Calibri" w:hAnsi="Calibri" w:cs="Calibri"/>
        </w:rPr>
        <w:t xml:space="preserve"> L., Durand,</w:t>
      </w:r>
      <w:r w:rsidR="00DB6B15">
        <w:rPr>
          <w:rFonts w:ascii="Calibri" w:hAnsi="Calibri" w:cs="Calibri"/>
        </w:rPr>
        <w:t xml:space="preserve"> </w:t>
      </w:r>
      <w:r w:rsidRPr="0088788A">
        <w:rPr>
          <w:rFonts w:ascii="Calibri" w:hAnsi="Calibri" w:cs="Calibri"/>
        </w:rPr>
        <w:t xml:space="preserve">M.A., </w:t>
      </w:r>
      <w:r w:rsidR="00212950" w:rsidRPr="0088788A">
        <w:rPr>
          <w:rFonts w:ascii="Calibri" w:hAnsi="Calibri" w:cs="Calibri"/>
        </w:rPr>
        <w:t>Bartlett,</w:t>
      </w:r>
      <w:r w:rsidRPr="0088788A">
        <w:rPr>
          <w:rFonts w:ascii="Calibri" w:hAnsi="Calibri" w:cs="Calibri"/>
        </w:rPr>
        <w:t xml:space="preserve"> W.,</w:t>
      </w:r>
      <w:r w:rsidR="00212950" w:rsidRPr="0088788A">
        <w:rPr>
          <w:rFonts w:ascii="Calibri" w:hAnsi="Calibri" w:cs="Calibri"/>
        </w:rPr>
        <w:t xml:space="preserve"> </w:t>
      </w:r>
      <w:proofErr w:type="spellStart"/>
      <w:r w:rsidR="00212950" w:rsidRPr="0088788A">
        <w:rPr>
          <w:rFonts w:ascii="Calibri" w:hAnsi="Calibri" w:cs="Calibri"/>
        </w:rPr>
        <w:t>Perotin</w:t>
      </w:r>
      <w:proofErr w:type="spellEnd"/>
      <w:r w:rsidR="00212950" w:rsidRPr="0088788A">
        <w:rPr>
          <w:rFonts w:ascii="Calibri" w:hAnsi="Calibri" w:cs="Calibri"/>
        </w:rPr>
        <w:t>,</w:t>
      </w:r>
      <w:r w:rsidRPr="0088788A">
        <w:rPr>
          <w:rFonts w:ascii="Calibri" w:hAnsi="Calibri" w:cs="Calibri"/>
        </w:rPr>
        <w:t xml:space="preserve"> V., Hutchings, A. </w:t>
      </w:r>
      <w:r w:rsidR="00B63FA8" w:rsidRPr="0088788A">
        <w:rPr>
          <w:rFonts w:ascii="Calibri" w:hAnsi="Calibri" w:cs="Calibri"/>
        </w:rPr>
        <w:t>(</w:t>
      </w:r>
      <w:r w:rsidRPr="0088788A">
        <w:rPr>
          <w:rFonts w:ascii="Calibri" w:hAnsi="Calibri" w:cs="Calibri"/>
        </w:rPr>
        <w:t>2013</w:t>
      </w:r>
      <w:r w:rsidR="00B63FA8" w:rsidRPr="0088788A">
        <w:rPr>
          <w:rFonts w:ascii="Calibri" w:hAnsi="Calibri" w:cs="Calibri"/>
        </w:rPr>
        <w:t>)</w:t>
      </w:r>
      <w:r w:rsidRPr="0088788A">
        <w:rPr>
          <w:rFonts w:ascii="Calibri" w:hAnsi="Calibri" w:cs="Calibri"/>
        </w:rPr>
        <w:t xml:space="preserve">. </w:t>
      </w:r>
      <w:r w:rsidR="00E526D7" w:rsidRPr="0088788A">
        <w:rPr>
          <w:rFonts w:ascii="Calibri" w:hAnsi="Calibri" w:cs="Calibri"/>
        </w:rPr>
        <w:t>Organisational T</w:t>
      </w:r>
      <w:r w:rsidRPr="0088788A">
        <w:rPr>
          <w:rFonts w:ascii="Calibri" w:hAnsi="Calibri" w:cs="Calibri"/>
        </w:rPr>
        <w:t>urbulence for Community Health.</w:t>
      </w:r>
      <w:r w:rsidR="00E526D7" w:rsidRPr="0088788A">
        <w:rPr>
          <w:rFonts w:ascii="Calibri" w:hAnsi="Calibri" w:cs="Calibri"/>
        </w:rPr>
        <w:t xml:space="preserve"> </w:t>
      </w:r>
      <w:r w:rsidR="00E526D7" w:rsidRPr="0088788A">
        <w:rPr>
          <w:rFonts w:ascii="Calibri" w:hAnsi="Calibri" w:cs="Calibri"/>
          <w:i/>
          <w:iCs/>
        </w:rPr>
        <w:t>British Journal of Healthcare Management</w:t>
      </w:r>
      <w:r w:rsidRPr="0088788A">
        <w:rPr>
          <w:rFonts w:ascii="Calibri" w:hAnsi="Calibri" w:cs="Calibri"/>
          <w:i/>
          <w:iCs/>
        </w:rPr>
        <w:t>.</w:t>
      </w:r>
      <w:r w:rsidR="00E526D7" w:rsidRPr="0088788A">
        <w:rPr>
          <w:rFonts w:ascii="Calibri" w:hAnsi="Calibri" w:cs="Calibri"/>
        </w:rPr>
        <w:t xml:space="preserve"> 1</w:t>
      </w:r>
      <w:r w:rsidRPr="0088788A">
        <w:rPr>
          <w:rFonts w:ascii="Calibri" w:hAnsi="Calibri" w:cs="Calibri"/>
        </w:rPr>
        <w:t>9 (11),</w:t>
      </w:r>
      <w:r w:rsidR="00E526D7" w:rsidRPr="0088788A">
        <w:rPr>
          <w:rFonts w:ascii="Calibri" w:hAnsi="Calibri" w:cs="Calibri"/>
        </w:rPr>
        <w:t xml:space="preserve"> 545–51</w:t>
      </w:r>
      <w:r w:rsidRPr="0088788A">
        <w:rPr>
          <w:rFonts w:ascii="Calibri" w:hAnsi="Calibri" w:cs="Calibri"/>
        </w:rPr>
        <w:t>.</w:t>
      </w:r>
    </w:p>
    <w:p w14:paraId="1D36C5D7" w14:textId="5CAA6245" w:rsidR="00AF50BE" w:rsidRPr="00614592" w:rsidRDefault="00E62595" w:rsidP="008A4996">
      <w:pPr>
        <w:spacing w:line="480" w:lineRule="auto"/>
        <w:rPr>
          <w:rStyle w:val="Hyperlink"/>
          <w:rFonts w:ascii="Calibri" w:hAnsi="Calibri" w:cs="Calibri"/>
          <w:color w:val="auto"/>
          <w:u w:val="none"/>
        </w:rPr>
      </w:pPr>
      <w:r w:rsidRPr="00D708A5">
        <w:rPr>
          <w:rStyle w:val="Hyperlink"/>
          <w:rFonts w:ascii="Calibri" w:hAnsi="Calibri" w:cs="Calibri"/>
          <w:color w:val="auto"/>
          <w:u w:val="none"/>
        </w:rPr>
        <w:t xml:space="preserve">Bond, S., Merriman, C., </w:t>
      </w:r>
      <w:proofErr w:type="spellStart"/>
      <w:r w:rsidRPr="00D708A5">
        <w:rPr>
          <w:rStyle w:val="Hyperlink"/>
          <w:rFonts w:ascii="Calibri" w:hAnsi="Calibri" w:cs="Calibri"/>
          <w:color w:val="auto"/>
          <w:u w:val="none"/>
        </w:rPr>
        <w:t>Walthall</w:t>
      </w:r>
      <w:proofErr w:type="spellEnd"/>
      <w:r w:rsidRPr="00D708A5">
        <w:rPr>
          <w:rStyle w:val="Hyperlink"/>
          <w:rFonts w:ascii="Calibri" w:hAnsi="Calibri" w:cs="Calibri"/>
          <w:color w:val="auto"/>
          <w:u w:val="none"/>
        </w:rPr>
        <w:t>, H</w:t>
      </w:r>
      <w:r w:rsidR="006117C2" w:rsidRPr="00D708A5">
        <w:rPr>
          <w:rStyle w:val="Hyperlink"/>
          <w:rFonts w:ascii="Calibri" w:hAnsi="Calibri" w:cs="Calibri"/>
          <w:color w:val="auto"/>
          <w:u w:val="none"/>
        </w:rPr>
        <w:t>.</w:t>
      </w:r>
      <w:r w:rsidRPr="00D708A5">
        <w:rPr>
          <w:rStyle w:val="Hyperlink"/>
          <w:rFonts w:ascii="Calibri" w:hAnsi="Calibri" w:cs="Calibri"/>
          <w:color w:val="auto"/>
          <w:u w:val="none"/>
        </w:rPr>
        <w:t xml:space="preserve"> (2020)</w:t>
      </w:r>
      <w:r w:rsidR="006117C2" w:rsidRPr="00D708A5">
        <w:rPr>
          <w:rStyle w:val="Hyperlink"/>
          <w:rFonts w:ascii="Calibri" w:hAnsi="Calibri" w:cs="Calibri"/>
          <w:color w:val="auto"/>
          <w:u w:val="none"/>
        </w:rPr>
        <w:t>.</w:t>
      </w:r>
      <w:r w:rsidRPr="00D708A5">
        <w:rPr>
          <w:rStyle w:val="Hyperlink"/>
          <w:rFonts w:ascii="Calibri" w:hAnsi="Calibri" w:cs="Calibri"/>
          <w:color w:val="auto"/>
          <w:u w:val="none"/>
        </w:rPr>
        <w:t xml:space="preserve"> The experiences of international nurses and midwives transitioning to work in the UK: A qualitative synthesis of th</w:t>
      </w:r>
      <w:r w:rsidR="006117C2" w:rsidRPr="00D708A5">
        <w:rPr>
          <w:rStyle w:val="Hyperlink"/>
          <w:rFonts w:ascii="Calibri" w:hAnsi="Calibri" w:cs="Calibri"/>
          <w:color w:val="auto"/>
          <w:u w:val="none"/>
        </w:rPr>
        <w:t>e literature from 2010 to 2019.</w:t>
      </w:r>
      <w:r w:rsidRPr="00D708A5">
        <w:rPr>
          <w:rStyle w:val="Hyperlink"/>
          <w:rFonts w:ascii="Calibri" w:hAnsi="Calibri" w:cs="Calibri"/>
          <w:color w:val="auto"/>
          <w:u w:val="none"/>
        </w:rPr>
        <w:t xml:space="preserve"> </w:t>
      </w:r>
      <w:r w:rsidRPr="00614592">
        <w:rPr>
          <w:rStyle w:val="Hyperlink"/>
          <w:rFonts w:ascii="Calibri" w:hAnsi="Calibri" w:cs="Calibri"/>
          <w:i/>
          <w:color w:val="auto"/>
          <w:u w:val="none"/>
        </w:rPr>
        <w:t>Internatio</w:t>
      </w:r>
      <w:r w:rsidR="006117C2" w:rsidRPr="00614592">
        <w:rPr>
          <w:rStyle w:val="Hyperlink"/>
          <w:rFonts w:ascii="Calibri" w:hAnsi="Calibri" w:cs="Calibri"/>
          <w:i/>
          <w:color w:val="auto"/>
          <w:u w:val="none"/>
        </w:rPr>
        <w:t>nal Journal of Nursing Studies.</w:t>
      </w:r>
      <w:r w:rsidRPr="00614592">
        <w:rPr>
          <w:rStyle w:val="Hyperlink"/>
          <w:rFonts w:ascii="Calibri" w:hAnsi="Calibri" w:cs="Calibri"/>
          <w:color w:val="auto"/>
          <w:u w:val="none"/>
        </w:rPr>
        <w:t xml:space="preserve"> 110, </w:t>
      </w:r>
      <w:r w:rsidR="006117C2" w:rsidRPr="00614592">
        <w:rPr>
          <w:rStyle w:val="Hyperlink"/>
          <w:rFonts w:ascii="Calibri" w:hAnsi="Calibri" w:cs="Calibri"/>
          <w:color w:val="auto"/>
          <w:u w:val="none"/>
        </w:rPr>
        <w:t xml:space="preserve">103693. </w:t>
      </w:r>
    </w:p>
    <w:p w14:paraId="0F88E0B6" w14:textId="4C94BC5F" w:rsidR="00552C8F" w:rsidRPr="00D708A5" w:rsidRDefault="00552C8F" w:rsidP="008A4996">
      <w:pPr>
        <w:spacing w:line="480" w:lineRule="auto"/>
        <w:rPr>
          <w:rStyle w:val="Hyperlink"/>
          <w:rFonts w:ascii="Calibri" w:hAnsi="Calibri" w:cs="Calibri"/>
          <w:color w:val="auto"/>
          <w:u w:val="none"/>
        </w:rPr>
      </w:pPr>
      <w:r w:rsidRPr="00614592">
        <w:rPr>
          <w:rStyle w:val="Hyperlink"/>
          <w:rFonts w:ascii="Calibri" w:hAnsi="Calibri" w:cs="Calibri"/>
          <w:color w:val="auto"/>
          <w:u w:val="none"/>
        </w:rPr>
        <w:t xml:space="preserve">Braun, V., Clarke, V. (2006). Using thematic analysis in psychology. </w:t>
      </w:r>
      <w:r w:rsidRPr="00614592">
        <w:rPr>
          <w:rStyle w:val="Hyperlink"/>
          <w:rFonts w:ascii="Calibri" w:hAnsi="Calibri" w:cs="Calibri"/>
          <w:i/>
          <w:color w:val="auto"/>
          <w:u w:val="none"/>
        </w:rPr>
        <w:t xml:space="preserve">Qualitative Research in Psychology. </w:t>
      </w:r>
      <w:r w:rsidRPr="00614592">
        <w:rPr>
          <w:rStyle w:val="Hyperlink"/>
          <w:rFonts w:ascii="Calibri" w:hAnsi="Calibri" w:cs="Calibri"/>
          <w:color w:val="auto"/>
          <w:u w:val="none"/>
        </w:rPr>
        <w:t>3, 77–101.</w:t>
      </w:r>
    </w:p>
    <w:p w14:paraId="2C0A2FD7" w14:textId="541C87E0" w:rsidR="00785634" w:rsidRPr="00D708A5" w:rsidRDefault="00785634" w:rsidP="008A4996">
      <w:pPr>
        <w:spacing w:line="480" w:lineRule="auto"/>
        <w:rPr>
          <w:rStyle w:val="Hyperlink"/>
          <w:rFonts w:ascii="Calibri" w:hAnsi="Calibri" w:cs="Calibri"/>
          <w:color w:val="auto"/>
          <w:u w:val="none"/>
        </w:rPr>
      </w:pPr>
      <w:r w:rsidRPr="00D708A5">
        <w:rPr>
          <w:rStyle w:val="Hyperlink"/>
          <w:rFonts w:ascii="Calibri" w:hAnsi="Calibri" w:cs="Calibri"/>
          <w:color w:val="auto"/>
          <w:u w:val="none"/>
        </w:rPr>
        <w:t>Braun</w:t>
      </w:r>
      <w:r w:rsidR="006117C2" w:rsidRPr="00D708A5">
        <w:rPr>
          <w:rStyle w:val="Hyperlink"/>
          <w:rFonts w:ascii="Calibri" w:hAnsi="Calibri" w:cs="Calibri"/>
          <w:color w:val="auto"/>
          <w:u w:val="none"/>
        </w:rPr>
        <w:t>, V.,</w:t>
      </w:r>
      <w:r w:rsidRPr="00D708A5">
        <w:rPr>
          <w:rStyle w:val="Hyperlink"/>
          <w:rFonts w:ascii="Calibri" w:hAnsi="Calibri" w:cs="Calibri"/>
          <w:color w:val="auto"/>
          <w:u w:val="none"/>
        </w:rPr>
        <w:t xml:space="preserve"> Clarke</w:t>
      </w:r>
      <w:r w:rsidR="006117C2" w:rsidRPr="00D708A5">
        <w:rPr>
          <w:rStyle w:val="Hyperlink"/>
          <w:rFonts w:ascii="Calibri" w:hAnsi="Calibri" w:cs="Calibri"/>
          <w:color w:val="auto"/>
          <w:u w:val="none"/>
        </w:rPr>
        <w:t>, V.</w:t>
      </w:r>
      <w:r w:rsidRPr="00D708A5">
        <w:rPr>
          <w:rStyle w:val="Hyperlink"/>
          <w:rFonts w:ascii="Calibri" w:hAnsi="Calibri" w:cs="Calibri"/>
          <w:color w:val="auto"/>
          <w:u w:val="none"/>
        </w:rPr>
        <w:t xml:space="preserve"> (2019)</w:t>
      </w:r>
      <w:r w:rsidR="006117C2" w:rsidRPr="00D708A5">
        <w:rPr>
          <w:rStyle w:val="Hyperlink"/>
          <w:rFonts w:ascii="Calibri" w:hAnsi="Calibri" w:cs="Calibri"/>
          <w:color w:val="auto"/>
          <w:u w:val="none"/>
        </w:rPr>
        <w:t>.</w:t>
      </w:r>
      <w:r w:rsidRPr="00D708A5">
        <w:rPr>
          <w:rStyle w:val="Hyperlink"/>
          <w:rFonts w:ascii="Calibri" w:hAnsi="Calibri" w:cs="Calibri"/>
          <w:color w:val="auto"/>
          <w:u w:val="none"/>
        </w:rPr>
        <w:t xml:space="preserve"> Reflecting</w:t>
      </w:r>
      <w:r w:rsidR="006117C2" w:rsidRPr="00D708A5">
        <w:rPr>
          <w:rStyle w:val="Hyperlink"/>
          <w:rFonts w:ascii="Calibri" w:hAnsi="Calibri" w:cs="Calibri"/>
          <w:color w:val="auto"/>
          <w:u w:val="none"/>
        </w:rPr>
        <w:t xml:space="preserve"> on reflexive thematic analysis.</w:t>
      </w:r>
      <w:r w:rsidRPr="00D708A5">
        <w:rPr>
          <w:rStyle w:val="Hyperlink"/>
          <w:rFonts w:ascii="Calibri" w:hAnsi="Calibri" w:cs="Calibri"/>
          <w:color w:val="auto"/>
          <w:u w:val="none"/>
        </w:rPr>
        <w:t xml:space="preserve"> </w:t>
      </w:r>
      <w:r w:rsidRPr="00D708A5">
        <w:rPr>
          <w:rStyle w:val="Hyperlink"/>
          <w:rFonts w:ascii="Calibri" w:hAnsi="Calibri" w:cs="Calibri"/>
          <w:i/>
          <w:color w:val="auto"/>
          <w:u w:val="none"/>
        </w:rPr>
        <w:t>Qualitative Researc</w:t>
      </w:r>
      <w:r w:rsidR="006117C2" w:rsidRPr="00D708A5">
        <w:rPr>
          <w:rStyle w:val="Hyperlink"/>
          <w:rFonts w:ascii="Calibri" w:hAnsi="Calibri" w:cs="Calibri"/>
          <w:i/>
          <w:color w:val="auto"/>
          <w:u w:val="none"/>
        </w:rPr>
        <w:t xml:space="preserve">h in Sport, Exercise and Health. </w:t>
      </w:r>
      <w:r w:rsidR="000C0F0B">
        <w:rPr>
          <w:rStyle w:val="Hyperlink"/>
          <w:rFonts w:ascii="Calibri" w:hAnsi="Calibri" w:cs="Calibri"/>
          <w:color w:val="auto"/>
          <w:u w:val="none"/>
        </w:rPr>
        <w:t>11(</w:t>
      </w:r>
      <w:r w:rsidRPr="00D708A5">
        <w:rPr>
          <w:rStyle w:val="Hyperlink"/>
          <w:rFonts w:ascii="Calibri" w:hAnsi="Calibri" w:cs="Calibri"/>
          <w:color w:val="auto"/>
          <w:u w:val="none"/>
        </w:rPr>
        <w:t>4</w:t>
      </w:r>
      <w:r w:rsidR="000C0F0B">
        <w:rPr>
          <w:rStyle w:val="Hyperlink"/>
          <w:rFonts w:ascii="Calibri" w:hAnsi="Calibri" w:cs="Calibri"/>
          <w:color w:val="auto"/>
          <w:u w:val="none"/>
        </w:rPr>
        <w:t>)</w:t>
      </w:r>
      <w:r w:rsidRPr="00D708A5">
        <w:rPr>
          <w:rStyle w:val="Hyperlink"/>
          <w:rFonts w:ascii="Calibri" w:hAnsi="Calibri" w:cs="Calibri"/>
          <w:color w:val="auto"/>
          <w:u w:val="none"/>
        </w:rPr>
        <w:t>, 589-597</w:t>
      </w:r>
      <w:r w:rsidR="006117C2" w:rsidRPr="00D708A5">
        <w:rPr>
          <w:rStyle w:val="Hyperlink"/>
          <w:rFonts w:ascii="Calibri" w:hAnsi="Calibri" w:cs="Calibri"/>
          <w:color w:val="auto"/>
          <w:u w:val="none"/>
        </w:rPr>
        <w:t xml:space="preserve">. </w:t>
      </w:r>
    </w:p>
    <w:p w14:paraId="5AA9D504" w14:textId="067FE3A4" w:rsidR="00AF50BE" w:rsidRPr="0088788A" w:rsidRDefault="00AF50BE" w:rsidP="008A4996">
      <w:pPr>
        <w:spacing w:line="480" w:lineRule="auto"/>
        <w:rPr>
          <w:rFonts w:ascii="Calibri" w:hAnsi="Calibri" w:cs="Calibri"/>
        </w:rPr>
      </w:pPr>
      <w:proofErr w:type="spellStart"/>
      <w:r w:rsidRPr="0088788A">
        <w:rPr>
          <w:rFonts w:ascii="Calibri" w:hAnsi="Calibri" w:cs="Calibri"/>
        </w:rPr>
        <w:t>Ceriac</w:t>
      </w:r>
      <w:proofErr w:type="spellEnd"/>
      <w:r w:rsidRPr="0088788A">
        <w:rPr>
          <w:rFonts w:ascii="Calibri" w:hAnsi="Calibri" w:cs="Calibri"/>
        </w:rPr>
        <w:t>, F</w:t>
      </w:r>
      <w:r w:rsidR="006117C2" w:rsidRPr="0088788A">
        <w:rPr>
          <w:rFonts w:ascii="Calibri" w:hAnsi="Calibri" w:cs="Calibri"/>
        </w:rPr>
        <w:t>.</w:t>
      </w:r>
      <w:r w:rsidRPr="0088788A">
        <w:rPr>
          <w:rFonts w:ascii="Calibri" w:hAnsi="Calibri" w:cs="Calibri"/>
        </w:rPr>
        <w:t xml:space="preserve"> (2013)</w:t>
      </w:r>
      <w:r w:rsidR="006117C2" w:rsidRPr="0088788A">
        <w:rPr>
          <w:rFonts w:ascii="Calibri" w:hAnsi="Calibri" w:cs="Calibri"/>
        </w:rPr>
        <w:t>.</w:t>
      </w:r>
      <w:r w:rsidRPr="0088788A">
        <w:rPr>
          <w:rFonts w:ascii="Calibri" w:hAnsi="Calibri" w:cs="Calibri"/>
        </w:rPr>
        <w:t xml:space="preserve"> </w:t>
      </w:r>
      <w:r w:rsidRPr="0088788A">
        <w:rPr>
          <w:rFonts w:ascii="Calibri" w:hAnsi="Calibri" w:cs="Calibri"/>
          <w:i/>
        </w:rPr>
        <w:t>UK (NMC), Reduce IELTS Score for EU/EEA/Overseas Nurses Registration in the UK. Petition</w:t>
      </w:r>
      <w:r w:rsidRPr="0088788A">
        <w:rPr>
          <w:rFonts w:ascii="Calibri" w:hAnsi="Calibri" w:cs="Calibri"/>
        </w:rPr>
        <w:t>.</w:t>
      </w:r>
      <w:r w:rsidR="006117C2" w:rsidRPr="0088788A">
        <w:rPr>
          <w:rFonts w:ascii="Calibri" w:hAnsi="Calibri" w:cs="Calibri"/>
        </w:rPr>
        <w:t xml:space="preserve"> Retrieved from:</w:t>
      </w:r>
      <w:r w:rsidRPr="0088788A">
        <w:rPr>
          <w:rFonts w:ascii="Calibri" w:hAnsi="Calibri" w:cs="Calibri"/>
        </w:rPr>
        <w:t xml:space="preserve"> </w:t>
      </w:r>
      <w:hyperlink r:id="rId11" w:history="1">
        <w:r w:rsidR="00024A2F" w:rsidRPr="0088788A">
          <w:rPr>
            <w:rStyle w:val="Hyperlink"/>
            <w:rFonts w:ascii="Calibri" w:hAnsi="Calibri" w:cs="Calibri"/>
          </w:rPr>
          <w:t>https://www.change.org/p/nmc-uk-reduce-ielts-score-for-eu-eea-overseas-trained-nurses-registration-ieltsnmc</w:t>
        </w:r>
      </w:hyperlink>
    </w:p>
    <w:p w14:paraId="69BE849A" w14:textId="2194F996" w:rsidR="00804082" w:rsidRPr="0088788A" w:rsidRDefault="00804082" w:rsidP="008A4996">
      <w:pPr>
        <w:spacing w:line="480" w:lineRule="auto"/>
        <w:rPr>
          <w:rFonts w:ascii="Calibri" w:hAnsi="Calibri" w:cs="Calibri"/>
        </w:rPr>
      </w:pPr>
      <w:r w:rsidRPr="0088788A">
        <w:rPr>
          <w:rFonts w:ascii="Calibri" w:hAnsi="Calibri" w:cs="Calibri"/>
        </w:rPr>
        <w:t xml:space="preserve">Foster, S. (2018). Are the tests for overseas </w:t>
      </w:r>
      <w:proofErr w:type="gramStart"/>
      <w:r w:rsidRPr="0088788A">
        <w:rPr>
          <w:rFonts w:ascii="Calibri" w:hAnsi="Calibri" w:cs="Calibri"/>
        </w:rPr>
        <w:t>nurses</w:t>
      </w:r>
      <w:proofErr w:type="gramEnd"/>
      <w:r w:rsidRPr="0088788A">
        <w:rPr>
          <w:rFonts w:ascii="Calibri" w:hAnsi="Calibri" w:cs="Calibri"/>
        </w:rPr>
        <w:t xml:space="preserve"> fair? </w:t>
      </w:r>
      <w:r w:rsidRPr="0088788A">
        <w:rPr>
          <w:rFonts w:ascii="Calibri" w:hAnsi="Calibri" w:cs="Calibri"/>
          <w:i/>
          <w:iCs/>
        </w:rPr>
        <w:t>British Journal of Nursing</w:t>
      </w:r>
      <w:r w:rsidR="000C0F0B">
        <w:rPr>
          <w:rFonts w:ascii="Calibri" w:hAnsi="Calibri" w:cs="Calibri"/>
        </w:rPr>
        <w:t>. 27(</w:t>
      </w:r>
      <w:r w:rsidR="00614592">
        <w:rPr>
          <w:rFonts w:ascii="Calibri" w:hAnsi="Calibri" w:cs="Calibri"/>
        </w:rPr>
        <w:t>9</w:t>
      </w:r>
      <w:r w:rsidR="000C0F0B">
        <w:rPr>
          <w:rFonts w:ascii="Calibri" w:hAnsi="Calibri" w:cs="Calibri"/>
        </w:rPr>
        <w:t>)</w:t>
      </w:r>
      <w:r w:rsidR="00614592">
        <w:rPr>
          <w:rFonts w:ascii="Calibri" w:hAnsi="Calibri" w:cs="Calibri"/>
        </w:rPr>
        <w:t xml:space="preserve">, </w:t>
      </w:r>
      <w:r w:rsidRPr="0088788A">
        <w:rPr>
          <w:rFonts w:ascii="Calibri" w:hAnsi="Calibri" w:cs="Calibri"/>
        </w:rPr>
        <w:t xml:space="preserve">525. </w:t>
      </w:r>
    </w:p>
    <w:p w14:paraId="0BEFD8FE" w14:textId="716874EF" w:rsidR="006117C2" w:rsidRDefault="00EB29D9" w:rsidP="008A4996">
      <w:pPr>
        <w:spacing w:line="480" w:lineRule="auto"/>
        <w:rPr>
          <w:rFonts w:ascii="Calibri" w:hAnsi="Calibri" w:cs="Calibri"/>
        </w:rPr>
      </w:pPr>
      <w:proofErr w:type="spellStart"/>
      <w:r w:rsidRPr="0088788A">
        <w:rPr>
          <w:rFonts w:ascii="Calibri" w:hAnsi="Calibri" w:cs="Calibri"/>
        </w:rPr>
        <w:t>Gillin</w:t>
      </w:r>
      <w:proofErr w:type="spellEnd"/>
      <w:r w:rsidR="006117C2" w:rsidRPr="0088788A">
        <w:rPr>
          <w:rFonts w:ascii="Calibri" w:hAnsi="Calibri" w:cs="Calibri"/>
        </w:rPr>
        <w:t>, N.</w:t>
      </w:r>
      <w:r w:rsidRPr="0088788A">
        <w:rPr>
          <w:rFonts w:ascii="Calibri" w:hAnsi="Calibri" w:cs="Calibri"/>
        </w:rPr>
        <w:t xml:space="preserve"> (2020)</w:t>
      </w:r>
      <w:r w:rsidR="006117C2" w:rsidRPr="0088788A">
        <w:rPr>
          <w:rFonts w:ascii="Calibri" w:hAnsi="Calibri" w:cs="Calibri"/>
        </w:rPr>
        <w:t>.</w:t>
      </w:r>
      <w:r w:rsidRPr="0088788A">
        <w:rPr>
          <w:rFonts w:ascii="Calibri" w:hAnsi="Calibri" w:cs="Calibri"/>
        </w:rPr>
        <w:t xml:space="preserve"> </w:t>
      </w:r>
      <w:r w:rsidR="006117C2" w:rsidRPr="0088788A">
        <w:rPr>
          <w:rFonts w:ascii="Calibri" w:hAnsi="Calibri" w:cs="Calibri"/>
          <w:i/>
        </w:rPr>
        <w:t>Culture and the impact on nursing practice.</w:t>
      </w:r>
      <w:r w:rsidR="006117C2" w:rsidRPr="0088788A">
        <w:rPr>
          <w:rFonts w:ascii="Calibri" w:hAnsi="Calibri" w:cs="Calibri"/>
        </w:rPr>
        <w:t xml:space="preserve"> Thesis. </w:t>
      </w:r>
    </w:p>
    <w:p w14:paraId="6107059E" w14:textId="601137AA" w:rsidR="002A2CFB" w:rsidRPr="002A2CFB" w:rsidRDefault="00614592" w:rsidP="002A2CFB">
      <w:pPr>
        <w:suppressAutoHyphens/>
        <w:spacing w:after="0" w:line="240" w:lineRule="auto"/>
        <w:contextualSpacing/>
        <w:jc w:val="both"/>
        <w:rPr>
          <w:rFonts w:eastAsia="NSimSun" w:cstheme="minorHAnsi"/>
          <w:spacing w:val="-10"/>
          <w:kern w:val="2"/>
        </w:rPr>
      </w:pPr>
      <w:proofErr w:type="spellStart"/>
      <w:r>
        <w:rPr>
          <w:rFonts w:eastAsia="Arial Unicode MS" w:cstheme="minorHAnsi"/>
          <w:spacing w:val="-10"/>
          <w:kern w:val="2"/>
        </w:rPr>
        <w:lastRenderedPageBreak/>
        <w:t>Gillin</w:t>
      </w:r>
      <w:proofErr w:type="spellEnd"/>
      <w:r>
        <w:rPr>
          <w:rFonts w:eastAsia="Arial Unicode MS" w:cstheme="minorHAnsi"/>
          <w:spacing w:val="-10"/>
          <w:kern w:val="2"/>
        </w:rPr>
        <w:t>, N.,</w:t>
      </w:r>
      <w:r w:rsidR="002A2CFB" w:rsidRPr="002A2CFB">
        <w:rPr>
          <w:rFonts w:eastAsia="Arial Unicode MS" w:cstheme="minorHAnsi"/>
          <w:spacing w:val="-10"/>
          <w:kern w:val="2"/>
        </w:rPr>
        <w:t xml:space="preserve"> Smith, D. (2020) Overseas recruitment activities of NHS Trusts 2015 – 2018: Findings from FOI requests to</w:t>
      </w:r>
      <w:r>
        <w:rPr>
          <w:rFonts w:eastAsia="Arial Unicode MS" w:cstheme="minorHAnsi"/>
          <w:spacing w:val="-10"/>
          <w:kern w:val="2"/>
        </w:rPr>
        <w:t xml:space="preserve"> 19 Acute NHS Trusts in England</w:t>
      </w:r>
      <w:r w:rsidR="00701606">
        <w:rPr>
          <w:rFonts w:eastAsia="Arial Unicode MS" w:cstheme="minorHAnsi"/>
          <w:spacing w:val="-10"/>
          <w:kern w:val="2"/>
        </w:rPr>
        <w:t xml:space="preserve">. </w:t>
      </w:r>
      <w:r w:rsidR="002A2CFB" w:rsidRPr="002A2CFB">
        <w:rPr>
          <w:rFonts w:eastAsia="Arial Unicode MS" w:cstheme="minorHAnsi"/>
          <w:i/>
          <w:iCs/>
          <w:spacing w:val="-10"/>
          <w:kern w:val="2"/>
        </w:rPr>
        <w:t xml:space="preserve">Nursing Inquiry, </w:t>
      </w:r>
      <w:r w:rsidR="000C0F0B">
        <w:rPr>
          <w:rFonts w:eastAsia="Arial Unicode MS" w:cstheme="minorHAnsi"/>
          <w:spacing w:val="-10"/>
          <w:kern w:val="2"/>
        </w:rPr>
        <w:t>27(</w:t>
      </w:r>
      <w:r>
        <w:rPr>
          <w:rFonts w:eastAsia="Arial Unicode MS" w:cstheme="minorHAnsi"/>
          <w:spacing w:val="-10"/>
          <w:kern w:val="2"/>
        </w:rPr>
        <w:t>1</w:t>
      </w:r>
      <w:r w:rsidR="000C0F0B">
        <w:rPr>
          <w:rFonts w:eastAsia="Arial Unicode MS" w:cstheme="minorHAnsi"/>
          <w:spacing w:val="-10"/>
          <w:kern w:val="2"/>
        </w:rPr>
        <w:t>)</w:t>
      </w:r>
      <w:r>
        <w:rPr>
          <w:rFonts w:eastAsia="Arial Unicode MS" w:cstheme="minorHAnsi"/>
          <w:spacing w:val="-10"/>
          <w:kern w:val="2"/>
        </w:rPr>
        <w:t xml:space="preserve">, </w:t>
      </w:r>
      <w:r w:rsidR="002A2CFB" w:rsidRPr="002A2CFB">
        <w:rPr>
          <w:rFonts w:eastAsia="Arial Unicode MS" w:cstheme="minorHAnsi"/>
          <w:spacing w:val="-10"/>
          <w:kern w:val="2"/>
        </w:rPr>
        <w:t xml:space="preserve">1-10. </w:t>
      </w:r>
    </w:p>
    <w:p w14:paraId="01529188" w14:textId="77777777" w:rsidR="00701606" w:rsidRDefault="00701606" w:rsidP="008A4996">
      <w:pPr>
        <w:spacing w:line="480" w:lineRule="auto"/>
        <w:rPr>
          <w:rFonts w:ascii="Calibri" w:hAnsi="Calibri" w:cs="Calibri"/>
        </w:rPr>
      </w:pPr>
    </w:p>
    <w:p w14:paraId="6F01730C" w14:textId="28668D97" w:rsidR="00B63FA8" w:rsidRPr="0088788A" w:rsidRDefault="00B63FA8" w:rsidP="008A4996">
      <w:pPr>
        <w:spacing w:line="480" w:lineRule="auto"/>
        <w:rPr>
          <w:rFonts w:ascii="Calibri" w:hAnsi="Calibri" w:cs="Calibri"/>
        </w:rPr>
      </w:pPr>
      <w:r w:rsidRPr="0088788A">
        <w:rPr>
          <w:rFonts w:ascii="Calibri" w:hAnsi="Calibri" w:cs="Calibri"/>
        </w:rPr>
        <w:t xml:space="preserve">HCL Workforce solutions. (2017). </w:t>
      </w:r>
      <w:r w:rsidRPr="0088788A">
        <w:rPr>
          <w:rFonts w:ascii="Calibri" w:hAnsi="Calibri" w:cs="Calibri"/>
          <w:i/>
        </w:rPr>
        <w:t>IELTS: Don’t blame Brexit and declining nursing recruitment: Parts 1 &amp; 2</w:t>
      </w:r>
      <w:r w:rsidRPr="0088788A">
        <w:rPr>
          <w:rFonts w:ascii="Calibri" w:hAnsi="Calibri" w:cs="Calibri"/>
        </w:rPr>
        <w:t xml:space="preserve">. Old Bailey: London. </w:t>
      </w:r>
    </w:p>
    <w:p w14:paraId="4242B805" w14:textId="2DE66CF0" w:rsidR="00EB29D9" w:rsidRPr="0088788A" w:rsidRDefault="00EB29D9" w:rsidP="008A4996">
      <w:pPr>
        <w:spacing w:line="480" w:lineRule="auto"/>
        <w:rPr>
          <w:rFonts w:ascii="Calibri" w:hAnsi="Calibri" w:cs="Calibri"/>
        </w:rPr>
      </w:pPr>
      <w:r w:rsidRPr="0088788A">
        <w:rPr>
          <w:rFonts w:ascii="Calibri" w:hAnsi="Calibri" w:cs="Calibri"/>
        </w:rPr>
        <w:t>Holland,</w:t>
      </w:r>
      <w:r w:rsidR="00A54D34" w:rsidRPr="0088788A">
        <w:rPr>
          <w:rFonts w:ascii="Calibri" w:hAnsi="Calibri" w:cs="Calibri"/>
        </w:rPr>
        <w:t xml:space="preserve"> P.J.,</w:t>
      </w:r>
      <w:r w:rsidRPr="0088788A">
        <w:rPr>
          <w:rFonts w:ascii="Calibri" w:hAnsi="Calibri" w:cs="Calibri"/>
        </w:rPr>
        <w:t xml:space="preserve"> Allen</w:t>
      </w:r>
      <w:r w:rsidR="00A54D34" w:rsidRPr="0088788A">
        <w:rPr>
          <w:rFonts w:ascii="Calibri" w:hAnsi="Calibri" w:cs="Calibri"/>
        </w:rPr>
        <w:t xml:space="preserve"> B.C., </w:t>
      </w:r>
      <w:r w:rsidRPr="0088788A">
        <w:rPr>
          <w:rFonts w:ascii="Calibri" w:hAnsi="Calibri" w:cs="Calibri"/>
        </w:rPr>
        <w:t>Cooper</w:t>
      </w:r>
      <w:r w:rsidR="00A54D34" w:rsidRPr="0088788A">
        <w:rPr>
          <w:rFonts w:ascii="Calibri" w:hAnsi="Calibri" w:cs="Calibri"/>
        </w:rPr>
        <w:t>, B.K.</w:t>
      </w:r>
      <w:r w:rsidRPr="0088788A">
        <w:rPr>
          <w:rFonts w:ascii="Calibri" w:hAnsi="Calibri" w:cs="Calibri"/>
        </w:rPr>
        <w:t xml:space="preserve"> (2013)</w:t>
      </w:r>
      <w:r w:rsidR="00A54D34" w:rsidRPr="0088788A">
        <w:rPr>
          <w:rFonts w:ascii="Calibri" w:hAnsi="Calibri" w:cs="Calibri"/>
        </w:rPr>
        <w:t>.</w:t>
      </w:r>
      <w:r w:rsidRPr="0088788A">
        <w:rPr>
          <w:rFonts w:ascii="Calibri" w:hAnsi="Calibri" w:cs="Calibri"/>
        </w:rPr>
        <w:t xml:space="preserve"> Reducing burnout in Australian nurses: the role of employee direct voic</w:t>
      </w:r>
      <w:r w:rsidR="00A54D34" w:rsidRPr="0088788A">
        <w:rPr>
          <w:rFonts w:ascii="Calibri" w:hAnsi="Calibri" w:cs="Calibri"/>
        </w:rPr>
        <w:t>e and managerial responsiveness.</w:t>
      </w:r>
      <w:r w:rsidRPr="0088788A">
        <w:rPr>
          <w:rFonts w:ascii="Calibri" w:hAnsi="Calibri" w:cs="Calibri"/>
        </w:rPr>
        <w:t xml:space="preserve"> </w:t>
      </w:r>
      <w:r w:rsidRPr="0088788A">
        <w:rPr>
          <w:rFonts w:ascii="Calibri" w:hAnsi="Calibri" w:cs="Calibri"/>
          <w:i/>
        </w:rPr>
        <w:t>The International Jour</w:t>
      </w:r>
      <w:r w:rsidR="00A54D34" w:rsidRPr="0088788A">
        <w:rPr>
          <w:rFonts w:ascii="Calibri" w:hAnsi="Calibri" w:cs="Calibri"/>
          <w:i/>
        </w:rPr>
        <w:t>nal of Human Resource Management.</w:t>
      </w:r>
      <w:r w:rsidR="00DB6B15">
        <w:rPr>
          <w:rFonts w:ascii="Calibri" w:hAnsi="Calibri" w:cs="Calibri"/>
        </w:rPr>
        <w:t xml:space="preserve"> 24(</w:t>
      </w:r>
      <w:r w:rsidRPr="0088788A">
        <w:rPr>
          <w:rFonts w:ascii="Calibri" w:hAnsi="Calibri" w:cs="Calibri"/>
        </w:rPr>
        <w:t>16</w:t>
      </w:r>
      <w:r w:rsidR="00DB6B15">
        <w:rPr>
          <w:rFonts w:ascii="Calibri" w:hAnsi="Calibri" w:cs="Calibri"/>
        </w:rPr>
        <w:t>)</w:t>
      </w:r>
      <w:r w:rsidRPr="0088788A">
        <w:rPr>
          <w:rFonts w:ascii="Calibri" w:hAnsi="Calibri" w:cs="Calibri"/>
        </w:rPr>
        <w:t>, 3146-3162</w:t>
      </w:r>
      <w:r w:rsidR="00A54D34" w:rsidRPr="0088788A">
        <w:rPr>
          <w:rFonts w:ascii="Calibri" w:hAnsi="Calibri" w:cs="Calibri"/>
        </w:rPr>
        <w:t>.</w:t>
      </w:r>
    </w:p>
    <w:p w14:paraId="71729BB2" w14:textId="776D5C9E" w:rsidR="00804082" w:rsidRPr="00E71787" w:rsidRDefault="00EB29D9" w:rsidP="008A4996">
      <w:pPr>
        <w:spacing w:line="480" w:lineRule="auto"/>
        <w:rPr>
          <w:rFonts w:ascii="Calibri" w:hAnsi="Calibri" w:cs="Calibri"/>
          <w:iCs/>
        </w:rPr>
      </w:pPr>
      <w:proofErr w:type="spellStart"/>
      <w:r w:rsidRPr="0088788A">
        <w:rPr>
          <w:rStyle w:val="Emphasis"/>
          <w:rFonts w:ascii="Calibri" w:hAnsi="Calibri" w:cs="Calibri"/>
          <w:i w:val="0"/>
        </w:rPr>
        <w:t>Kutney</w:t>
      </w:r>
      <w:proofErr w:type="spellEnd"/>
      <w:r w:rsidRPr="0088788A">
        <w:rPr>
          <w:rStyle w:val="Emphasis"/>
          <w:rFonts w:ascii="Calibri" w:hAnsi="Calibri" w:cs="Calibri"/>
          <w:i w:val="0"/>
        </w:rPr>
        <w:t xml:space="preserve">-Lee, A., </w:t>
      </w:r>
      <w:proofErr w:type="spellStart"/>
      <w:r w:rsidRPr="0088788A">
        <w:rPr>
          <w:rStyle w:val="Emphasis"/>
          <w:rFonts w:ascii="Calibri" w:hAnsi="Calibri" w:cs="Calibri"/>
          <w:i w:val="0"/>
        </w:rPr>
        <w:t>Germack</w:t>
      </w:r>
      <w:proofErr w:type="spellEnd"/>
      <w:r w:rsidRPr="0088788A">
        <w:rPr>
          <w:rStyle w:val="Emphasis"/>
          <w:rFonts w:ascii="Calibri" w:hAnsi="Calibri" w:cs="Calibri"/>
          <w:i w:val="0"/>
        </w:rPr>
        <w:t>, H., Hatfield, L., Kelly, S., Maguire, P.,</w:t>
      </w:r>
      <w:r w:rsidR="00A54D34" w:rsidRPr="0088788A">
        <w:rPr>
          <w:rStyle w:val="Emphasis"/>
          <w:rFonts w:ascii="Calibri" w:hAnsi="Calibri" w:cs="Calibri"/>
          <w:i w:val="0"/>
        </w:rPr>
        <w:t xml:space="preserve"> </w:t>
      </w:r>
      <w:proofErr w:type="spellStart"/>
      <w:r w:rsidR="00A54D34" w:rsidRPr="0088788A">
        <w:rPr>
          <w:rStyle w:val="Emphasis"/>
          <w:rFonts w:ascii="Calibri" w:hAnsi="Calibri" w:cs="Calibri"/>
          <w:i w:val="0"/>
        </w:rPr>
        <w:t>Dierkes</w:t>
      </w:r>
      <w:proofErr w:type="spellEnd"/>
      <w:r w:rsidR="00A54D34" w:rsidRPr="0088788A">
        <w:rPr>
          <w:rStyle w:val="Emphasis"/>
          <w:rFonts w:ascii="Calibri" w:hAnsi="Calibri" w:cs="Calibri"/>
          <w:i w:val="0"/>
        </w:rPr>
        <w:t xml:space="preserve">, A., Del </w:t>
      </w:r>
      <w:proofErr w:type="spellStart"/>
      <w:r w:rsidR="00A54D34" w:rsidRPr="0088788A">
        <w:rPr>
          <w:rStyle w:val="Emphasis"/>
          <w:rFonts w:ascii="Calibri" w:hAnsi="Calibri" w:cs="Calibri"/>
          <w:i w:val="0"/>
        </w:rPr>
        <w:t>Guidice</w:t>
      </w:r>
      <w:proofErr w:type="spellEnd"/>
      <w:r w:rsidR="00A54D34" w:rsidRPr="0088788A">
        <w:rPr>
          <w:rStyle w:val="Emphasis"/>
          <w:rFonts w:ascii="Calibri" w:hAnsi="Calibri" w:cs="Calibri"/>
          <w:i w:val="0"/>
        </w:rPr>
        <w:t>, M.,</w:t>
      </w:r>
      <w:r w:rsidRPr="0088788A">
        <w:rPr>
          <w:rStyle w:val="Emphasis"/>
          <w:rFonts w:ascii="Calibri" w:hAnsi="Calibri" w:cs="Calibri"/>
          <w:i w:val="0"/>
        </w:rPr>
        <w:t xml:space="preserve"> Aiken, L. H. (2016). Nurse Engagement in Shared Governance and Patient and Nurse Outcomes. </w:t>
      </w:r>
      <w:r w:rsidRPr="0088788A">
        <w:rPr>
          <w:rStyle w:val="Emphasis"/>
          <w:rFonts w:ascii="Calibri" w:hAnsi="Calibri" w:cs="Calibri"/>
        </w:rPr>
        <w:t>The Journal of nursing administration</w:t>
      </w:r>
      <w:r w:rsidR="00A54D34" w:rsidRPr="0088788A">
        <w:rPr>
          <w:rStyle w:val="Emphasis"/>
          <w:rFonts w:ascii="Calibri" w:hAnsi="Calibri" w:cs="Calibri"/>
          <w:i w:val="0"/>
        </w:rPr>
        <w:t>.</w:t>
      </w:r>
      <w:r w:rsidRPr="0088788A">
        <w:rPr>
          <w:rStyle w:val="Emphasis"/>
          <w:rFonts w:ascii="Calibri" w:hAnsi="Calibri" w:cs="Calibri"/>
          <w:i w:val="0"/>
        </w:rPr>
        <w:t xml:space="preserve"> 46(11), 605–612. </w:t>
      </w:r>
    </w:p>
    <w:p w14:paraId="55B3327E" w14:textId="35415C49" w:rsidR="00804082" w:rsidRPr="0088788A" w:rsidRDefault="00804082" w:rsidP="008A4996">
      <w:pPr>
        <w:spacing w:after="0" w:line="480" w:lineRule="auto"/>
        <w:rPr>
          <w:rStyle w:val="Emphasis"/>
          <w:rFonts w:ascii="Calibri" w:eastAsia="Times New Roman" w:hAnsi="Calibri" w:cs="Calibri"/>
          <w:i w:val="0"/>
          <w:iCs w:val="0"/>
          <w:lang w:eastAsia="en-GB"/>
        </w:rPr>
      </w:pPr>
      <w:r w:rsidRPr="0088788A">
        <w:rPr>
          <w:rFonts w:ascii="Calibri" w:eastAsia="Times New Roman" w:hAnsi="Calibri" w:cs="Calibri"/>
          <w:lang w:eastAsia="en-GB"/>
        </w:rPr>
        <w:t xml:space="preserve">Lynch, T. (2016). Is English Language Background an Indicator of Success in the English Tests Required for Nursing Registration in Australia? </w:t>
      </w:r>
      <w:r w:rsidRPr="0088788A">
        <w:rPr>
          <w:rFonts w:ascii="Calibri" w:eastAsia="Times New Roman" w:hAnsi="Calibri" w:cs="Calibri"/>
          <w:i/>
          <w:lang w:eastAsia="en-GB"/>
        </w:rPr>
        <w:t>International Journal of Arts &amp; Sciences</w:t>
      </w:r>
      <w:r w:rsidRPr="0088788A">
        <w:rPr>
          <w:rFonts w:ascii="Calibri" w:eastAsia="Times New Roman" w:hAnsi="Calibri" w:cs="Calibri"/>
          <w:lang w:eastAsia="en-GB"/>
        </w:rPr>
        <w:t xml:space="preserve">. 07(05), 539–570. </w:t>
      </w:r>
    </w:p>
    <w:p w14:paraId="642E622B" w14:textId="2EC08A42" w:rsidR="00A54D34" w:rsidRPr="0088788A" w:rsidRDefault="00F628B8" w:rsidP="008A4996">
      <w:pPr>
        <w:spacing w:line="480" w:lineRule="auto"/>
        <w:rPr>
          <w:rStyle w:val="Emphasis"/>
          <w:rFonts w:ascii="Calibri" w:hAnsi="Calibri" w:cs="Calibri"/>
          <w:i w:val="0"/>
        </w:rPr>
      </w:pPr>
      <w:r w:rsidRPr="0088788A">
        <w:rPr>
          <w:rStyle w:val="Emphasis"/>
          <w:rFonts w:ascii="Calibri" w:hAnsi="Calibri" w:cs="Calibri"/>
          <w:i w:val="0"/>
        </w:rPr>
        <w:t>NHS</w:t>
      </w:r>
      <w:r w:rsidR="00A54D34" w:rsidRPr="0088788A">
        <w:rPr>
          <w:rStyle w:val="Emphasis"/>
          <w:rFonts w:ascii="Calibri" w:hAnsi="Calibri" w:cs="Calibri"/>
          <w:i w:val="0"/>
        </w:rPr>
        <w:t>.</w:t>
      </w:r>
      <w:r w:rsidRPr="0088788A">
        <w:rPr>
          <w:rStyle w:val="Emphasis"/>
          <w:rFonts w:ascii="Calibri" w:hAnsi="Calibri" w:cs="Calibri"/>
          <w:i w:val="0"/>
        </w:rPr>
        <w:t xml:space="preserve"> (2019a)</w:t>
      </w:r>
      <w:r w:rsidR="00A54D34" w:rsidRPr="0088788A">
        <w:rPr>
          <w:rStyle w:val="Emphasis"/>
          <w:rFonts w:ascii="Calibri" w:hAnsi="Calibri" w:cs="Calibri"/>
          <w:i w:val="0"/>
        </w:rPr>
        <w:t>.</w:t>
      </w:r>
      <w:r w:rsidRPr="0088788A">
        <w:rPr>
          <w:rStyle w:val="Emphasis"/>
          <w:rFonts w:ascii="Calibri" w:hAnsi="Calibri" w:cs="Calibri"/>
          <w:i w:val="0"/>
        </w:rPr>
        <w:t xml:space="preserve"> </w:t>
      </w:r>
      <w:r w:rsidRPr="0088788A">
        <w:rPr>
          <w:rStyle w:val="Emphasis"/>
          <w:rFonts w:ascii="Calibri" w:hAnsi="Calibri" w:cs="Calibri"/>
        </w:rPr>
        <w:t>Interim NHS People Plan.</w:t>
      </w:r>
      <w:r w:rsidRPr="0088788A">
        <w:rPr>
          <w:rStyle w:val="Emphasis"/>
          <w:rFonts w:ascii="Calibri" w:hAnsi="Calibri" w:cs="Calibri"/>
          <w:i w:val="0"/>
        </w:rPr>
        <w:t xml:space="preserve"> </w:t>
      </w:r>
      <w:r w:rsidR="00A54D34" w:rsidRPr="0088788A">
        <w:rPr>
          <w:rStyle w:val="Emphasis"/>
          <w:rFonts w:ascii="Calibri" w:hAnsi="Calibri" w:cs="Calibri"/>
          <w:i w:val="0"/>
        </w:rPr>
        <w:t>Retrieved from</w:t>
      </w:r>
      <w:r w:rsidRPr="0088788A">
        <w:rPr>
          <w:rStyle w:val="Emphasis"/>
          <w:rFonts w:ascii="Calibri" w:hAnsi="Calibri" w:cs="Calibri"/>
          <w:i w:val="0"/>
        </w:rPr>
        <w:t xml:space="preserve">: </w:t>
      </w:r>
      <w:hyperlink r:id="rId12" w:history="1">
        <w:r w:rsidR="00A54D34" w:rsidRPr="0088788A">
          <w:rPr>
            <w:rStyle w:val="Hyperlink"/>
            <w:rFonts w:ascii="Calibri" w:hAnsi="Calibri" w:cs="Calibri"/>
          </w:rPr>
          <w:t>https://www.longtermplan.nhs.uk/wp-content/uploads/2019/05/Interim-NHS-People-Plan_June2019.pdf</w:t>
        </w:r>
      </w:hyperlink>
    </w:p>
    <w:p w14:paraId="48BF4ABD" w14:textId="461F21E6" w:rsidR="00F628B8" w:rsidRPr="0088788A" w:rsidRDefault="00F628B8" w:rsidP="008A4996">
      <w:pPr>
        <w:spacing w:line="480" w:lineRule="auto"/>
        <w:rPr>
          <w:rStyle w:val="Emphasis"/>
          <w:rFonts w:ascii="Calibri" w:hAnsi="Calibri" w:cs="Calibri"/>
        </w:rPr>
      </w:pPr>
      <w:r w:rsidRPr="0088788A">
        <w:rPr>
          <w:rStyle w:val="Emphasis"/>
          <w:rFonts w:ascii="Calibri" w:hAnsi="Calibri" w:cs="Calibri"/>
          <w:i w:val="0"/>
        </w:rPr>
        <w:t>NHS</w:t>
      </w:r>
      <w:r w:rsidR="00A54D34" w:rsidRPr="0088788A">
        <w:rPr>
          <w:rStyle w:val="Emphasis"/>
          <w:rFonts w:ascii="Calibri" w:hAnsi="Calibri" w:cs="Calibri"/>
          <w:i w:val="0"/>
        </w:rPr>
        <w:t>.</w:t>
      </w:r>
      <w:r w:rsidRPr="0088788A">
        <w:rPr>
          <w:rStyle w:val="Emphasis"/>
          <w:rFonts w:ascii="Calibri" w:hAnsi="Calibri" w:cs="Calibri"/>
          <w:i w:val="0"/>
        </w:rPr>
        <w:t xml:space="preserve"> (2019b)</w:t>
      </w:r>
      <w:r w:rsidR="00A54D34" w:rsidRPr="0088788A">
        <w:rPr>
          <w:rStyle w:val="Emphasis"/>
          <w:rFonts w:ascii="Calibri" w:hAnsi="Calibri" w:cs="Calibri"/>
          <w:i w:val="0"/>
        </w:rPr>
        <w:t>.</w:t>
      </w:r>
      <w:r w:rsidRPr="0088788A">
        <w:rPr>
          <w:rStyle w:val="Emphasis"/>
          <w:rFonts w:ascii="Calibri" w:hAnsi="Calibri" w:cs="Calibri"/>
        </w:rPr>
        <w:t xml:space="preserve"> Long term Plan.  </w:t>
      </w:r>
      <w:r w:rsidR="00A54D34" w:rsidRPr="0088788A">
        <w:rPr>
          <w:rStyle w:val="Emphasis"/>
          <w:rFonts w:ascii="Calibri" w:hAnsi="Calibri" w:cs="Calibri"/>
          <w:i w:val="0"/>
        </w:rPr>
        <w:t>Retrieved from</w:t>
      </w:r>
      <w:r w:rsidRPr="0088788A">
        <w:rPr>
          <w:rStyle w:val="Emphasis"/>
          <w:rFonts w:ascii="Calibri" w:hAnsi="Calibri" w:cs="Calibri"/>
        </w:rPr>
        <w:t xml:space="preserve">: </w:t>
      </w:r>
      <w:hyperlink r:id="rId13" w:history="1">
        <w:r w:rsidRPr="0088788A">
          <w:rPr>
            <w:rStyle w:val="Hyperlink"/>
            <w:rFonts w:ascii="Calibri" w:hAnsi="Calibri" w:cs="Calibri"/>
          </w:rPr>
          <w:t>https://www.longtermplan.nhs.uk/wp-content/uploads/2019/08/nhs-long-term-plan-version-1.2.pdf</w:t>
        </w:r>
      </w:hyperlink>
      <w:r w:rsidRPr="0088788A">
        <w:rPr>
          <w:rStyle w:val="Emphasis"/>
          <w:rFonts w:ascii="Calibri" w:hAnsi="Calibri" w:cs="Calibri"/>
        </w:rPr>
        <w:t xml:space="preserve"> </w:t>
      </w:r>
    </w:p>
    <w:p w14:paraId="6693F0A9" w14:textId="452DF066" w:rsidR="00C47DA8" w:rsidRPr="0088788A" w:rsidRDefault="00C47DA8" w:rsidP="008A4996">
      <w:pPr>
        <w:spacing w:line="480" w:lineRule="auto"/>
        <w:rPr>
          <w:rFonts w:ascii="Calibri" w:hAnsi="Calibri" w:cs="Calibri"/>
        </w:rPr>
      </w:pPr>
      <w:r w:rsidRPr="0088788A">
        <w:rPr>
          <w:rFonts w:ascii="Calibri" w:hAnsi="Calibri" w:cs="Calibri"/>
        </w:rPr>
        <w:t>NHS Employers. (2020)</w:t>
      </w:r>
      <w:r w:rsidR="00AD577B">
        <w:rPr>
          <w:rFonts w:ascii="Calibri" w:hAnsi="Calibri" w:cs="Calibri"/>
        </w:rPr>
        <w:t xml:space="preserve">. </w:t>
      </w:r>
      <w:r w:rsidRPr="0088788A">
        <w:rPr>
          <w:rFonts w:ascii="Calibri" w:hAnsi="Calibri" w:cs="Calibri"/>
          <w:i/>
        </w:rPr>
        <w:t>International Recruitment Toolkit - An interactive guide to encourage and enable good practice in the NHS</w:t>
      </w:r>
      <w:r w:rsidRPr="0088788A">
        <w:rPr>
          <w:rFonts w:ascii="Calibri" w:hAnsi="Calibri" w:cs="Calibri"/>
        </w:rPr>
        <w:t xml:space="preserve">. Retrieved from: </w:t>
      </w:r>
      <w:hyperlink r:id="rId14" w:history="1">
        <w:r w:rsidRPr="0088788A">
          <w:rPr>
            <w:rStyle w:val="Hyperlink"/>
            <w:rFonts w:ascii="Calibri" w:hAnsi="Calibri" w:cs="Calibri"/>
          </w:rPr>
          <w:t>https://www.nhsemployers.org/-/media/Employers/Publications/International-Recruitment-toolkit/NHS-International-recruitment-toolkit-200120.pdf</w:t>
        </w:r>
      </w:hyperlink>
      <w:r w:rsidRPr="0088788A">
        <w:rPr>
          <w:rFonts w:ascii="Calibri" w:hAnsi="Calibri" w:cs="Calibri"/>
        </w:rPr>
        <w:t xml:space="preserve"> </w:t>
      </w:r>
    </w:p>
    <w:p w14:paraId="5EAB54B8" w14:textId="356C668A" w:rsidR="00B86C11" w:rsidRPr="0088788A" w:rsidRDefault="003A3E0C" w:rsidP="008A4996">
      <w:pPr>
        <w:spacing w:line="480" w:lineRule="auto"/>
        <w:rPr>
          <w:rFonts w:ascii="Calibri" w:hAnsi="Calibri" w:cs="Calibri"/>
        </w:rPr>
      </w:pPr>
      <w:r w:rsidRPr="0088788A">
        <w:rPr>
          <w:rFonts w:ascii="Calibri" w:hAnsi="Calibri" w:cs="Calibri"/>
        </w:rPr>
        <w:t>Nursing and Midwifery Council [</w:t>
      </w:r>
      <w:r w:rsidR="00B86C11" w:rsidRPr="0088788A">
        <w:rPr>
          <w:rFonts w:ascii="Calibri" w:hAnsi="Calibri" w:cs="Calibri"/>
        </w:rPr>
        <w:t>NMC</w:t>
      </w:r>
      <w:r w:rsidRPr="0088788A">
        <w:rPr>
          <w:rFonts w:ascii="Calibri" w:hAnsi="Calibri" w:cs="Calibri"/>
        </w:rPr>
        <w:t>].</w:t>
      </w:r>
      <w:r w:rsidR="00B86C11" w:rsidRPr="0088788A">
        <w:rPr>
          <w:rFonts w:ascii="Calibri" w:hAnsi="Calibri" w:cs="Calibri"/>
        </w:rPr>
        <w:t xml:space="preserve"> (2018)</w:t>
      </w:r>
      <w:r w:rsidRPr="0088788A">
        <w:rPr>
          <w:rFonts w:ascii="Calibri" w:hAnsi="Calibri" w:cs="Calibri"/>
        </w:rPr>
        <w:t xml:space="preserve">. </w:t>
      </w:r>
      <w:r w:rsidRPr="0088788A">
        <w:rPr>
          <w:rFonts w:ascii="Calibri" w:hAnsi="Calibri" w:cs="Calibri"/>
          <w:i/>
        </w:rPr>
        <w:t>Reviewing our registration process for nurses and midwives from outside the EEA.</w:t>
      </w:r>
      <w:r w:rsidRPr="0088788A">
        <w:rPr>
          <w:rFonts w:ascii="Calibri" w:hAnsi="Calibri" w:cs="Calibri"/>
        </w:rPr>
        <w:t xml:space="preserve"> Retrieved from:</w:t>
      </w:r>
      <w:r w:rsidR="00B86C11" w:rsidRPr="0088788A">
        <w:rPr>
          <w:rFonts w:ascii="Calibri" w:hAnsi="Calibri" w:cs="Calibri"/>
        </w:rPr>
        <w:t xml:space="preserve"> </w:t>
      </w:r>
      <w:hyperlink r:id="rId15" w:history="1">
        <w:r w:rsidRPr="0088788A">
          <w:rPr>
            <w:rStyle w:val="Hyperlink"/>
            <w:rFonts w:ascii="Calibri" w:hAnsi="Calibri" w:cs="Calibri"/>
          </w:rPr>
          <w:t>https://www.nmc.org.uk/registration/joining-the-</w:t>
        </w:r>
        <w:r w:rsidRPr="0088788A">
          <w:rPr>
            <w:rStyle w:val="Hyperlink"/>
            <w:rFonts w:ascii="Calibri" w:hAnsi="Calibri" w:cs="Calibri"/>
          </w:rPr>
          <w:lastRenderedPageBreak/>
          <w:t>register/register-nurse-midwife/old-trained-outside-the-eueea/reviewing-our-registration-processes-for-nurses-and-midwives-from-outside-the-eea/</w:t>
        </w:r>
      </w:hyperlink>
      <w:r w:rsidRPr="0088788A">
        <w:rPr>
          <w:rFonts w:ascii="Calibri" w:hAnsi="Calibri" w:cs="Calibri"/>
        </w:rPr>
        <w:t xml:space="preserve"> </w:t>
      </w:r>
    </w:p>
    <w:p w14:paraId="1DEC8651" w14:textId="4056AF76" w:rsidR="0088788A" w:rsidRPr="0088788A" w:rsidRDefault="0088788A" w:rsidP="008A4996">
      <w:pPr>
        <w:spacing w:line="480" w:lineRule="auto"/>
        <w:rPr>
          <w:rStyle w:val="Emphasis"/>
          <w:rFonts w:ascii="Calibri" w:hAnsi="Calibri" w:cs="Calibri"/>
        </w:rPr>
      </w:pPr>
      <w:r w:rsidRPr="0088788A">
        <w:rPr>
          <w:rFonts w:ascii="Calibri" w:hAnsi="Calibri" w:cs="Calibri"/>
        </w:rPr>
        <w:t>Nursing and Midwifery Council [NMC]. (</w:t>
      </w:r>
      <w:r w:rsidR="00E71787">
        <w:rPr>
          <w:rStyle w:val="Emphasis"/>
          <w:rFonts w:ascii="Calibri" w:hAnsi="Calibri" w:cs="Calibri"/>
          <w:i w:val="0"/>
        </w:rPr>
        <w:t>2020</w:t>
      </w:r>
      <w:r w:rsidRPr="0088788A">
        <w:rPr>
          <w:rStyle w:val="Emphasis"/>
          <w:rFonts w:ascii="Calibri" w:hAnsi="Calibri" w:cs="Calibri"/>
          <w:i w:val="0"/>
        </w:rPr>
        <w:t>).</w:t>
      </w:r>
      <w:r w:rsidRPr="0088788A">
        <w:rPr>
          <w:rStyle w:val="Emphasis"/>
          <w:rFonts w:ascii="Calibri" w:hAnsi="Calibri" w:cs="Calibri"/>
        </w:rPr>
        <w:t xml:space="preserve"> Results from a FOI request to the NMC. </w:t>
      </w:r>
    </w:p>
    <w:p w14:paraId="71D3D344" w14:textId="62090207" w:rsidR="00804082" w:rsidRPr="0088788A" w:rsidRDefault="00804082" w:rsidP="008A4996">
      <w:pPr>
        <w:spacing w:line="480" w:lineRule="auto"/>
        <w:rPr>
          <w:rStyle w:val="Emphasis"/>
          <w:rFonts w:ascii="Calibri" w:hAnsi="Calibri" w:cs="Calibri"/>
          <w:i w:val="0"/>
          <w:iCs w:val="0"/>
        </w:rPr>
      </w:pPr>
      <w:proofErr w:type="spellStart"/>
      <w:r w:rsidRPr="0088788A">
        <w:rPr>
          <w:rFonts w:ascii="Calibri" w:hAnsi="Calibri" w:cs="Calibri"/>
        </w:rPr>
        <w:t>Mckew</w:t>
      </w:r>
      <w:proofErr w:type="spellEnd"/>
      <w:r w:rsidRPr="0088788A">
        <w:rPr>
          <w:rFonts w:ascii="Calibri" w:hAnsi="Calibri" w:cs="Calibri"/>
        </w:rPr>
        <w:t xml:space="preserve">, M. (2017). ‘Common-sense’ overhaul for UK language tests. </w:t>
      </w:r>
      <w:r w:rsidRPr="0088788A">
        <w:rPr>
          <w:rFonts w:ascii="Calibri" w:hAnsi="Calibri" w:cs="Calibri"/>
          <w:i/>
        </w:rPr>
        <w:t>Nursing Standard</w:t>
      </w:r>
      <w:r w:rsidRPr="0088788A">
        <w:rPr>
          <w:rFonts w:ascii="Calibri" w:hAnsi="Calibri" w:cs="Calibri"/>
        </w:rPr>
        <w:t>. 32(9), 9-9.</w:t>
      </w:r>
    </w:p>
    <w:p w14:paraId="52FFB856" w14:textId="2B9BA947" w:rsidR="00804082" w:rsidRPr="0088788A" w:rsidRDefault="00804082" w:rsidP="008A4996">
      <w:pPr>
        <w:spacing w:line="480" w:lineRule="auto"/>
        <w:rPr>
          <w:rStyle w:val="Emphasis"/>
          <w:rFonts w:ascii="Calibri" w:hAnsi="Calibri" w:cs="Calibri"/>
          <w:i w:val="0"/>
          <w:iCs w:val="0"/>
        </w:rPr>
      </w:pPr>
      <w:r w:rsidRPr="0088788A">
        <w:rPr>
          <w:rFonts w:ascii="Calibri" w:hAnsi="Calibri" w:cs="Calibri"/>
        </w:rPr>
        <w:t xml:space="preserve">Moore, C. (2015). </w:t>
      </w:r>
      <w:r w:rsidRPr="0088788A">
        <w:rPr>
          <w:rFonts w:ascii="Calibri" w:hAnsi="Calibri" w:cs="Calibri"/>
          <w:i/>
        </w:rPr>
        <w:t xml:space="preserve">Is IELTS the Right English Test for Overseas Nurses Working in the UK? </w:t>
      </w:r>
      <w:r w:rsidRPr="0088788A">
        <w:rPr>
          <w:rFonts w:ascii="Calibri" w:hAnsi="Calibri" w:cs="Calibri"/>
        </w:rPr>
        <w:t xml:space="preserve">Retrieved from: </w:t>
      </w:r>
      <w:hyperlink r:id="rId16" w:history="1">
        <w:r w:rsidRPr="0088788A">
          <w:rPr>
            <w:rStyle w:val="Hyperlink"/>
            <w:rFonts w:ascii="Calibri" w:hAnsi="Calibri" w:cs="Calibri"/>
          </w:rPr>
          <w:t>https://www.linkedin.com/pulse/ielts-right-english-test-overseas-nurses-working-uk-chris-moore</w:t>
        </w:r>
      </w:hyperlink>
      <w:r w:rsidRPr="0088788A">
        <w:rPr>
          <w:rFonts w:ascii="Calibri" w:hAnsi="Calibri" w:cs="Calibri"/>
        </w:rPr>
        <w:t xml:space="preserve"> </w:t>
      </w:r>
    </w:p>
    <w:p w14:paraId="4530A11A" w14:textId="457E6F19" w:rsidR="00C47DA8" w:rsidRPr="0088788A" w:rsidRDefault="00C47DA8" w:rsidP="008A4996">
      <w:pPr>
        <w:spacing w:line="480" w:lineRule="auto"/>
        <w:rPr>
          <w:rStyle w:val="Emphasis"/>
          <w:rFonts w:ascii="Calibri" w:hAnsi="Calibri" w:cs="Calibri"/>
          <w:i w:val="0"/>
        </w:rPr>
      </w:pPr>
      <w:r w:rsidRPr="0088788A">
        <w:rPr>
          <w:rStyle w:val="Emphasis"/>
          <w:rFonts w:ascii="Calibri" w:hAnsi="Calibri" w:cs="Calibri"/>
          <w:i w:val="0"/>
        </w:rPr>
        <w:t xml:space="preserve">Pope, R. (2017). The NHS: Sticking Fingers in Its Ears, Humming Loudly. </w:t>
      </w:r>
      <w:r w:rsidRPr="0088788A">
        <w:rPr>
          <w:rStyle w:val="Emphasis"/>
          <w:rFonts w:ascii="Calibri" w:hAnsi="Calibri" w:cs="Calibri"/>
        </w:rPr>
        <w:t>Journal of Business Ethics</w:t>
      </w:r>
      <w:r w:rsidRPr="0088788A">
        <w:rPr>
          <w:rStyle w:val="Emphasis"/>
          <w:rFonts w:ascii="Calibri" w:hAnsi="Calibri" w:cs="Calibri"/>
          <w:i w:val="0"/>
        </w:rPr>
        <w:t>.  145, 577–598.</w:t>
      </w:r>
    </w:p>
    <w:p w14:paraId="7119530B" w14:textId="1E7C0646" w:rsidR="00D95F2C" w:rsidRPr="0088788A" w:rsidRDefault="00CA5769" w:rsidP="008A4996">
      <w:pPr>
        <w:spacing w:line="480" w:lineRule="auto"/>
        <w:rPr>
          <w:rFonts w:ascii="Calibri" w:hAnsi="Calibri" w:cs="Calibri"/>
        </w:rPr>
      </w:pPr>
      <w:r w:rsidRPr="0088788A">
        <w:rPr>
          <w:rFonts w:ascii="Calibri" w:hAnsi="Calibri" w:cs="Calibri"/>
        </w:rPr>
        <w:t>Rumsey M, Thiessen J, Buchan J, Daly J.</w:t>
      </w:r>
      <w:r w:rsidR="009327F7" w:rsidRPr="0088788A">
        <w:rPr>
          <w:rFonts w:ascii="Calibri" w:hAnsi="Calibri" w:cs="Calibri"/>
        </w:rPr>
        <w:t xml:space="preserve"> (2016).</w:t>
      </w:r>
      <w:r w:rsidRPr="0088788A">
        <w:rPr>
          <w:rFonts w:ascii="Calibri" w:hAnsi="Calibri" w:cs="Calibri"/>
        </w:rPr>
        <w:t xml:space="preserve"> The consequences of English language testing for international health professionals and students: An Australian case study. </w:t>
      </w:r>
      <w:r w:rsidRPr="0088788A">
        <w:rPr>
          <w:rFonts w:ascii="Calibri" w:hAnsi="Calibri" w:cs="Calibri"/>
          <w:i/>
        </w:rPr>
        <w:t>Int</w:t>
      </w:r>
      <w:r w:rsidR="009327F7" w:rsidRPr="0088788A">
        <w:rPr>
          <w:rFonts w:ascii="Calibri" w:hAnsi="Calibri" w:cs="Calibri"/>
          <w:i/>
        </w:rPr>
        <w:t>ernational Journal of Nursing Studies</w:t>
      </w:r>
      <w:r w:rsidR="009327F7" w:rsidRPr="0088788A">
        <w:rPr>
          <w:rFonts w:ascii="Calibri" w:hAnsi="Calibri" w:cs="Calibri"/>
        </w:rPr>
        <w:t>.</w:t>
      </w:r>
      <w:r w:rsidRPr="0088788A">
        <w:rPr>
          <w:rFonts w:ascii="Calibri" w:hAnsi="Calibri" w:cs="Calibri"/>
        </w:rPr>
        <w:t xml:space="preserve"> </w:t>
      </w:r>
      <w:r w:rsidR="009327F7" w:rsidRPr="0088788A">
        <w:rPr>
          <w:rFonts w:ascii="Calibri" w:hAnsi="Calibri" w:cs="Calibri"/>
        </w:rPr>
        <w:t xml:space="preserve">Feb;54, </w:t>
      </w:r>
      <w:r w:rsidRPr="0088788A">
        <w:rPr>
          <w:rFonts w:ascii="Calibri" w:hAnsi="Calibri" w:cs="Calibri"/>
        </w:rPr>
        <w:t>95-103</w:t>
      </w:r>
      <w:r w:rsidR="009327F7" w:rsidRPr="0088788A">
        <w:rPr>
          <w:rFonts w:ascii="Calibri" w:hAnsi="Calibri" w:cs="Calibri"/>
        </w:rPr>
        <w:t>.</w:t>
      </w:r>
    </w:p>
    <w:p w14:paraId="0EDCA4FD" w14:textId="72433521" w:rsidR="00804082" w:rsidRDefault="00804082" w:rsidP="008A4996">
      <w:pPr>
        <w:spacing w:line="480" w:lineRule="auto"/>
        <w:rPr>
          <w:rFonts w:ascii="Calibri" w:hAnsi="Calibri" w:cs="Calibri"/>
        </w:rPr>
      </w:pPr>
      <w:r w:rsidRPr="0088788A">
        <w:rPr>
          <w:rFonts w:ascii="Calibri" w:hAnsi="Calibri" w:cs="Calibri"/>
        </w:rPr>
        <w:t xml:space="preserve">Sedgwick, C., Garner, M. (2017). How appropriate are the English language test requirements for non-UK-trained nurses? A qualitative study of spoken communication in UK hospitals. </w:t>
      </w:r>
      <w:r w:rsidRPr="0088788A">
        <w:rPr>
          <w:rFonts w:ascii="Calibri" w:hAnsi="Calibri" w:cs="Calibri"/>
          <w:i/>
          <w:iCs/>
        </w:rPr>
        <w:t>International Journal of Nursing Studies</w:t>
      </w:r>
      <w:r w:rsidRPr="0088788A">
        <w:rPr>
          <w:rFonts w:ascii="Calibri" w:hAnsi="Calibri" w:cs="Calibri"/>
        </w:rPr>
        <w:t xml:space="preserve">. 71, 50–59. </w:t>
      </w:r>
    </w:p>
    <w:p w14:paraId="175A391D" w14:textId="43A357C7" w:rsidR="00712DC4" w:rsidRPr="00712DC4" w:rsidRDefault="00712DC4" w:rsidP="008A4996">
      <w:pPr>
        <w:spacing w:line="480" w:lineRule="auto"/>
        <w:rPr>
          <w:rFonts w:ascii="Calibri" w:hAnsi="Calibri" w:cs="Calibri"/>
          <w:i/>
        </w:rPr>
      </w:pPr>
      <w:r w:rsidRPr="000C0F0B">
        <w:rPr>
          <w:rStyle w:val="HTMLCite"/>
          <w:i w:val="0"/>
        </w:rPr>
        <w:t xml:space="preserve">Silva, H.C., Siqueira, A., Araújo, M.A., </w:t>
      </w:r>
      <w:proofErr w:type="spellStart"/>
      <w:r w:rsidRPr="000C0F0B">
        <w:rPr>
          <w:rStyle w:val="HTMLCite"/>
          <w:i w:val="0"/>
        </w:rPr>
        <w:t>Dornelas</w:t>
      </w:r>
      <w:proofErr w:type="spellEnd"/>
      <w:r w:rsidRPr="000C0F0B">
        <w:rPr>
          <w:rStyle w:val="HTMLCite"/>
          <w:i w:val="0"/>
        </w:rPr>
        <w:t xml:space="preserve">, J.S. (2018). Let's be Pragmatic: Research in Information Systems with Relevance and Rigor. </w:t>
      </w:r>
      <w:r w:rsidRPr="000C0F0B">
        <w:rPr>
          <w:rStyle w:val="HTMLCite"/>
        </w:rPr>
        <w:t>International Journal of Business Management and Economic Research (IJBMER)</w:t>
      </w:r>
      <w:r w:rsidRPr="000C0F0B">
        <w:rPr>
          <w:rStyle w:val="HTMLCite"/>
          <w:i w:val="0"/>
        </w:rPr>
        <w:t>. 9(4), 1314-1321.</w:t>
      </w:r>
    </w:p>
    <w:p w14:paraId="487E20D1" w14:textId="2A63F227" w:rsidR="00804082" w:rsidRPr="0088788A" w:rsidRDefault="00804082" w:rsidP="008A4996">
      <w:pPr>
        <w:spacing w:line="480" w:lineRule="auto"/>
        <w:rPr>
          <w:rFonts w:ascii="Calibri" w:hAnsi="Calibri" w:cs="Calibri"/>
        </w:rPr>
      </w:pPr>
      <w:r w:rsidRPr="0088788A">
        <w:rPr>
          <w:rFonts w:ascii="Calibri" w:hAnsi="Calibri" w:cs="Calibri"/>
        </w:rPr>
        <w:t xml:space="preserve">Tapper, J. (2017). </w:t>
      </w:r>
      <w:r w:rsidRPr="0088788A">
        <w:rPr>
          <w:rFonts w:ascii="Calibri" w:hAnsi="Calibri" w:cs="Calibri"/>
          <w:i/>
        </w:rPr>
        <w:t xml:space="preserve">Difficulty of NHS language test ‘worsens nurse </w:t>
      </w:r>
      <w:proofErr w:type="gramStart"/>
      <w:r w:rsidRPr="0088788A">
        <w:rPr>
          <w:rFonts w:ascii="Calibri" w:hAnsi="Calibri" w:cs="Calibri"/>
          <w:i/>
        </w:rPr>
        <w:t>crisis’</w:t>
      </w:r>
      <w:proofErr w:type="gramEnd"/>
      <w:r w:rsidRPr="0088788A">
        <w:rPr>
          <w:rFonts w:ascii="Calibri" w:hAnsi="Calibri" w:cs="Calibri"/>
          <w:i/>
        </w:rPr>
        <w:t>, say recruiters.</w:t>
      </w:r>
      <w:r w:rsidRPr="0088788A">
        <w:rPr>
          <w:rFonts w:ascii="Calibri" w:hAnsi="Calibri" w:cs="Calibri"/>
        </w:rPr>
        <w:t xml:space="preserve"> News article. Retrieved from: </w:t>
      </w:r>
      <w:hyperlink r:id="rId17" w:history="1">
        <w:r w:rsidRPr="0088788A">
          <w:rPr>
            <w:rStyle w:val="Hyperlink"/>
            <w:rFonts w:ascii="Calibri" w:hAnsi="Calibri" w:cs="Calibri"/>
          </w:rPr>
          <w:t>https://www.theguardian.com/society/2017/jun/24/english-speaking-ovserseas-nurses-fail-nhs-too-tough-language-test</w:t>
        </w:r>
      </w:hyperlink>
    </w:p>
    <w:p w14:paraId="5568CD11" w14:textId="77777777" w:rsidR="00804082" w:rsidRPr="0088788A" w:rsidRDefault="00804082" w:rsidP="008A4996">
      <w:pPr>
        <w:spacing w:line="480" w:lineRule="auto"/>
        <w:rPr>
          <w:rFonts w:ascii="Calibri" w:hAnsi="Calibri" w:cs="Calibri"/>
        </w:rPr>
      </w:pPr>
      <w:r w:rsidRPr="0088788A">
        <w:rPr>
          <w:rStyle w:val="Hyperlink"/>
          <w:rFonts w:ascii="Calibri" w:hAnsi="Calibri" w:cs="Calibri"/>
        </w:rPr>
        <w:t xml:space="preserve">Unison. (2017). </w:t>
      </w:r>
      <w:r w:rsidRPr="0088788A">
        <w:rPr>
          <w:rStyle w:val="Hyperlink"/>
          <w:rFonts w:ascii="Calibri" w:hAnsi="Calibri" w:cs="Calibri"/>
          <w:i/>
        </w:rPr>
        <w:t>Helping members prepare for the OSCE. A guide for Unison reps.</w:t>
      </w:r>
      <w:r w:rsidRPr="0088788A">
        <w:rPr>
          <w:rStyle w:val="Hyperlink"/>
          <w:rFonts w:ascii="Calibri" w:hAnsi="Calibri" w:cs="Calibri"/>
        </w:rPr>
        <w:t xml:space="preserve">  Retrieved from: </w:t>
      </w:r>
      <w:hyperlink r:id="rId18" w:history="1">
        <w:r w:rsidRPr="0088788A">
          <w:rPr>
            <w:rStyle w:val="Hyperlink"/>
            <w:rFonts w:ascii="Calibri" w:hAnsi="Calibri" w:cs="Calibri"/>
          </w:rPr>
          <w:t>https://www.unison.org.uk/content/uploads/2017/07/24494.pdf</w:t>
        </w:r>
      </w:hyperlink>
      <w:r w:rsidRPr="0088788A">
        <w:rPr>
          <w:rStyle w:val="Hyperlink"/>
          <w:rFonts w:ascii="Calibri" w:hAnsi="Calibri" w:cs="Calibri"/>
        </w:rPr>
        <w:t xml:space="preserve"> </w:t>
      </w:r>
    </w:p>
    <w:p w14:paraId="59C457BC" w14:textId="3C2A6D71" w:rsidR="00E526D7" w:rsidRDefault="00804082" w:rsidP="008A4996">
      <w:pPr>
        <w:spacing w:line="480" w:lineRule="auto"/>
        <w:rPr>
          <w:rStyle w:val="Hyperlink"/>
          <w:rFonts w:ascii="Calibri" w:hAnsi="Calibri" w:cs="Calibri"/>
        </w:rPr>
      </w:pPr>
      <w:r w:rsidRPr="0088788A">
        <w:rPr>
          <w:rFonts w:ascii="Calibri" w:hAnsi="Calibri" w:cs="Calibri"/>
        </w:rPr>
        <w:lastRenderedPageBreak/>
        <w:t xml:space="preserve">Unison, (2018). </w:t>
      </w:r>
      <w:r w:rsidRPr="0088788A">
        <w:rPr>
          <w:rFonts w:ascii="Calibri" w:hAnsi="Calibri" w:cs="Calibri"/>
          <w:i/>
        </w:rPr>
        <w:t xml:space="preserve">Organising </w:t>
      </w:r>
      <w:proofErr w:type="spellStart"/>
      <w:proofErr w:type="gramStart"/>
      <w:r w:rsidRPr="0088788A">
        <w:rPr>
          <w:rFonts w:ascii="Calibri" w:hAnsi="Calibri" w:cs="Calibri"/>
          <w:i/>
        </w:rPr>
        <w:t>non EU</w:t>
      </w:r>
      <w:proofErr w:type="spellEnd"/>
      <w:proofErr w:type="gramEnd"/>
      <w:r w:rsidRPr="0088788A">
        <w:rPr>
          <w:rFonts w:ascii="Calibri" w:hAnsi="Calibri" w:cs="Calibri"/>
          <w:i/>
        </w:rPr>
        <w:t xml:space="preserve"> overseas nurses</w:t>
      </w:r>
      <w:r w:rsidRPr="0088788A">
        <w:rPr>
          <w:rFonts w:ascii="Calibri" w:hAnsi="Calibri" w:cs="Calibri"/>
        </w:rPr>
        <w:t xml:space="preserve">. Retrieved from: </w:t>
      </w:r>
      <w:hyperlink r:id="rId19" w:history="1">
        <w:r w:rsidRPr="0088788A">
          <w:rPr>
            <w:rStyle w:val="Hyperlink"/>
            <w:rFonts w:ascii="Calibri" w:hAnsi="Calibri" w:cs="Calibri"/>
          </w:rPr>
          <w:t>https://www.unison.org.uk/content/uploads/2018/08/Organising-non-EU-overseas-nurses.pdf</w:t>
        </w:r>
      </w:hyperlink>
    </w:p>
    <w:p w14:paraId="6205E927" w14:textId="6AA59F93" w:rsidR="00DA0222" w:rsidRDefault="00310EEC" w:rsidP="00DA0222">
      <w:pPr>
        <w:spacing w:line="480" w:lineRule="auto"/>
        <w:rPr>
          <w:rFonts w:ascii="Calibri" w:hAnsi="Calibri" w:cs="Calibri"/>
        </w:rPr>
      </w:pPr>
      <w:r>
        <w:rPr>
          <w:rFonts w:ascii="Calibri" w:hAnsi="Calibri" w:cs="Calibri"/>
        </w:rPr>
        <w:t xml:space="preserve"> Xu, W.,</w:t>
      </w:r>
      <w:r w:rsidRPr="00310EEC">
        <w:rPr>
          <w:rFonts w:ascii="Calibri" w:hAnsi="Calibri" w:cs="Calibri"/>
        </w:rPr>
        <w:t xml:space="preserve"> Zammit, K. (2020). Applying Thematic Analysis to Education: A Hybrid Approach to Interpreting Data in Practitioner Research. </w:t>
      </w:r>
      <w:r w:rsidRPr="00310EEC">
        <w:rPr>
          <w:rFonts w:ascii="Calibri" w:hAnsi="Calibri" w:cs="Calibri"/>
          <w:i/>
        </w:rPr>
        <w:t>International Journal of Qualitative Methods.</w:t>
      </w:r>
      <w:r w:rsidRPr="00310EEC">
        <w:rPr>
          <w:rFonts w:ascii="Calibri" w:hAnsi="Calibri" w:cs="Calibri"/>
        </w:rPr>
        <w:t xml:space="preserve"> </w:t>
      </w:r>
      <w:r>
        <w:rPr>
          <w:rFonts w:ascii="Calibri" w:hAnsi="Calibri" w:cs="Calibri"/>
        </w:rPr>
        <w:t>9,</w:t>
      </w:r>
      <w:r w:rsidRPr="00310EEC">
        <w:rPr>
          <w:rFonts w:ascii="Calibri" w:hAnsi="Calibri" w:cs="Calibri"/>
        </w:rPr>
        <w:t xml:space="preserve"> 1–9</w:t>
      </w:r>
      <w:r>
        <w:rPr>
          <w:rFonts w:ascii="Calibri" w:hAnsi="Calibri" w:cs="Calibri"/>
        </w:rPr>
        <w:t>.</w:t>
      </w:r>
    </w:p>
    <w:p w14:paraId="6EE7B34D" w14:textId="77777777" w:rsidR="00DA0222" w:rsidRDefault="00DA0222">
      <w:pPr>
        <w:spacing w:after="0" w:line="240" w:lineRule="auto"/>
        <w:rPr>
          <w:rFonts w:ascii="Calibri" w:hAnsi="Calibri" w:cs="Calibri"/>
        </w:rPr>
      </w:pPr>
      <w:r>
        <w:rPr>
          <w:rFonts w:ascii="Calibri" w:hAnsi="Calibri" w:cs="Calibri"/>
        </w:rPr>
        <w:br w:type="page"/>
      </w:r>
    </w:p>
    <w:p w14:paraId="727194A4" w14:textId="77777777" w:rsidR="00DA0222" w:rsidRPr="00DA0222" w:rsidRDefault="00DA0222" w:rsidP="00DA0222">
      <w:pPr>
        <w:pStyle w:val="Heading1"/>
      </w:pPr>
      <w:r w:rsidRPr="00DA0222">
        <w:rPr>
          <w:rStyle w:val="label"/>
          <w:rFonts w:cstheme="minorHAnsi"/>
        </w:rPr>
        <w:lastRenderedPageBreak/>
        <w:t>Table 1</w:t>
      </w:r>
      <w:r w:rsidRPr="00DA0222">
        <w:t>. Average OSCE pass rates from January 2017 to March 2020.</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568"/>
        <w:gridCol w:w="527"/>
        <w:gridCol w:w="527"/>
        <w:gridCol w:w="527"/>
        <w:gridCol w:w="1379"/>
      </w:tblGrid>
      <w:tr w:rsidR="00DA0222" w:rsidRPr="00DA0222" w14:paraId="39C9A015" w14:textId="77777777" w:rsidTr="00DA0222">
        <w:trPr>
          <w:tblHeader/>
          <w:tblCellSpacing w:w="15" w:type="dxa"/>
        </w:trPr>
        <w:tc>
          <w:tcPr>
            <w:tcW w:w="0" w:type="auto"/>
            <w:vAlign w:val="center"/>
            <w:hideMark/>
          </w:tcPr>
          <w:p w14:paraId="0A603B50" w14:textId="77777777" w:rsidR="00DA0222" w:rsidRPr="00DA0222" w:rsidRDefault="00DA0222">
            <w:pPr>
              <w:rPr>
                <w:rFonts w:cstheme="minorHAnsi"/>
              </w:rPr>
            </w:pPr>
          </w:p>
        </w:tc>
        <w:tc>
          <w:tcPr>
            <w:tcW w:w="0" w:type="auto"/>
            <w:vAlign w:val="center"/>
            <w:hideMark/>
          </w:tcPr>
          <w:p w14:paraId="28D0168C" w14:textId="77777777" w:rsidR="00DA0222" w:rsidRPr="00DA0222" w:rsidRDefault="00DA0222">
            <w:pPr>
              <w:jc w:val="center"/>
              <w:rPr>
                <w:rFonts w:cstheme="minorHAnsi"/>
                <w:b/>
                <w:bCs/>
              </w:rPr>
            </w:pPr>
            <w:r w:rsidRPr="00DA0222">
              <w:rPr>
                <w:rFonts w:cstheme="minorHAnsi"/>
                <w:b/>
                <w:bCs/>
              </w:rPr>
              <w:t>2017</w:t>
            </w:r>
          </w:p>
        </w:tc>
        <w:tc>
          <w:tcPr>
            <w:tcW w:w="0" w:type="auto"/>
            <w:vAlign w:val="center"/>
            <w:hideMark/>
          </w:tcPr>
          <w:p w14:paraId="51FDD253" w14:textId="77777777" w:rsidR="00DA0222" w:rsidRPr="00DA0222" w:rsidRDefault="00DA0222">
            <w:pPr>
              <w:jc w:val="center"/>
              <w:rPr>
                <w:rFonts w:cstheme="minorHAnsi"/>
                <w:b/>
                <w:bCs/>
              </w:rPr>
            </w:pPr>
            <w:r w:rsidRPr="00DA0222">
              <w:rPr>
                <w:rFonts w:cstheme="minorHAnsi"/>
                <w:b/>
                <w:bCs/>
              </w:rPr>
              <w:t>2018</w:t>
            </w:r>
          </w:p>
        </w:tc>
        <w:tc>
          <w:tcPr>
            <w:tcW w:w="0" w:type="auto"/>
            <w:vAlign w:val="center"/>
            <w:hideMark/>
          </w:tcPr>
          <w:p w14:paraId="117A8F59" w14:textId="77777777" w:rsidR="00DA0222" w:rsidRPr="00DA0222" w:rsidRDefault="00DA0222">
            <w:pPr>
              <w:jc w:val="center"/>
              <w:rPr>
                <w:rFonts w:cstheme="minorHAnsi"/>
                <w:b/>
                <w:bCs/>
              </w:rPr>
            </w:pPr>
            <w:r w:rsidRPr="00DA0222">
              <w:rPr>
                <w:rFonts w:cstheme="minorHAnsi"/>
                <w:b/>
                <w:bCs/>
              </w:rPr>
              <w:t>2019</w:t>
            </w:r>
          </w:p>
        </w:tc>
        <w:tc>
          <w:tcPr>
            <w:tcW w:w="0" w:type="auto"/>
            <w:vAlign w:val="center"/>
            <w:hideMark/>
          </w:tcPr>
          <w:p w14:paraId="25DA10F7" w14:textId="77777777" w:rsidR="00DA0222" w:rsidRPr="00DA0222" w:rsidRDefault="00DA0222">
            <w:pPr>
              <w:jc w:val="center"/>
              <w:rPr>
                <w:rFonts w:cstheme="minorHAnsi"/>
                <w:b/>
                <w:bCs/>
              </w:rPr>
            </w:pPr>
            <w:r w:rsidRPr="00DA0222">
              <w:rPr>
                <w:rFonts w:cstheme="minorHAnsi"/>
                <w:b/>
                <w:bCs/>
              </w:rPr>
              <w:t>Jan–Mar 2020</w:t>
            </w:r>
          </w:p>
        </w:tc>
      </w:tr>
      <w:tr w:rsidR="00DA0222" w:rsidRPr="00DA0222" w14:paraId="27CE7FDA" w14:textId="77777777" w:rsidTr="00DA0222">
        <w:trPr>
          <w:tblCellSpacing w:w="15" w:type="dxa"/>
        </w:trPr>
        <w:tc>
          <w:tcPr>
            <w:tcW w:w="0" w:type="auto"/>
            <w:vAlign w:val="center"/>
            <w:hideMark/>
          </w:tcPr>
          <w:p w14:paraId="070F22FE" w14:textId="77777777" w:rsidR="00DA0222" w:rsidRPr="00DA0222" w:rsidRDefault="00DA0222">
            <w:pPr>
              <w:jc w:val="center"/>
              <w:rPr>
                <w:rFonts w:cstheme="minorHAnsi"/>
                <w:b/>
                <w:bCs/>
              </w:rPr>
            </w:pPr>
            <w:r w:rsidRPr="00DA0222">
              <w:rPr>
                <w:rFonts w:cstheme="minorHAnsi"/>
                <w:b/>
                <w:bCs/>
              </w:rPr>
              <w:t>Oxford Brookes University</w:t>
            </w:r>
          </w:p>
        </w:tc>
        <w:tc>
          <w:tcPr>
            <w:tcW w:w="0" w:type="auto"/>
            <w:vAlign w:val="center"/>
            <w:hideMark/>
          </w:tcPr>
          <w:p w14:paraId="6ABE2A2F" w14:textId="77777777" w:rsidR="00DA0222" w:rsidRPr="00DA0222" w:rsidRDefault="00DA0222">
            <w:pPr>
              <w:rPr>
                <w:rFonts w:cstheme="minorHAnsi"/>
              </w:rPr>
            </w:pPr>
            <w:r w:rsidRPr="00DA0222">
              <w:rPr>
                <w:rFonts w:cstheme="minorHAnsi"/>
              </w:rPr>
              <w:t>37%</w:t>
            </w:r>
          </w:p>
        </w:tc>
        <w:tc>
          <w:tcPr>
            <w:tcW w:w="0" w:type="auto"/>
            <w:vAlign w:val="center"/>
            <w:hideMark/>
          </w:tcPr>
          <w:p w14:paraId="1C654AF5" w14:textId="77777777" w:rsidR="00DA0222" w:rsidRPr="00DA0222" w:rsidRDefault="00DA0222">
            <w:pPr>
              <w:rPr>
                <w:rFonts w:cstheme="minorHAnsi"/>
              </w:rPr>
            </w:pPr>
            <w:r w:rsidRPr="00DA0222">
              <w:rPr>
                <w:rFonts w:cstheme="minorHAnsi"/>
              </w:rPr>
              <w:t>57%</w:t>
            </w:r>
          </w:p>
        </w:tc>
        <w:tc>
          <w:tcPr>
            <w:tcW w:w="0" w:type="auto"/>
            <w:vAlign w:val="center"/>
            <w:hideMark/>
          </w:tcPr>
          <w:p w14:paraId="74F95279" w14:textId="77777777" w:rsidR="00DA0222" w:rsidRPr="00DA0222" w:rsidRDefault="00DA0222">
            <w:pPr>
              <w:rPr>
                <w:rFonts w:cstheme="minorHAnsi"/>
              </w:rPr>
            </w:pPr>
            <w:r w:rsidRPr="00DA0222">
              <w:rPr>
                <w:rFonts w:cstheme="minorHAnsi"/>
              </w:rPr>
              <w:t>69%</w:t>
            </w:r>
          </w:p>
        </w:tc>
        <w:tc>
          <w:tcPr>
            <w:tcW w:w="0" w:type="auto"/>
            <w:vAlign w:val="center"/>
            <w:hideMark/>
          </w:tcPr>
          <w:p w14:paraId="1BDDD203" w14:textId="77777777" w:rsidR="00DA0222" w:rsidRPr="00DA0222" w:rsidRDefault="00DA0222">
            <w:pPr>
              <w:rPr>
                <w:rFonts w:cstheme="minorHAnsi"/>
              </w:rPr>
            </w:pPr>
            <w:r w:rsidRPr="00DA0222">
              <w:rPr>
                <w:rFonts w:cstheme="minorHAnsi"/>
              </w:rPr>
              <w:t>69%</w:t>
            </w:r>
          </w:p>
        </w:tc>
      </w:tr>
      <w:tr w:rsidR="00DA0222" w:rsidRPr="00DA0222" w14:paraId="664FF5EA" w14:textId="77777777" w:rsidTr="00DA0222">
        <w:trPr>
          <w:tblCellSpacing w:w="15" w:type="dxa"/>
        </w:trPr>
        <w:tc>
          <w:tcPr>
            <w:tcW w:w="0" w:type="auto"/>
            <w:vAlign w:val="center"/>
            <w:hideMark/>
          </w:tcPr>
          <w:p w14:paraId="380BA1F7" w14:textId="77777777" w:rsidR="00DA0222" w:rsidRPr="00DA0222" w:rsidRDefault="00DA0222">
            <w:pPr>
              <w:jc w:val="center"/>
              <w:rPr>
                <w:rFonts w:cstheme="minorHAnsi"/>
                <w:b/>
                <w:bCs/>
              </w:rPr>
            </w:pPr>
            <w:r w:rsidRPr="00DA0222">
              <w:rPr>
                <w:rFonts w:cstheme="minorHAnsi"/>
                <w:b/>
                <w:bCs/>
              </w:rPr>
              <w:t>University of Northampton</w:t>
            </w:r>
          </w:p>
        </w:tc>
        <w:tc>
          <w:tcPr>
            <w:tcW w:w="0" w:type="auto"/>
            <w:vAlign w:val="center"/>
            <w:hideMark/>
          </w:tcPr>
          <w:p w14:paraId="31515D6B" w14:textId="77777777" w:rsidR="00DA0222" w:rsidRPr="00DA0222" w:rsidRDefault="00DA0222">
            <w:pPr>
              <w:rPr>
                <w:rFonts w:cstheme="minorHAnsi"/>
              </w:rPr>
            </w:pPr>
            <w:r w:rsidRPr="00DA0222">
              <w:rPr>
                <w:rFonts w:cstheme="minorHAnsi"/>
              </w:rPr>
              <w:t>58%</w:t>
            </w:r>
          </w:p>
        </w:tc>
        <w:tc>
          <w:tcPr>
            <w:tcW w:w="0" w:type="auto"/>
            <w:vAlign w:val="center"/>
            <w:hideMark/>
          </w:tcPr>
          <w:p w14:paraId="19799FCD" w14:textId="77777777" w:rsidR="00DA0222" w:rsidRPr="00DA0222" w:rsidRDefault="00DA0222">
            <w:pPr>
              <w:rPr>
                <w:rFonts w:cstheme="minorHAnsi"/>
              </w:rPr>
            </w:pPr>
            <w:r w:rsidRPr="00DA0222">
              <w:rPr>
                <w:rFonts w:cstheme="minorHAnsi"/>
              </w:rPr>
              <w:t>67%</w:t>
            </w:r>
          </w:p>
        </w:tc>
        <w:tc>
          <w:tcPr>
            <w:tcW w:w="0" w:type="auto"/>
            <w:vAlign w:val="center"/>
            <w:hideMark/>
          </w:tcPr>
          <w:p w14:paraId="69F42B59" w14:textId="77777777" w:rsidR="00DA0222" w:rsidRPr="00DA0222" w:rsidRDefault="00DA0222">
            <w:pPr>
              <w:rPr>
                <w:rFonts w:cstheme="minorHAnsi"/>
              </w:rPr>
            </w:pPr>
            <w:r w:rsidRPr="00DA0222">
              <w:rPr>
                <w:rFonts w:cstheme="minorHAnsi"/>
              </w:rPr>
              <w:t>83%</w:t>
            </w:r>
          </w:p>
        </w:tc>
        <w:tc>
          <w:tcPr>
            <w:tcW w:w="0" w:type="auto"/>
            <w:vAlign w:val="center"/>
            <w:hideMark/>
          </w:tcPr>
          <w:p w14:paraId="572FF828" w14:textId="77777777" w:rsidR="00DA0222" w:rsidRPr="00DA0222" w:rsidRDefault="00DA0222">
            <w:pPr>
              <w:rPr>
                <w:rFonts w:cstheme="minorHAnsi"/>
              </w:rPr>
            </w:pPr>
            <w:r w:rsidRPr="00DA0222">
              <w:rPr>
                <w:rFonts w:cstheme="minorHAnsi"/>
              </w:rPr>
              <w:t>83%</w:t>
            </w:r>
          </w:p>
        </w:tc>
      </w:tr>
      <w:tr w:rsidR="00DA0222" w:rsidRPr="00DA0222" w14:paraId="46493CF4" w14:textId="77777777" w:rsidTr="00DA0222">
        <w:trPr>
          <w:tblCellSpacing w:w="15" w:type="dxa"/>
        </w:trPr>
        <w:tc>
          <w:tcPr>
            <w:tcW w:w="0" w:type="auto"/>
            <w:vAlign w:val="center"/>
            <w:hideMark/>
          </w:tcPr>
          <w:p w14:paraId="2499F49E" w14:textId="77777777" w:rsidR="00DA0222" w:rsidRPr="00DA0222" w:rsidRDefault="00DA0222">
            <w:pPr>
              <w:jc w:val="center"/>
              <w:rPr>
                <w:rFonts w:cstheme="minorHAnsi"/>
                <w:b/>
                <w:bCs/>
              </w:rPr>
            </w:pPr>
            <w:r w:rsidRPr="00DA0222">
              <w:rPr>
                <w:rFonts w:cstheme="minorHAnsi"/>
                <w:b/>
                <w:bCs/>
              </w:rPr>
              <w:t>Ulster University</w:t>
            </w:r>
          </w:p>
        </w:tc>
        <w:tc>
          <w:tcPr>
            <w:tcW w:w="0" w:type="auto"/>
            <w:vAlign w:val="center"/>
            <w:hideMark/>
          </w:tcPr>
          <w:p w14:paraId="414A065F" w14:textId="77777777" w:rsidR="00DA0222" w:rsidRPr="00DA0222" w:rsidRDefault="00DA0222">
            <w:pPr>
              <w:rPr>
                <w:rFonts w:cstheme="minorHAnsi"/>
              </w:rPr>
            </w:pPr>
            <w:r w:rsidRPr="00DA0222">
              <w:rPr>
                <w:rFonts w:cstheme="minorHAnsi"/>
              </w:rPr>
              <w:t>70%</w:t>
            </w:r>
          </w:p>
        </w:tc>
        <w:tc>
          <w:tcPr>
            <w:tcW w:w="0" w:type="auto"/>
            <w:vAlign w:val="center"/>
            <w:hideMark/>
          </w:tcPr>
          <w:p w14:paraId="4FE35476" w14:textId="77777777" w:rsidR="00DA0222" w:rsidRPr="00DA0222" w:rsidRDefault="00DA0222">
            <w:pPr>
              <w:rPr>
                <w:rFonts w:cstheme="minorHAnsi"/>
              </w:rPr>
            </w:pPr>
            <w:r w:rsidRPr="00DA0222">
              <w:rPr>
                <w:rFonts w:cstheme="minorHAnsi"/>
              </w:rPr>
              <w:t>87%</w:t>
            </w:r>
          </w:p>
        </w:tc>
        <w:tc>
          <w:tcPr>
            <w:tcW w:w="0" w:type="auto"/>
            <w:vAlign w:val="center"/>
            <w:hideMark/>
          </w:tcPr>
          <w:p w14:paraId="5F2C068F" w14:textId="77777777" w:rsidR="00DA0222" w:rsidRPr="00DA0222" w:rsidRDefault="00DA0222">
            <w:pPr>
              <w:rPr>
                <w:rFonts w:cstheme="minorHAnsi"/>
              </w:rPr>
            </w:pPr>
            <w:r w:rsidRPr="00DA0222">
              <w:rPr>
                <w:rFonts w:cstheme="minorHAnsi"/>
              </w:rPr>
              <w:t>88%</w:t>
            </w:r>
          </w:p>
        </w:tc>
        <w:tc>
          <w:tcPr>
            <w:tcW w:w="0" w:type="auto"/>
            <w:vAlign w:val="center"/>
            <w:hideMark/>
          </w:tcPr>
          <w:p w14:paraId="37049808" w14:textId="77777777" w:rsidR="00DA0222" w:rsidRPr="00DA0222" w:rsidRDefault="00DA0222">
            <w:pPr>
              <w:rPr>
                <w:rFonts w:cstheme="minorHAnsi"/>
              </w:rPr>
            </w:pPr>
            <w:r w:rsidRPr="00DA0222">
              <w:rPr>
                <w:rFonts w:cstheme="minorHAnsi"/>
              </w:rPr>
              <w:t>88%</w:t>
            </w:r>
          </w:p>
        </w:tc>
      </w:tr>
    </w:tbl>
    <w:p w14:paraId="02B43283" w14:textId="4977F4DD" w:rsidR="00DA0222" w:rsidRPr="00DA0222" w:rsidRDefault="00DA0222" w:rsidP="00DA0222">
      <w:pPr>
        <w:pStyle w:val="NormalWeb"/>
        <w:rPr>
          <w:rFonts w:asciiTheme="minorHAnsi" w:hAnsiTheme="minorHAnsi" w:cstheme="minorHAnsi"/>
          <w:sz w:val="22"/>
          <w:szCs w:val="22"/>
        </w:rPr>
      </w:pPr>
      <w:r w:rsidRPr="00DA0222">
        <w:rPr>
          <w:rFonts w:asciiTheme="minorHAnsi" w:hAnsiTheme="minorHAnsi" w:cstheme="minorHAnsi"/>
          <w:sz w:val="22"/>
          <w:szCs w:val="22"/>
        </w:rPr>
        <w:t>(</w:t>
      </w:r>
      <w:bookmarkStart w:id="0" w:name="bbib22"/>
      <w:r w:rsidRPr="00DA0222">
        <w:rPr>
          <w:rFonts w:asciiTheme="minorHAnsi" w:hAnsiTheme="minorHAnsi" w:cstheme="minorHAnsi"/>
          <w:sz w:val="22"/>
          <w:szCs w:val="22"/>
        </w:rPr>
        <w:t>NMC, 2020</w:t>
      </w:r>
      <w:bookmarkEnd w:id="0"/>
      <w:r w:rsidRPr="00DA0222">
        <w:rPr>
          <w:rFonts w:asciiTheme="minorHAnsi" w:hAnsiTheme="minorHAnsi" w:cstheme="minorHAnsi"/>
          <w:sz w:val="22"/>
          <w:szCs w:val="22"/>
        </w:rPr>
        <w:t>)</w:t>
      </w:r>
    </w:p>
    <w:p w14:paraId="56028535" w14:textId="5CF64A88" w:rsidR="00475016" w:rsidRDefault="00DA0222" w:rsidP="00DA0222">
      <w:pPr>
        <w:pStyle w:val="NormalWeb"/>
        <w:rPr>
          <w:rFonts w:asciiTheme="minorHAnsi" w:hAnsiTheme="minorHAnsi" w:cstheme="minorHAnsi"/>
          <w:sz w:val="22"/>
          <w:szCs w:val="22"/>
        </w:rPr>
      </w:pPr>
      <w:r w:rsidRPr="00DA0222">
        <w:rPr>
          <w:rFonts w:asciiTheme="minorHAnsi" w:hAnsiTheme="minorHAnsi" w:cstheme="minorHAnsi"/>
          <w:sz w:val="22"/>
          <w:szCs w:val="22"/>
        </w:rPr>
        <w:t>*</w:t>
      </w:r>
      <w:proofErr w:type="gramStart"/>
      <w:r w:rsidRPr="00DA0222">
        <w:rPr>
          <w:rFonts w:asciiTheme="minorHAnsi" w:hAnsiTheme="minorHAnsi" w:cstheme="minorHAnsi"/>
          <w:sz w:val="22"/>
          <w:szCs w:val="22"/>
        </w:rPr>
        <w:t>note</w:t>
      </w:r>
      <w:proofErr w:type="gramEnd"/>
      <w:r w:rsidRPr="00DA0222">
        <w:rPr>
          <w:rFonts w:asciiTheme="minorHAnsi" w:hAnsiTheme="minorHAnsi" w:cstheme="minorHAnsi"/>
          <w:sz w:val="22"/>
          <w:szCs w:val="22"/>
        </w:rPr>
        <w:t xml:space="preserve"> that it is not possible to know which attempt/or how many attempts were taken by each individual from this data</w:t>
      </w:r>
    </w:p>
    <w:p w14:paraId="6F963A3D" w14:textId="77777777" w:rsidR="00475016" w:rsidRDefault="00475016">
      <w:pPr>
        <w:spacing w:after="0" w:line="240" w:lineRule="auto"/>
        <w:rPr>
          <w:rFonts w:cstheme="minorHAnsi"/>
        </w:rPr>
      </w:pPr>
      <w:r>
        <w:rPr>
          <w:rFonts w:cstheme="minorHAnsi"/>
        </w:rPr>
        <w:br w:type="page"/>
      </w:r>
    </w:p>
    <w:p w14:paraId="71453982" w14:textId="77777777" w:rsidR="00475016" w:rsidRDefault="00475016" w:rsidP="00475016">
      <w:pPr>
        <w:pStyle w:val="Heading1"/>
      </w:pPr>
      <w:r>
        <w:lastRenderedPageBreak/>
        <w:t>Supplementary file – Recent changes to the Test of Competence process</w:t>
      </w:r>
    </w:p>
    <w:tbl>
      <w:tblPr>
        <w:tblStyle w:val="TableGrid"/>
        <w:tblW w:w="9016" w:type="dxa"/>
        <w:tblLook w:val="04A0" w:firstRow="1" w:lastRow="0" w:firstColumn="1" w:lastColumn="0" w:noHBand="0" w:noVBand="1"/>
      </w:tblPr>
      <w:tblGrid>
        <w:gridCol w:w="1795"/>
        <w:gridCol w:w="3322"/>
        <w:gridCol w:w="3899"/>
      </w:tblGrid>
      <w:tr w:rsidR="00475016" w14:paraId="2CCB2B37" w14:textId="77777777" w:rsidTr="00D54380">
        <w:tc>
          <w:tcPr>
            <w:tcW w:w="1795" w:type="dxa"/>
            <w:shd w:val="clear" w:color="auto" w:fill="auto"/>
          </w:tcPr>
          <w:p w14:paraId="07BC1A1B" w14:textId="77777777" w:rsidR="00475016" w:rsidRDefault="00475016" w:rsidP="00D54380">
            <w:pPr>
              <w:rPr>
                <w:u w:val="single"/>
              </w:rPr>
            </w:pPr>
          </w:p>
        </w:tc>
        <w:tc>
          <w:tcPr>
            <w:tcW w:w="3322" w:type="dxa"/>
            <w:shd w:val="clear" w:color="auto" w:fill="auto"/>
          </w:tcPr>
          <w:p w14:paraId="5642243F" w14:textId="77777777" w:rsidR="00475016" w:rsidRDefault="00475016" w:rsidP="00D54380">
            <w:pPr>
              <w:rPr>
                <w:u w:val="single"/>
              </w:rPr>
            </w:pPr>
            <w:r>
              <w:rPr>
                <w:u w:val="single"/>
              </w:rPr>
              <w:t xml:space="preserve">Changed from: </w:t>
            </w:r>
          </w:p>
        </w:tc>
        <w:tc>
          <w:tcPr>
            <w:tcW w:w="3899" w:type="dxa"/>
            <w:shd w:val="clear" w:color="auto" w:fill="auto"/>
          </w:tcPr>
          <w:p w14:paraId="427565B2" w14:textId="77777777" w:rsidR="00475016" w:rsidRDefault="00475016" w:rsidP="00D54380">
            <w:pPr>
              <w:rPr>
                <w:u w:val="single"/>
              </w:rPr>
            </w:pPr>
            <w:r>
              <w:rPr>
                <w:u w:val="single"/>
              </w:rPr>
              <w:t xml:space="preserve">Changed to: </w:t>
            </w:r>
          </w:p>
        </w:tc>
      </w:tr>
      <w:tr w:rsidR="00475016" w14:paraId="7F278D7F" w14:textId="77777777" w:rsidTr="00D54380">
        <w:tc>
          <w:tcPr>
            <w:tcW w:w="1795" w:type="dxa"/>
            <w:shd w:val="clear" w:color="auto" w:fill="auto"/>
          </w:tcPr>
          <w:p w14:paraId="0945B6C0" w14:textId="77777777" w:rsidR="00475016" w:rsidRDefault="00475016" w:rsidP="00D54380">
            <w:r>
              <w:t>April 2017</w:t>
            </w:r>
          </w:p>
        </w:tc>
        <w:tc>
          <w:tcPr>
            <w:tcW w:w="3322" w:type="dxa"/>
            <w:shd w:val="clear" w:color="auto" w:fill="auto"/>
          </w:tcPr>
          <w:p w14:paraId="52808817" w14:textId="77777777" w:rsidR="00475016" w:rsidRDefault="00475016" w:rsidP="00D54380">
            <w:r>
              <w:t>Two attempts allowed at the OSCEs</w:t>
            </w:r>
          </w:p>
        </w:tc>
        <w:tc>
          <w:tcPr>
            <w:tcW w:w="3899" w:type="dxa"/>
            <w:shd w:val="clear" w:color="auto" w:fill="auto"/>
          </w:tcPr>
          <w:p w14:paraId="27F1B7DE" w14:textId="77777777" w:rsidR="00475016" w:rsidRDefault="00475016" w:rsidP="00D54380">
            <w:r>
              <w:t xml:space="preserve">Three attempts at the OSCEs now permitted </w:t>
            </w:r>
          </w:p>
        </w:tc>
      </w:tr>
      <w:tr w:rsidR="00475016" w14:paraId="3C9021A4" w14:textId="77777777" w:rsidTr="00D54380">
        <w:tc>
          <w:tcPr>
            <w:tcW w:w="1795" w:type="dxa"/>
            <w:shd w:val="clear" w:color="auto" w:fill="auto"/>
          </w:tcPr>
          <w:p w14:paraId="2B6C36C7" w14:textId="77777777" w:rsidR="00475016" w:rsidRDefault="00475016" w:rsidP="00D54380">
            <w:r>
              <w:t xml:space="preserve">November 2017 </w:t>
            </w:r>
          </w:p>
        </w:tc>
        <w:tc>
          <w:tcPr>
            <w:tcW w:w="3322" w:type="dxa"/>
            <w:shd w:val="clear" w:color="auto" w:fill="auto"/>
          </w:tcPr>
          <w:p w14:paraId="717E2AA9" w14:textId="77777777" w:rsidR="00475016" w:rsidRDefault="00475016" w:rsidP="00D54380">
            <w:r>
              <w:t>IELTS was the only recognised test of English Language competency for nurses trained outside of the EEA</w:t>
            </w:r>
          </w:p>
        </w:tc>
        <w:tc>
          <w:tcPr>
            <w:tcW w:w="3899" w:type="dxa"/>
            <w:shd w:val="clear" w:color="auto" w:fill="auto"/>
          </w:tcPr>
          <w:p w14:paraId="10378258" w14:textId="77777777" w:rsidR="00475016" w:rsidRDefault="00475016" w:rsidP="00D54380">
            <w:r>
              <w:t xml:space="preserve">The OET (Overseas English Test) is included as an additional means of proving English language competency </w:t>
            </w:r>
          </w:p>
        </w:tc>
      </w:tr>
      <w:tr w:rsidR="00475016" w14:paraId="184461CD" w14:textId="77777777" w:rsidTr="00D54380">
        <w:tc>
          <w:tcPr>
            <w:tcW w:w="1795" w:type="dxa"/>
            <w:shd w:val="clear" w:color="auto" w:fill="auto"/>
          </w:tcPr>
          <w:p w14:paraId="006768D9" w14:textId="77777777" w:rsidR="00475016" w:rsidRDefault="00475016" w:rsidP="00D54380">
            <w:r>
              <w:t>July 2018</w:t>
            </w:r>
          </w:p>
        </w:tc>
        <w:tc>
          <w:tcPr>
            <w:tcW w:w="3322" w:type="dxa"/>
            <w:shd w:val="clear" w:color="auto" w:fill="auto"/>
          </w:tcPr>
          <w:p w14:paraId="1A2DFF43" w14:textId="77777777" w:rsidR="00475016" w:rsidRDefault="00475016" w:rsidP="00D54380">
            <w:r>
              <w:t xml:space="preserve">Resitting the whole OSCE exam is required following a </w:t>
            </w:r>
            <w:proofErr w:type="gramStart"/>
            <w:r>
              <w:t>fail</w:t>
            </w:r>
            <w:proofErr w:type="gramEnd"/>
            <w:r>
              <w:t xml:space="preserve">. </w:t>
            </w:r>
          </w:p>
        </w:tc>
        <w:tc>
          <w:tcPr>
            <w:tcW w:w="3899" w:type="dxa"/>
            <w:shd w:val="clear" w:color="auto" w:fill="auto"/>
          </w:tcPr>
          <w:p w14:paraId="71A66A2E" w14:textId="77777777" w:rsidR="00475016" w:rsidRDefault="00475016" w:rsidP="00D54380">
            <w:r>
              <w:t>OSCE re-sits can now be done on the part of the exam which was failed - not the whole exam as required previously</w:t>
            </w:r>
          </w:p>
        </w:tc>
      </w:tr>
      <w:tr w:rsidR="00475016" w14:paraId="544622DA" w14:textId="77777777" w:rsidTr="00D54380">
        <w:tc>
          <w:tcPr>
            <w:tcW w:w="1795" w:type="dxa"/>
            <w:shd w:val="clear" w:color="auto" w:fill="auto"/>
          </w:tcPr>
          <w:p w14:paraId="1268C187" w14:textId="77777777" w:rsidR="00475016" w:rsidRDefault="00475016" w:rsidP="00D54380">
            <w:r>
              <w:t xml:space="preserve">September 2018 </w:t>
            </w:r>
          </w:p>
        </w:tc>
        <w:tc>
          <w:tcPr>
            <w:tcW w:w="3322" w:type="dxa"/>
            <w:shd w:val="clear" w:color="auto" w:fill="auto"/>
          </w:tcPr>
          <w:p w14:paraId="57D51987" w14:textId="77777777" w:rsidR="00475016" w:rsidRDefault="00475016" w:rsidP="00D54380">
            <w:r>
              <w:t xml:space="preserve">12 months clinical experience as a registered nurse in another country needed before being eligible to practice in the UK. </w:t>
            </w:r>
          </w:p>
        </w:tc>
        <w:tc>
          <w:tcPr>
            <w:tcW w:w="3899" w:type="dxa"/>
            <w:shd w:val="clear" w:color="auto" w:fill="auto"/>
          </w:tcPr>
          <w:p w14:paraId="254146CE" w14:textId="77777777" w:rsidR="00475016" w:rsidRDefault="00475016" w:rsidP="00D54380">
            <w:r>
              <w:t xml:space="preserve">Overseas nurses can now apply to join the register newly qualified. </w:t>
            </w:r>
          </w:p>
        </w:tc>
      </w:tr>
      <w:tr w:rsidR="00475016" w14:paraId="393E951E" w14:textId="77777777" w:rsidTr="00D54380">
        <w:tc>
          <w:tcPr>
            <w:tcW w:w="1795" w:type="dxa"/>
            <w:shd w:val="clear" w:color="auto" w:fill="auto"/>
          </w:tcPr>
          <w:p w14:paraId="21B3F31E" w14:textId="77777777" w:rsidR="00475016" w:rsidRDefault="00475016" w:rsidP="00D54380">
            <w:r>
              <w:t>December 2018</w:t>
            </w:r>
          </w:p>
        </w:tc>
        <w:tc>
          <w:tcPr>
            <w:tcW w:w="3322" w:type="dxa"/>
            <w:shd w:val="clear" w:color="auto" w:fill="auto"/>
          </w:tcPr>
          <w:p w14:paraId="0F828B49" w14:textId="77777777" w:rsidR="00475016" w:rsidRDefault="00475016" w:rsidP="00D54380">
            <w:r>
              <w:t xml:space="preserve">A 3 month wait before allowed to </w:t>
            </w:r>
            <w:proofErr w:type="spellStart"/>
            <w:r>
              <w:t>resit</w:t>
            </w:r>
            <w:proofErr w:type="spellEnd"/>
            <w:r>
              <w:t xml:space="preserve"> a failed OSCE exam </w:t>
            </w:r>
          </w:p>
        </w:tc>
        <w:tc>
          <w:tcPr>
            <w:tcW w:w="3899" w:type="dxa"/>
            <w:shd w:val="clear" w:color="auto" w:fill="auto"/>
          </w:tcPr>
          <w:p w14:paraId="1E262AA4" w14:textId="77777777" w:rsidR="00475016" w:rsidRDefault="00475016" w:rsidP="00D54380">
            <w:r>
              <w:t xml:space="preserve">OSCE resits can now be done after 10 days </w:t>
            </w:r>
          </w:p>
        </w:tc>
      </w:tr>
      <w:tr w:rsidR="00475016" w14:paraId="296E478A" w14:textId="77777777" w:rsidTr="00D54380">
        <w:tc>
          <w:tcPr>
            <w:tcW w:w="1795" w:type="dxa"/>
            <w:shd w:val="clear" w:color="auto" w:fill="auto"/>
          </w:tcPr>
          <w:p w14:paraId="30EB7AF0" w14:textId="77777777" w:rsidR="00475016" w:rsidRDefault="00475016" w:rsidP="00D54380">
            <w:r>
              <w:t>December 2018</w:t>
            </w:r>
          </w:p>
        </w:tc>
        <w:tc>
          <w:tcPr>
            <w:tcW w:w="3322" w:type="dxa"/>
            <w:shd w:val="clear" w:color="auto" w:fill="auto"/>
          </w:tcPr>
          <w:p w14:paraId="54D81743" w14:textId="77777777" w:rsidR="00475016" w:rsidRDefault="00475016" w:rsidP="00D54380">
            <w:r>
              <w:t xml:space="preserve">An IELTS pass at a minimum of 7.0 required in all four areas: writing, reading, </w:t>
            </w:r>
            <w:proofErr w:type="gramStart"/>
            <w:r>
              <w:t>listening</w:t>
            </w:r>
            <w:proofErr w:type="gramEnd"/>
            <w:r>
              <w:t xml:space="preserve"> and speaking.  </w:t>
            </w:r>
          </w:p>
        </w:tc>
        <w:tc>
          <w:tcPr>
            <w:tcW w:w="3899" w:type="dxa"/>
            <w:shd w:val="clear" w:color="auto" w:fill="auto"/>
          </w:tcPr>
          <w:p w14:paraId="01014986" w14:textId="77777777" w:rsidR="00475016" w:rsidRDefault="00475016" w:rsidP="00D54380">
            <w:r>
              <w:t xml:space="preserve">NMC lowers the pass rate for writing in the IELTS to 6.5, </w:t>
            </w:r>
            <w:proofErr w:type="gramStart"/>
            <w:r>
              <w:t>as long as</w:t>
            </w:r>
            <w:proofErr w:type="gramEnd"/>
            <w:r>
              <w:t xml:space="preserve"> a minimum of 7.0 is still achieved in all other areas (reading, listening and speaking)</w:t>
            </w:r>
          </w:p>
        </w:tc>
      </w:tr>
      <w:tr w:rsidR="00475016" w14:paraId="7B85C9EE" w14:textId="77777777" w:rsidTr="00D54380">
        <w:tc>
          <w:tcPr>
            <w:tcW w:w="1795" w:type="dxa"/>
            <w:shd w:val="clear" w:color="auto" w:fill="auto"/>
          </w:tcPr>
          <w:p w14:paraId="06BB32E8" w14:textId="77777777" w:rsidR="00475016" w:rsidRDefault="00475016" w:rsidP="00D54380">
            <w:r>
              <w:t xml:space="preserve">April 2019 </w:t>
            </w:r>
          </w:p>
        </w:tc>
        <w:tc>
          <w:tcPr>
            <w:tcW w:w="3322" w:type="dxa"/>
            <w:shd w:val="clear" w:color="auto" w:fill="auto"/>
          </w:tcPr>
          <w:p w14:paraId="569CAEFB" w14:textId="77777777" w:rsidR="00475016" w:rsidRDefault="00475016" w:rsidP="00D54380">
            <w:r>
              <w:t>Total fees for all exams total £496</w:t>
            </w:r>
          </w:p>
        </w:tc>
        <w:tc>
          <w:tcPr>
            <w:tcW w:w="3899" w:type="dxa"/>
            <w:shd w:val="clear" w:color="auto" w:fill="auto"/>
          </w:tcPr>
          <w:p w14:paraId="53F1BA52" w14:textId="77777777" w:rsidR="00475016" w:rsidRDefault="00475016" w:rsidP="00D54380">
            <w:r>
              <w:t xml:space="preserve">Total fees reduced to £397 </w:t>
            </w:r>
          </w:p>
        </w:tc>
      </w:tr>
      <w:tr w:rsidR="00475016" w14:paraId="53BBC507" w14:textId="77777777" w:rsidTr="00D54380">
        <w:tc>
          <w:tcPr>
            <w:tcW w:w="1795" w:type="dxa"/>
            <w:shd w:val="clear" w:color="auto" w:fill="auto"/>
          </w:tcPr>
          <w:p w14:paraId="56A0B01D" w14:textId="77777777" w:rsidR="00475016" w:rsidRDefault="00475016" w:rsidP="00D54380">
            <w:r>
              <w:t xml:space="preserve">October 2019 </w:t>
            </w:r>
          </w:p>
        </w:tc>
        <w:tc>
          <w:tcPr>
            <w:tcW w:w="3322" w:type="dxa"/>
            <w:shd w:val="clear" w:color="auto" w:fill="auto"/>
          </w:tcPr>
          <w:p w14:paraId="6D911DBA" w14:textId="77777777" w:rsidR="00475016" w:rsidRDefault="00475016" w:rsidP="00D54380">
            <w:r>
              <w:t xml:space="preserve">Paper application process </w:t>
            </w:r>
          </w:p>
        </w:tc>
        <w:tc>
          <w:tcPr>
            <w:tcW w:w="3899" w:type="dxa"/>
            <w:shd w:val="clear" w:color="auto" w:fill="auto"/>
          </w:tcPr>
          <w:p w14:paraId="732E5690" w14:textId="77777777" w:rsidR="00475016" w:rsidRDefault="00475016" w:rsidP="00D54380">
            <w:r>
              <w:t>Online application process</w:t>
            </w:r>
          </w:p>
        </w:tc>
      </w:tr>
      <w:tr w:rsidR="00475016" w14:paraId="5B132A3F" w14:textId="77777777" w:rsidTr="00D54380">
        <w:tc>
          <w:tcPr>
            <w:tcW w:w="1795" w:type="dxa"/>
            <w:shd w:val="clear" w:color="auto" w:fill="auto"/>
          </w:tcPr>
          <w:p w14:paraId="65827AFA" w14:textId="77777777" w:rsidR="00475016" w:rsidRDefault="00475016" w:rsidP="00D54380">
            <w:r>
              <w:t>October 2019</w:t>
            </w:r>
          </w:p>
        </w:tc>
        <w:tc>
          <w:tcPr>
            <w:tcW w:w="3322" w:type="dxa"/>
            <w:shd w:val="clear" w:color="auto" w:fill="auto"/>
          </w:tcPr>
          <w:p w14:paraId="59B4B611" w14:textId="77777777" w:rsidR="00475016" w:rsidRDefault="00475016" w:rsidP="00D54380">
            <w:r>
              <w:t xml:space="preserve">Cost of CBT £90 </w:t>
            </w:r>
          </w:p>
        </w:tc>
        <w:tc>
          <w:tcPr>
            <w:tcW w:w="3899" w:type="dxa"/>
            <w:shd w:val="clear" w:color="auto" w:fill="auto"/>
          </w:tcPr>
          <w:p w14:paraId="04B97D93" w14:textId="77777777" w:rsidR="00475016" w:rsidRDefault="00475016" w:rsidP="00D54380">
            <w:r>
              <w:t>CBT cost reduced to £83</w:t>
            </w:r>
          </w:p>
        </w:tc>
      </w:tr>
      <w:tr w:rsidR="00475016" w14:paraId="666BA2C0" w14:textId="77777777" w:rsidTr="00D54380">
        <w:tc>
          <w:tcPr>
            <w:tcW w:w="1795" w:type="dxa"/>
            <w:shd w:val="clear" w:color="auto" w:fill="auto"/>
          </w:tcPr>
          <w:p w14:paraId="0948956C" w14:textId="77777777" w:rsidR="00475016" w:rsidRDefault="00475016" w:rsidP="00D54380">
            <w:r>
              <w:t xml:space="preserve">November 2019 </w:t>
            </w:r>
          </w:p>
        </w:tc>
        <w:tc>
          <w:tcPr>
            <w:tcW w:w="3322" w:type="dxa"/>
            <w:shd w:val="clear" w:color="auto" w:fill="auto"/>
          </w:tcPr>
          <w:p w14:paraId="4098FE3E" w14:textId="77777777" w:rsidR="00475016" w:rsidRDefault="00475016" w:rsidP="00D54380">
            <w:r>
              <w:t xml:space="preserve">OET writing domain score requirement is a B (350-440) </w:t>
            </w:r>
          </w:p>
        </w:tc>
        <w:tc>
          <w:tcPr>
            <w:tcW w:w="3899" w:type="dxa"/>
            <w:shd w:val="clear" w:color="auto" w:fill="auto"/>
          </w:tcPr>
          <w:p w14:paraId="485E583B" w14:textId="77777777" w:rsidR="00475016" w:rsidRDefault="00475016" w:rsidP="00D54380">
            <w:r>
              <w:t>Changed to a C+ (300-340).</w:t>
            </w:r>
          </w:p>
        </w:tc>
      </w:tr>
      <w:tr w:rsidR="00475016" w14:paraId="79768C88" w14:textId="77777777" w:rsidTr="00D54380">
        <w:tc>
          <w:tcPr>
            <w:tcW w:w="1795" w:type="dxa"/>
            <w:shd w:val="clear" w:color="auto" w:fill="auto"/>
          </w:tcPr>
          <w:p w14:paraId="4A4F9F5A" w14:textId="77777777" w:rsidR="00475016" w:rsidRDefault="00475016" w:rsidP="00D54380">
            <w:r w:rsidRPr="00E96EE7">
              <w:t>August</w:t>
            </w:r>
            <w:r>
              <w:t xml:space="preserve"> 2021 </w:t>
            </w:r>
          </w:p>
        </w:tc>
        <w:tc>
          <w:tcPr>
            <w:tcW w:w="7221" w:type="dxa"/>
            <w:gridSpan w:val="2"/>
            <w:shd w:val="clear" w:color="auto" w:fill="auto"/>
          </w:tcPr>
          <w:p w14:paraId="6BA12658" w14:textId="77777777" w:rsidR="00475016" w:rsidRDefault="00475016" w:rsidP="00D54380">
            <w:r w:rsidRPr="00E96EE7">
              <w:t>Changes include:</w:t>
            </w:r>
          </w:p>
          <w:p w14:paraId="2048F854" w14:textId="77777777" w:rsidR="00475016" w:rsidRDefault="00475016" w:rsidP="00D54380">
            <w:r>
              <w:t xml:space="preserve">CBT: now in two parts (clinical and numeracy), improved candidate support materials, 10 OSCE stations. </w:t>
            </w:r>
          </w:p>
          <w:p w14:paraId="2A6B79D2" w14:textId="77777777" w:rsidR="00475016" w:rsidRDefault="00475016" w:rsidP="00D54380"/>
          <w:p w14:paraId="782D35D1" w14:textId="77777777" w:rsidR="00475016" w:rsidRDefault="00475016" w:rsidP="00D54380"/>
        </w:tc>
      </w:tr>
    </w:tbl>
    <w:p w14:paraId="62EE4A4F" w14:textId="77777777" w:rsidR="00E526D7" w:rsidRPr="00DA0222" w:rsidRDefault="00E526D7" w:rsidP="00DA0222">
      <w:pPr>
        <w:spacing w:line="480" w:lineRule="auto"/>
        <w:rPr>
          <w:rFonts w:ascii="Calibri" w:hAnsi="Calibri" w:cs="Calibri"/>
        </w:rPr>
      </w:pPr>
    </w:p>
    <w:sectPr w:rsidR="00E526D7" w:rsidRPr="00DA0222">
      <w:footerReference w:type="default" r:id="rId20"/>
      <w:pgSz w:w="11906" w:h="16838"/>
      <w:pgMar w:top="1440" w:right="1440" w:bottom="1440" w:left="1440"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587D5" w14:textId="77777777" w:rsidR="0079048C" w:rsidRDefault="0079048C">
      <w:pPr>
        <w:spacing w:after="0" w:line="240" w:lineRule="auto"/>
      </w:pPr>
      <w:r>
        <w:separator/>
      </w:r>
    </w:p>
  </w:endnote>
  <w:endnote w:type="continuationSeparator" w:id="0">
    <w:p w14:paraId="5021B67F" w14:textId="77777777" w:rsidR="0079048C" w:rsidRDefault="00790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3319475"/>
      <w:docPartObj>
        <w:docPartGallery w:val="Page Numbers (Bottom of Page)"/>
        <w:docPartUnique/>
      </w:docPartObj>
    </w:sdtPr>
    <w:sdtEndPr>
      <w:rPr>
        <w:noProof/>
      </w:rPr>
    </w:sdtEndPr>
    <w:sdtContent>
      <w:p w14:paraId="2149EDC2" w14:textId="6769E7D2" w:rsidR="000E29F2" w:rsidRDefault="000E29F2">
        <w:pPr>
          <w:pStyle w:val="Footer"/>
          <w:jc w:val="center"/>
        </w:pPr>
        <w:r>
          <w:fldChar w:fldCharType="begin"/>
        </w:r>
        <w:r>
          <w:instrText xml:space="preserve"> PAGE   \* MERGEFORMAT </w:instrText>
        </w:r>
        <w:r>
          <w:fldChar w:fldCharType="separate"/>
        </w:r>
        <w:r w:rsidR="00040D24">
          <w:rPr>
            <w:noProof/>
          </w:rPr>
          <w:t>1</w:t>
        </w:r>
        <w:r>
          <w:rPr>
            <w:noProof/>
          </w:rPr>
          <w:fldChar w:fldCharType="end"/>
        </w:r>
      </w:p>
    </w:sdtContent>
  </w:sdt>
  <w:p w14:paraId="2A316587" w14:textId="77777777" w:rsidR="00D708A5" w:rsidRDefault="00D708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02B60" w14:textId="77777777" w:rsidR="0079048C" w:rsidRDefault="0079048C"/>
  </w:footnote>
  <w:footnote w:type="continuationSeparator" w:id="0">
    <w:p w14:paraId="41836FD0" w14:textId="77777777" w:rsidR="0079048C" w:rsidRDefault="007904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3F059B"/>
    <w:multiLevelType w:val="multilevel"/>
    <w:tmpl w:val="5F469B54"/>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401EE4"/>
    <w:multiLevelType w:val="multilevel"/>
    <w:tmpl w:val="7DE8CF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4EFA0A22"/>
    <w:multiLevelType w:val="multilevel"/>
    <w:tmpl w:val="BE56600E"/>
    <w:lvl w:ilvl="0">
      <w:start w:val="2"/>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1130095"/>
    <w:multiLevelType w:val="multilevel"/>
    <w:tmpl w:val="F34647E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588D6AF8"/>
    <w:multiLevelType w:val="multilevel"/>
    <w:tmpl w:val="E098E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0775254"/>
    <w:multiLevelType w:val="multilevel"/>
    <w:tmpl w:val="43988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98236BB"/>
    <w:multiLevelType w:val="multilevel"/>
    <w:tmpl w:val="BA166D5A"/>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6"/>
  </w:num>
  <w:num w:numId="3">
    <w:abstractNumId w:val="2"/>
  </w:num>
  <w:num w:numId="4">
    <w:abstractNumId w:val="0"/>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595"/>
    <w:rsid w:val="000013CA"/>
    <w:rsid w:val="0001518F"/>
    <w:rsid w:val="00023FBC"/>
    <w:rsid w:val="00024A2F"/>
    <w:rsid w:val="00034291"/>
    <w:rsid w:val="000365BF"/>
    <w:rsid w:val="00040D24"/>
    <w:rsid w:val="000661D0"/>
    <w:rsid w:val="0006795D"/>
    <w:rsid w:val="00081F6D"/>
    <w:rsid w:val="000B27E8"/>
    <w:rsid w:val="000C0F0B"/>
    <w:rsid w:val="000C3E7F"/>
    <w:rsid w:val="000C6794"/>
    <w:rsid w:val="000D4E6C"/>
    <w:rsid w:val="000E29F2"/>
    <w:rsid w:val="000E5A12"/>
    <w:rsid w:val="000F68F2"/>
    <w:rsid w:val="000F6FEB"/>
    <w:rsid w:val="0010502E"/>
    <w:rsid w:val="00107163"/>
    <w:rsid w:val="00111DF1"/>
    <w:rsid w:val="00112400"/>
    <w:rsid w:val="001213FA"/>
    <w:rsid w:val="00121B8C"/>
    <w:rsid w:val="001271B4"/>
    <w:rsid w:val="00130465"/>
    <w:rsid w:val="0015555D"/>
    <w:rsid w:val="0015766D"/>
    <w:rsid w:val="0016514E"/>
    <w:rsid w:val="00167A6E"/>
    <w:rsid w:val="00170EC8"/>
    <w:rsid w:val="00193348"/>
    <w:rsid w:val="0019695C"/>
    <w:rsid w:val="001D46DA"/>
    <w:rsid w:val="001E2D5A"/>
    <w:rsid w:val="001E476F"/>
    <w:rsid w:val="00211489"/>
    <w:rsid w:val="00212950"/>
    <w:rsid w:val="00214A46"/>
    <w:rsid w:val="0022187E"/>
    <w:rsid w:val="0024287F"/>
    <w:rsid w:val="00292A8A"/>
    <w:rsid w:val="002948A6"/>
    <w:rsid w:val="0029689E"/>
    <w:rsid w:val="002A2CFB"/>
    <w:rsid w:val="002B43D3"/>
    <w:rsid w:val="002C1D62"/>
    <w:rsid w:val="002C4F7E"/>
    <w:rsid w:val="002D796A"/>
    <w:rsid w:val="002F0ED0"/>
    <w:rsid w:val="003109F0"/>
    <w:rsid w:val="00310EEC"/>
    <w:rsid w:val="00313BB9"/>
    <w:rsid w:val="00322715"/>
    <w:rsid w:val="0032530D"/>
    <w:rsid w:val="00374C74"/>
    <w:rsid w:val="00385FB4"/>
    <w:rsid w:val="003860AE"/>
    <w:rsid w:val="003A3E0C"/>
    <w:rsid w:val="003A6768"/>
    <w:rsid w:val="003C3966"/>
    <w:rsid w:val="003C3C4B"/>
    <w:rsid w:val="003D3EC2"/>
    <w:rsid w:val="003E347B"/>
    <w:rsid w:val="003F3792"/>
    <w:rsid w:val="00417547"/>
    <w:rsid w:val="004222AC"/>
    <w:rsid w:val="00441AD4"/>
    <w:rsid w:val="00442D1A"/>
    <w:rsid w:val="00471641"/>
    <w:rsid w:val="00475016"/>
    <w:rsid w:val="00480BCC"/>
    <w:rsid w:val="004B216A"/>
    <w:rsid w:val="004D0A10"/>
    <w:rsid w:val="004F1DD6"/>
    <w:rsid w:val="004F2FB7"/>
    <w:rsid w:val="00503D70"/>
    <w:rsid w:val="00517554"/>
    <w:rsid w:val="0052790E"/>
    <w:rsid w:val="00530BEC"/>
    <w:rsid w:val="0053314B"/>
    <w:rsid w:val="0054388D"/>
    <w:rsid w:val="00552C8F"/>
    <w:rsid w:val="00552DD3"/>
    <w:rsid w:val="00582C22"/>
    <w:rsid w:val="00582E7E"/>
    <w:rsid w:val="005B1F6E"/>
    <w:rsid w:val="005B3FCD"/>
    <w:rsid w:val="005B4083"/>
    <w:rsid w:val="005C6B66"/>
    <w:rsid w:val="005E05E3"/>
    <w:rsid w:val="005F0E89"/>
    <w:rsid w:val="0060647A"/>
    <w:rsid w:val="00610416"/>
    <w:rsid w:val="006117C2"/>
    <w:rsid w:val="00614592"/>
    <w:rsid w:val="006310B8"/>
    <w:rsid w:val="006446FB"/>
    <w:rsid w:val="00651795"/>
    <w:rsid w:val="00655587"/>
    <w:rsid w:val="00666BB9"/>
    <w:rsid w:val="00674E62"/>
    <w:rsid w:val="006861DD"/>
    <w:rsid w:val="0069252A"/>
    <w:rsid w:val="006A3A3B"/>
    <w:rsid w:val="006A3CC0"/>
    <w:rsid w:val="006A5A2D"/>
    <w:rsid w:val="006C28FC"/>
    <w:rsid w:val="006C392E"/>
    <w:rsid w:val="006C52E4"/>
    <w:rsid w:val="006E1F81"/>
    <w:rsid w:val="006E621E"/>
    <w:rsid w:val="006E6CC3"/>
    <w:rsid w:val="00701606"/>
    <w:rsid w:val="00706E11"/>
    <w:rsid w:val="00712DC4"/>
    <w:rsid w:val="00721EF0"/>
    <w:rsid w:val="007243B9"/>
    <w:rsid w:val="00737215"/>
    <w:rsid w:val="007463F6"/>
    <w:rsid w:val="00755748"/>
    <w:rsid w:val="00777372"/>
    <w:rsid w:val="00785634"/>
    <w:rsid w:val="0079048C"/>
    <w:rsid w:val="007A3912"/>
    <w:rsid w:val="007A66C5"/>
    <w:rsid w:val="007D25F1"/>
    <w:rsid w:val="007E5435"/>
    <w:rsid w:val="007F3B1F"/>
    <w:rsid w:val="00800FAC"/>
    <w:rsid w:val="00802F33"/>
    <w:rsid w:val="00804082"/>
    <w:rsid w:val="00804BE8"/>
    <w:rsid w:val="00806FE6"/>
    <w:rsid w:val="00843C2F"/>
    <w:rsid w:val="00851210"/>
    <w:rsid w:val="00853EA7"/>
    <w:rsid w:val="0087620F"/>
    <w:rsid w:val="0088788A"/>
    <w:rsid w:val="008A4996"/>
    <w:rsid w:val="008C5CF2"/>
    <w:rsid w:val="008D2901"/>
    <w:rsid w:val="008D412B"/>
    <w:rsid w:val="008F4CEF"/>
    <w:rsid w:val="009131C8"/>
    <w:rsid w:val="00923989"/>
    <w:rsid w:val="00924597"/>
    <w:rsid w:val="009327F7"/>
    <w:rsid w:val="00932BFA"/>
    <w:rsid w:val="00972A84"/>
    <w:rsid w:val="00975C41"/>
    <w:rsid w:val="009937BC"/>
    <w:rsid w:val="00994441"/>
    <w:rsid w:val="009A252B"/>
    <w:rsid w:val="009D3F8F"/>
    <w:rsid w:val="009D588B"/>
    <w:rsid w:val="009E4A80"/>
    <w:rsid w:val="009F04AC"/>
    <w:rsid w:val="009F52C0"/>
    <w:rsid w:val="00A045A5"/>
    <w:rsid w:val="00A06054"/>
    <w:rsid w:val="00A15D04"/>
    <w:rsid w:val="00A213EE"/>
    <w:rsid w:val="00A33AE0"/>
    <w:rsid w:val="00A3457A"/>
    <w:rsid w:val="00A54D34"/>
    <w:rsid w:val="00A55961"/>
    <w:rsid w:val="00A860D8"/>
    <w:rsid w:val="00AC5A74"/>
    <w:rsid w:val="00AC6981"/>
    <w:rsid w:val="00AD577B"/>
    <w:rsid w:val="00AE6857"/>
    <w:rsid w:val="00AE6A08"/>
    <w:rsid w:val="00AE6A35"/>
    <w:rsid w:val="00AE71AF"/>
    <w:rsid w:val="00AF50BE"/>
    <w:rsid w:val="00AF7F05"/>
    <w:rsid w:val="00B23971"/>
    <w:rsid w:val="00B2731A"/>
    <w:rsid w:val="00B277F8"/>
    <w:rsid w:val="00B4124A"/>
    <w:rsid w:val="00B42694"/>
    <w:rsid w:val="00B50B67"/>
    <w:rsid w:val="00B52AE2"/>
    <w:rsid w:val="00B5334E"/>
    <w:rsid w:val="00B63FA8"/>
    <w:rsid w:val="00B86C11"/>
    <w:rsid w:val="00BA5247"/>
    <w:rsid w:val="00BB36F5"/>
    <w:rsid w:val="00BC10A4"/>
    <w:rsid w:val="00BC20CA"/>
    <w:rsid w:val="00BD187F"/>
    <w:rsid w:val="00BD7295"/>
    <w:rsid w:val="00BE60C7"/>
    <w:rsid w:val="00BE61AB"/>
    <w:rsid w:val="00BF0D21"/>
    <w:rsid w:val="00BF7D61"/>
    <w:rsid w:val="00C04CDB"/>
    <w:rsid w:val="00C04FE8"/>
    <w:rsid w:val="00C17CD3"/>
    <w:rsid w:val="00C21441"/>
    <w:rsid w:val="00C279D6"/>
    <w:rsid w:val="00C36F9C"/>
    <w:rsid w:val="00C47DA8"/>
    <w:rsid w:val="00C51CA5"/>
    <w:rsid w:val="00C619F0"/>
    <w:rsid w:val="00C67C58"/>
    <w:rsid w:val="00C747E2"/>
    <w:rsid w:val="00C870F4"/>
    <w:rsid w:val="00C90D71"/>
    <w:rsid w:val="00C97644"/>
    <w:rsid w:val="00CA5769"/>
    <w:rsid w:val="00CE35A3"/>
    <w:rsid w:val="00D00586"/>
    <w:rsid w:val="00D22B6B"/>
    <w:rsid w:val="00D24F57"/>
    <w:rsid w:val="00D250C6"/>
    <w:rsid w:val="00D31B2F"/>
    <w:rsid w:val="00D33745"/>
    <w:rsid w:val="00D53EB9"/>
    <w:rsid w:val="00D708A5"/>
    <w:rsid w:val="00D7205C"/>
    <w:rsid w:val="00D75843"/>
    <w:rsid w:val="00D77842"/>
    <w:rsid w:val="00D95F2C"/>
    <w:rsid w:val="00DA0222"/>
    <w:rsid w:val="00DB07B4"/>
    <w:rsid w:val="00DB6B15"/>
    <w:rsid w:val="00E018BD"/>
    <w:rsid w:val="00E10EDD"/>
    <w:rsid w:val="00E14D76"/>
    <w:rsid w:val="00E30A5D"/>
    <w:rsid w:val="00E526D7"/>
    <w:rsid w:val="00E5422D"/>
    <w:rsid w:val="00E5759B"/>
    <w:rsid w:val="00E62595"/>
    <w:rsid w:val="00E71787"/>
    <w:rsid w:val="00E81860"/>
    <w:rsid w:val="00E87977"/>
    <w:rsid w:val="00EA7644"/>
    <w:rsid w:val="00EB29D9"/>
    <w:rsid w:val="00EC1343"/>
    <w:rsid w:val="00EC5E1D"/>
    <w:rsid w:val="00ED1DFF"/>
    <w:rsid w:val="00F018E3"/>
    <w:rsid w:val="00F02BE9"/>
    <w:rsid w:val="00F34A18"/>
    <w:rsid w:val="00F44623"/>
    <w:rsid w:val="00F628B8"/>
    <w:rsid w:val="00F7170A"/>
    <w:rsid w:val="00F81107"/>
    <w:rsid w:val="00F92E41"/>
    <w:rsid w:val="00FB0BA7"/>
    <w:rsid w:val="00FB7B1E"/>
    <w:rsid w:val="00FC3096"/>
    <w:rsid w:val="00FD757D"/>
    <w:rsid w:val="00FE2E74"/>
    <w:rsid w:val="00FE4460"/>
    <w:rsid w:val="00FF4595"/>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7F4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rPr>
  </w:style>
  <w:style w:type="paragraph" w:styleId="Heading1">
    <w:name w:val="heading 1"/>
    <w:basedOn w:val="Normal"/>
    <w:next w:val="Normal"/>
    <w:link w:val="Heading1Char"/>
    <w:autoRedefine/>
    <w:uiPriority w:val="9"/>
    <w:qFormat/>
    <w:rsid w:val="00DA0222"/>
    <w:pPr>
      <w:spacing w:line="480" w:lineRule="auto"/>
      <w:outlineLvl w:val="0"/>
    </w:pPr>
    <w:rPr>
      <w:b/>
      <w:u w:val="single"/>
    </w:rPr>
  </w:style>
  <w:style w:type="paragraph" w:styleId="Heading2">
    <w:name w:val="heading 2"/>
    <w:basedOn w:val="Normal"/>
    <w:next w:val="Normal"/>
    <w:link w:val="Heading2Char"/>
    <w:autoRedefine/>
    <w:uiPriority w:val="9"/>
    <w:unhideWhenUsed/>
    <w:qFormat/>
    <w:rsid w:val="00D75843"/>
    <w:pPr>
      <w:spacing w:line="480" w:lineRule="auto"/>
      <w:outlineLvl w:val="1"/>
    </w:pPr>
    <w:rPr>
      <w:b/>
      <w:u w:val="single"/>
    </w:rPr>
  </w:style>
  <w:style w:type="paragraph" w:styleId="Heading3">
    <w:name w:val="heading 3"/>
    <w:basedOn w:val="Normal"/>
    <w:next w:val="Normal"/>
    <w:link w:val="Heading3Char"/>
    <w:uiPriority w:val="9"/>
    <w:unhideWhenUsed/>
    <w:qFormat/>
    <w:rsid w:val="00D75843"/>
    <w:pPr>
      <w:spacing w:line="480" w:lineRule="auto"/>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DA0222"/>
    <w:rPr>
      <w:b/>
      <w:sz w:val="22"/>
      <w:u w:val="single"/>
    </w:rPr>
  </w:style>
  <w:style w:type="character" w:customStyle="1" w:styleId="Heading2Char">
    <w:name w:val="Heading 2 Char"/>
    <w:basedOn w:val="DefaultParagraphFont"/>
    <w:link w:val="Heading2"/>
    <w:uiPriority w:val="9"/>
    <w:qFormat/>
    <w:rsid w:val="00D75843"/>
    <w:rPr>
      <w:b/>
      <w:sz w:val="22"/>
      <w:u w:val="single"/>
    </w:rPr>
  </w:style>
  <w:style w:type="character" w:styleId="CommentReference">
    <w:name w:val="annotation reference"/>
    <w:basedOn w:val="DefaultParagraphFont"/>
    <w:uiPriority w:val="99"/>
    <w:semiHidden/>
    <w:unhideWhenUsed/>
    <w:qFormat/>
    <w:rsid w:val="00576A81"/>
    <w:rPr>
      <w:sz w:val="16"/>
      <w:szCs w:val="16"/>
    </w:rPr>
  </w:style>
  <w:style w:type="character" w:customStyle="1" w:styleId="CommentTextChar">
    <w:name w:val="Comment Text Char"/>
    <w:basedOn w:val="DefaultParagraphFont"/>
    <w:link w:val="CommentText"/>
    <w:uiPriority w:val="99"/>
    <w:semiHidden/>
    <w:qFormat/>
    <w:rsid w:val="00576A81"/>
    <w:rPr>
      <w:sz w:val="20"/>
      <w:szCs w:val="20"/>
    </w:rPr>
  </w:style>
  <w:style w:type="character" w:customStyle="1" w:styleId="BalloonTextChar">
    <w:name w:val="Balloon Text Char"/>
    <w:basedOn w:val="DefaultParagraphFont"/>
    <w:link w:val="BalloonText"/>
    <w:uiPriority w:val="99"/>
    <w:semiHidden/>
    <w:qFormat/>
    <w:rsid w:val="00576A81"/>
    <w:rPr>
      <w:rFonts w:ascii="Segoe UI" w:hAnsi="Segoe UI" w:cs="Segoe UI"/>
      <w:sz w:val="18"/>
      <w:szCs w:val="18"/>
    </w:rPr>
  </w:style>
  <w:style w:type="character" w:customStyle="1" w:styleId="CommentSubjectChar">
    <w:name w:val="Comment Subject Char"/>
    <w:basedOn w:val="CommentTextChar"/>
    <w:link w:val="CommentSubject"/>
    <w:uiPriority w:val="99"/>
    <w:semiHidden/>
    <w:qFormat/>
    <w:rsid w:val="00585701"/>
    <w:rPr>
      <w:b/>
      <w:bCs/>
      <w:sz w:val="20"/>
      <w:szCs w:val="20"/>
    </w:rPr>
  </w:style>
  <w:style w:type="character" w:customStyle="1" w:styleId="FootnoteTextChar">
    <w:name w:val="Footnote Text Char"/>
    <w:basedOn w:val="DefaultParagraphFont"/>
    <w:link w:val="FootnoteText"/>
    <w:uiPriority w:val="99"/>
    <w:semiHidden/>
    <w:qFormat/>
    <w:rsid w:val="006A0E5D"/>
    <w:rPr>
      <w:sz w:val="20"/>
      <w:szCs w:val="20"/>
    </w:rPr>
  </w:style>
  <w:style w:type="character" w:customStyle="1" w:styleId="FootnoteCharacters">
    <w:name w:val="Footnote Characters"/>
    <w:basedOn w:val="DefaultParagraphFont"/>
    <w:uiPriority w:val="99"/>
    <w:semiHidden/>
    <w:unhideWhenUsed/>
    <w:qFormat/>
    <w:rsid w:val="006A0E5D"/>
    <w:rPr>
      <w:vertAlign w:val="superscript"/>
    </w:rPr>
  </w:style>
  <w:style w:type="character" w:customStyle="1" w:styleId="FootnoteAnchor">
    <w:name w:val="Footnote Anchor"/>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ListLabel13">
    <w:name w:val="ListLabel 13"/>
    <w:qFormat/>
    <w:rPr>
      <w:rFonts w:cs="Symbol"/>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semiHidden/>
    <w:unhideWhenUsed/>
    <w:qFormat/>
    <w:rsid w:val="00576A81"/>
    <w:pPr>
      <w:spacing w:line="240" w:lineRule="auto"/>
    </w:pPr>
    <w:rPr>
      <w:sz w:val="20"/>
      <w:szCs w:val="20"/>
    </w:rPr>
  </w:style>
  <w:style w:type="paragraph" w:styleId="BalloonText">
    <w:name w:val="Balloon Text"/>
    <w:basedOn w:val="Normal"/>
    <w:link w:val="BalloonTextChar"/>
    <w:uiPriority w:val="99"/>
    <w:semiHidden/>
    <w:unhideWhenUsed/>
    <w:qFormat/>
    <w:rsid w:val="00576A81"/>
    <w:pPr>
      <w:spacing w:after="0" w:line="240" w:lineRule="auto"/>
    </w:pPr>
    <w:rPr>
      <w:rFonts w:ascii="Segoe UI" w:hAnsi="Segoe UI" w:cs="Segoe UI"/>
      <w:sz w:val="18"/>
      <w:szCs w:val="18"/>
    </w:rPr>
  </w:style>
  <w:style w:type="paragraph" w:styleId="ListParagraph">
    <w:name w:val="List Paragraph"/>
    <w:basedOn w:val="Normal"/>
    <w:uiPriority w:val="34"/>
    <w:qFormat/>
    <w:rsid w:val="00417A02"/>
    <w:pPr>
      <w:ind w:left="720"/>
      <w:contextualSpacing/>
    </w:pPr>
  </w:style>
  <w:style w:type="paragraph" w:styleId="CommentSubject">
    <w:name w:val="annotation subject"/>
    <w:basedOn w:val="CommentText"/>
    <w:next w:val="CommentText"/>
    <w:link w:val="CommentSubjectChar"/>
    <w:uiPriority w:val="99"/>
    <w:semiHidden/>
    <w:unhideWhenUsed/>
    <w:qFormat/>
    <w:rsid w:val="00585701"/>
    <w:rPr>
      <w:b/>
      <w:bCs/>
    </w:rPr>
  </w:style>
  <w:style w:type="paragraph" w:styleId="NormalWeb">
    <w:name w:val="Normal (Web)"/>
    <w:basedOn w:val="Normal"/>
    <w:uiPriority w:val="99"/>
    <w:semiHidden/>
    <w:unhideWhenUsed/>
    <w:qFormat/>
    <w:rsid w:val="00673BC9"/>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6A0E5D"/>
    <w:pPr>
      <w:spacing w:after="0" w:line="240" w:lineRule="auto"/>
    </w:pPr>
    <w:rPr>
      <w:sz w:val="20"/>
      <w:szCs w:val="20"/>
    </w:rPr>
  </w:style>
  <w:style w:type="table" w:styleId="TableGrid">
    <w:name w:val="Table Grid"/>
    <w:basedOn w:val="TableNormal"/>
    <w:uiPriority w:val="39"/>
    <w:rsid w:val="00576A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526D7"/>
    <w:rPr>
      <w:color w:val="0563C1" w:themeColor="hyperlink"/>
      <w:u w:val="single"/>
    </w:rPr>
  </w:style>
  <w:style w:type="character" w:styleId="Strong">
    <w:name w:val="Strong"/>
    <w:basedOn w:val="DefaultParagraphFont"/>
    <w:uiPriority w:val="22"/>
    <w:qFormat/>
    <w:rsid w:val="00E526D7"/>
    <w:rPr>
      <w:b/>
      <w:bCs/>
    </w:rPr>
  </w:style>
  <w:style w:type="character" w:styleId="Emphasis">
    <w:name w:val="Emphasis"/>
    <w:basedOn w:val="DefaultParagraphFont"/>
    <w:uiPriority w:val="20"/>
    <w:qFormat/>
    <w:rsid w:val="00E526D7"/>
    <w:rPr>
      <w:i/>
      <w:iCs/>
    </w:rPr>
  </w:style>
  <w:style w:type="paragraph" w:styleId="Header">
    <w:name w:val="header"/>
    <w:basedOn w:val="Normal"/>
    <w:link w:val="HeaderChar"/>
    <w:uiPriority w:val="99"/>
    <w:unhideWhenUsed/>
    <w:rsid w:val="00D708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08A5"/>
    <w:rPr>
      <w:sz w:val="22"/>
    </w:rPr>
  </w:style>
  <w:style w:type="paragraph" w:styleId="Footer">
    <w:name w:val="footer"/>
    <w:basedOn w:val="Normal"/>
    <w:link w:val="FooterChar"/>
    <w:uiPriority w:val="99"/>
    <w:unhideWhenUsed/>
    <w:rsid w:val="00D708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08A5"/>
    <w:rPr>
      <w:sz w:val="22"/>
    </w:rPr>
  </w:style>
  <w:style w:type="character" w:styleId="HTMLCite">
    <w:name w:val="HTML Cite"/>
    <w:basedOn w:val="DefaultParagraphFont"/>
    <w:uiPriority w:val="99"/>
    <w:semiHidden/>
    <w:unhideWhenUsed/>
    <w:rsid w:val="00712DC4"/>
    <w:rPr>
      <w:i/>
      <w:iCs/>
    </w:rPr>
  </w:style>
  <w:style w:type="paragraph" w:styleId="Title">
    <w:name w:val="Title"/>
    <w:basedOn w:val="Normal"/>
    <w:next w:val="Normal"/>
    <w:link w:val="TitleChar"/>
    <w:uiPriority w:val="10"/>
    <w:qFormat/>
    <w:rsid w:val="00D75843"/>
    <w:pPr>
      <w:spacing w:line="480" w:lineRule="auto"/>
      <w:jc w:val="center"/>
    </w:pPr>
    <w:rPr>
      <w:b/>
      <w:u w:val="single"/>
    </w:rPr>
  </w:style>
  <w:style w:type="character" w:customStyle="1" w:styleId="TitleChar">
    <w:name w:val="Title Char"/>
    <w:basedOn w:val="DefaultParagraphFont"/>
    <w:link w:val="Title"/>
    <w:uiPriority w:val="10"/>
    <w:rsid w:val="00D75843"/>
    <w:rPr>
      <w:b/>
      <w:sz w:val="22"/>
      <w:u w:val="single"/>
    </w:rPr>
  </w:style>
  <w:style w:type="character" w:customStyle="1" w:styleId="Heading3Char">
    <w:name w:val="Heading 3 Char"/>
    <w:basedOn w:val="DefaultParagraphFont"/>
    <w:link w:val="Heading3"/>
    <w:uiPriority w:val="9"/>
    <w:rsid w:val="00D75843"/>
    <w:rPr>
      <w:sz w:val="22"/>
      <w:u w:val="single"/>
    </w:rPr>
  </w:style>
  <w:style w:type="character" w:customStyle="1" w:styleId="label">
    <w:name w:val="label"/>
    <w:basedOn w:val="DefaultParagraphFont"/>
    <w:rsid w:val="00DA0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4914">
      <w:bodyDiv w:val="1"/>
      <w:marLeft w:val="0"/>
      <w:marRight w:val="0"/>
      <w:marTop w:val="0"/>
      <w:marBottom w:val="0"/>
      <w:divBdr>
        <w:top w:val="none" w:sz="0" w:space="0" w:color="auto"/>
        <w:left w:val="none" w:sz="0" w:space="0" w:color="auto"/>
        <w:bottom w:val="none" w:sz="0" w:space="0" w:color="auto"/>
        <w:right w:val="none" w:sz="0" w:space="0" w:color="auto"/>
      </w:divBdr>
    </w:div>
    <w:div w:id="60369663">
      <w:bodyDiv w:val="1"/>
      <w:marLeft w:val="0"/>
      <w:marRight w:val="0"/>
      <w:marTop w:val="0"/>
      <w:marBottom w:val="0"/>
      <w:divBdr>
        <w:top w:val="none" w:sz="0" w:space="0" w:color="auto"/>
        <w:left w:val="none" w:sz="0" w:space="0" w:color="auto"/>
        <w:bottom w:val="none" w:sz="0" w:space="0" w:color="auto"/>
        <w:right w:val="none" w:sz="0" w:space="0" w:color="auto"/>
      </w:divBdr>
    </w:div>
    <w:div w:id="173037539">
      <w:bodyDiv w:val="1"/>
      <w:marLeft w:val="0"/>
      <w:marRight w:val="0"/>
      <w:marTop w:val="0"/>
      <w:marBottom w:val="0"/>
      <w:divBdr>
        <w:top w:val="none" w:sz="0" w:space="0" w:color="auto"/>
        <w:left w:val="none" w:sz="0" w:space="0" w:color="auto"/>
        <w:bottom w:val="none" w:sz="0" w:space="0" w:color="auto"/>
        <w:right w:val="none" w:sz="0" w:space="0" w:color="auto"/>
      </w:divBdr>
    </w:div>
    <w:div w:id="698287385">
      <w:bodyDiv w:val="1"/>
      <w:marLeft w:val="0"/>
      <w:marRight w:val="0"/>
      <w:marTop w:val="0"/>
      <w:marBottom w:val="0"/>
      <w:divBdr>
        <w:top w:val="none" w:sz="0" w:space="0" w:color="auto"/>
        <w:left w:val="none" w:sz="0" w:space="0" w:color="auto"/>
        <w:bottom w:val="none" w:sz="0" w:space="0" w:color="auto"/>
        <w:right w:val="none" w:sz="0" w:space="0" w:color="auto"/>
      </w:divBdr>
    </w:div>
    <w:div w:id="707418749">
      <w:bodyDiv w:val="1"/>
      <w:marLeft w:val="0"/>
      <w:marRight w:val="0"/>
      <w:marTop w:val="0"/>
      <w:marBottom w:val="0"/>
      <w:divBdr>
        <w:top w:val="none" w:sz="0" w:space="0" w:color="auto"/>
        <w:left w:val="none" w:sz="0" w:space="0" w:color="auto"/>
        <w:bottom w:val="none" w:sz="0" w:space="0" w:color="auto"/>
        <w:right w:val="none" w:sz="0" w:space="0" w:color="auto"/>
      </w:divBdr>
    </w:div>
    <w:div w:id="803431761">
      <w:bodyDiv w:val="1"/>
      <w:marLeft w:val="0"/>
      <w:marRight w:val="0"/>
      <w:marTop w:val="0"/>
      <w:marBottom w:val="0"/>
      <w:divBdr>
        <w:top w:val="none" w:sz="0" w:space="0" w:color="auto"/>
        <w:left w:val="none" w:sz="0" w:space="0" w:color="auto"/>
        <w:bottom w:val="none" w:sz="0" w:space="0" w:color="auto"/>
        <w:right w:val="none" w:sz="0" w:space="0" w:color="auto"/>
      </w:divBdr>
    </w:div>
    <w:div w:id="975722295">
      <w:bodyDiv w:val="1"/>
      <w:marLeft w:val="0"/>
      <w:marRight w:val="0"/>
      <w:marTop w:val="0"/>
      <w:marBottom w:val="0"/>
      <w:divBdr>
        <w:top w:val="none" w:sz="0" w:space="0" w:color="auto"/>
        <w:left w:val="none" w:sz="0" w:space="0" w:color="auto"/>
        <w:bottom w:val="none" w:sz="0" w:space="0" w:color="auto"/>
        <w:right w:val="none" w:sz="0" w:space="0" w:color="auto"/>
      </w:divBdr>
    </w:div>
    <w:div w:id="1579171604">
      <w:bodyDiv w:val="1"/>
      <w:marLeft w:val="0"/>
      <w:marRight w:val="0"/>
      <w:marTop w:val="0"/>
      <w:marBottom w:val="0"/>
      <w:divBdr>
        <w:top w:val="none" w:sz="0" w:space="0" w:color="auto"/>
        <w:left w:val="none" w:sz="0" w:space="0" w:color="auto"/>
        <w:bottom w:val="none" w:sz="0" w:space="0" w:color="auto"/>
        <w:right w:val="none" w:sz="0" w:space="0" w:color="auto"/>
      </w:divBdr>
    </w:div>
    <w:div w:id="1593050026">
      <w:bodyDiv w:val="1"/>
      <w:marLeft w:val="0"/>
      <w:marRight w:val="0"/>
      <w:marTop w:val="0"/>
      <w:marBottom w:val="0"/>
      <w:divBdr>
        <w:top w:val="none" w:sz="0" w:space="0" w:color="auto"/>
        <w:left w:val="none" w:sz="0" w:space="0" w:color="auto"/>
        <w:bottom w:val="none" w:sz="0" w:space="0" w:color="auto"/>
        <w:right w:val="none" w:sz="0" w:space="0" w:color="auto"/>
      </w:divBdr>
    </w:div>
    <w:div w:id="1827285639">
      <w:bodyDiv w:val="1"/>
      <w:marLeft w:val="0"/>
      <w:marRight w:val="0"/>
      <w:marTop w:val="0"/>
      <w:marBottom w:val="0"/>
      <w:divBdr>
        <w:top w:val="none" w:sz="0" w:space="0" w:color="auto"/>
        <w:left w:val="none" w:sz="0" w:space="0" w:color="auto"/>
        <w:bottom w:val="none" w:sz="0" w:space="0" w:color="auto"/>
        <w:right w:val="none" w:sz="0" w:space="0" w:color="auto"/>
      </w:divBdr>
      <w:divsChild>
        <w:div w:id="2120562231">
          <w:marLeft w:val="0"/>
          <w:marRight w:val="0"/>
          <w:marTop w:val="0"/>
          <w:marBottom w:val="0"/>
          <w:divBdr>
            <w:top w:val="none" w:sz="0" w:space="0" w:color="auto"/>
            <w:left w:val="none" w:sz="0" w:space="0" w:color="auto"/>
            <w:bottom w:val="none" w:sz="0" w:space="0" w:color="auto"/>
            <w:right w:val="none" w:sz="0" w:space="0" w:color="auto"/>
          </w:divBdr>
          <w:divsChild>
            <w:div w:id="513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666434">
      <w:bodyDiv w:val="1"/>
      <w:marLeft w:val="0"/>
      <w:marRight w:val="0"/>
      <w:marTop w:val="0"/>
      <w:marBottom w:val="0"/>
      <w:divBdr>
        <w:top w:val="none" w:sz="0" w:space="0" w:color="auto"/>
        <w:left w:val="none" w:sz="0" w:space="0" w:color="auto"/>
        <w:bottom w:val="none" w:sz="0" w:space="0" w:color="auto"/>
        <w:right w:val="none" w:sz="0" w:space="0" w:color="auto"/>
      </w:divBdr>
      <w:divsChild>
        <w:div w:id="852499995">
          <w:marLeft w:val="0"/>
          <w:marRight w:val="0"/>
          <w:marTop w:val="0"/>
          <w:marBottom w:val="0"/>
          <w:divBdr>
            <w:top w:val="none" w:sz="0" w:space="0" w:color="auto"/>
            <w:left w:val="none" w:sz="0" w:space="0" w:color="auto"/>
            <w:bottom w:val="none" w:sz="0" w:space="0" w:color="auto"/>
            <w:right w:val="none" w:sz="0" w:space="0" w:color="auto"/>
          </w:divBdr>
          <w:divsChild>
            <w:div w:id="15525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ongtermplan.nhs.uk/wp-content/uploads/2019/08/nhs-long-term-plan-version-1.2.pdf" TargetMode="External"/><Relationship Id="rId18" Type="http://schemas.openxmlformats.org/officeDocument/2006/relationships/hyperlink" Target="https://www.unison.org.uk/content/uploads/2017/07/24494.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longtermplan.nhs.uk/wp-content/uploads/2019/05/Interim-NHS-People-Plan_June2019.pdf" TargetMode="External"/><Relationship Id="rId17" Type="http://schemas.openxmlformats.org/officeDocument/2006/relationships/hyperlink" Target="https://www.theguardian.com/society/2017/jun/24/english-speaking-ovserseas-nurses-fail-nhs-too-tough-language-test" TargetMode="External"/><Relationship Id="rId2" Type="http://schemas.openxmlformats.org/officeDocument/2006/relationships/customXml" Target="../customXml/item2.xml"/><Relationship Id="rId16" Type="http://schemas.openxmlformats.org/officeDocument/2006/relationships/hyperlink" Target="https://www.linkedin.com/pulse/ielts-right-english-test-overseas-nurses-working-uk-chris-moor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hange.org/p/nmc-uk-reduce-ielts-score-for-eu-eea-overseas-trained-nurses-registration-ieltsnmc" TargetMode="External"/><Relationship Id="rId5" Type="http://schemas.openxmlformats.org/officeDocument/2006/relationships/numbering" Target="numbering.xml"/><Relationship Id="rId15" Type="http://schemas.openxmlformats.org/officeDocument/2006/relationships/hyperlink" Target="https://www.nmc.org.uk/registration/joining-the-register/register-nurse-midwife/old-trained-outside-the-eueea/reviewing-our-registration-processes-for-nurses-and-midwives-from-outside-the-eea/" TargetMode="External"/><Relationship Id="rId10" Type="http://schemas.openxmlformats.org/officeDocument/2006/relationships/endnotes" Target="endnotes.xml"/><Relationship Id="rId19" Type="http://schemas.openxmlformats.org/officeDocument/2006/relationships/hyperlink" Target="https://www.unison.org.uk/content/uploads/2018/08/Organising-non-EU-overseas-nurses.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hsemployers.org/-/media/Employers/Publications/International-Recruitment-toolkit/NHS-International-recruitment-toolkit-200120.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2EBAEFE6548BC4F996FBDB16FE6E79D" ma:contentTypeVersion="4" ma:contentTypeDescription="Create a new document." ma:contentTypeScope="" ma:versionID="004876499f8dafefdc17113f049e93f1">
  <xsd:schema xmlns:xsd="http://www.w3.org/2001/XMLSchema" xmlns:xs="http://www.w3.org/2001/XMLSchema" xmlns:p="http://schemas.microsoft.com/office/2006/metadata/properties" xmlns:ns2="a4c410a8-10b5-4956-bd82-6f65dece4ab0" targetNamespace="http://schemas.microsoft.com/office/2006/metadata/properties" ma:root="true" ma:fieldsID="383e77ef783f809940b6363ec8f0c7b0" ns2:_="">
    <xsd:import namespace="a4c410a8-10b5-4956-bd82-6f65dece4a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410a8-10b5-4956-bd82-6f65dece4a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807F67-6AF2-4478-B97B-BE2D77BDBC7E}">
  <ds:schemaRefs>
    <ds:schemaRef ds:uri="http://schemas.openxmlformats.org/officeDocument/2006/bibliography"/>
  </ds:schemaRefs>
</ds:datastoreItem>
</file>

<file path=customXml/itemProps2.xml><?xml version="1.0" encoding="utf-8"?>
<ds:datastoreItem xmlns:ds="http://schemas.openxmlformats.org/officeDocument/2006/customXml" ds:itemID="{C002AA2E-B619-48F6-921A-CA633D2088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410a8-10b5-4956-bd82-6f65dece4a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33B12A-9595-4DD8-9987-E50F472282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D11B4F-CE88-4451-9BE0-86875B132A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6460</Words>
  <Characters>36825</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2021-09-07T16:28:00Z</dcterms:created>
  <dcterms:modified xsi:type="dcterms:W3CDTF">2021-10-12T07:40:00Z</dcterms:modified>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0x010100E2EBAEFE6548BC4F996FBDB16FE6E79D</vt:lpwstr>
  </property>
</Properties>
</file>